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Times New Roman" w:eastAsia="方正小标宋简体" w:cs="Times New Roman"/>
          <w:b w:val="0"/>
          <w:bCs/>
        </w:rPr>
      </w:pPr>
      <w:r>
        <w:rPr>
          <w:rFonts w:hint="eastAsia" w:ascii="方正小标宋简体" w:hAnsi="Times New Roman" w:eastAsia="方正小标宋简体" w:cs="Times New Roman"/>
          <w:b w:val="0"/>
          <w:bCs/>
          <w:lang w:eastAsia="zh-CN"/>
        </w:rPr>
        <w:t>长治市屯留区</w:t>
      </w:r>
      <w:r>
        <w:rPr>
          <w:rFonts w:hint="eastAsia" w:ascii="方正小标宋简体" w:hAnsi="Times New Roman" w:eastAsia="方正小标宋简体" w:cs="Times New Roman"/>
          <w:b w:val="0"/>
          <w:bCs/>
        </w:rPr>
        <w:t>202</w:t>
      </w:r>
      <w:r>
        <w:rPr>
          <w:rFonts w:hint="eastAsia" w:ascii="方正小标宋简体" w:hAnsi="Times New Roman" w:eastAsia="方正小标宋简体" w:cs="Times New Roman"/>
          <w:b w:val="0"/>
          <w:bCs/>
          <w:lang w:val="en-US" w:eastAsia="zh-CN"/>
        </w:rPr>
        <w:t>2</w:t>
      </w:r>
      <w:r>
        <w:rPr>
          <w:rFonts w:hint="eastAsia" w:ascii="方正小标宋简体" w:hAnsi="Times New Roman" w:eastAsia="方正小标宋简体" w:cs="Times New Roman"/>
          <w:b w:val="0"/>
          <w:bCs/>
        </w:rPr>
        <w:t>年政府预算公开相关说明</w:t>
      </w:r>
    </w:p>
    <w:p>
      <w:pPr>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根据《财政部关于印发&lt;地方预决算公开操作规程&gt;的通知》（财预〔201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〕143号）文件精神</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color w:val="auto"/>
          <w:sz w:val="32"/>
          <w:szCs w:val="32"/>
          <w:lang w:val="en-US" w:eastAsia="zh-CN"/>
        </w:rPr>
        <w:t>《山西省财政厅办公室关于印发山西省财政预决算领域基层政务公开标准指引的通知》（晋财办发</w:t>
      </w:r>
      <w:r>
        <w:rPr>
          <w:rFonts w:hint="default" w:ascii="Times New Roman" w:hAnsi="Times New Roman" w:eastAsia="仿宋_GB2312" w:cs="Times New Roman"/>
          <w:color w:val="auto"/>
          <w:sz w:val="32"/>
        </w:rPr>
        <w:t>〔20</w:t>
      </w:r>
      <w:r>
        <w:rPr>
          <w:rFonts w:hint="eastAsia" w:ascii="Times New Roman" w:hAnsi="Times New Roman" w:eastAsia="仿宋_GB2312" w:cs="Times New Roman"/>
          <w:color w:val="auto"/>
          <w:sz w:val="32"/>
          <w:lang w:val="en-US" w:eastAsia="zh-CN"/>
        </w:rPr>
        <w:t>20</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5号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要求</w:t>
      </w:r>
      <w:r>
        <w:rPr>
          <w:rFonts w:ascii="Times New Roman" w:hAnsi="Times New Roman" w:eastAsia="仿宋_GB2312" w:cs="Times New Roman"/>
          <w:sz w:val="32"/>
          <w:szCs w:val="32"/>
        </w:rPr>
        <w:t>，为方便社会公众对我</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年政府预算的理解和监督，现将有关重要事项说明如下：</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“三公”经费预算增减变化说明</w:t>
      </w:r>
    </w:p>
    <w:p>
      <w:pPr>
        <w:ind w:firstLine="64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年我</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本级“三公”经费预算数</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万元；公务用车运行维护费</w:t>
      </w:r>
      <w:r>
        <w:rPr>
          <w:rFonts w:hint="eastAsia" w:ascii="Times New Roman" w:hAnsi="Times New Roman" w:eastAsia="仿宋_GB2312" w:cs="Times New Roman"/>
          <w:sz w:val="32"/>
          <w:szCs w:val="32"/>
          <w:lang w:val="en-US" w:eastAsia="zh-CN"/>
        </w:rPr>
        <w:t>376</w:t>
      </w:r>
      <w:r>
        <w:rPr>
          <w:rFonts w:ascii="Times New Roman" w:hAnsi="Times New Roman" w:eastAsia="仿宋_GB2312" w:cs="Times New Roman"/>
          <w:sz w:val="32"/>
          <w:szCs w:val="32"/>
        </w:rPr>
        <w:t>万元；公务出国出境费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万元；公务用车购置费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万元。“三公”经费预算数</w:t>
      </w:r>
      <w:r>
        <w:rPr>
          <w:rFonts w:hint="eastAsia" w:ascii="Times New Roman" w:hAnsi="Times New Roman" w:eastAsia="仿宋_GB2312" w:cs="Times New Roman"/>
          <w:sz w:val="32"/>
          <w:szCs w:val="32"/>
          <w:lang w:eastAsia="zh-CN"/>
        </w:rPr>
        <w:t>较上年下降</w:t>
      </w:r>
      <w:r>
        <w:rPr>
          <w:rFonts w:hint="eastAsia" w:ascii="Times New Roman" w:hAnsi="Times New Roman" w:eastAsia="仿宋_GB2312" w:cs="Times New Roman"/>
          <w:sz w:val="32"/>
          <w:szCs w:val="32"/>
          <w:lang w:val="en-US" w:eastAsia="zh-CN"/>
        </w:rPr>
        <w:t>1万元，同比下降0.26%。其中公务接待费18万元，与上年持平；公务用车运行维护费较上年下降1万元；</w:t>
      </w:r>
      <w:r>
        <w:rPr>
          <w:rFonts w:ascii="Times New Roman" w:hAnsi="Times New Roman" w:eastAsia="仿宋_GB2312" w:cs="Times New Roman"/>
          <w:sz w:val="32"/>
          <w:szCs w:val="32"/>
        </w:rPr>
        <w:t>公务出国出境费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万元；公务用车购置费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财政转移支付安排情况说明</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现行财政转移支付分为一般性转移支付和专项转移支付。一般性转移支付和专项转移支付各有特点。前者可以按照相关规定统筹安排和使用，后者能够体现上级政府政策导向，便于监督检查。</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 xml:space="preserve"> 一般性转移支付主要包括均衡性转移支付、县级基本财力保障机制奖补资金、基层公检法司转移支付、城乡义务教育转移支付、基本养老金转移支付、城乡居民医疗保险转移支付、农村综合改革转移支付、产粮（油）大县奖励资金、重点生态功能区转移支付、固定数额补助等。</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专项转移支付主要是根据党中央、国务院和省委、省政府确定的政策，按照集中资金、突出重点、专款专用的要求，重点用于农林水、教育、医疗卫生、社会保障和就业、交通运输、节能环保等领域。</w:t>
      </w:r>
    </w:p>
    <w:p>
      <w:pPr>
        <w:spacing w:line="600" w:lineRule="exact"/>
        <w:ind w:left="2" w:leftChars="1" w:firstLine="640" w:firstLineChars="200"/>
        <w:rPr>
          <w:rFonts w:ascii="Times New Roman" w:hAnsi="Times New Roman" w:eastAsia="黑体" w:cs="Times New Roman"/>
          <w:color w:val="auto"/>
          <w:sz w:val="32"/>
          <w:szCs w:val="32"/>
        </w:rPr>
      </w:pPr>
      <w:r>
        <w:rPr>
          <w:rFonts w:hint="eastAsia" w:ascii="仿宋_GB2312" w:hAnsi="黑体" w:eastAsia="仿宋_GB2312"/>
          <w:sz w:val="32"/>
          <w:szCs w:val="32"/>
        </w:rPr>
        <w:t>20</w:t>
      </w:r>
      <w:r>
        <w:rPr>
          <w:rFonts w:hint="eastAsia" w:ascii="仿宋_GB2312" w:hAnsi="黑体" w:eastAsia="仿宋_GB2312"/>
          <w:sz w:val="32"/>
          <w:szCs w:val="32"/>
          <w:lang w:val="en-US" w:eastAsia="zh-CN"/>
        </w:rPr>
        <w:t>22</w:t>
      </w:r>
      <w:r>
        <w:rPr>
          <w:rFonts w:hint="eastAsia" w:ascii="仿宋_GB2312" w:hAnsi="黑体" w:eastAsia="仿宋_GB2312"/>
          <w:sz w:val="32"/>
          <w:szCs w:val="32"/>
        </w:rPr>
        <w:t>年中央和省</w:t>
      </w:r>
      <w:r>
        <w:rPr>
          <w:rFonts w:hint="eastAsia" w:ascii="仿宋_GB2312" w:hAnsi="黑体" w:eastAsia="仿宋_GB2312"/>
          <w:sz w:val="32"/>
          <w:szCs w:val="32"/>
          <w:lang w:eastAsia="zh-CN"/>
        </w:rPr>
        <w:t>市</w:t>
      </w:r>
      <w:r>
        <w:rPr>
          <w:rFonts w:hint="eastAsia" w:ascii="仿宋_GB2312" w:hAnsi="黑体" w:eastAsia="仿宋_GB2312"/>
          <w:sz w:val="32"/>
          <w:szCs w:val="32"/>
        </w:rPr>
        <w:t>对</w:t>
      </w:r>
      <w:r>
        <w:rPr>
          <w:rFonts w:hint="eastAsia" w:ascii="仿宋_GB2312" w:hAnsi="黑体" w:eastAsia="仿宋_GB2312"/>
          <w:sz w:val="32"/>
          <w:szCs w:val="32"/>
          <w:lang w:eastAsia="zh-CN"/>
        </w:rPr>
        <w:t>我区</w:t>
      </w:r>
      <w:r>
        <w:rPr>
          <w:rFonts w:hint="eastAsia" w:ascii="仿宋_GB2312" w:hAnsi="黑体" w:eastAsia="仿宋_GB2312"/>
          <w:sz w:val="32"/>
          <w:szCs w:val="32"/>
        </w:rPr>
        <w:t>共下达转移支付资金</w:t>
      </w:r>
      <w:r>
        <w:rPr>
          <w:rFonts w:hint="eastAsia" w:ascii="仿宋_GB2312" w:hAnsi="黑体" w:eastAsia="仿宋_GB2312"/>
          <w:sz w:val="32"/>
          <w:szCs w:val="32"/>
          <w:lang w:val="en-US" w:eastAsia="zh-CN"/>
        </w:rPr>
        <w:t>94927万</w:t>
      </w:r>
      <w:r>
        <w:rPr>
          <w:rFonts w:hint="eastAsia" w:ascii="仿宋_GB2312" w:hAnsi="黑体" w:eastAsia="仿宋_GB2312"/>
          <w:sz w:val="32"/>
          <w:szCs w:val="32"/>
        </w:rPr>
        <w:t>元，</w:t>
      </w:r>
      <w:r>
        <w:rPr>
          <w:rFonts w:hint="eastAsia" w:ascii="仿宋_GB2312" w:hAnsi="黑体" w:eastAsia="仿宋_GB2312"/>
          <w:sz w:val="32"/>
          <w:szCs w:val="32"/>
          <w:lang w:eastAsia="zh-CN"/>
        </w:rPr>
        <w:t>下降</w:t>
      </w:r>
      <w:r>
        <w:rPr>
          <w:rFonts w:hint="eastAsia" w:ascii="仿宋_GB2312" w:hAnsi="黑体" w:eastAsia="仿宋_GB2312"/>
          <w:sz w:val="32"/>
          <w:szCs w:val="32"/>
          <w:lang w:val="en-US" w:eastAsia="zh-CN"/>
        </w:rPr>
        <w:t>7.33</w:t>
      </w:r>
      <w:r>
        <w:rPr>
          <w:rFonts w:hint="eastAsia" w:ascii="仿宋_GB2312" w:hAnsi="黑体" w:eastAsia="仿宋_GB2312"/>
          <w:sz w:val="32"/>
          <w:szCs w:val="32"/>
        </w:rPr>
        <w:t>%。其中：一般性转移支付</w:t>
      </w:r>
      <w:r>
        <w:rPr>
          <w:rFonts w:hint="eastAsia" w:ascii="仿宋_GB2312" w:hAnsi="黑体" w:eastAsia="仿宋_GB2312"/>
          <w:sz w:val="32"/>
          <w:szCs w:val="32"/>
          <w:lang w:val="en-US" w:eastAsia="zh-CN"/>
        </w:rPr>
        <w:t>70513万</w:t>
      </w:r>
      <w:r>
        <w:rPr>
          <w:rFonts w:hint="eastAsia" w:ascii="仿宋_GB2312" w:hAnsi="黑体" w:eastAsia="仿宋_GB2312"/>
          <w:sz w:val="32"/>
          <w:szCs w:val="32"/>
        </w:rPr>
        <w:t>元，同比增长</w:t>
      </w:r>
      <w:r>
        <w:rPr>
          <w:rFonts w:hint="eastAsia" w:ascii="仿宋_GB2312" w:hAnsi="黑体" w:eastAsia="仿宋_GB2312"/>
          <w:sz w:val="32"/>
          <w:szCs w:val="32"/>
          <w:lang w:val="en-US" w:eastAsia="zh-CN"/>
        </w:rPr>
        <w:t>13.91</w:t>
      </w:r>
      <w:r>
        <w:rPr>
          <w:rFonts w:hint="eastAsia" w:ascii="仿宋_GB2312" w:hAnsi="黑体" w:eastAsia="仿宋_GB2312"/>
          <w:sz w:val="32"/>
          <w:szCs w:val="32"/>
        </w:rPr>
        <w:t>%；专项转移支付</w:t>
      </w:r>
      <w:r>
        <w:rPr>
          <w:rFonts w:hint="eastAsia" w:ascii="仿宋_GB2312" w:hAnsi="黑体" w:eastAsia="仿宋_GB2312"/>
          <w:sz w:val="32"/>
          <w:szCs w:val="32"/>
          <w:lang w:val="en-US" w:eastAsia="zh-CN"/>
        </w:rPr>
        <w:t>17490万</w:t>
      </w:r>
      <w:r>
        <w:rPr>
          <w:rFonts w:hint="eastAsia" w:ascii="仿宋_GB2312" w:hAnsi="黑体" w:eastAsia="仿宋_GB2312"/>
          <w:sz w:val="32"/>
          <w:szCs w:val="32"/>
        </w:rPr>
        <w:t>元，同比下降</w:t>
      </w:r>
      <w:r>
        <w:rPr>
          <w:rFonts w:hint="eastAsia" w:ascii="仿宋_GB2312" w:hAnsi="黑体" w:eastAsia="仿宋_GB2312"/>
          <w:sz w:val="32"/>
          <w:szCs w:val="32"/>
          <w:lang w:val="en-US" w:eastAsia="zh-CN"/>
        </w:rPr>
        <w:t>45.2</w:t>
      </w:r>
      <w:r>
        <w:rPr>
          <w:rFonts w:hint="eastAsia" w:ascii="仿宋_GB2312" w:hAnsi="黑体" w:eastAsia="仿宋_GB2312"/>
          <w:sz w:val="32"/>
          <w:szCs w:val="32"/>
        </w:rPr>
        <w:t>%，一般转移支付占全部转移支付比重达到</w:t>
      </w:r>
      <w:r>
        <w:rPr>
          <w:rFonts w:hint="eastAsia" w:ascii="仿宋_GB2312" w:hAnsi="黑体" w:eastAsia="仿宋_GB2312"/>
          <w:sz w:val="32"/>
          <w:szCs w:val="32"/>
          <w:lang w:val="en-US" w:eastAsia="zh-CN"/>
        </w:rPr>
        <w:t>74.28</w:t>
      </w:r>
      <w:r>
        <w:rPr>
          <w:rFonts w:hint="eastAsia" w:ascii="仿宋_GB2312" w:hAnsi="黑体" w:eastAsia="仿宋_GB2312"/>
          <w:sz w:val="32"/>
          <w:szCs w:val="32"/>
        </w:rPr>
        <w:t>%。一般性转移支付占比</w:t>
      </w:r>
      <w:r>
        <w:rPr>
          <w:rFonts w:hint="eastAsia" w:ascii="仿宋_GB2312" w:hAnsi="黑体" w:eastAsia="仿宋_GB2312"/>
          <w:sz w:val="32"/>
          <w:szCs w:val="32"/>
          <w:lang w:eastAsia="zh-CN"/>
        </w:rPr>
        <w:t>进一步</w:t>
      </w:r>
      <w:r>
        <w:rPr>
          <w:rFonts w:hint="eastAsia" w:ascii="仿宋_GB2312" w:hAnsi="黑体" w:eastAsia="仿宋_GB2312"/>
          <w:sz w:val="32"/>
          <w:szCs w:val="32"/>
        </w:rPr>
        <w:t>上升、专项转移支付占比下降原因是按照财政部统一安排，部分专项转移支付项目转列共同事权转移支付等一般转移支付类下。</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举借债务情况说明</w:t>
      </w:r>
    </w:p>
    <w:p>
      <w:pPr>
        <w:ind w:firstLine="640" w:firstLineChars="200"/>
        <w:rPr>
          <w:rStyle w:val="14"/>
          <w:rFonts w:hint="eastAsia" w:ascii="仿宋_GB2312" w:hAnsi="仿宋_GB2312" w:eastAsia="仿宋_GB2312" w:cs="仿宋_GB2312"/>
          <w:b w:val="0"/>
          <w:bCs w:val="0"/>
          <w:sz w:val="32"/>
          <w:szCs w:val="32"/>
        </w:rPr>
      </w:pPr>
      <w:r>
        <w:rPr>
          <w:rFonts w:hint="eastAsia" w:ascii="仿宋_GB2312" w:eastAsia="仿宋_GB2312"/>
          <w:sz w:val="32"/>
          <w:szCs w:val="32"/>
        </w:rPr>
        <w:t>防范化解政府债务风险，是贯彻落实党的十九大精神，坚决打好防范化解重大风险攻坚战的一项重要任务。我</w:t>
      </w:r>
      <w:r>
        <w:rPr>
          <w:rFonts w:hint="eastAsia" w:ascii="仿宋_GB2312" w:eastAsia="仿宋_GB2312"/>
          <w:sz w:val="32"/>
          <w:szCs w:val="32"/>
          <w:lang w:eastAsia="zh-CN"/>
        </w:rPr>
        <w:t>区</w:t>
      </w:r>
      <w:r>
        <w:rPr>
          <w:rFonts w:hint="eastAsia" w:ascii="仿宋_GB2312" w:eastAsia="仿宋_GB2312"/>
          <w:sz w:val="32"/>
          <w:szCs w:val="32"/>
        </w:rPr>
        <w:t>财政部门坚决贯彻落实中央</w:t>
      </w:r>
      <w:r>
        <w:rPr>
          <w:rFonts w:hint="eastAsia" w:ascii="仿宋_GB2312" w:eastAsia="仿宋_GB2312"/>
          <w:sz w:val="32"/>
          <w:szCs w:val="32"/>
          <w:lang w:eastAsia="zh-CN"/>
        </w:rPr>
        <w:t>、</w:t>
      </w:r>
      <w:r>
        <w:rPr>
          <w:rFonts w:hint="eastAsia" w:ascii="仿宋_GB2312" w:eastAsia="仿宋_GB2312"/>
          <w:sz w:val="32"/>
          <w:szCs w:val="32"/>
        </w:rPr>
        <w:t>省委</w:t>
      </w:r>
      <w:r>
        <w:rPr>
          <w:rFonts w:hint="eastAsia" w:ascii="仿宋_GB2312" w:eastAsia="仿宋_GB2312"/>
          <w:sz w:val="32"/>
          <w:szCs w:val="32"/>
          <w:lang w:eastAsia="zh-CN"/>
        </w:rPr>
        <w:t>、</w:t>
      </w:r>
      <w:r>
        <w:rPr>
          <w:rFonts w:hint="eastAsia" w:ascii="仿宋_GB2312" w:eastAsia="仿宋_GB2312"/>
          <w:sz w:val="32"/>
          <w:szCs w:val="32"/>
        </w:rPr>
        <w:t>市委</w:t>
      </w:r>
      <w:r>
        <w:rPr>
          <w:rFonts w:hint="eastAsia" w:ascii="仿宋_GB2312" w:eastAsia="仿宋_GB2312"/>
          <w:sz w:val="32"/>
          <w:szCs w:val="32"/>
          <w:lang w:eastAsia="zh-CN"/>
        </w:rPr>
        <w:t>和区委</w:t>
      </w:r>
      <w:r>
        <w:rPr>
          <w:rFonts w:hint="eastAsia" w:ascii="仿宋_GB2312" w:eastAsia="仿宋_GB2312"/>
          <w:sz w:val="32"/>
          <w:szCs w:val="32"/>
        </w:rPr>
        <w:t>各项决策部署，</w:t>
      </w:r>
      <w:r>
        <w:rPr>
          <w:rStyle w:val="14"/>
          <w:rFonts w:hint="eastAsia" w:ascii="仿宋_GB2312" w:hAnsi="仿宋_GB2312" w:eastAsia="仿宋_GB2312" w:cs="仿宋_GB2312"/>
          <w:b w:val="0"/>
          <w:bCs w:val="0"/>
          <w:sz w:val="32"/>
          <w:szCs w:val="32"/>
        </w:rPr>
        <w:t>加强和创新政府债务管理，开大开好“前门”，充分发挥政府债务对稳投资、补短板、惠民生、防风险的重要作用。防范和化解政府债务风险，严堵“后门”，坚守不发生系统性区域性风险底线。</w:t>
      </w:r>
    </w:p>
    <w:p>
      <w:pPr>
        <w:ind w:firstLine="640" w:firstLineChars="200"/>
        <w:rPr>
          <w:rFonts w:ascii="Times New Roman" w:hAnsi="Times New Roman" w:eastAsia="仿宋_GB2312" w:cs="Times New Roman"/>
          <w:kern w:val="0"/>
          <w:sz w:val="32"/>
        </w:rPr>
      </w:pPr>
      <w:r>
        <w:rPr>
          <w:rFonts w:hint="eastAsia" w:ascii="Times New Roman" w:hAnsi="Times New Roman" w:eastAsia="仿宋_GB2312" w:cs="Times New Roman"/>
          <w:kern w:val="0"/>
          <w:sz w:val="32"/>
        </w:rPr>
        <w:t>截</w:t>
      </w:r>
      <w:r>
        <w:rPr>
          <w:rFonts w:hint="eastAsia" w:ascii="Times New Roman" w:hAnsi="Times New Roman" w:eastAsia="仿宋_GB2312" w:cs="Times New Roman"/>
          <w:kern w:val="0"/>
          <w:sz w:val="32"/>
          <w:lang w:eastAsia="zh-CN"/>
        </w:rPr>
        <w:t>至</w:t>
      </w:r>
      <w:r>
        <w:rPr>
          <w:rFonts w:hint="eastAsia" w:ascii="Times New Roman" w:hAnsi="Times New Roman" w:eastAsia="仿宋_GB2312" w:cs="Times New Roman"/>
          <w:kern w:val="0"/>
          <w:sz w:val="32"/>
        </w:rPr>
        <w:t>202</w:t>
      </w:r>
      <w:r>
        <w:rPr>
          <w:rFonts w:hint="eastAsia" w:ascii="Times New Roman" w:hAnsi="Times New Roman" w:eastAsia="仿宋_GB2312" w:cs="Times New Roman"/>
          <w:kern w:val="0"/>
          <w:sz w:val="32"/>
          <w:lang w:val="en-US" w:eastAsia="zh-CN"/>
        </w:rPr>
        <w:t>1</w:t>
      </w:r>
      <w:r>
        <w:rPr>
          <w:rFonts w:hint="eastAsia" w:ascii="Times New Roman" w:hAnsi="Times New Roman" w:eastAsia="仿宋_GB2312" w:cs="Times New Roman"/>
          <w:kern w:val="0"/>
          <w:sz w:val="32"/>
        </w:rPr>
        <w:t>年底，</w:t>
      </w:r>
      <w:r>
        <w:rPr>
          <w:rFonts w:ascii="Times New Roman" w:hAnsi="Times New Roman" w:eastAsia="仿宋_GB2312" w:cs="Times New Roman"/>
          <w:kern w:val="0"/>
          <w:sz w:val="32"/>
        </w:rPr>
        <w:t>全</w:t>
      </w:r>
      <w:r>
        <w:rPr>
          <w:rFonts w:hint="eastAsia" w:ascii="Times New Roman" w:hAnsi="Times New Roman" w:eastAsia="仿宋_GB2312" w:cs="Times New Roman"/>
          <w:kern w:val="0"/>
          <w:sz w:val="32"/>
          <w:lang w:eastAsia="zh-CN"/>
        </w:rPr>
        <w:t>区</w:t>
      </w:r>
      <w:r>
        <w:rPr>
          <w:rFonts w:ascii="Times New Roman" w:hAnsi="Times New Roman" w:eastAsia="仿宋_GB2312" w:cs="Times New Roman"/>
          <w:kern w:val="0"/>
          <w:sz w:val="32"/>
        </w:rPr>
        <w:t>政府性债务</w:t>
      </w:r>
      <w:r>
        <w:rPr>
          <w:rFonts w:hint="eastAsia" w:ascii="Times New Roman" w:hAnsi="Times New Roman" w:eastAsia="仿宋_GB2312" w:cs="Times New Roman"/>
          <w:kern w:val="0"/>
          <w:sz w:val="32"/>
        </w:rPr>
        <w:t>余额</w:t>
      </w:r>
      <w:r>
        <w:rPr>
          <w:rFonts w:hint="eastAsia" w:ascii="Times New Roman" w:hAnsi="Times New Roman" w:eastAsia="仿宋_GB2312" w:cs="Times New Roman"/>
          <w:kern w:val="0"/>
          <w:sz w:val="32"/>
          <w:lang w:val="en-US" w:eastAsia="zh-CN"/>
        </w:rPr>
        <w:t>54150万</w:t>
      </w:r>
      <w:r>
        <w:rPr>
          <w:rFonts w:ascii="Times New Roman" w:hAnsi="Times New Roman" w:eastAsia="仿宋_GB2312" w:cs="Times New Roman"/>
          <w:kern w:val="0"/>
          <w:sz w:val="32"/>
        </w:rPr>
        <w:t>元，其中：</w:t>
      </w:r>
      <w:r>
        <w:rPr>
          <w:rFonts w:hint="eastAsia" w:ascii="仿宋_GB2312" w:eastAsia="仿宋_GB2312"/>
          <w:color w:val="auto"/>
          <w:sz w:val="32"/>
          <w:szCs w:val="32"/>
          <w:lang w:val="en-US" w:eastAsia="zh-CN"/>
        </w:rPr>
        <w:t>一般债务余额32050万元，占比59.19%；专项债务余额22100万元，占比40.81%。</w:t>
      </w:r>
      <w:bookmarkStart w:id="0" w:name="_GoBack"/>
      <w:bookmarkEnd w:id="0"/>
    </w:p>
    <w:p>
      <w:pPr>
        <w:ind w:firstLine="640" w:firstLineChars="200"/>
        <w:rPr>
          <w:rFonts w:ascii="Times New Roman" w:hAnsi="Times New Roman" w:eastAsia="仿宋_GB2312" w:cs="Times New Roman"/>
          <w:kern w:val="0"/>
          <w:sz w:val="32"/>
        </w:rPr>
      </w:pPr>
      <w:r>
        <w:rPr>
          <w:rFonts w:hint="eastAsia" w:ascii="Times New Roman" w:hAnsi="Times New Roman" w:eastAsia="仿宋_GB2312" w:cs="Times New Roman"/>
          <w:kern w:val="0"/>
          <w:sz w:val="32"/>
        </w:rPr>
        <w:t>截</w:t>
      </w:r>
      <w:r>
        <w:rPr>
          <w:rFonts w:hint="eastAsia" w:ascii="Times New Roman" w:hAnsi="Times New Roman" w:eastAsia="仿宋_GB2312" w:cs="Times New Roman"/>
          <w:kern w:val="0"/>
          <w:sz w:val="32"/>
          <w:lang w:eastAsia="zh-CN"/>
        </w:rPr>
        <w:t>至</w:t>
      </w:r>
      <w:r>
        <w:rPr>
          <w:rFonts w:hint="eastAsia" w:ascii="Times New Roman" w:hAnsi="Times New Roman" w:eastAsia="仿宋_GB2312" w:cs="Times New Roman"/>
          <w:kern w:val="0"/>
          <w:sz w:val="32"/>
        </w:rPr>
        <w:t>202</w:t>
      </w:r>
      <w:r>
        <w:rPr>
          <w:rFonts w:hint="eastAsia" w:ascii="Times New Roman" w:hAnsi="Times New Roman" w:eastAsia="仿宋_GB2312" w:cs="Times New Roman"/>
          <w:kern w:val="0"/>
          <w:sz w:val="32"/>
          <w:lang w:val="en-US" w:eastAsia="zh-CN"/>
        </w:rPr>
        <w:t>1</w:t>
      </w:r>
      <w:r>
        <w:rPr>
          <w:rFonts w:hint="eastAsia" w:ascii="Times New Roman" w:hAnsi="Times New Roman" w:eastAsia="仿宋_GB2312" w:cs="Times New Roman"/>
          <w:kern w:val="0"/>
          <w:sz w:val="32"/>
        </w:rPr>
        <w:t>年底，</w:t>
      </w:r>
      <w:r>
        <w:rPr>
          <w:rFonts w:ascii="Times New Roman" w:hAnsi="Times New Roman" w:eastAsia="仿宋_GB2312" w:cs="Times New Roman"/>
          <w:kern w:val="0"/>
          <w:sz w:val="32"/>
        </w:rPr>
        <w:t>全</w:t>
      </w:r>
      <w:r>
        <w:rPr>
          <w:rFonts w:hint="eastAsia" w:ascii="Times New Roman" w:hAnsi="Times New Roman" w:eastAsia="仿宋_GB2312" w:cs="Times New Roman"/>
          <w:kern w:val="0"/>
          <w:sz w:val="32"/>
          <w:lang w:eastAsia="zh-CN"/>
        </w:rPr>
        <w:t>区</w:t>
      </w:r>
      <w:r>
        <w:rPr>
          <w:rFonts w:ascii="Times New Roman" w:hAnsi="Times New Roman" w:eastAsia="仿宋_GB2312" w:cs="Times New Roman"/>
          <w:kern w:val="0"/>
          <w:sz w:val="32"/>
        </w:rPr>
        <w:t>政府性债务限额</w:t>
      </w:r>
      <w:r>
        <w:rPr>
          <w:rFonts w:hint="eastAsia" w:ascii="Times New Roman" w:hAnsi="Times New Roman" w:eastAsia="仿宋_GB2312" w:cs="Times New Roman"/>
          <w:kern w:val="0"/>
          <w:sz w:val="32"/>
          <w:lang w:val="en-US" w:eastAsia="zh-CN"/>
        </w:rPr>
        <w:t>54155</w:t>
      </w:r>
      <w:r>
        <w:rPr>
          <w:rFonts w:ascii="Times New Roman" w:hAnsi="Times New Roman" w:eastAsia="仿宋_GB2312" w:cs="Times New Roman"/>
          <w:kern w:val="0"/>
          <w:sz w:val="32"/>
        </w:rPr>
        <w:t>元</w:t>
      </w:r>
      <w:r>
        <w:rPr>
          <w:rFonts w:hint="eastAsia" w:ascii="Times New Roman" w:hAnsi="Times New Roman" w:eastAsia="仿宋_GB2312" w:cs="Times New Roman"/>
          <w:kern w:val="0"/>
          <w:sz w:val="32"/>
        </w:rPr>
        <w:t>。</w:t>
      </w:r>
      <w:r>
        <w:rPr>
          <w:rFonts w:ascii="Times New Roman" w:hAnsi="Times New Roman" w:eastAsia="仿宋_GB2312" w:cs="Times New Roman"/>
          <w:kern w:val="0"/>
          <w:sz w:val="32"/>
        </w:rPr>
        <w:t>其中：一般债务</w:t>
      </w:r>
      <w:r>
        <w:rPr>
          <w:rFonts w:hint="eastAsia" w:ascii="Times New Roman" w:hAnsi="Times New Roman" w:eastAsia="仿宋_GB2312" w:cs="Times New Roman"/>
          <w:kern w:val="0"/>
          <w:sz w:val="32"/>
        </w:rPr>
        <w:t>限额</w:t>
      </w:r>
      <w:r>
        <w:rPr>
          <w:rFonts w:hint="eastAsia" w:ascii="Times New Roman" w:hAnsi="Times New Roman" w:eastAsia="仿宋_GB2312" w:cs="Times New Roman"/>
          <w:kern w:val="0"/>
          <w:sz w:val="32"/>
          <w:lang w:val="en-US" w:eastAsia="zh-CN"/>
        </w:rPr>
        <w:t>32055万</w:t>
      </w:r>
      <w:r>
        <w:rPr>
          <w:rFonts w:ascii="Times New Roman" w:hAnsi="Times New Roman" w:eastAsia="仿宋_GB2312" w:cs="Times New Roman"/>
          <w:kern w:val="0"/>
          <w:sz w:val="32"/>
        </w:rPr>
        <w:t>元，专项债务</w:t>
      </w:r>
      <w:r>
        <w:rPr>
          <w:rFonts w:hint="eastAsia" w:ascii="Times New Roman" w:hAnsi="Times New Roman" w:eastAsia="仿宋_GB2312" w:cs="Times New Roman"/>
          <w:kern w:val="0"/>
          <w:sz w:val="32"/>
        </w:rPr>
        <w:t>限额</w:t>
      </w:r>
      <w:r>
        <w:rPr>
          <w:rFonts w:hint="eastAsia" w:ascii="Times New Roman" w:hAnsi="Times New Roman" w:eastAsia="仿宋_GB2312" w:cs="Times New Roman"/>
          <w:kern w:val="0"/>
          <w:sz w:val="32"/>
          <w:lang w:val="en-US" w:eastAsia="zh-CN"/>
        </w:rPr>
        <w:t>22100万</w:t>
      </w:r>
      <w:r>
        <w:rPr>
          <w:rFonts w:ascii="Times New Roman" w:hAnsi="Times New Roman" w:eastAsia="仿宋_GB2312" w:cs="Times New Roman"/>
          <w:kern w:val="0"/>
          <w:sz w:val="32"/>
        </w:rPr>
        <w:t>元。</w:t>
      </w:r>
    </w:p>
    <w:p>
      <w:pPr>
        <w:ind w:firstLine="640" w:firstLineChars="200"/>
        <w:rPr>
          <w:rFonts w:ascii="Times New Roman" w:hAnsi="Times New Roman" w:eastAsia="仿宋_GB2312" w:cs="Times New Roman"/>
          <w:kern w:val="0"/>
          <w:sz w:val="32"/>
        </w:rPr>
      </w:pPr>
      <w:r>
        <w:rPr>
          <w:rFonts w:hint="eastAsia" w:ascii="Times New Roman" w:hAnsi="Times New Roman" w:eastAsia="仿宋_GB2312" w:cs="Times New Roman"/>
          <w:kern w:val="0"/>
          <w:sz w:val="32"/>
        </w:rPr>
        <w:t>截</w:t>
      </w:r>
      <w:r>
        <w:rPr>
          <w:rFonts w:hint="eastAsia" w:ascii="Times New Roman" w:hAnsi="Times New Roman" w:eastAsia="仿宋_GB2312" w:cs="Times New Roman"/>
          <w:kern w:val="0"/>
          <w:sz w:val="32"/>
          <w:lang w:eastAsia="zh-CN"/>
        </w:rPr>
        <w:t>至</w:t>
      </w:r>
      <w:r>
        <w:rPr>
          <w:rFonts w:hint="eastAsia" w:ascii="Times New Roman" w:hAnsi="Times New Roman" w:eastAsia="仿宋_GB2312" w:cs="Times New Roman"/>
          <w:kern w:val="0"/>
          <w:sz w:val="32"/>
        </w:rPr>
        <w:t>202</w:t>
      </w:r>
      <w:r>
        <w:rPr>
          <w:rFonts w:hint="eastAsia" w:ascii="Times New Roman" w:hAnsi="Times New Roman" w:eastAsia="仿宋_GB2312" w:cs="Times New Roman"/>
          <w:kern w:val="0"/>
          <w:sz w:val="32"/>
          <w:lang w:val="en-US" w:eastAsia="zh-CN"/>
        </w:rPr>
        <w:t>1</w:t>
      </w:r>
      <w:r>
        <w:rPr>
          <w:rFonts w:hint="eastAsia" w:ascii="Times New Roman" w:hAnsi="Times New Roman" w:eastAsia="仿宋_GB2312" w:cs="Times New Roman"/>
          <w:kern w:val="0"/>
          <w:sz w:val="32"/>
        </w:rPr>
        <w:t>年底，全</w:t>
      </w:r>
      <w:r>
        <w:rPr>
          <w:rFonts w:hint="eastAsia" w:ascii="Times New Roman" w:hAnsi="Times New Roman" w:eastAsia="仿宋_GB2312" w:cs="Times New Roman"/>
          <w:kern w:val="0"/>
          <w:sz w:val="32"/>
          <w:lang w:eastAsia="zh-CN"/>
        </w:rPr>
        <w:t>区</w:t>
      </w:r>
      <w:r>
        <w:rPr>
          <w:rFonts w:hint="eastAsia" w:ascii="Times New Roman" w:hAnsi="Times New Roman" w:eastAsia="仿宋_GB2312" w:cs="Times New Roman"/>
          <w:kern w:val="0"/>
          <w:sz w:val="32"/>
        </w:rPr>
        <w:t>地方政府债券发行额</w:t>
      </w:r>
      <w:r>
        <w:rPr>
          <w:rFonts w:hint="eastAsia" w:ascii="Times New Roman" w:hAnsi="Times New Roman" w:eastAsia="仿宋_GB2312" w:cs="Times New Roman"/>
          <w:kern w:val="0"/>
          <w:sz w:val="32"/>
          <w:lang w:val="en-US" w:eastAsia="zh-CN"/>
        </w:rPr>
        <w:t>5330万</w:t>
      </w:r>
      <w:r>
        <w:rPr>
          <w:rFonts w:hint="eastAsia" w:ascii="Times New Roman" w:hAnsi="Times New Roman" w:eastAsia="仿宋_GB2312" w:cs="Times New Roman"/>
          <w:kern w:val="0"/>
          <w:sz w:val="32"/>
        </w:rPr>
        <w:t>元，其中，</w:t>
      </w:r>
      <w:r>
        <w:rPr>
          <w:rFonts w:hint="eastAsia" w:ascii="Times New Roman" w:hAnsi="Times New Roman" w:eastAsia="仿宋_GB2312" w:cs="Times New Roman"/>
          <w:kern w:val="0"/>
          <w:sz w:val="32"/>
          <w:lang w:eastAsia="zh-CN"/>
        </w:rPr>
        <w:t>一般债券发行额</w:t>
      </w:r>
      <w:r>
        <w:rPr>
          <w:rFonts w:hint="eastAsia" w:ascii="Times New Roman" w:hAnsi="Times New Roman" w:eastAsia="仿宋_GB2312" w:cs="Times New Roman"/>
          <w:kern w:val="0"/>
          <w:sz w:val="32"/>
          <w:lang w:val="en-US" w:eastAsia="zh-CN"/>
        </w:rPr>
        <w:t>4000</w:t>
      </w:r>
      <w:r>
        <w:rPr>
          <w:rFonts w:hint="eastAsia" w:ascii="Times New Roman" w:hAnsi="Times New Roman" w:eastAsia="仿宋_GB2312" w:cs="Times New Roman"/>
          <w:kern w:val="0"/>
          <w:sz w:val="32"/>
          <w:lang w:eastAsia="zh-CN"/>
        </w:rPr>
        <w:t>万元，再融资债券</w:t>
      </w:r>
      <w:r>
        <w:rPr>
          <w:rFonts w:hint="eastAsia" w:ascii="Times New Roman" w:hAnsi="Times New Roman" w:eastAsia="仿宋_GB2312" w:cs="Times New Roman"/>
          <w:kern w:val="0"/>
          <w:sz w:val="32"/>
          <w:lang w:val="en-US" w:eastAsia="zh-CN"/>
        </w:rPr>
        <w:t>1330万元</w:t>
      </w:r>
      <w:r>
        <w:rPr>
          <w:rFonts w:hint="eastAsia" w:ascii="Times New Roman" w:hAnsi="Times New Roman" w:eastAsia="仿宋_GB2312" w:cs="Times New Roman"/>
          <w:kern w:val="0"/>
          <w:sz w:val="32"/>
        </w:rPr>
        <w:t>。</w:t>
      </w:r>
    </w:p>
    <w:p>
      <w:pPr>
        <w:ind w:firstLine="640" w:firstLineChars="200"/>
        <w:rPr>
          <w:rFonts w:ascii="Times New Roman" w:hAnsi="Times New Roman" w:eastAsia="仿宋_GB2312" w:cs="Times New Roman"/>
          <w:kern w:val="0"/>
          <w:sz w:val="32"/>
        </w:rPr>
      </w:pPr>
      <w:r>
        <w:rPr>
          <w:rFonts w:hint="eastAsia" w:ascii="Times New Roman" w:hAnsi="Times New Roman" w:eastAsia="仿宋_GB2312" w:cs="Times New Roman"/>
          <w:kern w:val="0"/>
          <w:sz w:val="32"/>
        </w:rPr>
        <w:t>202</w:t>
      </w:r>
      <w:r>
        <w:rPr>
          <w:rFonts w:hint="eastAsia" w:ascii="Times New Roman" w:hAnsi="Times New Roman" w:eastAsia="仿宋_GB2312" w:cs="Times New Roman"/>
          <w:kern w:val="0"/>
          <w:sz w:val="32"/>
          <w:lang w:val="en-US" w:eastAsia="zh-CN"/>
        </w:rPr>
        <w:t>1</w:t>
      </w:r>
      <w:r>
        <w:rPr>
          <w:rFonts w:hint="eastAsia" w:ascii="Times New Roman" w:hAnsi="Times New Roman" w:eastAsia="仿宋_GB2312" w:cs="Times New Roman"/>
          <w:kern w:val="0"/>
          <w:sz w:val="32"/>
        </w:rPr>
        <w:t>年，全</w:t>
      </w:r>
      <w:r>
        <w:rPr>
          <w:rFonts w:hint="eastAsia" w:ascii="Times New Roman" w:hAnsi="Times New Roman" w:eastAsia="仿宋_GB2312" w:cs="Times New Roman"/>
          <w:kern w:val="0"/>
          <w:sz w:val="32"/>
          <w:lang w:eastAsia="zh-CN"/>
        </w:rPr>
        <w:t>区</w:t>
      </w:r>
      <w:r>
        <w:rPr>
          <w:rFonts w:hint="eastAsia" w:ascii="Times New Roman" w:hAnsi="Times New Roman" w:eastAsia="仿宋_GB2312" w:cs="Times New Roman"/>
          <w:kern w:val="0"/>
          <w:sz w:val="32"/>
        </w:rPr>
        <w:t>地方政府债券还本付息总额</w:t>
      </w:r>
      <w:r>
        <w:rPr>
          <w:rFonts w:hint="eastAsia" w:ascii="Times New Roman" w:hAnsi="Times New Roman" w:eastAsia="仿宋_GB2312" w:cs="Times New Roman"/>
          <w:kern w:val="0"/>
          <w:sz w:val="32"/>
          <w:lang w:val="en-US" w:eastAsia="zh-CN"/>
        </w:rPr>
        <w:t>3100</w:t>
      </w:r>
      <w:r>
        <w:rPr>
          <w:rFonts w:hint="eastAsia" w:ascii="Times New Roman" w:hAnsi="Times New Roman" w:eastAsia="仿宋_GB2312" w:cs="Times New Roman"/>
          <w:kern w:val="0"/>
          <w:sz w:val="32"/>
          <w:lang w:eastAsia="zh-CN"/>
        </w:rPr>
        <w:t>万</w:t>
      </w:r>
      <w:r>
        <w:rPr>
          <w:rFonts w:hint="eastAsia" w:ascii="Times New Roman" w:hAnsi="Times New Roman" w:eastAsia="仿宋_GB2312" w:cs="Times New Roman"/>
          <w:kern w:val="0"/>
          <w:sz w:val="32"/>
        </w:rPr>
        <w:t>元，其中，</w:t>
      </w:r>
      <w:r>
        <w:rPr>
          <w:rFonts w:hint="eastAsia" w:ascii="Times New Roman" w:hAnsi="Times New Roman" w:eastAsia="仿宋_GB2312" w:cs="Times New Roman"/>
          <w:kern w:val="0"/>
          <w:sz w:val="32"/>
          <w:lang w:eastAsia="zh-CN"/>
        </w:rPr>
        <w:t>一般债券还本</w:t>
      </w:r>
      <w:r>
        <w:rPr>
          <w:rFonts w:hint="eastAsia" w:ascii="Times New Roman" w:hAnsi="Times New Roman" w:eastAsia="仿宋_GB2312" w:cs="Times New Roman"/>
          <w:kern w:val="0"/>
          <w:sz w:val="32"/>
          <w:lang w:val="en-US" w:eastAsia="zh-CN"/>
        </w:rPr>
        <w:t>1336</w:t>
      </w:r>
      <w:r>
        <w:rPr>
          <w:rFonts w:hint="eastAsia" w:ascii="Times New Roman" w:hAnsi="Times New Roman" w:eastAsia="仿宋_GB2312" w:cs="Times New Roman"/>
          <w:kern w:val="0"/>
          <w:sz w:val="32"/>
          <w:lang w:eastAsia="zh-CN"/>
        </w:rPr>
        <w:t>万元（再融资债券还本</w:t>
      </w:r>
      <w:r>
        <w:rPr>
          <w:rFonts w:hint="eastAsia" w:ascii="Times New Roman" w:hAnsi="Times New Roman" w:eastAsia="仿宋_GB2312" w:cs="Times New Roman"/>
          <w:kern w:val="0"/>
          <w:sz w:val="32"/>
          <w:lang w:val="en-US" w:eastAsia="zh-CN"/>
        </w:rPr>
        <w:t>1330万元）</w:t>
      </w:r>
      <w:r>
        <w:rPr>
          <w:rFonts w:hint="eastAsia" w:ascii="Times New Roman" w:hAnsi="Times New Roman" w:eastAsia="仿宋_GB2312" w:cs="Times New Roman"/>
          <w:kern w:val="0"/>
          <w:sz w:val="32"/>
          <w:lang w:eastAsia="zh-CN"/>
        </w:rPr>
        <w:t>，一般债券付息</w:t>
      </w:r>
      <w:r>
        <w:rPr>
          <w:rFonts w:hint="eastAsia" w:ascii="Times New Roman" w:hAnsi="Times New Roman" w:eastAsia="仿宋_GB2312" w:cs="Times New Roman"/>
          <w:kern w:val="0"/>
          <w:sz w:val="32"/>
          <w:lang w:val="en-US" w:eastAsia="zh-CN"/>
        </w:rPr>
        <w:t>978</w:t>
      </w:r>
      <w:r>
        <w:rPr>
          <w:rFonts w:hint="eastAsia" w:ascii="Times New Roman" w:hAnsi="Times New Roman" w:eastAsia="仿宋_GB2312" w:cs="Times New Roman"/>
          <w:kern w:val="0"/>
          <w:sz w:val="32"/>
          <w:lang w:eastAsia="zh-CN"/>
        </w:rPr>
        <w:t>万元，专项债券付息</w:t>
      </w:r>
      <w:r>
        <w:rPr>
          <w:rFonts w:hint="eastAsia" w:ascii="Times New Roman" w:hAnsi="Times New Roman" w:eastAsia="仿宋_GB2312" w:cs="Times New Roman"/>
          <w:kern w:val="0"/>
          <w:sz w:val="32"/>
          <w:lang w:val="en-US" w:eastAsia="zh-CN"/>
        </w:rPr>
        <w:t>786</w:t>
      </w:r>
      <w:r>
        <w:rPr>
          <w:rFonts w:hint="eastAsia" w:ascii="Times New Roman" w:hAnsi="Times New Roman" w:eastAsia="仿宋_GB2312" w:cs="Times New Roman"/>
          <w:kern w:val="0"/>
          <w:sz w:val="32"/>
          <w:lang w:eastAsia="zh-CN"/>
        </w:rPr>
        <w:t>万元</w:t>
      </w:r>
      <w:r>
        <w:rPr>
          <w:rFonts w:hint="eastAsia" w:ascii="Times New Roman" w:hAnsi="Times New Roman" w:eastAsia="仿宋_GB2312" w:cs="Times New Roman"/>
          <w:kern w:val="0"/>
          <w:sz w:val="32"/>
        </w:rPr>
        <w:t>。</w:t>
      </w:r>
    </w:p>
    <w:p>
      <w:pPr>
        <w:ind w:firstLine="640" w:firstLineChars="200"/>
        <w:rPr>
          <w:rFonts w:ascii="Times New Roman" w:hAnsi="Times New Roman" w:eastAsia="仿宋_GB2312" w:cs="Times New Roman"/>
          <w:b w:val="0"/>
          <w:bCs w:val="0"/>
          <w:kern w:val="0"/>
          <w:sz w:val="32"/>
        </w:rPr>
      </w:pPr>
      <w:r>
        <w:rPr>
          <w:rFonts w:hint="eastAsia" w:ascii="Times New Roman" w:hAnsi="Times New Roman" w:eastAsia="仿宋_GB2312" w:cs="Times New Roman"/>
          <w:kern w:val="0"/>
          <w:sz w:val="32"/>
        </w:rPr>
        <w:t>202</w:t>
      </w:r>
      <w:r>
        <w:rPr>
          <w:rFonts w:hint="eastAsia" w:ascii="Times New Roman" w:hAnsi="Times New Roman" w:eastAsia="仿宋_GB2312" w:cs="Times New Roman"/>
          <w:kern w:val="0"/>
          <w:sz w:val="32"/>
          <w:lang w:val="en-US" w:eastAsia="zh-CN"/>
        </w:rPr>
        <w:t>2</w:t>
      </w:r>
      <w:r>
        <w:rPr>
          <w:rFonts w:hint="eastAsia" w:ascii="Times New Roman" w:hAnsi="Times New Roman" w:eastAsia="仿宋_GB2312" w:cs="Times New Roman"/>
          <w:kern w:val="0"/>
          <w:sz w:val="32"/>
        </w:rPr>
        <w:t>年，全</w:t>
      </w:r>
      <w:r>
        <w:rPr>
          <w:rFonts w:hint="eastAsia" w:ascii="Times New Roman" w:hAnsi="Times New Roman" w:eastAsia="仿宋_GB2312" w:cs="Times New Roman"/>
          <w:kern w:val="0"/>
          <w:sz w:val="32"/>
          <w:lang w:eastAsia="zh-CN"/>
        </w:rPr>
        <w:t>区</w:t>
      </w:r>
      <w:r>
        <w:rPr>
          <w:rFonts w:hint="eastAsia" w:ascii="Times New Roman" w:hAnsi="Times New Roman" w:eastAsia="仿宋_GB2312" w:cs="Times New Roman"/>
          <w:kern w:val="0"/>
          <w:sz w:val="32"/>
        </w:rPr>
        <w:t>地方政府债券还本付息预算安排</w:t>
      </w:r>
      <w:r>
        <w:rPr>
          <w:rFonts w:hint="eastAsia" w:ascii="Times New Roman" w:hAnsi="Times New Roman" w:eastAsia="仿宋_GB2312" w:cs="Times New Roman"/>
          <w:kern w:val="0"/>
          <w:sz w:val="32"/>
          <w:lang w:val="en-US" w:eastAsia="zh-CN"/>
        </w:rPr>
        <w:t>3363</w:t>
      </w:r>
      <w:r>
        <w:rPr>
          <w:rFonts w:hint="eastAsia" w:ascii="Times New Roman" w:hAnsi="Times New Roman" w:eastAsia="仿宋_GB2312" w:cs="Times New Roman"/>
          <w:kern w:val="0"/>
          <w:sz w:val="32"/>
          <w:lang w:eastAsia="zh-CN"/>
        </w:rPr>
        <w:t>万</w:t>
      </w:r>
      <w:r>
        <w:rPr>
          <w:rFonts w:hint="eastAsia" w:ascii="Times New Roman" w:hAnsi="Times New Roman" w:eastAsia="仿宋_GB2312" w:cs="Times New Roman"/>
          <w:kern w:val="0"/>
          <w:sz w:val="32"/>
        </w:rPr>
        <w:t>元，</w:t>
      </w:r>
      <w:r>
        <w:rPr>
          <w:rFonts w:hint="eastAsia" w:ascii="Times New Roman" w:hAnsi="Times New Roman" w:eastAsia="仿宋_GB2312" w:cs="Times New Roman"/>
          <w:b w:val="0"/>
          <w:bCs w:val="0"/>
          <w:kern w:val="0"/>
          <w:sz w:val="32"/>
        </w:rPr>
        <w:t>其中：</w:t>
      </w:r>
      <w:r>
        <w:rPr>
          <w:rFonts w:hint="eastAsia" w:ascii="Times New Roman" w:hAnsi="Times New Roman" w:eastAsia="仿宋_GB2312" w:cs="Times New Roman"/>
          <w:b w:val="0"/>
          <w:bCs w:val="0"/>
          <w:kern w:val="0"/>
          <w:sz w:val="32"/>
          <w:lang w:eastAsia="zh-CN"/>
        </w:rPr>
        <w:t>一般债券还本</w:t>
      </w:r>
      <w:r>
        <w:rPr>
          <w:rFonts w:hint="eastAsia" w:ascii="Times New Roman" w:hAnsi="Times New Roman" w:eastAsia="仿宋_GB2312" w:cs="Times New Roman"/>
          <w:b w:val="0"/>
          <w:bCs w:val="0"/>
          <w:kern w:val="0"/>
          <w:sz w:val="32"/>
          <w:lang w:val="en-US" w:eastAsia="zh-CN"/>
        </w:rPr>
        <w:t>1446万元（</w:t>
      </w:r>
      <w:r>
        <w:rPr>
          <w:rFonts w:hint="eastAsia" w:ascii="Times New Roman" w:hAnsi="Times New Roman" w:eastAsia="仿宋_GB2312" w:cs="Times New Roman"/>
          <w:b w:val="0"/>
          <w:bCs w:val="0"/>
          <w:kern w:val="0"/>
          <w:sz w:val="32"/>
        </w:rPr>
        <w:t>申请再融资债券偿还</w:t>
      </w:r>
      <w:r>
        <w:rPr>
          <w:rFonts w:hint="eastAsia" w:ascii="Times New Roman" w:hAnsi="Times New Roman" w:eastAsia="仿宋_GB2312" w:cs="Times New Roman"/>
          <w:b w:val="0"/>
          <w:bCs w:val="0"/>
          <w:kern w:val="0"/>
          <w:sz w:val="32"/>
          <w:lang w:val="en-US" w:eastAsia="zh-CN"/>
        </w:rPr>
        <w:t>1446万</w:t>
      </w:r>
      <w:r>
        <w:rPr>
          <w:rFonts w:hint="eastAsia" w:ascii="Times New Roman" w:hAnsi="Times New Roman" w:eastAsia="仿宋_GB2312" w:cs="Times New Roman"/>
          <w:b w:val="0"/>
          <w:bCs w:val="0"/>
          <w:kern w:val="0"/>
          <w:sz w:val="32"/>
        </w:rPr>
        <w:t>元</w:t>
      </w:r>
      <w:r>
        <w:rPr>
          <w:rFonts w:hint="eastAsia" w:ascii="Times New Roman" w:hAnsi="Times New Roman" w:eastAsia="仿宋_GB2312" w:cs="Times New Roman"/>
          <w:b w:val="0"/>
          <w:bCs w:val="0"/>
          <w:kern w:val="0"/>
          <w:sz w:val="32"/>
          <w:lang w:eastAsia="zh-CN"/>
        </w:rPr>
        <w:t>），一般债券付息</w:t>
      </w:r>
      <w:r>
        <w:rPr>
          <w:rFonts w:hint="eastAsia" w:ascii="Times New Roman" w:hAnsi="Times New Roman" w:eastAsia="仿宋_GB2312" w:cs="Times New Roman"/>
          <w:b w:val="0"/>
          <w:bCs w:val="0"/>
          <w:kern w:val="0"/>
          <w:sz w:val="32"/>
          <w:lang w:val="en-US" w:eastAsia="zh-CN"/>
        </w:rPr>
        <w:t>1086</w:t>
      </w:r>
      <w:r>
        <w:rPr>
          <w:rFonts w:hint="eastAsia" w:ascii="Times New Roman" w:hAnsi="Times New Roman" w:eastAsia="仿宋_GB2312" w:cs="Times New Roman"/>
          <w:b w:val="0"/>
          <w:bCs w:val="0"/>
          <w:kern w:val="0"/>
          <w:sz w:val="32"/>
          <w:lang w:eastAsia="zh-CN"/>
        </w:rPr>
        <w:t>万元，专项债券付息</w:t>
      </w:r>
      <w:r>
        <w:rPr>
          <w:rFonts w:hint="eastAsia" w:ascii="Times New Roman" w:hAnsi="Times New Roman" w:eastAsia="仿宋_GB2312" w:cs="Times New Roman"/>
          <w:b w:val="0"/>
          <w:bCs w:val="0"/>
          <w:kern w:val="0"/>
          <w:sz w:val="32"/>
          <w:lang w:val="en-US" w:eastAsia="zh-CN"/>
        </w:rPr>
        <w:t>831</w:t>
      </w:r>
      <w:r>
        <w:rPr>
          <w:rFonts w:hint="eastAsia" w:ascii="Times New Roman" w:hAnsi="Times New Roman" w:eastAsia="仿宋_GB2312" w:cs="Times New Roman"/>
          <w:b w:val="0"/>
          <w:bCs w:val="0"/>
          <w:kern w:val="0"/>
          <w:sz w:val="32"/>
          <w:lang w:eastAsia="zh-CN"/>
        </w:rPr>
        <w:t>万元</w:t>
      </w:r>
      <w:r>
        <w:rPr>
          <w:rFonts w:hint="eastAsia" w:ascii="Times New Roman" w:hAnsi="Times New Roman" w:eastAsia="仿宋_GB2312" w:cs="Times New Roman"/>
          <w:b w:val="0"/>
          <w:bCs w:val="0"/>
          <w:kern w:val="0"/>
          <w:sz w:val="32"/>
        </w:rPr>
        <w:t>。</w:t>
      </w:r>
    </w:p>
    <w:p>
      <w:pPr>
        <w:ind w:firstLine="640" w:firstLineChars="200"/>
        <w:rPr>
          <w:rFonts w:ascii="Times New Roman" w:hAnsi="Times New Roman" w:eastAsia="仿宋_GB2312" w:cs="Times New Roman"/>
          <w:b w:val="0"/>
          <w:bCs w:val="0"/>
          <w:sz w:val="32"/>
        </w:rPr>
      </w:pPr>
      <w:r>
        <w:rPr>
          <w:rFonts w:ascii="Times New Roman" w:hAnsi="Times New Roman" w:eastAsia="仿宋_GB2312" w:cs="Times New Roman"/>
          <w:b w:val="0"/>
          <w:bCs w:val="0"/>
          <w:sz w:val="32"/>
          <w:lang w:val="zh-CN"/>
        </w:rPr>
        <w:t>我</w:t>
      </w:r>
      <w:r>
        <w:rPr>
          <w:rFonts w:hint="eastAsia" w:ascii="Times New Roman" w:hAnsi="Times New Roman" w:eastAsia="仿宋_GB2312" w:cs="Times New Roman"/>
          <w:b w:val="0"/>
          <w:bCs w:val="0"/>
          <w:sz w:val="32"/>
          <w:lang w:val="zh-CN"/>
        </w:rPr>
        <w:t>区</w:t>
      </w:r>
      <w:r>
        <w:rPr>
          <w:rFonts w:ascii="Times New Roman" w:hAnsi="Times New Roman" w:eastAsia="仿宋_GB2312" w:cs="Times New Roman"/>
          <w:b w:val="0"/>
          <w:bCs w:val="0"/>
          <w:sz w:val="32"/>
          <w:lang w:val="zh-CN"/>
        </w:rPr>
        <w:t>加强政府债务管理采取的主要措施包括：</w:t>
      </w:r>
    </w:p>
    <w:p>
      <w:pPr>
        <w:spacing w:line="600" w:lineRule="exact"/>
        <w:ind w:firstLine="640"/>
        <w:rPr>
          <w:rFonts w:hint="eastAsia" w:ascii="仿宋_GB2312" w:hAnsi="宋体" w:eastAsia="仿宋_GB2312"/>
          <w:b w:val="0"/>
          <w:bCs w:val="0"/>
          <w:sz w:val="32"/>
          <w:szCs w:val="32"/>
        </w:rPr>
      </w:pPr>
      <w:r>
        <w:rPr>
          <w:rFonts w:hint="eastAsia" w:ascii="楷体" w:hAnsi="楷体" w:eastAsia="楷体"/>
          <w:b w:val="0"/>
          <w:bCs w:val="0"/>
          <w:sz w:val="32"/>
          <w:szCs w:val="32"/>
        </w:rPr>
        <w:t>一是争取扩大债券规模。</w:t>
      </w:r>
      <w:r>
        <w:rPr>
          <w:rFonts w:hint="eastAsia" w:ascii="仿宋_GB2312" w:hAnsi="宋体" w:eastAsia="仿宋_GB2312"/>
          <w:b w:val="0"/>
          <w:bCs w:val="0"/>
          <w:sz w:val="32"/>
          <w:szCs w:val="32"/>
        </w:rPr>
        <w:t>继续向省</w:t>
      </w:r>
      <w:r>
        <w:rPr>
          <w:rFonts w:hint="eastAsia" w:ascii="仿宋_GB2312" w:hAnsi="宋体" w:eastAsia="仿宋_GB2312"/>
          <w:b w:val="0"/>
          <w:bCs w:val="0"/>
          <w:sz w:val="32"/>
          <w:szCs w:val="32"/>
          <w:lang w:eastAsia="zh-CN"/>
        </w:rPr>
        <w:t>市</w:t>
      </w:r>
      <w:r>
        <w:rPr>
          <w:rFonts w:hint="eastAsia" w:ascii="仿宋_GB2312" w:hAnsi="宋体" w:eastAsia="仿宋_GB2312"/>
          <w:b w:val="0"/>
          <w:bCs w:val="0"/>
          <w:sz w:val="32"/>
          <w:szCs w:val="32"/>
        </w:rPr>
        <w:t>财政</w:t>
      </w:r>
      <w:r>
        <w:rPr>
          <w:rFonts w:hint="eastAsia" w:ascii="仿宋_GB2312" w:hAnsi="宋体" w:eastAsia="仿宋_GB2312"/>
          <w:b w:val="0"/>
          <w:bCs w:val="0"/>
          <w:sz w:val="32"/>
          <w:szCs w:val="32"/>
          <w:lang w:eastAsia="zh-CN"/>
        </w:rPr>
        <w:t>部门</w:t>
      </w:r>
      <w:r>
        <w:rPr>
          <w:rFonts w:hint="eastAsia" w:ascii="仿宋_GB2312" w:hAnsi="宋体" w:eastAsia="仿宋_GB2312"/>
          <w:b w:val="0"/>
          <w:bCs w:val="0"/>
          <w:sz w:val="32"/>
          <w:szCs w:val="32"/>
        </w:rPr>
        <w:t>争取新增债券额度支持，充分发挥债券资金支持我</w:t>
      </w:r>
      <w:r>
        <w:rPr>
          <w:rFonts w:hint="eastAsia" w:ascii="仿宋_GB2312" w:hAnsi="宋体" w:eastAsia="仿宋_GB2312"/>
          <w:b w:val="0"/>
          <w:bCs w:val="0"/>
          <w:sz w:val="32"/>
          <w:szCs w:val="32"/>
          <w:lang w:eastAsia="zh-CN"/>
        </w:rPr>
        <w:t>区</w:t>
      </w:r>
      <w:r>
        <w:rPr>
          <w:rFonts w:hint="eastAsia" w:ascii="仿宋_GB2312" w:hAnsi="宋体" w:eastAsia="仿宋_GB2312"/>
          <w:b w:val="0"/>
          <w:bCs w:val="0"/>
          <w:sz w:val="32"/>
          <w:szCs w:val="32"/>
        </w:rPr>
        <w:t>补短板强弱项的重要作用，腾出更多的财政资金用于其他民生事业。</w:t>
      </w:r>
    </w:p>
    <w:p>
      <w:pPr>
        <w:spacing w:line="600" w:lineRule="exact"/>
        <w:ind w:firstLine="640"/>
        <w:rPr>
          <w:rFonts w:ascii="仿宋_GB2312" w:eastAsia="仿宋_GB2312"/>
          <w:b w:val="0"/>
          <w:bCs w:val="0"/>
          <w:sz w:val="32"/>
          <w:szCs w:val="32"/>
        </w:rPr>
      </w:pPr>
      <w:r>
        <w:rPr>
          <w:rFonts w:hint="eastAsia" w:ascii="楷体" w:hAnsi="楷体" w:eastAsia="楷体" w:cs="楷体"/>
          <w:b w:val="0"/>
          <w:bCs w:val="0"/>
          <w:sz w:val="32"/>
          <w:szCs w:val="32"/>
        </w:rPr>
        <w:t>二是夯实政府债券项目基础。</w:t>
      </w:r>
      <w:r>
        <w:rPr>
          <w:rFonts w:hint="eastAsia" w:ascii="仿宋_GB2312" w:eastAsia="仿宋_GB2312"/>
          <w:b w:val="0"/>
          <w:bCs w:val="0"/>
          <w:sz w:val="32"/>
        </w:rPr>
        <w:t>落实“项目为王”要求，聚焦专项债券重点支持领域，提前梳理专项债券项目清单，加强与省</w:t>
      </w:r>
      <w:r>
        <w:rPr>
          <w:rFonts w:hint="eastAsia" w:ascii="仿宋_GB2312" w:eastAsia="仿宋_GB2312"/>
          <w:b w:val="0"/>
          <w:bCs w:val="0"/>
          <w:sz w:val="32"/>
          <w:lang w:eastAsia="zh-CN"/>
        </w:rPr>
        <w:t>市</w:t>
      </w:r>
      <w:r>
        <w:rPr>
          <w:rFonts w:hint="eastAsia" w:ascii="仿宋_GB2312" w:eastAsia="仿宋_GB2312"/>
          <w:b w:val="0"/>
          <w:bCs w:val="0"/>
          <w:sz w:val="32"/>
        </w:rPr>
        <w:t>财政</w:t>
      </w:r>
      <w:r>
        <w:rPr>
          <w:rFonts w:hint="eastAsia" w:ascii="仿宋_GB2312" w:eastAsia="仿宋_GB2312"/>
          <w:b w:val="0"/>
          <w:bCs w:val="0"/>
          <w:sz w:val="32"/>
          <w:lang w:eastAsia="zh-CN"/>
        </w:rPr>
        <w:t>部门</w:t>
      </w:r>
      <w:r>
        <w:rPr>
          <w:rFonts w:hint="eastAsia" w:ascii="仿宋_GB2312" w:eastAsia="仿宋_GB2312"/>
          <w:b w:val="0"/>
          <w:bCs w:val="0"/>
          <w:sz w:val="32"/>
        </w:rPr>
        <w:t>的对接，做好与发改等部门的协调工作，做好专项债券项目的储备、遴选及申报工作，</w:t>
      </w:r>
      <w:r>
        <w:rPr>
          <w:rFonts w:hint="eastAsia" w:ascii="仿宋_GB2312" w:eastAsia="仿宋_GB2312"/>
          <w:b w:val="0"/>
          <w:bCs w:val="0"/>
          <w:sz w:val="32"/>
          <w:szCs w:val="32"/>
        </w:rPr>
        <w:t>促进对我</w:t>
      </w:r>
      <w:r>
        <w:rPr>
          <w:rFonts w:hint="eastAsia" w:ascii="仿宋_GB2312" w:eastAsia="仿宋_GB2312"/>
          <w:b w:val="0"/>
          <w:bCs w:val="0"/>
          <w:sz w:val="32"/>
          <w:szCs w:val="32"/>
          <w:lang w:eastAsia="zh-CN"/>
        </w:rPr>
        <w:t>区</w:t>
      </w:r>
      <w:r>
        <w:rPr>
          <w:rFonts w:hint="eastAsia" w:ascii="仿宋_GB2312" w:eastAsia="仿宋_GB2312"/>
          <w:b w:val="0"/>
          <w:bCs w:val="0"/>
          <w:sz w:val="32"/>
          <w:szCs w:val="32"/>
        </w:rPr>
        <w:t>有效投资的推动作用。</w:t>
      </w:r>
    </w:p>
    <w:p>
      <w:pPr>
        <w:spacing w:line="600" w:lineRule="exact"/>
        <w:ind w:firstLine="640"/>
        <w:rPr>
          <w:rFonts w:ascii="仿宋_GB2312" w:hAnsi="宋体" w:eastAsia="仿宋_GB2312"/>
          <w:b w:val="0"/>
          <w:bCs w:val="0"/>
          <w:sz w:val="32"/>
          <w:szCs w:val="32"/>
        </w:rPr>
      </w:pPr>
      <w:r>
        <w:rPr>
          <w:rFonts w:hint="eastAsia" w:ascii="楷体" w:hAnsi="楷体" w:eastAsia="楷体" w:cs="楷体"/>
          <w:b w:val="0"/>
          <w:bCs w:val="0"/>
          <w:sz w:val="32"/>
          <w:szCs w:val="32"/>
        </w:rPr>
        <w:t>三是足额偿还债券本息。</w:t>
      </w:r>
      <w:r>
        <w:rPr>
          <w:rFonts w:hint="eastAsia" w:ascii="仿宋_GB2312" w:eastAsia="仿宋_GB2312"/>
          <w:b w:val="0"/>
          <w:bCs w:val="0"/>
          <w:sz w:val="32"/>
          <w:szCs w:val="32"/>
        </w:rPr>
        <w:t>全面落实到期政府债务还本付息资金来源，在申报再融资债券需求的基础上，</w:t>
      </w:r>
      <w:r>
        <w:rPr>
          <w:rFonts w:hint="eastAsia" w:ascii="仿宋_GB2312" w:hAnsi="宋体" w:eastAsia="仿宋_GB2312"/>
          <w:b w:val="0"/>
          <w:bCs w:val="0"/>
          <w:sz w:val="32"/>
          <w:szCs w:val="32"/>
        </w:rPr>
        <w:t>202</w:t>
      </w: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rPr>
        <w:t>年年初预算足额安排需要财政负担的债券利息，财力有富余的可偿还一部分债券本金，维护</w:t>
      </w:r>
      <w:r>
        <w:rPr>
          <w:rFonts w:hint="eastAsia" w:ascii="仿宋_GB2312" w:hAnsi="宋体" w:eastAsia="仿宋_GB2312"/>
          <w:b w:val="0"/>
          <w:bCs w:val="0"/>
          <w:sz w:val="32"/>
          <w:szCs w:val="32"/>
          <w:lang w:eastAsia="zh-CN"/>
        </w:rPr>
        <w:t>区委区</w:t>
      </w:r>
      <w:r>
        <w:rPr>
          <w:rFonts w:hint="eastAsia" w:ascii="仿宋_GB2312" w:hAnsi="宋体" w:eastAsia="仿宋_GB2312"/>
          <w:b w:val="0"/>
          <w:bCs w:val="0"/>
          <w:sz w:val="32"/>
          <w:szCs w:val="32"/>
        </w:rPr>
        <w:t>政府的良好信用。</w:t>
      </w:r>
    </w:p>
    <w:p>
      <w:pPr>
        <w:spacing w:line="600" w:lineRule="exact"/>
        <w:ind w:firstLine="640"/>
        <w:rPr>
          <w:rFonts w:hint="eastAsia" w:ascii="仿宋_GB2312" w:eastAsia="仿宋_GB2312"/>
          <w:b w:val="0"/>
          <w:bCs w:val="0"/>
          <w:sz w:val="32"/>
          <w:szCs w:val="32"/>
        </w:rPr>
      </w:pPr>
      <w:r>
        <w:rPr>
          <w:rFonts w:hint="eastAsia" w:ascii="楷体" w:hAnsi="楷体" w:eastAsia="楷体" w:cs="楷体"/>
          <w:b w:val="0"/>
          <w:bCs w:val="0"/>
          <w:sz w:val="32"/>
          <w:szCs w:val="32"/>
        </w:rPr>
        <w:t>四是强化债务风险防控。</w:t>
      </w:r>
      <w:r>
        <w:rPr>
          <w:rFonts w:hint="eastAsia" w:ascii="仿宋_GB2312" w:hAnsi="宋体" w:eastAsia="仿宋_GB2312"/>
          <w:b w:val="0"/>
          <w:bCs w:val="0"/>
          <w:sz w:val="32"/>
          <w:szCs w:val="32"/>
        </w:rPr>
        <w:t>加强债务风险日常监测，通过调整支出结构、盘活存量、预算安排、处置资产等方式逐笔细化202</w:t>
      </w: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rPr>
        <w:t>年债务化解方案，确保202</w:t>
      </w: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rPr>
        <w:t>年按计划完成债务化解工作，牢牢守住不发生重大风险的底线。</w:t>
      </w:r>
    </w:p>
    <w:p>
      <w:pPr>
        <w:rPr>
          <w:rFonts w:ascii="Times New Roman" w:hAnsi="Times New Roman" w:cs="Times New Roman"/>
          <w:b w:val="0"/>
          <w:bCs w:val="0"/>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161007"/>
      <w:docPartObj>
        <w:docPartGallery w:val="autotext"/>
      </w:docPartObj>
    </w:sdtPr>
    <w:sdtContent>
      <w:p>
        <w:pPr>
          <w:pStyle w:val="9"/>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w:t>
        </w:r>
        <w:r>
          <w:rPr>
            <w:rFonts w:ascii="Times New Roman" w:hAnsi="Times New Roman" w:cs="Times New Roman"/>
            <w:sz w:val="28"/>
            <w:szCs w:val="28"/>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MDNiNWI1YjFlNGNiNjhkZjgyYzNmZGYwY2ZhZTQifQ=="/>
  </w:docVars>
  <w:rsids>
    <w:rsidRoot w:val="56DC3F96"/>
    <w:rsid w:val="000D17EA"/>
    <w:rsid w:val="00111450"/>
    <w:rsid w:val="00117E3D"/>
    <w:rsid w:val="001A667C"/>
    <w:rsid w:val="001C3AF7"/>
    <w:rsid w:val="002C5F73"/>
    <w:rsid w:val="0031158F"/>
    <w:rsid w:val="0031529C"/>
    <w:rsid w:val="003522A2"/>
    <w:rsid w:val="00463D24"/>
    <w:rsid w:val="00494F94"/>
    <w:rsid w:val="004F3FF1"/>
    <w:rsid w:val="006F4B74"/>
    <w:rsid w:val="00797FF9"/>
    <w:rsid w:val="008831E8"/>
    <w:rsid w:val="00971805"/>
    <w:rsid w:val="0097585F"/>
    <w:rsid w:val="00BA4335"/>
    <w:rsid w:val="00BE7907"/>
    <w:rsid w:val="00D651BD"/>
    <w:rsid w:val="00DA30BC"/>
    <w:rsid w:val="00E3331B"/>
    <w:rsid w:val="00EA4D70"/>
    <w:rsid w:val="00F74C95"/>
    <w:rsid w:val="00FC50C6"/>
    <w:rsid w:val="00FF6A19"/>
    <w:rsid w:val="01B6046E"/>
    <w:rsid w:val="03894D4A"/>
    <w:rsid w:val="04605E96"/>
    <w:rsid w:val="05922EEE"/>
    <w:rsid w:val="070D6FC9"/>
    <w:rsid w:val="094B01B6"/>
    <w:rsid w:val="09CD1D9A"/>
    <w:rsid w:val="112B26BA"/>
    <w:rsid w:val="142B534F"/>
    <w:rsid w:val="17D93043"/>
    <w:rsid w:val="183D143A"/>
    <w:rsid w:val="188840A1"/>
    <w:rsid w:val="18EE5B5B"/>
    <w:rsid w:val="1A280537"/>
    <w:rsid w:val="1B573244"/>
    <w:rsid w:val="1C4A115C"/>
    <w:rsid w:val="1DCC7FBB"/>
    <w:rsid w:val="1F9B318C"/>
    <w:rsid w:val="201B5638"/>
    <w:rsid w:val="212D1687"/>
    <w:rsid w:val="21D43DDB"/>
    <w:rsid w:val="221943D6"/>
    <w:rsid w:val="22B4034F"/>
    <w:rsid w:val="23807A8E"/>
    <w:rsid w:val="270F3FDF"/>
    <w:rsid w:val="2A8070A5"/>
    <w:rsid w:val="2B4E30C6"/>
    <w:rsid w:val="2B99651C"/>
    <w:rsid w:val="2E4D0866"/>
    <w:rsid w:val="2EEA0ED1"/>
    <w:rsid w:val="2F6C243B"/>
    <w:rsid w:val="30264B34"/>
    <w:rsid w:val="30936173"/>
    <w:rsid w:val="30D836AE"/>
    <w:rsid w:val="31AD1A21"/>
    <w:rsid w:val="3276317E"/>
    <w:rsid w:val="33531C4F"/>
    <w:rsid w:val="36A11504"/>
    <w:rsid w:val="3737779F"/>
    <w:rsid w:val="379836AD"/>
    <w:rsid w:val="3A18662C"/>
    <w:rsid w:val="3A9F6163"/>
    <w:rsid w:val="3ABC192D"/>
    <w:rsid w:val="3CF91DA0"/>
    <w:rsid w:val="3D5D7415"/>
    <w:rsid w:val="3D5F1130"/>
    <w:rsid w:val="3DC87D6C"/>
    <w:rsid w:val="3F9D5B14"/>
    <w:rsid w:val="4065019F"/>
    <w:rsid w:val="466057C1"/>
    <w:rsid w:val="476176B1"/>
    <w:rsid w:val="4A6039EB"/>
    <w:rsid w:val="4B5551FE"/>
    <w:rsid w:val="4BF50F65"/>
    <w:rsid w:val="4CB15737"/>
    <w:rsid w:val="4D570E5F"/>
    <w:rsid w:val="4DB91131"/>
    <w:rsid w:val="4E201790"/>
    <w:rsid w:val="4F880B95"/>
    <w:rsid w:val="501E0DF2"/>
    <w:rsid w:val="510B718B"/>
    <w:rsid w:val="51C51127"/>
    <w:rsid w:val="557553AC"/>
    <w:rsid w:val="55D822D0"/>
    <w:rsid w:val="56DC3F96"/>
    <w:rsid w:val="571C3A45"/>
    <w:rsid w:val="5A677A84"/>
    <w:rsid w:val="5ADE3248"/>
    <w:rsid w:val="5E60452A"/>
    <w:rsid w:val="62F17C74"/>
    <w:rsid w:val="63DC0640"/>
    <w:rsid w:val="64FF4F0C"/>
    <w:rsid w:val="65686B47"/>
    <w:rsid w:val="663E4D83"/>
    <w:rsid w:val="66522096"/>
    <w:rsid w:val="67890B81"/>
    <w:rsid w:val="68D641AF"/>
    <w:rsid w:val="6919636A"/>
    <w:rsid w:val="6AD364FE"/>
    <w:rsid w:val="6B464815"/>
    <w:rsid w:val="6BC41CEB"/>
    <w:rsid w:val="6D5259E7"/>
    <w:rsid w:val="6EB026E9"/>
    <w:rsid w:val="72851F4A"/>
    <w:rsid w:val="72B00C36"/>
    <w:rsid w:val="72BB07F7"/>
    <w:rsid w:val="72D7223C"/>
    <w:rsid w:val="73280996"/>
    <w:rsid w:val="73E534F6"/>
    <w:rsid w:val="76555F1A"/>
    <w:rsid w:val="76810AB0"/>
    <w:rsid w:val="76FE29F2"/>
    <w:rsid w:val="78452ACC"/>
    <w:rsid w:val="79BD788F"/>
    <w:rsid w:val="79C55083"/>
    <w:rsid w:val="7A955E22"/>
    <w:rsid w:val="7AB0675E"/>
    <w:rsid w:val="7AD068E0"/>
    <w:rsid w:val="7BD26BCF"/>
    <w:rsid w:val="7CEF1130"/>
    <w:rsid w:val="7D806DB5"/>
    <w:rsid w:val="7D863E8A"/>
    <w:rsid w:val="7E1B1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w:basedOn w:val="1"/>
    <w:qFormat/>
    <w:uiPriority w:val="0"/>
    <w:pPr>
      <w:spacing w:after="120"/>
    </w:pPr>
    <w:rPr>
      <w:rFonts w:ascii="Calibri" w:hAnsi="Calibri"/>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17"/>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闻政正文"/>
    <w:basedOn w:val="1"/>
    <w:qFormat/>
    <w:uiPriority w:val="0"/>
    <w:pPr>
      <w:spacing w:line="500" w:lineRule="exact"/>
      <w:ind w:firstLine="560" w:firstLineChars="200"/>
    </w:pPr>
    <w:rPr>
      <w:rFonts w:eastAsia="仿宋_GB2312"/>
      <w:kern w:val="0"/>
      <w:sz w:val="28"/>
      <w:szCs w:val="28"/>
    </w:rPr>
  </w:style>
  <w:style w:type="character" w:customStyle="1" w:styleId="17">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1524</Words>
  <Characters>1673</Characters>
  <Lines>12</Lines>
  <Paragraphs>15</Paragraphs>
  <TotalTime>2</TotalTime>
  <ScaleCrop>false</ScaleCrop>
  <LinksUpToDate>false</LinksUpToDate>
  <CharactersWithSpaces>1675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2017-04-01T03:15:00Z</dcterms:created>
  <dc:creator>null,null,预算公开</dc:creator>
  <cp:lastModifiedBy>Administrator</cp:lastModifiedBy>
  <cp:lastPrinted>2020-05-13T10:20:00Z</cp:lastPrinted>
  <dcterms:modified xsi:type="dcterms:W3CDTF">2023-05-15T11:55:16Z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16D7229E60BB43A4B3A8F8E7EAD429E5</vt:lpwstr>
  </property>
</Properties>
</file>