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66E74">
      <w:pPr>
        <w:pStyle w:val="3"/>
        <w:rPr>
          <w:rFonts w:hint="default" w:ascii="Times New Roman" w:hAnsi="Times New Roman" w:eastAsia="仿宋_GB2312" w:cs="Times New Roman"/>
          <w:color w:val="auto"/>
          <w:highlight w:val="none"/>
          <w:lang w:eastAsia="zh-CN"/>
        </w:rPr>
      </w:pPr>
    </w:p>
    <w:p w14:paraId="03E79FBE">
      <w:pPr>
        <w:rPr>
          <w:rFonts w:hint="default" w:ascii="Times New Roman" w:hAnsi="Times New Roman" w:eastAsia="仿宋_GB2312" w:cs="Times New Roman"/>
          <w:color w:val="auto"/>
          <w:sz w:val="36"/>
          <w:szCs w:val="36"/>
          <w:highlight w:val="none"/>
        </w:rPr>
      </w:pPr>
    </w:p>
    <w:p w14:paraId="6EC87128">
      <w:pPr>
        <w:rPr>
          <w:rFonts w:hint="default" w:ascii="Times New Roman" w:hAnsi="Times New Roman" w:eastAsia="仿宋_GB2312" w:cs="Times New Roman"/>
          <w:color w:val="auto"/>
          <w:sz w:val="36"/>
          <w:szCs w:val="36"/>
          <w:highlight w:val="none"/>
        </w:rPr>
      </w:pPr>
    </w:p>
    <w:p w14:paraId="081DA50A">
      <w:pPr>
        <w:rPr>
          <w:rFonts w:hint="default" w:ascii="Times New Roman" w:hAnsi="Times New Roman" w:eastAsia="仿宋_GB2312" w:cs="Times New Roman"/>
          <w:color w:val="auto"/>
          <w:sz w:val="36"/>
          <w:szCs w:val="36"/>
          <w:highlight w:val="none"/>
        </w:rPr>
      </w:pPr>
    </w:p>
    <w:p w14:paraId="14DA67DF">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0" w:name="_Toc9788"/>
      <w:r>
        <w:rPr>
          <w:rFonts w:hint="default" w:ascii="Times New Roman" w:hAnsi="Times New Roman" w:eastAsia="方正小标宋_GBK" w:cs="Times New Roman"/>
          <w:bCs/>
          <w:color w:val="auto"/>
          <w:sz w:val="72"/>
          <w:szCs w:val="72"/>
          <w:highlight w:val="none"/>
        </w:rPr>
        <w:t>建设项目环境影响报告表</w:t>
      </w:r>
      <w:bookmarkEnd w:id="0"/>
    </w:p>
    <w:p w14:paraId="7CF8F693">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02B10F9D">
      <w:pPr>
        <w:rPr>
          <w:rFonts w:hint="default" w:ascii="Times New Roman" w:hAnsi="Times New Roman" w:eastAsia="仿宋_GB2312" w:cs="Times New Roman"/>
          <w:color w:val="auto"/>
          <w:sz w:val="36"/>
          <w:szCs w:val="36"/>
          <w:highlight w:val="none"/>
        </w:rPr>
      </w:pPr>
    </w:p>
    <w:p w14:paraId="4AAD1432">
      <w:pPr>
        <w:rPr>
          <w:rFonts w:hint="default" w:ascii="Times New Roman" w:hAnsi="Times New Roman" w:eastAsia="仿宋_GB2312" w:cs="Times New Roman"/>
          <w:color w:val="auto"/>
          <w:sz w:val="36"/>
          <w:szCs w:val="36"/>
          <w:highlight w:val="none"/>
        </w:rPr>
      </w:pPr>
    </w:p>
    <w:p w14:paraId="495E3D2C">
      <w:pPr>
        <w:rPr>
          <w:rFonts w:hint="default" w:ascii="Times New Roman" w:hAnsi="Times New Roman" w:eastAsia="仿宋_GB2312" w:cs="Times New Roman"/>
          <w:color w:val="auto"/>
          <w:sz w:val="36"/>
          <w:szCs w:val="36"/>
          <w:highlight w:val="none"/>
        </w:rPr>
      </w:pPr>
    </w:p>
    <w:p w14:paraId="6BF10DA8">
      <w:pPr>
        <w:rPr>
          <w:rFonts w:hint="default" w:ascii="Times New Roman" w:hAnsi="Times New Roman" w:eastAsia="仿宋_GB2312" w:cs="Times New Roman"/>
          <w:color w:val="auto"/>
          <w:sz w:val="36"/>
          <w:szCs w:val="36"/>
          <w:highlight w:val="none"/>
        </w:rPr>
      </w:pPr>
    </w:p>
    <w:p w14:paraId="705DA7A4">
      <w:pPr>
        <w:rPr>
          <w:rFonts w:hint="default" w:ascii="Times New Roman" w:hAnsi="Times New Roman" w:eastAsia="仿宋_GB2312" w:cs="Times New Roman"/>
          <w:color w:val="auto"/>
          <w:sz w:val="36"/>
          <w:szCs w:val="36"/>
          <w:highlight w:val="none"/>
        </w:rPr>
      </w:pPr>
    </w:p>
    <w:p w14:paraId="4BB8672A">
      <w:pPr>
        <w:pStyle w:val="34"/>
        <w:rPr>
          <w:rFonts w:hint="default" w:ascii="Times New Roman" w:hAnsi="Times New Roman" w:eastAsia="仿宋_GB2312" w:cs="Times New Roman"/>
          <w:color w:val="auto"/>
          <w:sz w:val="36"/>
          <w:szCs w:val="36"/>
          <w:highlight w:val="none"/>
        </w:rPr>
      </w:pPr>
    </w:p>
    <w:p w14:paraId="3561DAF3">
      <w:pPr>
        <w:pStyle w:val="34"/>
        <w:rPr>
          <w:rFonts w:hint="default" w:ascii="Times New Roman" w:hAnsi="Times New Roman" w:eastAsia="仿宋_GB2312" w:cs="Times New Roman"/>
          <w:color w:val="auto"/>
          <w:sz w:val="36"/>
          <w:szCs w:val="36"/>
          <w:highlight w:val="none"/>
        </w:rPr>
      </w:pPr>
    </w:p>
    <w:p w14:paraId="6EDBEA0F">
      <w:pPr>
        <w:pStyle w:val="34"/>
        <w:rPr>
          <w:rFonts w:hint="default" w:ascii="Times New Roman" w:hAnsi="Times New Roman" w:eastAsia="仿宋_GB2312" w:cs="Times New Roman"/>
          <w:color w:val="auto"/>
          <w:sz w:val="36"/>
          <w:szCs w:val="36"/>
          <w:highlight w:val="none"/>
        </w:rPr>
      </w:pPr>
    </w:p>
    <w:p w14:paraId="1054B951">
      <w:pPr>
        <w:rPr>
          <w:rFonts w:hint="default" w:ascii="Times New Roman" w:hAnsi="Times New Roman" w:eastAsia="仿宋_GB2312" w:cs="Times New Roman"/>
          <w:color w:val="auto"/>
          <w:sz w:val="36"/>
          <w:szCs w:val="36"/>
          <w:highlight w:val="none"/>
        </w:rPr>
      </w:pPr>
    </w:p>
    <w:p w14:paraId="1DF7681A">
      <w:pPr>
        <w:pStyle w:val="34"/>
        <w:rPr>
          <w:rFonts w:hint="default"/>
          <w:color w:val="auto"/>
        </w:rPr>
      </w:pPr>
    </w:p>
    <w:p w14:paraId="1BDB7176">
      <w:pPr>
        <w:rPr>
          <w:rFonts w:hint="default" w:ascii="Times New Roman" w:hAnsi="Times New Roman" w:eastAsia="仿宋_GB2312" w:cs="Times New Roman"/>
          <w:color w:val="auto"/>
          <w:sz w:val="36"/>
          <w:szCs w:val="36"/>
          <w:highlight w:val="none"/>
        </w:rPr>
      </w:pPr>
    </w:p>
    <w:p w14:paraId="79286D5A">
      <w:pPr>
        <w:rPr>
          <w:rFonts w:hint="default" w:ascii="Times New Roman" w:hAnsi="Times New Roman" w:eastAsia="仿宋_GB2312" w:cs="Times New Roman"/>
          <w:color w:val="auto"/>
          <w:sz w:val="36"/>
          <w:szCs w:val="36"/>
          <w:highlight w:val="none"/>
        </w:rPr>
      </w:pPr>
    </w:p>
    <w:p w14:paraId="3FD3AC4C">
      <w:pPr>
        <w:rPr>
          <w:rFonts w:hint="default" w:ascii="Times New Roman" w:hAnsi="Times New Roman" w:eastAsia="仿宋_GB2312" w:cs="Times New Roman"/>
          <w:color w:val="auto"/>
          <w:sz w:val="36"/>
          <w:szCs w:val="36"/>
          <w:highlight w:val="none"/>
        </w:rPr>
      </w:pPr>
    </w:p>
    <w:p w14:paraId="4732D249">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ascii="Times New Roman" w:hAnsi="Times New Roman" w:eastAsia="仿宋" w:cs="Times New Roman"/>
          <w:color w:val="auto"/>
          <w:sz w:val="36"/>
          <w:szCs w:val="36"/>
          <w:highlight w:val="none"/>
          <w:u w:val="single"/>
        </w:rPr>
      </w:pPr>
      <w:r>
        <w:rPr>
          <w:rFonts w:hint="default" w:ascii="Times New Roman" w:hAnsi="Times New Roman" w:eastAsia="仿宋" w:cs="Times New Roman"/>
          <w:color w:val="auto"/>
          <w:sz w:val="36"/>
          <w:szCs w:val="36"/>
          <w:highlight w:val="none"/>
        </w:rPr>
        <w:t>项目名称：</w:t>
      </w:r>
      <w:r>
        <w:rPr>
          <w:rFonts w:hint="default" w:ascii="Times New Roman" w:hAnsi="Times New Roman" w:eastAsia="仿宋" w:cs="Times New Roman"/>
          <w:color w:val="auto"/>
          <w:sz w:val="36"/>
          <w:szCs w:val="36"/>
          <w:highlight w:val="none"/>
          <w:u w:val="single"/>
        </w:rPr>
        <w:t>山西仁立生态环境治理有限公司</w:t>
      </w:r>
    </w:p>
    <w:p w14:paraId="47F9ACCB">
      <w:pPr>
        <w:keepNext w:val="0"/>
        <w:keepLines w:val="0"/>
        <w:pageBreakBefore w:val="0"/>
        <w:widowControl w:val="0"/>
        <w:kinsoku/>
        <w:wordWrap/>
        <w:overflowPunct/>
        <w:topLinePunct w:val="0"/>
        <w:autoSpaceDE/>
        <w:autoSpaceDN/>
        <w:bidi w:val="0"/>
        <w:adjustRightInd w:val="0"/>
        <w:snapToGrid w:val="0"/>
        <w:spacing w:line="288" w:lineRule="auto"/>
        <w:ind w:firstLine="2520" w:firstLineChars="700"/>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u w:val="single"/>
        </w:rPr>
        <w:t>新建煤矸石制砂综合利用项目</w:t>
      </w:r>
    </w:p>
    <w:p w14:paraId="43EE3572">
      <w:pPr>
        <w:keepNext w:val="0"/>
        <w:keepLines w:val="0"/>
        <w:pageBreakBefore w:val="0"/>
        <w:widowControl w:val="0"/>
        <w:kinsoku/>
        <w:wordWrap/>
        <w:overflowPunct/>
        <w:topLinePunct w:val="0"/>
        <w:autoSpaceDE/>
        <w:autoSpaceDN/>
        <w:bidi w:val="0"/>
        <w:adjustRightInd w:val="0"/>
        <w:snapToGrid w:val="0"/>
        <w:spacing w:line="288" w:lineRule="auto"/>
        <w:ind w:left="3058" w:leftChars="342" w:hanging="2340" w:hangingChars="650"/>
        <w:textAlignment w:val="auto"/>
        <w:rPr>
          <w:rFonts w:hint="eastAsia" w:eastAsia="仿宋" w:cs="Times New Roman"/>
          <w:color w:val="auto"/>
          <w:sz w:val="36"/>
          <w:szCs w:val="36"/>
          <w:highlight w:val="none"/>
          <w:u w:val="single"/>
          <w:lang w:val="en-US" w:eastAsia="zh-CN"/>
        </w:rPr>
      </w:pPr>
      <w:r>
        <w:rPr>
          <w:rFonts w:hint="default" w:ascii="Times New Roman" w:hAnsi="Times New Roman" w:eastAsia="仿宋" w:cs="Times New Roman"/>
          <w:color w:val="auto"/>
          <w:sz w:val="36"/>
          <w:szCs w:val="36"/>
          <w:highlight w:val="none"/>
        </w:rPr>
        <w:t>建设单位（盖章）：</w:t>
      </w:r>
      <w:r>
        <w:rPr>
          <w:rFonts w:hint="default" w:ascii="Times New Roman" w:hAnsi="Times New Roman" w:eastAsia="仿宋" w:cs="Times New Roman"/>
          <w:color w:val="auto"/>
          <w:sz w:val="36"/>
          <w:szCs w:val="36"/>
          <w:highlight w:val="none"/>
          <w:u w:val="single"/>
        </w:rPr>
        <w:t>山西仁立生态环境治理有限公司</w:t>
      </w:r>
    </w:p>
    <w:p w14:paraId="4AF15D89">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rPr>
        <w:t>编制日期：</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202</w:t>
      </w:r>
      <w:r>
        <w:rPr>
          <w:rFonts w:hint="eastAsia" w:eastAsia="仿宋" w:cs="Times New Roman"/>
          <w:color w:val="auto"/>
          <w:sz w:val="36"/>
          <w:szCs w:val="36"/>
          <w:highlight w:val="none"/>
          <w:u w:val="single"/>
          <w:lang w:val="en-US" w:eastAsia="zh-CN"/>
        </w:rPr>
        <w:t>6</w:t>
      </w:r>
      <w:r>
        <w:rPr>
          <w:rFonts w:hint="default" w:ascii="Times New Roman" w:hAnsi="Times New Roman" w:eastAsia="仿宋" w:cs="Times New Roman"/>
          <w:color w:val="auto"/>
          <w:sz w:val="36"/>
          <w:szCs w:val="36"/>
          <w:highlight w:val="none"/>
          <w:u w:val="single"/>
          <w:lang w:val="en-US" w:eastAsia="zh-CN"/>
        </w:rPr>
        <w:t>年</w:t>
      </w:r>
      <w:r>
        <w:rPr>
          <w:rFonts w:hint="eastAsia" w:eastAsia="仿宋" w:cs="Times New Roman"/>
          <w:color w:val="auto"/>
          <w:sz w:val="36"/>
          <w:szCs w:val="36"/>
          <w:highlight w:val="none"/>
          <w:u w:val="single"/>
          <w:lang w:val="en-US" w:eastAsia="zh-CN"/>
        </w:rPr>
        <w:t>9</w:t>
      </w:r>
      <w:r>
        <w:rPr>
          <w:rFonts w:hint="default" w:ascii="Times New Roman" w:hAnsi="Times New Roman" w:eastAsia="仿宋" w:cs="Times New Roman"/>
          <w:color w:val="auto"/>
          <w:sz w:val="36"/>
          <w:szCs w:val="36"/>
          <w:highlight w:val="none"/>
          <w:u w:val="single"/>
          <w:lang w:val="en-US" w:eastAsia="zh-CN"/>
        </w:rPr>
        <w:t>月</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p>
    <w:p w14:paraId="6D146603">
      <w:pPr>
        <w:rPr>
          <w:rFonts w:hint="default" w:ascii="Times New Roman" w:hAnsi="Times New Roman" w:eastAsia="仿宋_GB2312" w:cs="Times New Roman"/>
          <w:color w:val="auto"/>
          <w:sz w:val="36"/>
          <w:szCs w:val="36"/>
          <w:highlight w:val="none"/>
        </w:rPr>
      </w:pPr>
      <w:bookmarkStart w:id="1" w:name="_Hlk57884087"/>
    </w:p>
    <w:p w14:paraId="0562BA0F">
      <w:pPr>
        <w:rPr>
          <w:rFonts w:hint="default" w:ascii="Times New Roman" w:hAnsi="Times New Roman" w:eastAsia="仿宋_GB2312" w:cs="Times New Roman"/>
          <w:color w:val="auto"/>
          <w:sz w:val="36"/>
          <w:szCs w:val="36"/>
          <w:highlight w:val="none"/>
        </w:rPr>
      </w:pPr>
    </w:p>
    <w:p w14:paraId="06047DE5">
      <w:pPr>
        <w:rPr>
          <w:rFonts w:hint="default" w:ascii="Times New Roman" w:hAnsi="Times New Roman" w:eastAsia="仿宋_GB2312" w:cs="Times New Roman"/>
          <w:color w:val="auto"/>
          <w:sz w:val="36"/>
          <w:szCs w:val="36"/>
          <w:highlight w:val="none"/>
        </w:rPr>
      </w:pPr>
    </w:p>
    <w:bookmarkEnd w:id="1"/>
    <w:p w14:paraId="221B2C18">
      <w:pPr>
        <w:adjustRightInd w:val="0"/>
        <w:snapToGrid w:val="0"/>
        <w:spacing w:line="288" w:lineRule="auto"/>
        <w:jc w:val="center"/>
        <w:rPr>
          <w:rFonts w:hint="eastAsia" w:eastAsia="宋体"/>
          <w:color w:val="auto"/>
          <w:lang w:eastAsia="zh-CN"/>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r>
        <w:rPr>
          <w:rFonts w:hint="default" w:ascii="Times New Roman" w:hAnsi="Times New Roman" w:eastAsia="楷体_GB2312" w:cs="Times New Roman"/>
          <w:color w:val="auto"/>
          <w:sz w:val="36"/>
          <w:szCs w:val="36"/>
          <w:highlight w:val="none"/>
        </w:rPr>
        <w:t>中华人民共和国生态环境部</w:t>
      </w:r>
    </w:p>
    <w:p w14:paraId="3142C4CB">
      <w:pPr>
        <w:pStyle w:val="22"/>
        <w:jc w:val="center"/>
        <w:outlineLvl w:val="0"/>
        <w:rPr>
          <w:rFonts w:hint="default" w:ascii="Times New Roman" w:hAnsi="Times New Roman" w:eastAsia="黑体" w:cs="Times New Roman"/>
          <w:snapToGrid w:val="0"/>
          <w:color w:val="auto"/>
          <w:sz w:val="30"/>
          <w:szCs w:val="30"/>
          <w:highlight w:val="none"/>
        </w:rPr>
      </w:pPr>
      <w:bookmarkStart w:id="2" w:name="_Toc12561"/>
      <w:r>
        <w:rPr>
          <w:rFonts w:hint="default" w:ascii="Times New Roman" w:hAnsi="Times New Roman" w:eastAsia="黑体" w:cs="Times New Roman"/>
          <w:snapToGrid w:val="0"/>
          <w:color w:val="auto"/>
          <w:sz w:val="30"/>
          <w:szCs w:val="30"/>
          <w:highlight w:val="none"/>
        </w:rPr>
        <w:t>一、建设项目基本情况</w:t>
      </w:r>
      <w:bookmarkEnd w:id="2"/>
    </w:p>
    <w:tbl>
      <w:tblPr>
        <w:tblStyle w:val="27"/>
        <w:tblW w:w="93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19"/>
        <w:gridCol w:w="1187"/>
        <w:gridCol w:w="2290"/>
        <w:gridCol w:w="2160"/>
        <w:gridCol w:w="3159"/>
      </w:tblGrid>
      <w:tr w14:paraId="6ADE4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756AE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建设项目名称</w:t>
            </w:r>
          </w:p>
        </w:tc>
        <w:tc>
          <w:tcPr>
            <w:tcW w:w="7609" w:type="dxa"/>
            <w:gridSpan w:val="3"/>
            <w:tcBorders>
              <w:tl2br w:val="nil"/>
              <w:tr2bl w:val="nil"/>
            </w:tcBorders>
            <w:vAlign w:val="center"/>
          </w:tcPr>
          <w:p w14:paraId="2778E15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rPr>
            </w:pPr>
            <w:r>
              <w:rPr>
                <w:rFonts w:hint="eastAsia"/>
                <w:color w:val="auto"/>
                <w:sz w:val="24"/>
                <w:szCs w:val="32"/>
              </w:rPr>
              <w:t>山西仁立生态环境治理有限公司新建煤矸石制砂综合利用项目</w:t>
            </w:r>
          </w:p>
        </w:tc>
      </w:tr>
      <w:tr w14:paraId="25BA67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21A18B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项目代码</w:t>
            </w:r>
          </w:p>
        </w:tc>
        <w:tc>
          <w:tcPr>
            <w:tcW w:w="7609" w:type="dxa"/>
            <w:gridSpan w:val="3"/>
            <w:tcBorders>
              <w:tl2br w:val="nil"/>
              <w:tr2bl w:val="nil"/>
            </w:tcBorders>
            <w:vAlign w:val="center"/>
          </w:tcPr>
          <w:p w14:paraId="1C5D48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2608-140405-89-05-775053</w:t>
            </w:r>
          </w:p>
        </w:tc>
      </w:tr>
      <w:tr w14:paraId="1E895C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2C51AD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建设单位</w:t>
            </w:r>
          </w:p>
          <w:p w14:paraId="4C9019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联系人</w:t>
            </w:r>
          </w:p>
        </w:tc>
        <w:tc>
          <w:tcPr>
            <w:tcW w:w="2290" w:type="dxa"/>
            <w:tcBorders>
              <w:tl2br w:val="nil"/>
              <w:tr2bl w:val="nil"/>
            </w:tcBorders>
            <w:vAlign w:val="center"/>
          </w:tcPr>
          <w:p w14:paraId="70B924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李惠明</w:t>
            </w:r>
          </w:p>
        </w:tc>
        <w:tc>
          <w:tcPr>
            <w:tcW w:w="2160" w:type="dxa"/>
            <w:tcBorders>
              <w:tl2br w:val="nil"/>
              <w:tr2bl w:val="nil"/>
            </w:tcBorders>
            <w:vAlign w:val="center"/>
          </w:tcPr>
          <w:p w14:paraId="676A65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联系方式</w:t>
            </w:r>
          </w:p>
        </w:tc>
        <w:tc>
          <w:tcPr>
            <w:tcW w:w="3159" w:type="dxa"/>
            <w:tcBorders>
              <w:tl2br w:val="nil"/>
              <w:tr2bl w:val="nil"/>
            </w:tcBorders>
            <w:vAlign w:val="center"/>
          </w:tcPr>
          <w:p w14:paraId="60F0D4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13509755896</w:t>
            </w:r>
          </w:p>
        </w:tc>
      </w:tr>
      <w:tr w14:paraId="1DF896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4816B7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建设地点</w:t>
            </w:r>
          </w:p>
        </w:tc>
        <w:tc>
          <w:tcPr>
            <w:tcW w:w="7609" w:type="dxa"/>
            <w:gridSpan w:val="3"/>
            <w:tcBorders>
              <w:tl2br w:val="nil"/>
              <w:tr2bl w:val="nil"/>
            </w:tcBorders>
            <w:vAlign w:val="center"/>
          </w:tcPr>
          <w:p w14:paraId="7264B4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山西省长治市屯留区路村乡常西村西</w:t>
            </w:r>
          </w:p>
        </w:tc>
      </w:tr>
      <w:tr w14:paraId="608D34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131EB9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地理坐标</w:t>
            </w:r>
          </w:p>
        </w:tc>
        <w:tc>
          <w:tcPr>
            <w:tcW w:w="7609" w:type="dxa"/>
            <w:gridSpan w:val="3"/>
            <w:tcBorders>
              <w:tl2br w:val="nil"/>
              <w:tr2bl w:val="nil"/>
            </w:tcBorders>
            <w:vAlign w:val="center"/>
          </w:tcPr>
          <w:p w14:paraId="6953F645">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11</w:t>
            </w:r>
            <w:r>
              <w:rPr>
                <w:rFonts w:hint="eastAsia" w:cs="Times New Roman"/>
                <w:color w:val="auto"/>
                <w:sz w:val="24"/>
                <w:szCs w:val="24"/>
                <w:highlight w:val="none"/>
                <w:u w:val="single"/>
                <w:lang w:val="en-US" w:eastAsia="zh-CN"/>
              </w:rPr>
              <w:t>2</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5</w:t>
            </w:r>
            <w:r>
              <w:rPr>
                <w:rFonts w:hint="default" w:ascii="Times New Roman" w:hAnsi="Times New Roman" w:eastAsia="宋体" w:cs="Times New Roman"/>
                <w:color w:val="auto"/>
                <w:sz w:val="24"/>
                <w:szCs w:val="24"/>
                <w:highlight w:val="none"/>
                <w:u w:val="single"/>
                <w:lang w:val="en-US" w:eastAsia="zh-CN"/>
              </w:rPr>
              <w:t>7</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59.175</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36</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度</w:t>
            </w:r>
            <w:r>
              <w:rPr>
                <w:rFonts w:hint="default" w:ascii="Times New Roman" w:hAnsi="Times New Roman" w:cs="Times New Roman"/>
                <w:color w:val="auto"/>
                <w:sz w:val="24"/>
                <w:szCs w:val="24"/>
                <w:highlight w:val="none"/>
                <w:u w:val="single"/>
              </w:rPr>
              <w:t xml:space="preserve"> </w:t>
            </w:r>
            <w:r>
              <w:rPr>
                <w:rFonts w:hint="eastAsia" w:cs="Times New Roman"/>
                <w:color w:val="auto"/>
                <w:sz w:val="24"/>
                <w:szCs w:val="24"/>
                <w:highlight w:val="none"/>
                <w:u w:val="single"/>
                <w:lang w:val="en-US" w:eastAsia="zh-CN"/>
              </w:rPr>
              <w:t>22</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分</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54.520</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秒）</w:t>
            </w:r>
          </w:p>
        </w:tc>
      </w:tr>
      <w:tr w14:paraId="0F0F02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706" w:type="dxa"/>
            <w:gridSpan w:val="2"/>
            <w:tcBorders>
              <w:tl2br w:val="nil"/>
              <w:tr2bl w:val="nil"/>
            </w:tcBorders>
            <w:tcMar>
              <w:top w:w="16" w:type="dxa"/>
              <w:left w:w="16" w:type="dxa"/>
              <w:right w:w="16" w:type="dxa"/>
            </w:tcMar>
            <w:vAlign w:val="center"/>
          </w:tcPr>
          <w:p w14:paraId="123A7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国民经济</w:t>
            </w:r>
          </w:p>
          <w:p w14:paraId="052BB5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行业类别</w:t>
            </w:r>
          </w:p>
        </w:tc>
        <w:tc>
          <w:tcPr>
            <w:tcW w:w="2290" w:type="dxa"/>
            <w:tcBorders>
              <w:tl2br w:val="nil"/>
              <w:tr2bl w:val="nil"/>
            </w:tcBorders>
            <w:vAlign w:val="center"/>
          </w:tcPr>
          <w:p w14:paraId="46075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C3099</w:t>
            </w:r>
            <w:r>
              <w:rPr>
                <w:rFonts w:hint="eastAsia" w:ascii="Times New Roman" w:hAnsi="Times New Roman" w:eastAsia="宋体" w:cs="Times New Roman"/>
                <w:color w:val="auto"/>
                <w:sz w:val="24"/>
                <w:szCs w:val="24"/>
                <w:highlight w:val="none"/>
                <w:lang w:val="en-US" w:eastAsia="zh-CN"/>
              </w:rPr>
              <w:t xml:space="preserve"> 其他非金属矿物制品制造</w:t>
            </w:r>
          </w:p>
        </w:tc>
        <w:tc>
          <w:tcPr>
            <w:tcW w:w="2160" w:type="dxa"/>
            <w:tcBorders>
              <w:tl2br w:val="nil"/>
              <w:tr2bl w:val="nil"/>
            </w:tcBorders>
            <w:vAlign w:val="center"/>
          </w:tcPr>
          <w:p w14:paraId="38C978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bookmarkStart w:id="3" w:name="_Hlk49843745"/>
            <w:r>
              <w:rPr>
                <w:rFonts w:hint="default" w:ascii="Times New Roman" w:hAnsi="Times New Roman" w:cs="Times New Roman"/>
                <w:b/>
                <w:bCs/>
                <w:color w:val="auto"/>
                <w:sz w:val="24"/>
                <w:szCs w:val="24"/>
                <w:highlight w:val="none"/>
              </w:rPr>
              <w:t>建设项目</w:t>
            </w:r>
          </w:p>
          <w:p w14:paraId="60C7E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行业类别</w:t>
            </w:r>
            <w:bookmarkEnd w:id="3"/>
          </w:p>
        </w:tc>
        <w:tc>
          <w:tcPr>
            <w:tcW w:w="3159" w:type="dxa"/>
            <w:tcBorders>
              <w:tl2br w:val="nil"/>
              <w:tr2bl w:val="nil"/>
            </w:tcBorders>
            <w:vAlign w:val="center"/>
          </w:tcPr>
          <w:p w14:paraId="364D7C18">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cs="Times New Roman"/>
                <w:color w:val="auto"/>
                <w:sz w:val="24"/>
                <w:szCs w:val="24"/>
                <w:highlight w:val="none"/>
                <w:lang w:val="en-US"/>
              </w:rPr>
            </w:pPr>
            <w:r>
              <w:rPr>
                <w:rFonts w:hint="eastAsia" w:ascii="Times New Roman" w:hAnsi="Times New Roman" w:eastAsia="宋体" w:cs="Times New Roman"/>
                <w:color w:val="auto"/>
                <w:sz w:val="24"/>
                <w:szCs w:val="24"/>
                <w:highlight w:val="none"/>
                <w:lang w:val="en-US" w:eastAsia="zh-CN"/>
              </w:rPr>
              <w:t>二十七、非金属矿物制品业 30-60、石墨及其他非金属矿物制品制造 309-其它</w:t>
            </w:r>
          </w:p>
        </w:tc>
      </w:tr>
      <w:tr w14:paraId="32228F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706" w:type="dxa"/>
            <w:gridSpan w:val="2"/>
            <w:tcBorders>
              <w:tl2br w:val="nil"/>
              <w:tr2bl w:val="nil"/>
            </w:tcBorders>
            <w:tcMar>
              <w:top w:w="16" w:type="dxa"/>
              <w:left w:w="16" w:type="dxa"/>
              <w:right w:w="16" w:type="dxa"/>
            </w:tcMar>
            <w:vAlign w:val="center"/>
          </w:tcPr>
          <w:p w14:paraId="3D07EC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建设性质</w:t>
            </w:r>
          </w:p>
        </w:tc>
        <w:tc>
          <w:tcPr>
            <w:tcW w:w="2290" w:type="dxa"/>
            <w:tcBorders>
              <w:tl2br w:val="nil"/>
              <w:tr2bl w:val="nil"/>
            </w:tcBorders>
            <w:vAlign w:val="center"/>
          </w:tcPr>
          <w:p w14:paraId="3C01A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新建（迁建）</w:t>
            </w:r>
          </w:p>
          <w:p w14:paraId="1CF604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改建</w:t>
            </w:r>
          </w:p>
          <w:p w14:paraId="0B020F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扩建</w:t>
            </w:r>
          </w:p>
          <w:p w14:paraId="7AA83D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jc w:val="left"/>
              <w:textAlignment w:val="auto"/>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技术改造</w:t>
            </w:r>
          </w:p>
        </w:tc>
        <w:tc>
          <w:tcPr>
            <w:tcW w:w="2160" w:type="dxa"/>
            <w:tcBorders>
              <w:tl2br w:val="nil"/>
              <w:tr2bl w:val="nil"/>
            </w:tcBorders>
            <w:vAlign w:val="center"/>
          </w:tcPr>
          <w:p w14:paraId="3C319C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建设项目</w:t>
            </w:r>
          </w:p>
          <w:p w14:paraId="68D253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申报情形</w:t>
            </w:r>
          </w:p>
        </w:tc>
        <w:tc>
          <w:tcPr>
            <w:tcW w:w="3159" w:type="dxa"/>
            <w:tcBorders>
              <w:tl2br w:val="nil"/>
              <w:tr2bl w:val="nil"/>
            </w:tcBorders>
            <w:vAlign w:val="center"/>
          </w:tcPr>
          <w:p w14:paraId="4E2D18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首次申报项目</w:t>
            </w:r>
          </w:p>
          <w:p w14:paraId="66542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不予批准后再次申报项目</w:t>
            </w:r>
          </w:p>
          <w:p w14:paraId="5A1070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超五年重新审核项目</w:t>
            </w:r>
          </w:p>
          <w:p w14:paraId="08075D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left"/>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重大变动重新报批项目</w:t>
            </w:r>
          </w:p>
        </w:tc>
      </w:tr>
      <w:tr w14:paraId="481880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706" w:type="dxa"/>
            <w:gridSpan w:val="2"/>
            <w:tcBorders>
              <w:tl2br w:val="nil"/>
              <w:tr2bl w:val="nil"/>
            </w:tcBorders>
            <w:tcMar>
              <w:top w:w="16" w:type="dxa"/>
              <w:left w:w="16" w:type="dxa"/>
              <w:right w:w="16" w:type="dxa"/>
            </w:tcMar>
            <w:vAlign w:val="center"/>
          </w:tcPr>
          <w:p w14:paraId="476C58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项目审批（备案）部门（选填）</w:t>
            </w:r>
          </w:p>
        </w:tc>
        <w:tc>
          <w:tcPr>
            <w:tcW w:w="2290" w:type="dxa"/>
            <w:tcBorders>
              <w:tl2br w:val="nil"/>
              <w:tr2bl w:val="nil"/>
            </w:tcBorders>
            <w:vAlign w:val="center"/>
          </w:tcPr>
          <w:p w14:paraId="3E6A85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lang w:val="en-US"/>
              </w:rPr>
            </w:pPr>
            <w:r>
              <w:rPr>
                <w:rFonts w:hint="eastAsia" w:cs="Times New Roman"/>
                <w:color w:val="auto"/>
                <w:sz w:val="24"/>
                <w:szCs w:val="24"/>
                <w:highlight w:val="none"/>
                <w:lang w:val="en-US" w:eastAsia="zh-CN"/>
              </w:rPr>
              <w:t>长治市屯留区行政审批服务管理局</w:t>
            </w:r>
          </w:p>
        </w:tc>
        <w:tc>
          <w:tcPr>
            <w:tcW w:w="2160" w:type="dxa"/>
            <w:tcBorders>
              <w:tl2br w:val="nil"/>
              <w:tr2bl w:val="nil"/>
            </w:tcBorders>
            <w:vAlign w:val="center"/>
          </w:tcPr>
          <w:p w14:paraId="2E29A9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项目审批（核准/</w:t>
            </w:r>
          </w:p>
          <w:p w14:paraId="3981EF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备案）文号（选填）</w:t>
            </w:r>
          </w:p>
        </w:tc>
        <w:tc>
          <w:tcPr>
            <w:tcW w:w="3159" w:type="dxa"/>
            <w:tcBorders>
              <w:tl2br w:val="nil"/>
              <w:tr2bl w:val="nil"/>
            </w:tcBorders>
            <w:vAlign w:val="center"/>
          </w:tcPr>
          <w:p w14:paraId="20AF8E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w:t>
            </w:r>
          </w:p>
        </w:tc>
      </w:tr>
      <w:tr w14:paraId="114504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6" w:type="dxa"/>
            <w:gridSpan w:val="2"/>
            <w:tcBorders>
              <w:tl2br w:val="nil"/>
              <w:tr2bl w:val="nil"/>
            </w:tcBorders>
            <w:tcMar>
              <w:top w:w="16" w:type="dxa"/>
              <w:left w:w="16" w:type="dxa"/>
              <w:right w:w="16" w:type="dxa"/>
            </w:tcMar>
            <w:vAlign w:val="center"/>
          </w:tcPr>
          <w:p w14:paraId="4F3351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总投资</w:t>
            </w:r>
          </w:p>
          <w:p w14:paraId="12619D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（万元）</w:t>
            </w:r>
          </w:p>
        </w:tc>
        <w:tc>
          <w:tcPr>
            <w:tcW w:w="2290" w:type="dxa"/>
            <w:tcBorders>
              <w:tl2br w:val="nil"/>
              <w:tr2bl w:val="nil"/>
            </w:tcBorders>
            <w:vAlign w:val="center"/>
          </w:tcPr>
          <w:p w14:paraId="11F159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20</w:t>
            </w:r>
            <w:r>
              <w:rPr>
                <w:rFonts w:hint="eastAsia" w:ascii="Times New Roman" w:hAnsi="Times New Roman" w:eastAsia="宋体" w:cs="Times New Roman"/>
                <w:color w:val="auto"/>
                <w:sz w:val="24"/>
                <w:szCs w:val="24"/>
                <w:highlight w:val="none"/>
                <w:lang w:val="en-US" w:eastAsia="zh-CN"/>
              </w:rPr>
              <w:t>00</w:t>
            </w:r>
          </w:p>
        </w:tc>
        <w:tc>
          <w:tcPr>
            <w:tcW w:w="2160" w:type="dxa"/>
            <w:tcBorders>
              <w:tl2br w:val="nil"/>
              <w:tr2bl w:val="nil"/>
            </w:tcBorders>
            <w:tcMar>
              <w:top w:w="16" w:type="dxa"/>
              <w:left w:w="16" w:type="dxa"/>
              <w:right w:w="16" w:type="dxa"/>
            </w:tcMar>
            <w:vAlign w:val="center"/>
          </w:tcPr>
          <w:p w14:paraId="5A517C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环保投资</w:t>
            </w:r>
          </w:p>
          <w:p w14:paraId="4DC5B9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（万元）</w:t>
            </w:r>
          </w:p>
        </w:tc>
        <w:tc>
          <w:tcPr>
            <w:tcW w:w="3159" w:type="dxa"/>
            <w:tcBorders>
              <w:tl2br w:val="nil"/>
              <w:tr2bl w:val="nil"/>
            </w:tcBorders>
            <w:vAlign w:val="center"/>
          </w:tcPr>
          <w:p w14:paraId="5668E6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120</w:t>
            </w:r>
          </w:p>
        </w:tc>
      </w:tr>
      <w:tr w14:paraId="4A581C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706" w:type="dxa"/>
            <w:gridSpan w:val="2"/>
            <w:tcBorders>
              <w:tl2br w:val="nil"/>
              <w:tr2bl w:val="nil"/>
            </w:tcBorders>
            <w:tcMar>
              <w:top w:w="16" w:type="dxa"/>
              <w:left w:w="16" w:type="dxa"/>
              <w:right w:w="16" w:type="dxa"/>
            </w:tcMar>
            <w:vAlign w:val="center"/>
          </w:tcPr>
          <w:p w14:paraId="53FEAC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环保投资占比</w:t>
            </w:r>
          </w:p>
        </w:tc>
        <w:tc>
          <w:tcPr>
            <w:tcW w:w="2290" w:type="dxa"/>
            <w:tcBorders>
              <w:tl2br w:val="nil"/>
              <w:tr2bl w:val="nil"/>
            </w:tcBorders>
            <w:vAlign w:val="center"/>
          </w:tcPr>
          <w:p w14:paraId="1CEF5F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6</w:t>
            </w:r>
            <w:r>
              <w:rPr>
                <w:rFonts w:hint="eastAsia" w:ascii="Times New Roman" w:hAnsi="Times New Roman" w:cs="Times New Roman"/>
                <w:color w:val="auto"/>
                <w:sz w:val="24"/>
                <w:szCs w:val="24"/>
                <w:highlight w:val="none"/>
                <w:lang w:val="en-US" w:eastAsia="zh-CN"/>
              </w:rPr>
              <w:t>%</w:t>
            </w:r>
          </w:p>
        </w:tc>
        <w:tc>
          <w:tcPr>
            <w:tcW w:w="2160" w:type="dxa"/>
            <w:tcBorders>
              <w:tl2br w:val="nil"/>
              <w:tr2bl w:val="nil"/>
            </w:tcBorders>
            <w:tcMar>
              <w:top w:w="16" w:type="dxa"/>
              <w:left w:w="16" w:type="dxa"/>
              <w:right w:w="16" w:type="dxa"/>
            </w:tcMar>
            <w:vAlign w:val="center"/>
          </w:tcPr>
          <w:p w14:paraId="3167BB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施工工期</w:t>
            </w:r>
          </w:p>
        </w:tc>
        <w:tc>
          <w:tcPr>
            <w:tcW w:w="3159" w:type="dxa"/>
            <w:tcBorders>
              <w:tl2br w:val="nil"/>
              <w:tr2bl w:val="nil"/>
            </w:tcBorders>
            <w:vAlign w:val="center"/>
          </w:tcPr>
          <w:p w14:paraId="1D3E06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3</w:t>
            </w:r>
            <w:r>
              <w:rPr>
                <w:rFonts w:hint="eastAsia" w:ascii="Times New Roman" w:hAnsi="Times New Roman" w:cs="Times New Roman"/>
                <w:color w:val="auto"/>
                <w:sz w:val="24"/>
                <w:szCs w:val="24"/>
                <w:highlight w:val="none"/>
                <w:lang w:val="en-US" w:eastAsia="zh-CN"/>
              </w:rPr>
              <w:t>个</w:t>
            </w:r>
            <w:r>
              <w:rPr>
                <w:rFonts w:hint="default" w:ascii="Times New Roman" w:hAnsi="Times New Roman" w:cs="Times New Roman"/>
                <w:color w:val="auto"/>
                <w:sz w:val="24"/>
                <w:szCs w:val="24"/>
                <w:highlight w:val="none"/>
                <w:lang w:val="en-US" w:eastAsia="zh-CN"/>
              </w:rPr>
              <w:t>月</w:t>
            </w:r>
          </w:p>
        </w:tc>
      </w:tr>
      <w:tr w14:paraId="4173D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706" w:type="dxa"/>
            <w:gridSpan w:val="2"/>
            <w:tcBorders>
              <w:tl2br w:val="nil"/>
              <w:tr2bl w:val="nil"/>
            </w:tcBorders>
            <w:tcMar>
              <w:top w:w="16" w:type="dxa"/>
              <w:left w:w="16" w:type="dxa"/>
              <w:right w:w="16" w:type="dxa"/>
            </w:tcMar>
            <w:vAlign w:val="center"/>
          </w:tcPr>
          <w:p w14:paraId="7E459B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是否开工建设</w:t>
            </w:r>
          </w:p>
        </w:tc>
        <w:tc>
          <w:tcPr>
            <w:tcW w:w="2290" w:type="dxa"/>
            <w:tcBorders>
              <w:tl2br w:val="nil"/>
              <w:tr2bl w:val="nil"/>
            </w:tcBorders>
            <w:vAlign w:val="center"/>
          </w:tcPr>
          <w:p w14:paraId="677C12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否</w:t>
            </w:r>
          </w:p>
          <w:p w14:paraId="21BC41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textAlignment w:val="auto"/>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是：</w:t>
            </w:r>
            <w:r>
              <w:rPr>
                <w:rFonts w:hint="default" w:ascii="Times New Roman" w:hAnsi="Times New Roman" w:cs="Times New Roman"/>
                <w:color w:val="auto"/>
                <w:sz w:val="24"/>
                <w:szCs w:val="24"/>
                <w:highlight w:val="none"/>
                <w:u w:val="single"/>
              </w:rPr>
              <w:t xml:space="preserve">          </w:t>
            </w:r>
          </w:p>
        </w:tc>
        <w:tc>
          <w:tcPr>
            <w:tcW w:w="2160" w:type="dxa"/>
            <w:tcBorders>
              <w:tl2br w:val="nil"/>
              <w:tr2bl w:val="nil"/>
            </w:tcBorders>
            <w:tcMar>
              <w:top w:w="16" w:type="dxa"/>
              <w:left w:w="16" w:type="dxa"/>
              <w:right w:w="16" w:type="dxa"/>
            </w:tcMar>
            <w:vAlign w:val="center"/>
          </w:tcPr>
          <w:p w14:paraId="5BB5F8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pacing w:val="-6"/>
                <w:sz w:val="24"/>
                <w:szCs w:val="24"/>
                <w:highlight w:val="none"/>
              </w:rPr>
            </w:pPr>
            <w:r>
              <w:rPr>
                <w:rFonts w:hint="default" w:ascii="Times New Roman" w:hAnsi="Times New Roman" w:cs="Times New Roman"/>
                <w:b/>
                <w:bCs/>
                <w:color w:val="auto"/>
                <w:spacing w:val="-6"/>
                <w:sz w:val="24"/>
                <w:szCs w:val="24"/>
                <w:highlight w:val="none"/>
              </w:rPr>
              <w:t>用地（用海）</w:t>
            </w:r>
          </w:p>
          <w:p w14:paraId="0FC0FE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pacing w:val="-6"/>
                <w:sz w:val="24"/>
                <w:szCs w:val="24"/>
                <w:highlight w:val="none"/>
              </w:rPr>
              <w:t>面积（m</w:t>
            </w:r>
            <w:r>
              <w:rPr>
                <w:rFonts w:hint="default" w:ascii="Times New Roman" w:hAnsi="Times New Roman" w:cs="Times New Roman"/>
                <w:b/>
                <w:bCs/>
                <w:color w:val="auto"/>
                <w:spacing w:val="-6"/>
                <w:sz w:val="24"/>
                <w:szCs w:val="24"/>
                <w:highlight w:val="none"/>
                <w:vertAlign w:val="superscript"/>
              </w:rPr>
              <w:t>2</w:t>
            </w:r>
            <w:r>
              <w:rPr>
                <w:rFonts w:hint="default" w:ascii="Times New Roman" w:hAnsi="Times New Roman" w:cs="Times New Roman"/>
                <w:b/>
                <w:bCs/>
                <w:color w:val="auto"/>
                <w:spacing w:val="-6"/>
                <w:sz w:val="24"/>
                <w:szCs w:val="24"/>
                <w:highlight w:val="none"/>
              </w:rPr>
              <w:t>）</w:t>
            </w:r>
          </w:p>
        </w:tc>
        <w:tc>
          <w:tcPr>
            <w:tcW w:w="3159" w:type="dxa"/>
            <w:tcBorders>
              <w:tl2br w:val="nil"/>
              <w:tr2bl w:val="nil"/>
            </w:tcBorders>
            <w:vAlign w:val="center"/>
          </w:tcPr>
          <w:p w14:paraId="32CD9D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13503.5</w:t>
            </w:r>
          </w:p>
        </w:tc>
      </w:tr>
      <w:tr w14:paraId="6653C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706" w:type="dxa"/>
            <w:gridSpan w:val="2"/>
            <w:tcBorders>
              <w:tl2br w:val="nil"/>
              <w:tr2bl w:val="nil"/>
            </w:tcBorders>
            <w:vAlign w:val="center"/>
          </w:tcPr>
          <w:p w14:paraId="4D6064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kern w:val="0"/>
                <w:sz w:val="24"/>
                <w:szCs w:val="24"/>
                <w:highlight w:val="none"/>
              </w:rPr>
              <w:t>专项评价设置情况</w:t>
            </w:r>
          </w:p>
        </w:tc>
        <w:tc>
          <w:tcPr>
            <w:tcW w:w="7609" w:type="dxa"/>
            <w:gridSpan w:val="3"/>
            <w:tcBorders>
              <w:tl2br w:val="nil"/>
              <w:tr2bl w:val="nil"/>
            </w:tcBorders>
            <w:vAlign w:val="center"/>
          </w:tcPr>
          <w:p w14:paraId="4D0FC3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无</w:t>
            </w:r>
          </w:p>
        </w:tc>
      </w:tr>
      <w:tr w14:paraId="433D74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706" w:type="dxa"/>
            <w:gridSpan w:val="2"/>
            <w:tcBorders>
              <w:tl2br w:val="nil"/>
              <w:tr2bl w:val="nil"/>
            </w:tcBorders>
            <w:vAlign w:val="center"/>
          </w:tcPr>
          <w:p w14:paraId="2D6F55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sz w:val="24"/>
                <w:szCs w:val="24"/>
                <w:highlight w:val="none"/>
              </w:rPr>
              <w:t>规划情况</w:t>
            </w:r>
          </w:p>
        </w:tc>
        <w:tc>
          <w:tcPr>
            <w:tcW w:w="7609" w:type="dxa"/>
            <w:gridSpan w:val="3"/>
            <w:tcBorders>
              <w:tl2br w:val="nil"/>
              <w:tr2bl w:val="nil"/>
            </w:tcBorders>
            <w:vAlign w:val="center"/>
          </w:tcPr>
          <w:p w14:paraId="63B0B1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无</w:t>
            </w:r>
          </w:p>
        </w:tc>
      </w:tr>
      <w:tr w14:paraId="7901A1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706" w:type="dxa"/>
            <w:gridSpan w:val="2"/>
            <w:tcBorders>
              <w:tl2br w:val="nil"/>
              <w:tr2bl w:val="nil"/>
            </w:tcBorders>
            <w:vAlign w:val="center"/>
          </w:tcPr>
          <w:p w14:paraId="118C2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bCs/>
                <w:color w:val="auto"/>
                <w:kern w:val="0"/>
                <w:sz w:val="24"/>
                <w:szCs w:val="24"/>
                <w:highlight w:val="none"/>
              </w:rPr>
            </w:pPr>
            <w:r>
              <w:rPr>
                <w:rFonts w:hint="default" w:ascii="Times New Roman" w:hAnsi="Times New Roman" w:cs="Times New Roman"/>
                <w:b/>
                <w:bCs/>
                <w:color w:val="auto"/>
                <w:sz w:val="24"/>
                <w:szCs w:val="24"/>
                <w:highlight w:val="none"/>
              </w:rPr>
              <w:t>规划环境影响评价情况</w:t>
            </w:r>
          </w:p>
        </w:tc>
        <w:tc>
          <w:tcPr>
            <w:tcW w:w="7609" w:type="dxa"/>
            <w:gridSpan w:val="3"/>
            <w:tcBorders>
              <w:tl2br w:val="nil"/>
              <w:tr2bl w:val="nil"/>
            </w:tcBorders>
            <w:vAlign w:val="center"/>
          </w:tcPr>
          <w:p w14:paraId="4CC62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hAnsi="宋体"/>
                <w:color w:val="auto"/>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6F57E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1706" w:type="dxa"/>
            <w:gridSpan w:val="2"/>
            <w:tcBorders>
              <w:tl2br w:val="nil"/>
              <w:tr2bl w:val="nil"/>
            </w:tcBorders>
            <w:vAlign w:val="center"/>
          </w:tcPr>
          <w:p w14:paraId="57B694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val="0"/>
                <w:bCs w:val="0"/>
                <w:color w:val="auto"/>
                <w:kern w:val="0"/>
                <w:sz w:val="24"/>
                <w:szCs w:val="24"/>
                <w:highlight w:val="none"/>
              </w:rPr>
            </w:pPr>
            <w:r>
              <w:rPr>
                <w:rFonts w:hint="default" w:ascii="Times New Roman" w:hAnsi="Times New Roman" w:eastAsia="宋体" w:cs="Times New Roman"/>
                <w:b/>
                <w:bCs/>
                <w:color w:val="auto"/>
                <w:sz w:val="24"/>
                <w:szCs w:val="24"/>
                <w:highlight w:val="none"/>
              </w:rPr>
              <w:t>规划及规划环境影响评价符合性分析</w:t>
            </w:r>
          </w:p>
        </w:tc>
        <w:tc>
          <w:tcPr>
            <w:tcW w:w="7609" w:type="dxa"/>
            <w:gridSpan w:val="3"/>
            <w:tcBorders>
              <w:tl2br w:val="nil"/>
              <w:tr2bl w:val="nil"/>
            </w:tcBorders>
            <w:vAlign w:val="center"/>
          </w:tcPr>
          <w:p w14:paraId="2CDFD4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0" w:firstLineChars="0"/>
              <w:jc w:val="center"/>
              <w:textAlignment w:val="auto"/>
              <w:rPr>
                <w:rFonts w:hint="default" w:ascii="Times New Roman" w:hAnsi="Times New Roman" w:eastAsia="宋体"/>
                <w:b/>
                <w:bCs/>
                <w:color w:val="auto"/>
                <w:kern w:val="2"/>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无</w:t>
            </w:r>
          </w:p>
        </w:tc>
      </w:tr>
      <w:tr w14:paraId="5447BD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19" w:type="dxa"/>
            <w:tcBorders>
              <w:tl2br w:val="nil"/>
              <w:tr2bl w:val="nil"/>
            </w:tcBorders>
            <w:vAlign w:val="center"/>
          </w:tcPr>
          <w:p w14:paraId="4F1A54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default" w:ascii="Times New Roman" w:hAnsi="Times New Roman" w:cs="Times New Roman"/>
                <w:b w:val="0"/>
                <w:bCs w:val="0"/>
                <w:color w:val="auto"/>
                <w:kern w:val="0"/>
                <w:sz w:val="21"/>
                <w:szCs w:val="21"/>
                <w:highlight w:val="none"/>
              </w:rPr>
            </w:pPr>
            <w:r>
              <w:rPr>
                <w:rFonts w:hint="default" w:ascii="Times New Roman" w:hAnsi="Times New Roman" w:cs="Times New Roman"/>
                <w:b/>
                <w:bCs/>
                <w:color w:val="auto"/>
                <w:kern w:val="0"/>
                <w:sz w:val="21"/>
                <w:szCs w:val="21"/>
                <w:highlight w:val="none"/>
              </w:rPr>
              <w:t>其他符合性分析</w:t>
            </w:r>
          </w:p>
        </w:tc>
        <w:tc>
          <w:tcPr>
            <w:tcW w:w="8796" w:type="dxa"/>
            <w:gridSpan w:val="4"/>
            <w:tcBorders>
              <w:tl2br w:val="nil"/>
              <w:tr2bl w:val="nil"/>
            </w:tcBorders>
            <w:vAlign w:val="center"/>
          </w:tcPr>
          <w:p w14:paraId="4F01E5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1.1产业政策符合性分析</w:t>
            </w:r>
          </w:p>
          <w:p w14:paraId="4E6A6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hAnsi="宋体"/>
                <w:color w:val="auto"/>
                <w:sz w:val="24"/>
                <w:lang w:eastAsia="zh-CN"/>
              </w:rPr>
            </w:pPr>
            <w:r>
              <w:rPr>
                <w:rFonts w:hint="default" w:ascii="Times New Roman" w:hAnsi="Times New Roman" w:eastAsia="宋体"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为利用煤矸石制造砂石骨料项目，</w:t>
            </w:r>
            <w:r>
              <w:rPr>
                <w:rFonts w:hint="default" w:ascii="Times New Roman" w:hAnsi="Times New Roman" w:eastAsia="宋体" w:cs="Times New Roman"/>
                <w:color w:val="auto"/>
                <w:kern w:val="0"/>
                <w:sz w:val="24"/>
                <w:szCs w:val="24"/>
                <w:highlight w:val="none"/>
                <w:lang w:val="en-US" w:eastAsia="zh-CN"/>
              </w:rPr>
              <w:t>所属行业</w:t>
            </w:r>
            <w:r>
              <w:rPr>
                <w:rFonts w:hint="eastAsia" w:cs="Times New Roman"/>
                <w:color w:val="auto"/>
                <w:kern w:val="0"/>
                <w:sz w:val="24"/>
                <w:szCs w:val="24"/>
                <w:highlight w:val="none"/>
                <w:lang w:val="en-US" w:eastAsia="zh-CN"/>
              </w:rPr>
              <w:t>为</w:t>
            </w:r>
            <w:r>
              <w:rPr>
                <w:rFonts w:hint="eastAsia" w:ascii="Times New Roman" w:hAnsi="Times New Roman" w:eastAsia="宋体" w:cs="Times New Roman"/>
                <w:color w:val="auto"/>
                <w:sz w:val="24"/>
                <w:szCs w:val="24"/>
                <w:highlight w:val="none"/>
                <w:lang w:val="en-US" w:eastAsia="zh-CN"/>
              </w:rPr>
              <w:t>其他非金属矿物制品制造</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eastAsia="zh-CN"/>
              </w:rPr>
              <w:t>根据《产业结构调整指导目录（</w:t>
            </w:r>
            <w:r>
              <w:rPr>
                <w:rFonts w:hint="eastAsia" w:ascii="Times New Roman" w:hAnsi="Times New Roman" w:eastAsia="宋体" w:cs="Times New Roman"/>
                <w:color w:val="auto"/>
                <w:kern w:val="0"/>
                <w:sz w:val="24"/>
                <w:szCs w:val="24"/>
                <w:highlight w:val="none"/>
                <w:lang w:val="en-US" w:eastAsia="zh-CN"/>
              </w:rPr>
              <w:t>2024</w:t>
            </w:r>
            <w:r>
              <w:rPr>
                <w:rFonts w:hint="default" w:ascii="Times New Roman" w:hAnsi="Times New Roman" w:eastAsia="宋体" w:cs="Times New Roman"/>
                <w:color w:val="auto"/>
                <w:kern w:val="0"/>
                <w:sz w:val="24"/>
                <w:szCs w:val="24"/>
                <w:highlight w:val="none"/>
                <w:lang w:eastAsia="zh-CN"/>
              </w:rPr>
              <w:t>年本）》中规定，</w:t>
            </w:r>
            <w:r>
              <w:rPr>
                <w:rFonts w:hint="default" w:ascii="Times New Roman" w:hAnsi="Times New Roman" w:eastAsia="宋体" w:cs="Times New Roman"/>
                <w:color w:val="auto"/>
                <w:kern w:val="0"/>
                <w:sz w:val="24"/>
                <w:szCs w:val="24"/>
                <w:highlight w:val="none"/>
                <w:lang w:val="en-US" w:eastAsia="zh-CN"/>
              </w:rPr>
              <w:t>本项目属于</w:t>
            </w:r>
            <w:r>
              <w:rPr>
                <w:rFonts w:hint="eastAsia" w:cs="Times New Roman"/>
                <w:color w:val="auto"/>
                <w:kern w:val="0"/>
                <w:sz w:val="24"/>
                <w:szCs w:val="24"/>
                <w:highlight w:val="none"/>
                <w:lang w:val="en-US" w:eastAsia="zh-CN"/>
              </w:rPr>
              <w:t>鼓励类中</w:t>
            </w:r>
            <w:r>
              <w:rPr>
                <w:rFonts w:hint="default" w:hAnsi="宋体"/>
                <w:color w:val="auto"/>
                <w:sz w:val="24"/>
              </w:rPr>
              <w:t>“</w:t>
            </w:r>
            <w:r>
              <w:rPr>
                <w:rFonts w:hint="eastAsia" w:hAnsi="宋体"/>
                <w:color w:val="auto"/>
                <w:sz w:val="24"/>
              </w:rPr>
              <w:t>十二、建材-9、利用矿山尾矿、建筑废弃物、工业废弃物、城市污泥、江河湖（渠）海淤泥等大宗废弃物无害化生产制备砂石骨料、结构混凝土用高强陶粒、功能陶粒、墙体材料等建材及其工艺技术装备开发</w:t>
            </w:r>
            <w:r>
              <w:rPr>
                <w:rFonts w:hint="default" w:hAnsi="宋体"/>
                <w:color w:val="auto"/>
                <w:sz w:val="24"/>
              </w:rPr>
              <w:t>”项目，不属于《产业结构调整指导目录</w:t>
            </w:r>
            <w:r>
              <w:rPr>
                <w:rFonts w:hint="eastAsia" w:hAnsi="宋体"/>
                <w:color w:val="auto"/>
                <w:sz w:val="24"/>
              </w:rPr>
              <w:t>（2024年本</w:t>
            </w:r>
            <w:r>
              <w:rPr>
                <w:rFonts w:hint="default" w:hAnsi="宋体"/>
                <w:color w:val="auto"/>
                <w:sz w:val="24"/>
              </w:rPr>
              <w:t>）》中限制类和淘汰类规定的项目</w:t>
            </w:r>
            <w:r>
              <w:rPr>
                <w:rFonts w:hint="eastAsia" w:hAnsi="宋体"/>
                <w:color w:val="auto"/>
                <w:sz w:val="24"/>
                <w:lang w:eastAsia="zh-CN"/>
              </w:rPr>
              <w:t>。</w:t>
            </w:r>
          </w:p>
          <w:p w14:paraId="5FF66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202</w:t>
            </w:r>
            <w:r>
              <w:rPr>
                <w:rFonts w:hint="eastAsia"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rPr>
              <w:t>年</w:t>
            </w:r>
            <w:r>
              <w:rPr>
                <w:rFonts w:hint="eastAsia"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CN"/>
              </w:rPr>
              <w:t>月</w:t>
            </w:r>
            <w:r>
              <w:rPr>
                <w:rFonts w:hint="eastAsia" w:cs="Times New Roman"/>
                <w:color w:val="auto"/>
                <w:kern w:val="0"/>
                <w:sz w:val="24"/>
                <w:szCs w:val="24"/>
                <w:highlight w:val="none"/>
                <w:lang w:val="en-US" w:eastAsia="zh-CN"/>
              </w:rPr>
              <w:t>11</w:t>
            </w:r>
            <w:r>
              <w:rPr>
                <w:rFonts w:hint="default" w:ascii="Times New Roman" w:hAnsi="Times New Roman" w:eastAsia="宋体" w:cs="Times New Roman"/>
                <w:color w:val="auto"/>
                <w:kern w:val="0"/>
                <w:sz w:val="24"/>
                <w:szCs w:val="24"/>
                <w:highlight w:val="none"/>
                <w:lang w:val="en-US" w:eastAsia="zh-CN"/>
              </w:rPr>
              <w:t>日</w:t>
            </w:r>
            <w:r>
              <w:rPr>
                <w:rFonts w:hint="eastAsia" w:cs="Times New Roman"/>
                <w:color w:val="auto"/>
                <w:kern w:val="0"/>
                <w:sz w:val="24"/>
                <w:szCs w:val="24"/>
                <w:highlight w:val="none"/>
                <w:lang w:val="en-US" w:eastAsia="zh-CN"/>
              </w:rPr>
              <w:t>，</w:t>
            </w:r>
            <w:r>
              <w:rPr>
                <w:rFonts w:hint="eastAsia" w:cs="Times New Roman"/>
                <w:color w:val="auto"/>
                <w:sz w:val="24"/>
                <w:szCs w:val="24"/>
                <w:highlight w:val="none"/>
                <w:lang w:val="en-US" w:eastAsia="zh-CN"/>
              </w:rPr>
              <w:t>长治市屯留区行政审批服务管理局</w:t>
            </w:r>
            <w:r>
              <w:rPr>
                <w:rFonts w:hint="eastAsia" w:cs="Times New Roman"/>
                <w:color w:val="auto"/>
                <w:kern w:val="0"/>
                <w:sz w:val="24"/>
                <w:szCs w:val="24"/>
                <w:highlight w:val="none"/>
                <w:lang w:val="en-US" w:eastAsia="zh-CN"/>
              </w:rPr>
              <w:t>对本项目进行了</w:t>
            </w:r>
            <w:r>
              <w:rPr>
                <w:rFonts w:hint="default" w:ascii="Times New Roman" w:hAnsi="Times New Roman" w:eastAsia="宋体" w:cs="Times New Roman"/>
                <w:color w:val="auto"/>
                <w:kern w:val="0"/>
                <w:sz w:val="24"/>
                <w:szCs w:val="24"/>
                <w:highlight w:val="none"/>
                <w:lang w:val="en-US" w:eastAsia="zh-CN"/>
              </w:rPr>
              <w:t>备案，项目代码为2608-140405-89-05-775053</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见附件2</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w:t>
            </w:r>
          </w:p>
          <w:p w14:paraId="398CB1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因此</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建设</w:t>
            </w:r>
            <w:r>
              <w:rPr>
                <w:rFonts w:hint="default" w:ascii="Times New Roman" w:hAnsi="Times New Roman" w:eastAsia="宋体" w:cs="Times New Roman"/>
                <w:color w:val="auto"/>
                <w:kern w:val="0"/>
                <w:sz w:val="24"/>
                <w:szCs w:val="24"/>
                <w:highlight w:val="none"/>
                <w:lang w:val="en-US" w:eastAsia="zh-CN"/>
              </w:rPr>
              <w:t>符合国家和地方产业政策的要求</w:t>
            </w:r>
            <w:r>
              <w:rPr>
                <w:rFonts w:hint="default" w:ascii="Times New Roman" w:hAnsi="Times New Roman" w:eastAsia="宋体" w:cs="Times New Roman"/>
                <w:color w:val="auto"/>
                <w:kern w:val="0"/>
                <w:sz w:val="24"/>
                <w:szCs w:val="24"/>
                <w:highlight w:val="none"/>
                <w:lang w:eastAsia="zh-CN"/>
              </w:rPr>
              <w:t>。</w:t>
            </w:r>
          </w:p>
          <w:p w14:paraId="5B287E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宋体"/>
                <w:b/>
                <w:bCs w:val="0"/>
                <w:color w:val="auto"/>
                <w:kern w:val="2"/>
                <w:sz w:val="24"/>
                <w:szCs w:val="24"/>
                <w:lang w:val="en-US" w:eastAsia="zh-CN" w:bidi="ar"/>
              </w:rPr>
            </w:pPr>
            <w:r>
              <w:rPr>
                <w:rFonts w:hint="eastAsia" w:cs="Times New Roman"/>
                <w:b/>
                <w:bCs w:val="0"/>
                <w:color w:val="auto"/>
                <w:spacing w:val="0"/>
                <w:sz w:val="24"/>
                <w:szCs w:val="24"/>
                <w:highlight w:val="none"/>
                <w:lang w:val="en-US" w:eastAsia="zh-CN"/>
              </w:rPr>
              <w:t>1.2生态环境分区符合性分析</w:t>
            </w:r>
          </w:p>
          <w:p w14:paraId="0A3DBB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hAnsi="宋体"/>
                <w:b w:val="0"/>
                <w:bCs/>
                <w:color w:val="auto"/>
                <w:kern w:val="0"/>
                <w:sz w:val="24"/>
              </w:rPr>
            </w:pPr>
            <w:r>
              <w:rPr>
                <w:rFonts w:hint="default" w:hAnsi="宋体"/>
                <w:b w:val="0"/>
                <w:bCs/>
                <w:color w:val="auto"/>
                <w:kern w:val="0"/>
                <w:sz w:val="24"/>
                <w:lang w:val="en-US" w:eastAsia="zh-CN"/>
              </w:rPr>
              <w:t>根据《长治市2023年度生态环境分区管控动态更新成果公告》中“长治市生态环境管控单元分布图”（附图</w:t>
            </w:r>
            <w:r>
              <w:rPr>
                <w:rFonts w:hint="eastAsia" w:hAnsi="宋体"/>
                <w:b w:val="0"/>
                <w:bCs/>
                <w:color w:val="auto"/>
                <w:kern w:val="0"/>
                <w:sz w:val="24"/>
                <w:lang w:val="en-US" w:eastAsia="zh-CN"/>
              </w:rPr>
              <w:t>9</w:t>
            </w:r>
            <w:r>
              <w:rPr>
                <w:rFonts w:hint="default" w:hAnsi="宋体"/>
                <w:b w:val="0"/>
                <w:bCs/>
                <w:color w:val="auto"/>
                <w:kern w:val="0"/>
                <w:sz w:val="24"/>
                <w:lang w:val="en-US" w:eastAsia="zh-CN"/>
              </w:rPr>
              <w:t>），经在“山西省“三线一单”数据管理及应用平台”进行查询，本项目位于屯留区大气环境弱扩散重点管控单元，具体管控类型见表1</w:t>
            </w:r>
            <w:r>
              <w:rPr>
                <w:rFonts w:hint="eastAsia" w:hAnsi="宋体"/>
                <w:b w:val="0"/>
                <w:bCs/>
                <w:color w:val="auto"/>
                <w:kern w:val="0"/>
                <w:sz w:val="24"/>
                <w:lang w:val="en-US" w:eastAsia="zh-CN"/>
              </w:rPr>
              <w:t>.2</w:t>
            </w:r>
            <w:r>
              <w:rPr>
                <w:rFonts w:hint="default" w:hAnsi="宋体"/>
                <w:b w:val="0"/>
                <w:bCs/>
                <w:color w:val="auto"/>
                <w:kern w:val="0"/>
                <w:sz w:val="24"/>
                <w:lang w:val="en-US" w:eastAsia="zh-CN"/>
              </w:rPr>
              <w:t>-</w:t>
            </w:r>
            <w:r>
              <w:rPr>
                <w:rFonts w:hint="eastAsia" w:hAnsi="宋体"/>
                <w:b w:val="0"/>
                <w:bCs/>
                <w:color w:val="auto"/>
                <w:kern w:val="0"/>
                <w:sz w:val="24"/>
                <w:lang w:val="en-US" w:eastAsia="zh-CN"/>
              </w:rPr>
              <w:t>1</w:t>
            </w:r>
            <w:r>
              <w:rPr>
                <w:rFonts w:hint="default" w:hAnsi="宋体"/>
                <w:b w:val="0"/>
                <w:bCs/>
                <w:color w:val="auto"/>
                <w:kern w:val="0"/>
                <w:sz w:val="24"/>
                <w:lang w:val="en-US" w:eastAsia="zh-CN"/>
              </w:rPr>
              <w:t>，查询结果见附件</w:t>
            </w:r>
            <w:r>
              <w:rPr>
                <w:rFonts w:hint="eastAsia" w:hAnsi="宋体"/>
                <w:b w:val="0"/>
                <w:bCs/>
                <w:color w:val="auto"/>
                <w:kern w:val="0"/>
                <w:sz w:val="24"/>
                <w:lang w:val="en-US" w:eastAsia="zh-CN"/>
              </w:rPr>
              <w:t>7</w:t>
            </w:r>
            <w:r>
              <w:rPr>
                <w:rFonts w:hint="default" w:hAnsi="宋体"/>
                <w:b w:val="0"/>
                <w:bCs/>
                <w:color w:val="auto"/>
                <w:kern w:val="0"/>
                <w:sz w:val="24"/>
                <w:lang w:val="en-US" w:eastAsia="zh-CN"/>
              </w:rPr>
              <w:t>。</w:t>
            </w:r>
          </w:p>
          <w:p w14:paraId="1A2C3B1F">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jc w:val="center"/>
              <w:textAlignment w:val="auto"/>
              <w:rPr>
                <w:rFonts w:hint="default"/>
                <w:b/>
                <w:color w:val="auto"/>
                <w:szCs w:val="21"/>
              </w:rPr>
            </w:pPr>
            <w:r>
              <w:rPr>
                <w:rFonts w:hint="eastAsia"/>
                <w:b/>
                <w:color w:val="auto"/>
                <w:szCs w:val="21"/>
              </w:rPr>
              <w:t>表1</w:t>
            </w:r>
            <w:r>
              <w:rPr>
                <w:rFonts w:hint="eastAsia"/>
                <w:b/>
                <w:color w:val="auto"/>
                <w:szCs w:val="21"/>
                <w:lang w:val="en-US" w:eastAsia="zh-CN"/>
              </w:rPr>
              <w:t>.2</w:t>
            </w:r>
            <w:r>
              <w:rPr>
                <w:rFonts w:hint="eastAsia"/>
                <w:b/>
                <w:color w:val="auto"/>
                <w:szCs w:val="21"/>
              </w:rPr>
              <w:t>-1  本项目管控单元位置</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0"/>
              <w:gridCol w:w="3718"/>
              <w:gridCol w:w="1097"/>
              <w:gridCol w:w="1832"/>
            </w:tblGrid>
            <w:tr w14:paraId="276D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1" w:type="pct"/>
                  <w:tcBorders>
                    <w:tl2br w:val="nil"/>
                    <w:tr2bl w:val="nil"/>
                  </w:tcBorders>
                  <w:noWrap w:val="0"/>
                  <w:vAlign w:val="center"/>
                </w:tcPr>
                <w:p w14:paraId="3F2E6B5A">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b/>
                      <w:bCs/>
                      <w:color w:val="auto"/>
                      <w:sz w:val="21"/>
                      <w:szCs w:val="21"/>
                    </w:rPr>
                  </w:pPr>
                  <w:r>
                    <w:rPr>
                      <w:rFonts w:hint="eastAsia" w:ascii="Times New Roman" w:hAnsi="Times New Roman"/>
                      <w:b/>
                      <w:bCs/>
                      <w:color w:val="auto"/>
                      <w:sz w:val="21"/>
                      <w:szCs w:val="21"/>
                    </w:rPr>
                    <w:t>管控单元编码</w:t>
                  </w:r>
                </w:p>
              </w:tc>
              <w:tc>
                <w:tcPr>
                  <w:tcW w:w="2170" w:type="pct"/>
                  <w:tcBorders>
                    <w:tl2br w:val="nil"/>
                    <w:tr2bl w:val="nil"/>
                  </w:tcBorders>
                  <w:noWrap w:val="0"/>
                  <w:vAlign w:val="center"/>
                </w:tcPr>
                <w:p w14:paraId="451D369B">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b/>
                      <w:bCs/>
                      <w:color w:val="auto"/>
                      <w:sz w:val="21"/>
                      <w:szCs w:val="21"/>
                    </w:rPr>
                  </w:pPr>
                  <w:r>
                    <w:rPr>
                      <w:rFonts w:hint="default" w:ascii="Times New Roman" w:hAnsi="Times New Roman"/>
                      <w:b/>
                      <w:bCs/>
                      <w:color w:val="auto"/>
                      <w:sz w:val="21"/>
                      <w:szCs w:val="21"/>
                    </w:rPr>
                    <w:t>环境管控单元名称</w:t>
                  </w:r>
                </w:p>
              </w:tc>
              <w:tc>
                <w:tcPr>
                  <w:tcW w:w="640" w:type="pct"/>
                  <w:tcBorders>
                    <w:tl2br w:val="nil"/>
                    <w:tr2bl w:val="nil"/>
                  </w:tcBorders>
                  <w:noWrap w:val="0"/>
                  <w:vAlign w:val="center"/>
                </w:tcPr>
                <w:p w14:paraId="21F05A91">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b/>
                      <w:bCs/>
                      <w:color w:val="auto"/>
                      <w:sz w:val="21"/>
                      <w:szCs w:val="21"/>
                    </w:rPr>
                  </w:pPr>
                  <w:r>
                    <w:rPr>
                      <w:rFonts w:hint="default" w:ascii="Times New Roman" w:hAnsi="Times New Roman"/>
                      <w:b/>
                      <w:bCs/>
                      <w:color w:val="auto"/>
                      <w:sz w:val="21"/>
                      <w:szCs w:val="21"/>
                    </w:rPr>
                    <w:t>行政区划</w:t>
                  </w:r>
                </w:p>
              </w:tc>
              <w:tc>
                <w:tcPr>
                  <w:tcW w:w="1067" w:type="pct"/>
                  <w:tcBorders>
                    <w:tl2br w:val="nil"/>
                    <w:tr2bl w:val="nil"/>
                  </w:tcBorders>
                  <w:noWrap w:val="0"/>
                  <w:vAlign w:val="center"/>
                </w:tcPr>
                <w:p w14:paraId="54CACA57">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b/>
                      <w:bCs/>
                      <w:color w:val="auto"/>
                      <w:sz w:val="21"/>
                      <w:szCs w:val="21"/>
                    </w:rPr>
                  </w:pPr>
                  <w:r>
                    <w:rPr>
                      <w:rFonts w:hint="default" w:ascii="Times New Roman" w:hAnsi="Times New Roman"/>
                      <w:b/>
                      <w:bCs/>
                      <w:color w:val="auto"/>
                      <w:sz w:val="21"/>
                      <w:szCs w:val="21"/>
                    </w:rPr>
                    <w:t>管控单元分类</w:t>
                  </w:r>
                </w:p>
              </w:tc>
            </w:tr>
            <w:tr w14:paraId="5CDC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21" w:type="pct"/>
                  <w:tcBorders>
                    <w:tl2br w:val="nil"/>
                    <w:tr2bl w:val="nil"/>
                  </w:tcBorders>
                  <w:noWrap w:val="0"/>
                  <w:vAlign w:val="center"/>
                </w:tcPr>
                <w:p w14:paraId="7B94E73A">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olor w:val="auto"/>
                      <w:sz w:val="21"/>
                      <w:szCs w:val="21"/>
                    </w:rPr>
                  </w:pPr>
                  <w:r>
                    <w:rPr>
                      <w:rFonts w:hint="default" w:ascii="Times New Roman" w:hAnsi="Times New Roman"/>
                      <w:color w:val="auto"/>
                      <w:sz w:val="21"/>
                      <w:szCs w:val="21"/>
                    </w:rPr>
                    <w:t>ZH14040520006</w:t>
                  </w:r>
                </w:p>
              </w:tc>
              <w:tc>
                <w:tcPr>
                  <w:tcW w:w="2170" w:type="pct"/>
                  <w:tcBorders>
                    <w:tl2br w:val="nil"/>
                    <w:tr2bl w:val="nil"/>
                  </w:tcBorders>
                  <w:noWrap w:val="0"/>
                  <w:vAlign w:val="center"/>
                </w:tcPr>
                <w:p w14:paraId="253DEA6B">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olor w:val="auto"/>
                      <w:sz w:val="21"/>
                      <w:szCs w:val="21"/>
                    </w:rPr>
                  </w:pPr>
                  <w:bookmarkStart w:id="4" w:name="OLE_LINK77"/>
                  <w:bookmarkStart w:id="5" w:name="OLE_LINK78"/>
                  <w:r>
                    <w:rPr>
                      <w:rFonts w:hint="eastAsia" w:ascii="Times New Roman" w:hAnsi="Times New Roman"/>
                      <w:color w:val="auto"/>
                      <w:sz w:val="21"/>
                      <w:szCs w:val="21"/>
                    </w:rPr>
                    <w:t>屯留区</w:t>
                  </w:r>
                  <w:bookmarkEnd w:id="4"/>
                  <w:bookmarkEnd w:id="5"/>
                  <w:r>
                    <w:rPr>
                      <w:rFonts w:hint="eastAsia" w:ascii="Times New Roman" w:hAnsi="Times New Roman"/>
                      <w:color w:val="auto"/>
                      <w:sz w:val="21"/>
                      <w:szCs w:val="21"/>
                    </w:rPr>
                    <w:t>大气环境弱扩散重点管控单元</w:t>
                  </w:r>
                </w:p>
              </w:tc>
              <w:tc>
                <w:tcPr>
                  <w:tcW w:w="640" w:type="pct"/>
                  <w:tcBorders>
                    <w:tl2br w:val="nil"/>
                    <w:tr2bl w:val="nil"/>
                  </w:tcBorders>
                  <w:noWrap w:val="0"/>
                  <w:vAlign w:val="center"/>
                </w:tcPr>
                <w:p w14:paraId="06F9EBFB">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屯留区</w:t>
                  </w:r>
                </w:p>
              </w:tc>
              <w:tc>
                <w:tcPr>
                  <w:tcW w:w="1067" w:type="pct"/>
                  <w:tcBorders>
                    <w:tl2br w:val="nil"/>
                    <w:tr2bl w:val="nil"/>
                  </w:tcBorders>
                  <w:noWrap w:val="0"/>
                  <w:vAlign w:val="center"/>
                </w:tcPr>
                <w:p w14:paraId="6401620F">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重点管控单元</w:t>
                  </w:r>
                </w:p>
              </w:tc>
            </w:tr>
            <w:tr w14:paraId="5C05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tcBorders>
                    <w:tl2br w:val="nil"/>
                    <w:tr2bl w:val="nil"/>
                  </w:tcBorders>
                  <w:noWrap w:val="0"/>
                  <w:vAlign w:val="center"/>
                </w:tcPr>
                <w:p w14:paraId="1C6BB58B">
                  <w:pPr>
                    <w:pStyle w:val="22"/>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default" w:eastAsia="宋体"/>
                      <w:color w:val="auto"/>
                      <w:lang w:val="en-US" w:eastAsia="zh-CN"/>
                    </w:rPr>
                  </w:pPr>
                  <w:r>
                    <w:rPr>
                      <w:rFonts w:hint="default" w:eastAsia="宋体"/>
                      <w:color w:val="auto"/>
                      <w:lang w:val="en-US" w:eastAsia="zh-CN"/>
                    </w:rPr>
                    <w:drawing>
                      <wp:inline distT="0" distB="0" distL="114300" distR="114300">
                        <wp:extent cx="4069080" cy="3107690"/>
                        <wp:effectExtent l="0" t="0" r="0" b="0"/>
                        <wp:docPr id="34" name="图片 34" descr="1基本分析结果dd8b445e-5f13-48bb-9e92-36136b2cd825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1基本分析结果dd8b445e-5f13-48bb-9e92-36136b2cd825_02"/>
                                <pic:cNvPicPr>
                                  <a:picLocks noChangeAspect="1"/>
                                </pic:cNvPicPr>
                              </pic:nvPicPr>
                              <pic:blipFill>
                                <a:blip r:embed="rId20"/>
                                <a:srcRect l="11470" t="43285" r="11650" b="15195"/>
                                <a:stretch>
                                  <a:fillRect/>
                                </a:stretch>
                              </pic:blipFill>
                              <pic:spPr>
                                <a:xfrm>
                                  <a:off x="0" y="0"/>
                                  <a:ext cx="4069080" cy="3107690"/>
                                </a:xfrm>
                                <a:prstGeom prst="rect">
                                  <a:avLst/>
                                </a:prstGeom>
                              </pic:spPr>
                            </pic:pic>
                          </a:graphicData>
                        </a:graphic>
                      </wp:inline>
                    </w:drawing>
                  </w:r>
                </w:p>
              </w:tc>
            </w:tr>
          </w:tbl>
          <w:p w14:paraId="7044DE99">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480" w:firstLineChars="200"/>
              <w:textAlignment w:val="auto"/>
              <w:rPr>
                <w:rFonts w:hint="default" w:hAnsi="宋体"/>
                <w:b w:val="0"/>
                <w:bCs/>
                <w:color w:val="auto"/>
                <w:kern w:val="0"/>
                <w:sz w:val="24"/>
                <w:lang w:val="en-US" w:eastAsia="zh-CN"/>
              </w:rPr>
            </w:pPr>
            <w:r>
              <w:rPr>
                <w:rFonts w:hint="eastAsia" w:hAnsi="宋体"/>
                <w:b w:val="0"/>
                <w:bCs/>
                <w:color w:val="auto"/>
                <w:kern w:val="0"/>
                <w:sz w:val="24"/>
                <w:lang w:val="en-US" w:eastAsia="zh-CN"/>
              </w:rPr>
              <w:t>项目与管控单元具体管控要求符合性分析见下表。</w:t>
            </w:r>
          </w:p>
          <w:p w14:paraId="37C528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宋体"/>
                <w:bCs/>
                <w:color w:val="auto"/>
                <w:kern w:val="2"/>
                <w:sz w:val="24"/>
                <w:szCs w:val="24"/>
                <w:lang w:val="en-US" w:eastAsia="zh-CN" w:bidi="ar"/>
              </w:rPr>
            </w:pPr>
            <w:r>
              <w:rPr>
                <w:rFonts w:hint="eastAsia"/>
                <w:b/>
                <w:color w:val="auto"/>
                <w:szCs w:val="21"/>
              </w:rPr>
              <w:t>表1</w:t>
            </w:r>
            <w:r>
              <w:rPr>
                <w:rFonts w:hint="eastAsia"/>
                <w:b/>
                <w:color w:val="auto"/>
                <w:szCs w:val="21"/>
                <w:lang w:val="en-US" w:eastAsia="zh-CN"/>
              </w:rPr>
              <w:t>.2</w:t>
            </w:r>
            <w:r>
              <w:rPr>
                <w:rFonts w:hint="eastAsia"/>
                <w:b/>
                <w:color w:val="auto"/>
                <w:szCs w:val="21"/>
              </w:rPr>
              <w:t>-</w:t>
            </w:r>
            <w:r>
              <w:rPr>
                <w:rFonts w:hint="eastAsia"/>
                <w:b/>
                <w:color w:val="auto"/>
                <w:szCs w:val="21"/>
                <w:lang w:val="en-US" w:eastAsia="zh-CN"/>
              </w:rPr>
              <w:t xml:space="preserve">2  </w:t>
            </w:r>
            <w:r>
              <w:rPr>
                <w:rFonts w:hint="eastAsia" w:ascii="Times New Roman" w:hAnsi="Times New Roman" w:eastAsia="宋体" w:cs="Times New Roman"/>
                <w:b/>
                <w:color w:val="auto"/>
                <w:szCs w:val="21"/>
                <w:lang w:val="en-US" w:eastAsia="zh-CN"/>
              </w:rPr>
              <w:t>项目与</w:t>
            </w:r>
            <w:r>
              <w:rPr>
                <w:rFonts w:hint="eastAsia" w:ascii="Times New Roman" w:hAnsi="Times New Roman" w:eastAsia="宋体" w:cs="Times New Roman"/>
                <w:b/>
                <w:color w:val="auto"/>
                <w:szCs w:val="21"/>
              </w:rPr>
              <w:t>屯</w:t>
            </w:r>
            <w:r>
              <w:rPr>
                <w:rFonts w:hint="eastAsia"/>
                <w:b/>
                <w:color w:val="auto"/>
                <w:szCs w:val="21"/>
              </w:rPr>
              <w:t>留区大气环境弱扩散重点管控单元符合性分析</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4095"/>
              <w:gridCol w:w="3121"/>
              <w:gridCol w:w="664"/>
            </w:tblGrid>
            <w:tr w14:paraId="55A4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7A98136E">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管控类别</w:t>
                  </w:r>
                </w:p>
              </w:tc>
              <w:tc>
                <w:tcPr>
                  <w:tcW w:w="2389" w:type="pct"/>
                  <w:vAlign w:val="center"/>
                </w:tcPr>
                <w:p w14:paraId="35F7FBD6">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管控要求</w:t>
                  </w:r>
                </w:p>
              </w:tc>
              <w:tc>
                <w:tcPr>
                  <w:tcW w:w="1821" w:type="pct"/>
                  <w:vAlign w:val="center"/>
                </w:tcPr>
                <w:p w14:paraId="21EC562F">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项目情况</w:t>
                  </w:r>
                </w:p>
              </w:tc>
              <w:tc>
                <w:tcPr>
                  <w:tcW w:w="387" w:type="pct"/>
                  <w:vAlign w:val="center"/>
                </w:tcPr>
                <w:p w14:paraId="34F5BEEA">
                  <w:pPr>
                    <w:pStyle w:val="36"/>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符合性</w:t>
                  </w:r>
                </w:p>
              </w:tc>
            </w:tr>
            <w:tr w14:paraId="2BC4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741BF0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color w:val="auto"/>
                      <w:sz w:val="21"/>
                      <w:szCs w:val="21"/>
                    </w:rPr>
                    <w:t>空间布局约束</w:t>
                  </w:r>
                </w:p>
              </w:tc>
              <w:tc>
                <w:tcPr>
                  <w:tcW w:w="2389" w:type="pct"/>
                  <w:vAlign w:val="center"/>
                </w:tcPr>
                <w:p w14:paraId="1B02A1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1.执行山西省、长治市空间布局准入要求。</w:t>
                  </w:r>
                </w:p>
                <w:p w14:paraId="572220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2.禁止在人口集中地区和其他依法需要特殊保护的区域内焚烧沥青、油毡、橡胶、塑料、皮革、垃圾以及其他产生有毒有害烟尘和恶臭气体的物质。</w:t>
                  </w:r>
                </w:p>
                <w:p w14:paraId="0A1CBE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3.禁止在居民住宅楼、未配套设立专用烟道的商住综合楼以及商住综合楼内与居住层相邻的商业楼层内新建、改建、扩建产生油烟、异味、废气的餐饮服务项目。任何单位和个人不得在当地人民政府禁止的区域内露天烧烤食品或者为露天烧烤食品提供场地。</w:t>
                  </w:r>
                </w:p>
                <w:p w14:paraId="0CE456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4.严格控制在优先保护类耕地集中区域新建、扩建有色金属矿采选、有色金属冶炼、化工、电镀、制革、农药、铅蓄电池等重点行业企业和危险废物处置填埋场所。</w:t>
                  </w:r>
                </w:p>
              </w:tc>
              <w:tc>
                <w:tcPr>
                  <w:tcW w:w="1821" w:type="pct"/>
                  <w:vAlign w:val="center"/>
                </w:tcPr>
                <w:p w14:paraId="14F75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olor w:val="auto"/>
                      <w:szCs w:val="21"/>
                      <w:lang w:eastAsia="zh-CN"/>
                    </w:rPr>
                  </w:pPr>
                  <w:r>
                    <w:rPr>
                      <w:rFonts w:hint="eastAsia"/>
                      <w:color w:val="auto"/>
                      <w:szCs w:val="21"/>
                      <w:lang w:val="en-US" w:eastAsia="zh-CN"/>
                    </w:rPr>
                    <w:t>1.</w:t>
                  </w:r>
                  <w:r>
                    <w:rPr>
                      <w:rFonts w:hint="default"/>
                      <w:color w:val="auto"/>
                      <w:szCs w:val="21"/>
                    </w:rPr>
                    <w:t>根据与《</w:t>
                  </w:r>
                  <w:r>
                    <w:rPr>
                      <w:rFonts w:hint="eastAsia"/>
                      <w:color w:val="auto"/>
                      <w:szCs w:val="21"/>
                    </w:rPr>
                    <w:t>长治市</w:t>
                  </w:r>
                  <w:r>
                    <w:rPr>
                      <w:rFonts w:hint="default"/>
                      <w:color w:val="auto"/>
                      <w:szCs w:val="21"/>
                    </w:rPr>
                    <w:t>“三线一单”生态环境分区管控实施方案》分析，项目符合山西省、</w:t>
                  </w:r>
                  <w:r>
                    <w:rPr>
                      <w:rFonts w:hint="eastAsia"/>
                      <w:color w:val="auto"/>
                      <w:szCs w:val="21"/>
                    </w:rPr>
                    <w:t>长治市</w:t>
                  </w:r>
                  <w:r>
                    <w:rPr>
                      <w:rFonts w:hint="default"/>
                      <w:color w:val="auto"/>
                      <w:szCs w:val="21"/>
                    </w:rPr>
                    <w:t>的空间布局准入要求</w:t>
                  </w:r>
                  <w:r>
                    <w:rPr>
                      <w:rFonts w:hint="eastAsia"/>
                      <w:color w:val="auto"/>
                      <w:szCs w:val="21"/>
                      <w:lang w:eastAsia="zh-CN"/>
                    </w:rPr>
                    <w:t>。</w:t>
                  </w:r>
                </w:p>
                <w:p w14:paraId="4179AB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s="宋体"/>
                      <w:bCs/>
                      <w:color w:val="auto"/>
                      <w:kern w:val="2"/>
                      <w:sz w:val="21"/>
                      <w:szCs w:val="21"/>
                      <w:vertAlign w:val="baseline"/>
                      <w:lang w:val="en-US" w:eastAsia="zh-CN" w:bidi="ar"/>
                    </w:rPr>
                  </w:pPr>
                  <w:r>
                    <w:rPr>
                      <w:rFonts w:hint="eastAsia"/>
                      <w:color w:val="auto"/>
                      <w:szCs w:val="21"/>
                      <w:lang w:val="en-US" w:eastAsia="zh-CN"/>
                    </w:rPr>
                    <w:t>2.本项目为利用煤矸石制造机制砂石骨料，不涉及</w:t>
                  </w:r>
                  <w:r>
                    <w:rPr>
                      <w:rFonts w:hint="eastAsia" w:ascii="Times New Roman" w:hAnsi="Times New Roman" w:eastAsia="宋体" w:cs="宋体"/>
                      <w:bCs/>
                      <w:color w:val="auto"/>
                      <w:kern w:val="2"/>
                      <w:sz w:val="21"/>
                      <w:szCs w:val="21"/>
                      <w:vertAlign w:val="baseline"/>
                      <w:lang w:val="en-US" w:eastAsia="zh-CN" w:bidi="ar"/>
                    </w:rPr>
                    <w:t>焚烧沥青、油毡、橡胶、塑料、皮革、垃圾以及其他产生有毒有害烟尘和恶臭气体的物质</w:t>
                  </w:r>
                  <w:r>
                    <w:rPr>
                      <w:rFonts w:hint="eastAsia" w:cs="宋体"/>
                      <w:bCs/>
                      <w:color w:val="auto"/>
                      <w:kern w:val="2"/>
                      <w:sz w:val="21"/>
                      <w:szCs w:val="21"/>
                      <w:vertAlign w:val="baseline"/>
                      <w:lang w:val="en-US" w:eastAsia="zh-CN" w:bidi="ar"/>
                    </w:rPr>
                    <w:t>。</w:t>
                  </w:r>
                </w:p>
                <w:p w14:paraId="285D13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3.本项目不涉及。</w:t>
                  </w:r>
                </w:p>
                <w:p w14:paraId="013001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4.本项目占地类型为工业用地，不涉及</w:t>
                  </w:r>
                  <w:r>
                    <w:rPr>
                      <w:rFonts w:hint="eastAsia" w:ascii="Times New Roman" w:hAnsi="Times New Roman" w:eastAsia="宋体" w:cs="宋体"/>
                      <w:bCs/>
                      <w:color w:val="auto"/>
                      <w:kern w:val="2"/>
                      <w:sz w:val="21"/>
                      <w:szCs w:val="21"/>
                      <w:vertAlign w:val="baseline"/>
                      <w:lang w:val="en-US" w:eastAsia="zh-CN" w:bidi="ar"/>
                    </w:rPr>
                    <w:t>有色金属矿采选、有色金属冶炼、化工、电镀、制革、农药、铅蓄电池等重点行业企业和危险废物处置填埋场所</w:t>
                  </w:r>
                  <w:r>
                    <w:rPr>
                      <w:rFonts w:hint="eastAsia" w:cs="宋体"/>
                      <w:bCs/>
                      <w:color w:val="auto"/>
                      <w:kern w:val="2"/>
                      <w:sz w:val="21"/>
                      <w:szCs w:val="21"/>
                      <w:vertAlign w:val="baseline"/>
                      <w:lang w:val="en-US" w:eastAsia="zh-CN" w:bidi="ar"/>
                    </w:rPr>
                    <w:t>。</w:t>
                  </w:r>
                </w:p>
              </w:tc>
              <w:tc>
                <w:tcPr>
                  <w:tcW w:w="387" w:type="pct"/>
                  <w:vAlign w:val="center"/>
                </w:tcPr>
                <w:p w14:paraId="322E5A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r w14:paraId="7189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320956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污染物排放管控</w:t>
                  </w:r>
                </w:p>
              </w:tc>
              <w:tc>
                <w:tcPr>
                  <w:tcW w:w="2389" w:type="pct"/>
                  <w:vAlign w:val="center"/>
                </w:tcPr>
                <w:p w14:paraId="33BE3B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1.执行山西省、长治市的污染物排放控制要求。</w:t>
                  </w:r>
                </w:p>
                <w:p w14:paraId="1AC17A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2.加强工业炉窑深度治理,严格控制物料储存、输送及生产工艺过程无组织排放，加强煤炭等粉粒物料堆场扬尘控制。</w:t>
                  </w:r>
                </w:p>
                <w:p w14:paraId="23A8B4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3.推进焦化行业超低排放改造,开展有组织、无组织及清洁运输等环节全过程、高标准、系统化整治,并建设完善无组织排放监控系统。</w:t>
                  </w:r>
                </w:p>
                <w:p w14:paraId="7D7A08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4.产生含挥发性有机物废气的活动，应当使用低挥发性有机物含量的原材料和工艺，按照规定在密闭空间或者设备中进行。</w:t>
                  </w:r>
                </w:p>
              </w:tc>
              <w:tc>
                <w:tcPr>
                  <w:tcW w:w="1821" w:type="pct"/>
                  <w:vAlign w:val="center"/>
                </w:tcPr>
                <w:p w14:paraId="750A54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szCs w:val="21"/>
                    </w:rPr>
                  </w:pPr>
                  <w:r>
                    <w:rPr>
                      <w:rFonts w:hint="eastAsia"/>
                      <w:color w:val="auto"/>
                      <w:szCs w:val="21"/>
                      <w:lang w:val="en-US" w:eastAsia="zh-CN"/>
                    </w:rPr>
                    <w:t>1.</w:t>
                  </w:r>
                  <w:r>
                    <w:rPr>
                      <w:rFonts w:hint="default"/>
                      <w:color w:val="auto"/>
                      <w:szCs w:val="21"/>
                    </w:rPr>
                    <w:t>根据与《</w:t>
                  </w:r>
                  <w:r>
                    <w:rPr>
                      <w:rFonts w:hint="eastAsia"/>
                      <w:color w:val="auto"/>
                      <w:szCs w:val="21"/>
                    </w:rPr>
                    <w:t>长治市</w:t>
                  </w:r>
                  <w:r>
                    <w:rPr>
                      <w:rFonts w:hint="default"/>
                      <w:color w:val="auto"/>
                      <w:szCs w:val="21"/>
                    </w:rPr>
                    <w:t>“三线一单”生态环境分区管控实施方案》分析，项目符合山西省、</w:t>
                  </w:r>
                  <w:r>
                    <w:rPr>
                      <w:rFonts w:hint="eastAsia"/>
                      <w:color w:val="auto"/>
                      <w:szCs w:val="21"/>
                    </w:rPr>
                    <w:t>长治市</w:t>
                  </w:r>
                  <w:r>
                    <w:rPr>
                      <w:rFonts w:hint="default"/>
                      <w:color w:val="auto"/>
                      <w:szCs w:val="21"/>
                    </w:rPr>
                    <w:t>的空间布局准入要求</w:t>
                  </w:r>
                  <w:r>
                    <w:rPr>
                      <w:rFonts w:hint="eastAsia"/>
                      <w:color w:val="auto"/>
                      <w:szCs w:val="21"/>
                      <w:lang w:eastAsia="zh-CN"/>
                    </w:rPr>
                    <w:t>。</w:t>
                  </w:r>
                </w:p>
                <w:p w14:paraId="5765DD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olor w:val="auto"/>
                      <w:szCs w:val="21"/>
                      <w:lang w:eastAsia="zh-CN"/>
                    </w:rPr>
                  </w:pPr>
                  <w:r>
                    <w:rPr>
                      <w:rFonts w:hint="eastAsia"/>
                      <w:color w:val="auto"/>
                      <w:szCs w:val="21"/>
                      <w:lang w:val="en-US" w:eastAsia="zh-CN"/>
                    </w:rPr>
                    <w:t>2.</w:t>
                  </w:r>
                  <w:r>
                    <w:rPr>
                      <w:rFonts w:hint="eastAsia"/>
                      <w:color w:val="auto"/>
                      <w:szCs w:val="21"/>
                    </w:rPr>
                    <w:t>项目不涉及工业炉窑，生产中采用</w:t>
                  </w:r>
                  <w:r>
                    <w:rPr>
                      <w:rFonts w:hint="eastAsia"/>
                      <w:color w:val="auto"/>
                      <w:szCs w:val="21"/>
                      <w:lang w:val="en-US" w:eastAsia="zh-CN"/>
                    </w:rPr>
                    <w:t>全</w:t>
                  </w:r>
                  <w:r>
                    <w:rPr>
                      <w:rFonts w:hint="eastAsia"/>
                      <w:color w:val="auto"/>
                      <w:szCs w:val="21"/>
                    </w:rPr>
                    <w:t>封闭原料库，严格控制物料储存、输送及生产工艺过程无组织排放；项目不属于重点涉气排放企业，符合区域</w:t>
                  </w:r>
                  <w:r>
                    <w:rPr>
                      <w:rFonts w:hint="default"/>
                      <w:color w:val="auto"/>
                      <w:szCs w:val="21"/>
                    </w:rPr>
                    <w:t>污染物排放管控要求</w:t>
                  </w:r>
                  <w:r>
                    <w:rPr>
                      <w:rFonts w:hint="eastAsia"/>
                      <w:color w:val="auto"/>
                      <w:szCs w:val="21"/>
                      <w:lang w:eastAsia="zh-CN"/>
                    </w:rPr>
                    <w:t>。</w:t>
                  </w:r>
                </w:p>
                <w:p w14:paraId="645DFD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s="宋体"/>
                      <w:bCs/>
                      <w:color w:val="auto"/>
                      <w:kern w:val="2"/>
                      <w:sz w:val="21"/>
                      <w:szCs w:val="21"/>
                      <w:vertAlign w:val="baseline"/>
                      <w:lang w:val="en-US" w:eastAsia="zh-CN" w:bidi="ar"/>
                    </w:rPr>
                  </w:pPr>
                  <w:r>
                    <w:rPr>
                      <w:rFonts w:hint="eastAsia"/>
                      <w:color w:val="auto"/>
                      <w:szCs w:val="21"/>
                      <w:lang w:val="en-US" w:eastAsia="zh-CN"/>
                    </w:rPr>
                    <w:t>3.本项目不属于</w:t>
                  </w:r>
                  <w:r>
                    <w:rPr>
                      <w:rFonts w:hint="eastAsia" w:ascii="Times New Roman" w:hAnsi="Times New Roman" w:eastAsia="宋体" w:cs="宋体"/>
                      <w:bCs/>
                      <w:color w:val="auto"/>
                      <w:kern w:val="2"/>
                      <w:sz w:val="21"/>
                      <w:szCs w:val="21"/>
                      <w:vertAlign w:val="baseline"/>
                      <w:lang w:val="en-US" w:eastAsia="zh-CN" w:bidi="ar"/>
                    </w:rPr>
                    <w:t>焦化行业</w:t>
                  </w:r>
                  <w:r>
                    <w:rPr>
                      <w:rFonts w:hint="eastAsia" w:cs="宋体"/>
                      <w:bCs/>
                      <w:color w:val="auto"/>
                      <w:kern w:val="2"/>
                      <w:sz w:val="21"/>
                      <w:szCs w:val="21"/>
                      <w:vertAlign w:val="baseline"/>
                      <w:lang w:val="en-US" w:eastAsia="zh-CN" w:bidi="ar"/>
                    </w:rPr>
                    <w:t>。</w:t>
                  </w:r>
                </w:p>
                <w:p w14:paraId="3768C4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4.本项目不涉及</w:t>
                  </w:r>
                  <w:r>
                    <w:rPr>
                      <w:rFonts w:hint="eastAsia" w:ascii="Times New Roman" w:hAnsi="Times New Roman" w:eastAsia="宋体" w:cs="宋体"/>
                      <w:bCs/>
                      <w:color w:val="auto"/>
                      <w:kern w:val="2"/>
                      <w:sz w:val="21"/>
                      <w:szCs w:val="21"/>
                      <w:vertAlign w:val="baseline"/>
                      <w:lang w:val="en-US" w:eastAsia="zh-CN" w:bidi="ar"/>
                    </w:rPr>
                    <w:t>挥发性有机物废气</w:t>
                  </w:r>
                  <w:r>
                    <w:rPr>
                      <w:rFonts w:hint="eastAsia" w:cs="宋体"/>
                      <w:bCs/>
                      <w:color w:val="auto"/>
                      <w:kern w:val="2"/>
                      <w:sz w:val="21"/>
                      <w:szCs w:val="21"/>
                      <w:vertAlign w:val="baseline"/>
                      <w:lang w:val="en-US" w:eastAsia="zh-CN" w:bidi="ar"/>
                    </w:rPr>
                    <w:t>。</w:t>
                  </w:r>
                </w:p>
              </w:tc>
              <w:tc>
                <w:tcPr>
                  <w:tcW w:w="387" w:type="pct"/>
                  <w:vAlign w:val="center"/>
                </w:tcPr>
                <w:p w14:paraId="18FE3D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r w14:paraId="11AC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4E6414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环境风险防控</w:t>
                  </w:r>
                </w:p>
              </w:tc>
              <w:tc>
                <w:tcPr>
                  <w:tcW w:w="2389" w:type="pct"/>
                  <w:vAlign w:val="center"/>
                </w:tcPr>
                <w:p w14:paraId="65F868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1.制定环境风险应急预案，成立应急组织机构，定期开展应急风险防范能力</w:t>
                  </w:r>
                  <w:r>
                    <w:rPr>
                      <w:rFonts w:hint="eastAsia" w:cs="宋体"/>
                      <w:bCs/>
                      <w:color w:val="auto"/>
                      <w:kern w:val="2"/>
                      <w:sz w:val="21"/>
                      <w:szCs w:val="21"/>
                      <w:vertAlign w:val="baseline"/>
                      <w:lang w:val="en-US" w:eastAsia="zh-CN" w:bidi="ar"/>
                    </w:rPr>
                    <w:t>。</w:t>
                  </w:r>
                </w:p>
              </w:tc>
              <w:tc>
                <w:tcPr>
                  <w:tcW w:w="1821" w:type="pct"/>
                  <w:vAlign w:val="center"/>
                </w:tcPr>
                <w:p w14:paraId="743C16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color w:val="auto"/>
                      <w:szCs w:val="21"/>
                      <w:lang w:val="en-US" w:eastAsia="zh-CN"/>
                    </w:rPr>
                    <w:t>1.</w:t>
                  </w:r>
                  <w:r>
                    <w:rPr>
                      <w:rFonts w:hint="eastAsia"/>
                      <w:color w:val="auto"/>
                      <w:szCs w:val="21"/>
                    </w:rPr>
                    <w:t>企业</w:t>
                  </w:r>
                  <w:r>
                    <w:rPr>
                      <w:rFonts w:hint="default"/>
                      <w:color w:val="auto"/>
                      <w:szCs w:val="21"/>
                    </w:rPr>
                    <w:t>后续</w:t>
                  </w:r>
                  <w:r>
                    <w:rPr>
                      <w:rFonts w:hint="eastAsia"/>
                      <w:color w:val="auto"/>
                      <w:szCs w:val="21"/>
                    </w:rPr>
                    <w:t>制定环境风险应急预案，成立应急组织机构，定期开展应急风险防范能力。</w:t>
                  </w:r>
                </w:p>
              </w:tc>
              <w:tc>
                <w:tcPr>
                  <w:tcW w:w="387" w:type="pct"/>
                  <w:vAlign w:val="center"/>
                </w:tcPr>
                <w:p w14:paraId="0EF218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r w14:paraId="3F96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01" w:type="pct"/>
                  <w:vAlign w:val="center"/>
                </w:tcPr>
                <w:p w14:paraId="17BE12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color w:val="auto"/>
                      <w:sz w:val="21"/>
                      <w:szCs w:val="21"/>
                    </w:rPr>
                  </w:pPr>
                  <w:r>
                    <w:rPr>
                      <w:rFonts w:hint="eastAsia"/>
                      <w:color w:val="auto"/>
                      <w:sz w:val="21"/>
                      <w:szCs w:val="21"/>
                    </w:rPr>
                    <w:t>资源开发效率要求</w:t>
                  </w:r>
                </w:p>
              </w:tc>
              <w:tc>
                <w:tcPr>
                  <w:tcW w:w="2389" w:type="pct"/>
                  <w:vAlign w:val="center"/>
                </w:tcPr>
                <w:p w14:paraId="47EA0E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1.健全用水总量、用水强度控制指标体系，强化节水约束性指标考核，加快落实重点领域用水指标。</w:t>
                  </w:r>
                </w:p>
                <w:p w14:paraId="461E71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2.提升城市再生水利用水平，完善再生水利用设施，拓宽再生水利用渠道。</w:t>
                  </w:r>
                </w:p>
                <w:p w14:paraId="372580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ascii="Times New Roman" w:hAnsi="Times New Roman" w:eastAsia="宋体" w:cs="宋体"/>
                      <w:bCs/>
                      <w:color w:val="auto"/>
                      <w:kern w:val="2"/>
                      <w:sz w:val="21"/>
                      <w:szCs w:val="21"/>
                      <w:vertAlign w:val="baseline"/>
                      <w:lang w:val="en-US" w:eastAsia="zh-CN" w:bidi="ar"/>
                    </w:rPr>
                    <w:t>3.严格落实耗煤项目煤炭减量替代措施，控制燃煤机组新增装机规模，大力发展新能源和清洁能源，不断提升非化石能源消费比重。</w:t>
                  </w:r>
                </w:p>
              </w:tc>
              <w:tc>
                <w:tcPr>
                  <w:tcW w:w="1821" w:type="pct"/>
                  <w:vAlign w:val="center"/>
                </w:tcPr>
                <w:p w14:paraId="06972D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eastAsia"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1、2.本项目用水为生活用水、生产用水，水源为厂区内现有自来水管网提供。</w:t>
                  </w:r>
                </w:p>
                <w:p w14:paraId="734030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both"/>
                    <w:textAlignment w:val="auto"/>
                    <w:rPr>
                      <w:rFonts w:hint="default"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3.本项目为利用煤矸石制造机制砂石骨料，不涉及</w:t>
                  </w:r>
                  <w:r>
                    <w:rPr>
                      <w:rFonts w:hint="eastAsia" w:ascii="Times New Roman" w:hAnsi="Times New Roman" w:eastAsia="宋体" w:cs="宋体"/>
                      <w:bCs/>
                      <w:color w:val="auto"/>
                      <w:kern w:val="2"/>
                      <w:sz w:val="21"/>
                      <w:szCs w:val="21"/>
                      <w:vertAlign w:val="baseline"/>
                      <w:lang w:val="en-US" w:eastAsia="zh-CN" w:bidi="ar"/>
                    </w:rPr>
                    <w:t>燃煤机组</w:t>
                  </w:r>
                  <w:r>
                    <w:rPr>
                      <w:rFonts w:hint="eastAsia" w:cs="宋体"/>
                      <w:bCs/>
                      <w:color w:val="auto"/>
                      <w:kern w:val="2"/>
                      <w:sz w:val="21"/>
                      <w:szCs w:val="21"/>
                      <w:vertAlign w:val="baseline"/>
                      <w:lang w:val="en-US" w:eastAsia="zh-CN" w:bidi="ar"/>
                    </w:rPr>
                    <w:t>。</w:t>
                  </w:r>
                </w:p>
              </w:tc>
              <w:tc>
                <w:tcPr>
                  <w:tcW w:w="387" w:type="pct"/>
                  <w:vAlign w:val="center"/>
                </w:tcPr>
                <w:p w14:paraId="22208C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bl>
          <w:p w14:paraId="7CF738D6">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480" w:firstLineChars="200"/>
              <w:textAlignment w:val="auto"/>
              <w:rPr>
                <w:rFonts w:hint="eastAsia" w:hAnsi="宋体"/>
                <w:b w:val="0"/>
                <w:bCs/>
                <w:color w:val="auto"/>
                <w:kern w:val="0"/>
                <w:sz w:val="24"/>
                <w:lang w:val="en-US" w:eastAsia="zh-CN"/>
              </w:rPr>
            </w:pPr>
            <w:r>
              <w:rPr>
                <w:rFonts w:hint="eastAsia" w:hAnsi="宋体"/>
                <w:b w:val="0"/>
                <w:bCs/>
                <w:color w:val="auto"/>
                <w:kern w:val="0"/>
                <w:sz w:val="24"/>
                <w:lang w:val="en-US" w:eastAsia="zh-CN"/>
              </w:rPr>
              <w:t>由上表可以看出，本项目建设符合重点管控单元的相关要求。</w:t>
            </w:r>
          </w:p>
          <w:p w14:paraId="315AD2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eastAsia" w:ascii="Times New Roman" w:hAnsi="Times New Roman" w:eastAsia="宋体" w:cs="宋体"/>
                <w:bCs/>
                <w:color w:val="auto"/>
                <w:kern w:val="2"/>
                <w:sz w:val="24"/>
                <w:szCs w:val="24"/>
                <w:lang w:val="en-US" w:eastAsia="zh-CN" w:bidi="ar"/>
              </w:rPr>
            </w:pPr>
            <w:r>
              <w:rPr>
                <w:rFonts w:hint="default"/>
                <w:b/>
                <w:color w:val="auto"/>
                <w:sz w:val="21"/>
                <w:szCs w:val="21"/>
                <w:highlight w:val="none"/>
                <w:lang w:val="en-US" w:eastAsia="zh-CN"/>
              </w:rPr>
              <w:t>表1</w:t>
            </w:r>
            <w:r>
              <w:rPr>
                <w:rFonts w:hint="eastAsia"/>
                <w:b/>
                <w:color w:val="auto"/>
                <w:szCs w:val="21"/>
                <w:lang w:val="en-US" w:eastAsia="zh-CN"/>
              </w:rPr>
              <w:t>.2</w:t>
            </w:r>
            <w:r>
              <w:rPr>
                <w:rFonts w:hint="default"/>
                <w:b/>
                <w:color w:val="auto"/>
                <w:sz w:val="21"/>
                <w:szCs w:val="21"/>
                <w:highlight w:val="none"/>
                <w:lang w:val="en-US" w:eastAsia="zh-CN"/>
              </w:rPr>
              <w:t>-</w:t>
            </w:r>
            <w:r>
              <w:rPr>
                <w:rFonts w:hint="eastAsia"/>
                <w:b/>
                <w:color w:val="auto"/>
                <w:sz w:val="21"/>
                <w:szCs w:val="21"/>
                <w:highlight w:val="none"/>
                <w:lang w:val="en-US" w:eastAsia="zh-CN"/>
              </w:rPr>
              <w:t>3</w:t>
            </w:r>
            <w:r>
              <w:rPr>
                <w:rFonts w:hint="default"/>
                <w:b/>
                <w:color w:val="auto"/>
                <w:sz w:val="21"/>
                <w:szCs w:val="21"/>
                <w:highlight w:val="none"/>
                <w:lang w:val="en-US" w:eastAsia="zh-CN"/>
              </w:rPr>
              <w:t xml:space="preserve">  长治市生态环境准入总体要求</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5261"/>
              <w:gridCol w:w="1887"/>
              <w:gridCol w:w="708"/>
            </w:tblGrid>
            <w:tr w14:paraId="1819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6B7C2F00">
                  <w:pPr>
                    <w:pStyle w:val="3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管控类别</w:t>
                  </w:r>
                </w:p>
              </w:tc>
              <w:tc>
                <w:tcPr>
                  <w:tcW w:w="3070" w:type="pct"/>
                  <w:vAlign w:val="center"/>
                </w:tcPr>
                <w:p w14:paraId="67991A7B">
                  <w:pPr>
                    <w:pStyle w:val="3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管控要求</w:t>
                  </w:r>
                </w:p>
              </w:tc>
              <w:tc>
                <w:tcPr>
                  <w:tcW w:w="1101" w:type="pct"/>
                  <w:vAlign w:val="center"/>
                </w:tcPr>
                <w:p w14:paraId="0C3E6139">
                  <w:pPr>
                    <w:pStyle w:val="3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highlight w:val="yellow"/>
                      <w:vertAlign w:val="baseline"/>
                      <w:lang w:val="en-US" w:eastAsia="zh-CN" w:bidi="ar"/>
                    </w:rPr>
                  </w:pPr>
                  <w:r>
                    <w:rPr>
                      <w:rFonts w:hint="default" w:ascii="Times New Roman" w:hAnsi="Times New Roman" w:eastAsia="宋体" w:cs="Times New Roman"/>
                      <w:b/>
                      <w:bCs/>
                      <w:color w:val="auto"/>
                      <w:sz w:val="21"/>
                      <w:szCs w:val="21"/>
                      <w:highlight w:val="none"/>
                    </w:rPr>
                    <w:t>项目情况</w:t>
                  </w:r>
                </w:p>
              </w:tc>
              <w:tc>
                <w:tcPr>
                  <w:tcW w:w="413" w:type="pct"/>
                  <w:vAlign w:val="center"/>
                </w:tcPr>
                <w:p w14:paraId="776BCEE3">
                  <w:pPr>
                    <w:pStyle w:val="3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ascii="Times New Roman" w:hAnsi="Times New Roman" w:eastAsia="宋体" w:cs="Times New Roman"/>
                      <w:b/>
                      <w:bCs/>
                      <w:color w:val="auto"/>
                      <w:sz w:val="21"/>
                      <w:szCs w:val="21"/>
                      <w:highlight w:val="none"/>
                    </w:rPr>
                    <w:t>符合性</w:t>
                  </w:r>
                </w:p>
              </w:tc>
            </w:tr>
            <w:tr w14:paraId="6529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13F9D7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default"/>
                      <w:color w:val="auto"/>
                      <w:sz w:val="21"/>
                      <w:szCs w:val="21"/>
                    </w:rPr>
                    <w:t>空间布局约束</w:t>
                  </w:r>
                </w:p>
              </w:tc>
              <w:tc>
                <w:tcPr>
                  <w:tcW w:w="3070" w:type="pct"/>
                  <w:vAlign w:val="center"/>
                </w:tcPr>
                <w:p w14:paraId="69EA8F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在泉域保护范围以及岩溶强发育、存在较多落水洞和岩溶漏斗的区域内，不得新建、改建、扩建可能造成地下水污染的建设项目。</w:t>
                  </w:r>
                </w:p>
                <w:p w14:paraId="52E30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2</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禁止在人口集中地区和其他依法需要特殊保护的区域内焚烧沥青、油毡、橡胶、塑料、皮革、垃圾以及其他产生有毒有害烟尘和恶臭气体的物质。</w:t>
                  </w:r>
                </w:p>
                <w:p w14:paraId="16F0B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3</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禁止在居民住宅楼、未配套设立专用烟道的商住综合楼以及商住综合楼内与居住层相邻的商业楼层内新建、改建、扩建产生油烟、异味、废气的餐饮服务项目。</w:t>
                  </w:r>
                </w:p>
                <w:p w14:paraId="3829E5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4</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在漳泽湖保护区内新建、改建、扩建工程，不得影响水工程安全和运行管理，不得损害河流、湖泊及湿地的生态环境。</w:t>
                  </w:r>
                </w:p>
                <w:p w14:paraId="3001C4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5</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漳泽湖的开发利用应当以不影响湖区功能和不超过生态环境承载力为前提，开发利用项目应当以生态、文化、旅游、康养、休闲为主。</w:t>
                  </w:r>
                </w:p>
                <w:p w14:paraId="6884B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6</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在辛安泉饮用水水源地准保护区范围内禁止下列行为：1）新建、扩建对水体污染严重的建设项目；2）法律、法规规定的其他禁止行为。</w:t>
                  </w:r>
                </w:p>
                <w:p w14:paraId="421F12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7</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二级保护区除禁止准保护区规定的行为外，还禁止下列行为：1）新建、改建、扩建炼焦、化工、炼油、冶炼、电镀、皮革、造纸、制浆、印染、染料、放射性以及其他排放污染物的建设项目；2）建设畜禽养殖场、养殖小区；3）建设工业固体废物、粪便和易溶、有毒有害废弃物集中贮存、处置的设施、场所和生活垃圾填埋场、转运站；4）可能对辛安泉饮用水水源地二级保护区水环境安全造成危害的其他行为。</w:t>
                  </w:r>
                </w:p>
                <w:p w14:paraId="1D2302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8</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一级保护区内除禁止准保护区和二级保护区规定的行为外，还禁止下列行为：1）新建、改建、扩建与供水设施、防洪设施和保护水源无关的建设项目；2）从事网箱养殖、旅游、游泳、垂钓、水上训练或者其他可能污染饮用水水体的活动；3）设置与供水需要无关的码头、停靠船舶；4）设置旅游娱乐设施、餐饮服务项目；5）可能对辛安泉饮用水水源地一级保护区水环境安全造成危害的其他行为。</w:t>
                  </w:r>
                </w:p>
                <w:p w14:paraId="630504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9</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严禁浊漳南源、北源、干流等河流谷地，太行山旅游板块，以及人居环境敏感的区域布局重污染项目。</w:t>
                  </w:r>
                </w:p>
                <w:p w14:paraId="14EA3D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10</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严禁在漳泽湖生态保护与修复区域、城市(县城)规划区布局钢铁(不含短流程炼钢)、铸造(不含高端铸件)、水泥、有色等高污染项目，以及危险化学品贮存、处理处置等高风险项目。</w:t>
                  </w:r>
                </w:p>
                <w:p w14:paraId="1ECF7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11</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依法应当开展土壤污染状况调查或风险评估而未开展或尚未完成的地块，以及未达到土壤污染风险评估报告确定的风险管控、修复目标的地块，不得核发建设工程规划许可证，不得开工建设与风险管控、修复无关的项目。</w:t>
                  </w:r>
                </w:p>
                <w:p w14:paraId="29F6D9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12</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合理规划污染地块用途，从严管控焦化、农药、化工等行业中的重度污染地块规划用途，鼓励用于拓展生态空间。</w:t>
                  </w:r>
                </w:p>
                <w:p w14:paraId="257139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13</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严格控制辛安泉泉域范围内取用地下水，控制高耗水项目审批。</w:t>
                  </w:r>
                </w:p>
                <w:p w14:paraId="47E27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14</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坚决遏制高耗能、高排放、低水平项目盲目上马。</w:t>
                  </w:r>
                </w:p>
                <w:p w14:paraId="27EB51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15</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严格落实《产业结构调整指导目录》，依法依规推动落后产能退出，加快限制类涉气行业工艺和装备升级改造。</w:t>
                  </w:r>
                </w:p>
                <w:p w14:paraId="6FFDE4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16</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涉及产能置换的项目（煤电项目除外），被置换产能及其配套设施关停后，新建项目方可投产。</w:t>
                  </w:r>
                </w:p>
                <w:p w14:paraId="7116E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17</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严把项目环境影响评价准入关，严格控制生产和使用高VOCs含量涂料、油墨、胶粘剂、清洗剂等建设项目。</w:t>
                  </w:r>
                </w:p>
                <w:p w14:paraId="1314C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18</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严禁新增钢铁产能，到2025年底，短流程炼钢产量占比力争达到5％。</w:t>
                  </w:r>
                </w:p>
              </w:tc>
              <w:tc>
                <w:tcPr>
                  <w:tcW w:w="1101" w:type="pct"/>
                  <w:vAlign w:val="center"/>
                </w:tcPr>
                <w:p w14:paraId="317DE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1.</w:t>
                  </w:r>
                  <w:r>
                    <w:rPr>
                      <w:rFonts w:hint="eastAsia" w:cs="宋体"/>
                      <w:bCs/>
                      <w:color w:val="auto"/>
                      <w:kern w:val="2"/>
                      <w:sz w:val="21"/>
                      <w:szCs w:val="21"/>
                      <w:highlight w:val="none"/>
                      <w:vertAlign w:val="baseline"/>
                      <w:lang w:val="en-US" w:eastAsia="zh-CN" w:bidi="ar"/>
                    </w:rPr>
                    <w:t>本项目</w:t>
                  </w:r>
                  <w:r>
                    <w:rPr>
                      <w:rFonts w:hint="eastAsia" w:ascii="Times New Roman" w:hAnsi="Times New Roman" w:eastAsia="宋体" w:cs="宋体"/>
                      <w:bCs/>
                      <w:color w:val="auto"/>
                      <w:kern w:val="2"/>
                      <w:sz w:val="21"/>
                      <w:szCs w:val="21"/>
                      <w:highlight w:val="none"/>
                      <w:vertAlign w:val="baseline"/>
                      <w:lang w:val="en-US" w:eastAsia="zh-CN" w:bidi="ar"/>
                    </w:rPr>
                    <w:t>不</w:t>
                  </w:r>
                  <w:r>
                    <w:rPr>
                      <w:rFonts w:hint="eastAsia" w:cs="宋体"/>
                      <w:bCs/>
                      <w:color w:val="auto"/>
                      <w:kern w:val="2"/>
                      <w:sz w:val="21"/>
                      <w:szCs w:val="21"/>
                      <w:highlight w:val="none"/>
                      <w:vertAlign w:val="baseline"/>
                      <w:lang w:val="en-US" w:eastAsia="zh-CN" w:bidi="ar"/>
                    </w:rPr>
                    <w:t>属于</w:t>
                  </w:r>
                  <w:r>
                    <w:rPr>
                      <w:rFonts w:hint="default" w:ascii="Times New Roman" w:hAnsi="Times New Roman" w:eastAsia="宋体" w:cs="Times New Roman"/>
                      <w:bCs/>
                      <w:color w:val="auto"/>
                      <w:kern w:val="2"/>
                      <w:sz w:val="21"/>
                      <w:szCs w:val="21"/>
                      <w:vertAlign w:val="baseline"/>
                      <w:lang w:val="en-US" w:eastAsia="zh-CN" w:bidi="ar"/>
                    </w:rPr>
                    <w:t>地下水污染</w:t>
                  </w:r>
                  <w:r>
                    <w:rPr>
                      <w:rFonts w:hint="eastAsia" w:cs="Times New Roman"/>
                      <w:bCs/>
                      <w:color w:val="auto"/>
                      <w:kern w:val="2"/>
                      <w:sz w:val="21"/>
                      <w:szCs w:val="21"/>
                      <w:vertAlign w:val="baseline"/>
                      <w:lang w:val="en-US" w:eastAsia="zh-CN" w:bidi="ar"/>
                    </w:rPr>
                    <w:t>类项目</w:t>
                  </w:r>
                  <w:r>
                    <w:rPr>
                      <w:rFonts w:hint="eastAsia" w:cs="Times New Roman"/>
                      <w:bCs/>
                      <w:color w:val="auto"/>
                      <w:kern w:val="2"/>
                      <w:sz w:val="21"/>
                      <w:szCs w:val="21"/>
                      <w:highlight w:val="none"/>
                      <w:vertAlign w:val="baseline"/>
                      <w:lang w:val="en-US" w:eastAsia="zh-CN" w:bidi="ar"/>
                    </w:rPr>
                    <w:t>；</w:t>
                  </w:r>
                </w:p>
                <w:p w14:paraId="5CE6F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2.</w:t>
                  </w:r>
                  <w:r>
                    <w:rPr>
                      <w:rFonts w:hint="eastAsia" w:cs="宋体"/>
                      <w:bCs/>
                      <w:color w:val="auto"/>
                      <w:kern w:val="2"/>
                      <w:sz w:val="21"/>
                      <w:szCs w:val="21"/>
                      <w:highlight w:val="none"/>
                      <w:vertAlign w:val="baseline"/>
                      <w:lang w:val="en-US" w:eastAsia="zh-CN" w:bidi="ar"/>
                    </w:rPr>
                    <w:t>本项目</w:t>
                  </w:r>
                  <w:r>
                    <w:rPr>
                      <w:rFonts w:hint="eastAsia" w:ascii="Times New Roman" w:hAnsi="Times New Roman" w:eastAsia="宋体" w:cs="宋体"/>
                      <w:bCs/>
                      <w:color w:val="auto"/>
                      <w:kern w:val="2"/>
                      <w:sz w:val="21"/>
                      <w:szCs w:val="21"/>
                      <w:highlight w:val="none"/>
                      <w:vertAlign w:val="baseline"/>
                      <w:lang w:val="en-US" w:eastAsia="zh-CN" w:bidi="ar"/>
                    </w:rPr>
                    <w:t>不属于</w:t>
                  </w:r>
                  <w:r>
                    <w:rPr>
                      <w:rFonts w:hint="eastAsia" w:cs="宋体"/>
                      <w:bCs/>
                      <w:color w:val="auto"/>
                      <w:kern w:val="2"/>
                      <w:sz w:val="21"/>
                      <w:szCs w:val="21"/>
                      <w:highlight w:val="none"/>
                      <w:vertAlign w:val="baseline"/>
                      <w:lang w:val="en-US" w:eastAsia="zh-CN" w:bidi="ar"/>
                    </w:rPr>
                    <w:t>左述类</w:t>
                  </w:r>
                  <w:r>
                    <w:rPr>
                      <w:rFonts w:hint="default" w:ascii="Times New Roman" w:hAnsi="Times New Roman" w:eastAsia="宋体" w:cs="Times New Roman"/>
                      <w:bCs/>
                      <w:color w:val="auto"/>
                      <w:kern w:val="2"/>
                      <w:sz w:val="21"/>
                      <w:szCs w:val="21"/>
                      <w:highlight w:val="none"/>
                      <w:vertAlign w:val="baseline"/>
                      <w:lang w:val="en-US" w:eastAsia="zh-CN" w:bidi="ar"/>
                    </w:rPr>
                    <w:t>项目</w:t>
                  </w:r>
                  <w:r>
                    <w:rPr>
                      <w:rFonts w:hint="eastAsia" w:cs="Times New Roman"/>
                      <w:bCs/>
                      <w:color w:val="auto"/>
                      <w:kern w:val="2"/>
                      <w:sz w:val="21"/>
                      <w:szCs w:val="21"/>
                      <w:highlight w:val="none"/>
                      <w:vertAlign w:val="baseline"/>
                      <w:lang w:val="en-US" w:eastAsia="zh-CN" w:bidi="ar"/>
                    </w:rPr>
                    <w:t>，且不产生有毒有害烟尘和恶臭气体；</w:t>
                  </w:r>
                </w:p>
                <w:p w14:paraId="6BBE9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宋体"/>
                      <w:bCs/>
                      <w:color w:val="auto"/>
                      <w:kern w:val="2"/>
                      <w:sz w:val="21"/>
                      <w:szCs w:val="21"/>
                      <w:highlight w:val="none"/>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3.</w:t>
                  </w:r>
                  <w:r>
                    <w:rPr>
                      <w:rFonts w:hint="eastAsia" w:cs="宋体"/>
                      <w:bCs/>
                      <w:color w:val="auto"/>
                      <w:kern w:val="2"/>
                      <w:sz w:val="21"/>
                      <w:szCs w:val="21"/>
                      <w:highlight w:val="none"/>
                      <w:vertAlign w:val="baseline"/>
                      <w:lang w:val="en-US" w:eastAsia="zh-CN" w:bidi="ar"/>
                    </w:rPr>
                    <w:t>本项目不属于</w:t>
                  </w:r>
                  <w:r>
                    <w:rPr>
                      <w:rFonts w:hint="default" w:ascii="Times New Roman" w:hAnsi="Times New Roman" w:eastAsia="宋体" w:cs="Times New Roman"/>
                      <w:bCs/>
                      <w:color w:val="auto"/>
                      <w:kern w:val="2"/>
                      <w:sz w:val="21"/>
                      <w:szCs w:val="21"/>
                      <w:vertAlign w:val="baseline"/>
                      <w:lang w:val="en-US" w:eastAsia="zh-CN" w:bidi="ar"/>
                    </w:rPr>
                    <w:t>餐饮服务项目</w:t>
                  </w:r>
                  <w:r>
                    <w:rPr>
                      <w:rFonts w:hint="eastAsia" w:cs="宋体"/>
                      <w:bCs/>
                      <w:color w:val="auto"/>
                      <w:kern w:val="2"/>
                      <w:sz w:val="21"/>
                      <w:szCs w:val="21"/>
                      <w:highlight w:val="none"/>
                      <w:vertAlign w:val="baseline"/>
                      <w:lang w:val="en-US" w:eastAsia="zh-CN" w:bidi="ar"/>
                    </w:rPr>
                    <w:t>；</w:t>
                  </w:r>
                </w:p>
                <w:p w14:paraId="16EB5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4.</w:t>
                  </w:r>
                  <w:r>
                    <w:rPr>
                      <w:rFonts w:hint="eastAsia" w:cs="宋体"/>
                      <w:bCs/>
                      <w:color w:val="auto"/>
                      <w:kern w:val="2"/>
                      <w:sz w:val="21"/>
                      <w:szCs w:val="21"/>
                      <w:highlight w:val="none"/>
                      <w:vertAlign w:val="baseline"/>
                      <w:lang w:val="en-US" w:eastAsia="zh-CN" w:bidi="ar"/>
                    </w:rPr>
                    <w:t>本项目</w:t>
                  </w:r>
                  <w:r>
                    <w:rPr>
                      <w:rFonts w:hint="eastAsia" w:cs="Times New Roman"/>
                      <w:bCs/>
                      <w:color w:val="auto"/>
                      <w:kern w:val="2"/>
                      <w:sz w:val="21"/>
                      <w:szCs w:val="21"/>
                      <w:vertAlign w:val="baseline"/>
                      <w:lang w:val="en-US" w:eastAsia="zh-CN" w:bidi="ar"/>
                    </w:rPr>
                    <w:t>不在</w:t>
                  </w:r>
                  <w:r>
                    <w:rPr>
                      <w:rFonts w:hint="default" w:ascii="Times New Roman" w:hAnsi="Times New Roman" w:eastAsia="宋体" w:cs="Times New Roman"/>
                      <w:bCs/>
                      <w:color w:val="auto"/>
                      <w:kern w:val="2"/>
                      <w:sz w:val="21"/>
                      <w:szCs w:val="21"/>
                      <w:vertAlign w:val="baseline"/>
                      <w:lang w:val="en-US" w:eastAsia="zh-CN" w:bidi="ar"/>
                    </w:rPr>
                    <w:t>漳泽湖保护区内</w:t>
                  </w:r>
                  <w:r>
                    <w:rPr>
                      <w:rFonts w:hint="eastAsia" w:cs="Times New Roman"/>
                      <w:bCs/>
                      <w:color w:val="auto"/>
                      <w:kern w:val="2"/>
                      <w:sz w:val="21"/>
                      <w:szCs w:val="21"/>
                      <w:highlight w:val="none"/>
                      <w:vertAlign w:val="baseline"/>
                      <w:lang w:val="en-US" w:eastAsia="zh-CN" w:bidi="ar"/>
                    </w:rPr>
                    <w:t>；</w:t>
                  </w:r>
                </w:p>
                <w:p w14:paraId="03BDC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5.</w:t>
                  </w:r>
                  <w:r>
                    <w:rPr>
                      <w:rFonts w:hint="eastAsia" w:cs="宋体"/>
                      <w:bCs/>
                      <w:color w:val="auto"/>
                      <w:kern w:val="2"/>
                      <w:sz w:val="21"/>
                      <w:szCs w:val="21"/>
                      <w:highlight w:val="none"/>
                      <w:vertAlign w:val="baseline"/>
                      <w:lang w:val="en-US" w:eastAsia="zh-CN" w:bidi="ar"/>
                    </w:rPr>
                    <w:t>本项目</w:t>
                  </w:r>
                  <w:r>
                    <w:rPr>
                      <w:rFonts w:hint="eastAsia" w:ascii="Times New Roman" w:hAnsi="Times New Roman" w:eastAsia="宋体" w:cs="宋体"/>
                      <w:bCs/>
                      <w:color w:val="auto"/>
                      <w:kern w:val="2"/>
                      <w:sz w:val="21"/>
                      <w:szCs w:val="21"/>
                      <w:highlight w:val="none"/>
                      <w:vertAlign w:val="baseline"/>
                      <w:lang w:val="en-US" w:eastAsia="zh-CN" w:bidi="ar"/>
                    </w:rPr>
                    <w:t>不涉及</w:t>
                  </w:r>
                  <w:r>
                    <w:rPr>
                      <w:rFonts w:hint="default" w:ascii="Times New Roman" w:hAnsi="Times New Roman" w:eastAsia="宋体" w:cs="Times New Roman"/>
                      <w:bCs/>
                      <w:color w:val="auto"/>
                      <w:kern w:val="2"/>
                      <w:sz w:val="21"/>
                      <w:szCs w:val="21"/>
                      <w:vertAlign w:val="baseline"/>
                      <w:lang w:val="en-US" w:eastAsia="zh-CN" w:bidi="ar"/>
                    </w:rPr>
                    <w:t>漳泽湖的开发利用</w:t>
                  </w:r>
                  <w:r>
                    <w:rPr>
                      <w:rFonts w:hint="eastAsia" w:cs="Times New Roman"/>
                      <w:bCs/>
                      <w:color w:val="auto"/>
                      <w:kern w:val="2"/>
                      <w:sz w:val="21"/>
                      <w:szCs w:val="21"/>
                      <w:highlight w:val="none"/>
                      <w:vertAlign w:val="baseline"/>
                      <w:lang w:val="en-US" w:eastAsia="zh-CN" w:bidi="ar"/>
                    </w:rPr>
                    <w:t>；</w:t>
                  </w:r>
                </w:p>
                <w:p w14:paraId="476B4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Times New Roman"/>
                      <w:bCs/>
                      <w:color w:val="auto"/>
                      <w:kern w:val="2"/>
                      <w:sz w:val="21"/>
                      <w:szCs w:val="21"/>
                      <w:highlight w:val="none"/>
                      <w:vertAlign w:val="baseline"/>
                      <w:lang w:val="en-US" w:eastAsia="zh-CN" w:bidi="ar"/>
                    </w:rPr>
                  </w:pPr>
                  <w:r>
                    <w:rPr>
                      <w:rFonts w:hint="eastAsia" w:ascii="Times New Roman" w:hAnsi="Times New Roman" w:eastAsia="宋体" w:cs="Times New Roman"/>
                      <w:bCs/>
                      <w:color w:val="auto"/>
                      <w:kern w:val="2"/>
                      <w:sz w:val="21"/>
                      <w:szCs w:val="21"/>
                      <w:highlight w:val="none"/>
                      <w:vertAlign w:val="baseline"/>
                      <w:lang w:val="en-US" w:eastAsia="zh-CN" w:bidi="ar"/>
                    </w:rPr>
                    <w:t>6.本项目</w:t>
                  </w:r>
                  <w:r>
                    <w:rPr>
                      <w:rFonts w:hint="eastAsia" w:cs="Times New Roman"/>
                      <w:bCs/>
                      <w:color w:val="auto"/>
                      <w:kern w:val="2"/>
                      <w:sz w:val="21"/>
                      <w:szCs w:val="21"/>
                      <w:highlight w:val="none"/>
                      <w:vertAlign w:val="baseline"/>
                      <w:lang w:val="en-US" w:eastAsia="zh-CN" w:bidi="ar"/>
                    </w:rPr>
                    <w:t>生活污水和生产废水不外排，不属于左述项目</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42B91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宋体"/>
                      <w:bCs/>
                      <w:color w:val="auto"/>
                      <w:kern w:val="2"/>
                      <w:sz w:val="21"/>
                      <w:szCs w:val="21"/>
                      <w:highlight w:val="yellow"/>
                      <w:vertAlign w:val="baseline"/>
                      <w:lang w:val="en-US" w:eastAsia="zh-CN" w:bidi="ar"/>
                    </w:rPr>
                  </w:pPr>
                  <w:r>
                    <w:rPr>
                      <w:rFonts w:hint="eastAsia" w:ascii="Times New Roman" w:hAnsi="Times New Roman" w:eastAsia="宋体" w:cs="宋体"/>
                      <w:bCs/>
                      <w:color w:val="auto"/>
                      <w:kern w:val="2"/>
                      <w:sz w:val="21"/>
                      <w:szCs w:val="21"/>
                      <w:highlight w:val="none"/>
                      <w:vertAlign w:val="baseline"/>
                      <w:lang w:val="en-US" w:eastAsia="zh-CN" w:bidi="ar"/>
                    </w:rPr>
                    <w:t>7.</w:t>
                  </w:r>
                  <w:r>
                    <w:rPr>
                      <w:rFonts w:hint="eastAsia" w:cs="宋体"/>
                      <w:bCs/>
                      <w:color w:val="auto"/>
                      <w:kern w:val="2"/>
                      <w:sz w:val="21"/>
                      <w:szCs w:val="21"/>
                      <w:highlight w:val="none"/>
                      <w:vertAlign w:val="baseline"/>
                      <w:lang w:val="en-US" w:eastAsia="zh-CN" w:bidi="ar"/>
                    </w:rPr>
                    <w:t>本项目</w:t>
                  </w:r>
                  <w:r>
                    <w:rPr>
                      <w:rFonts w:hint="eastAsia" w:ascii="Times New Roman" w:hAnsi="Times New Roman" w:eastAsia="宋体" w:cs="宋体"/>
                      <w:bCs/>
                      <w:color w:val="auto"/>
                      <w:kern w:val="2"/>
                      <w:sz w:val="21"/>
                      <w:szCs w:val="21"/>
                      <w:highlight w:val="none"/>
                      <w:vertAlign w:val="baseline"/>
                      <w:lang w:val="en-US" w:eastAsia="zh-CN" w:bidi="ar"/>
                    </w:rPr>
                    <w:t>不属于</w:t>
                  </w:r>
                  <w:r>
                    <w:rPr>
                      <w:rFonts w:hint="eastAsia" w:cs="宋体"/>
                      <w:bCs/>
                      <w:color w:val="auto"/>
                      <w:kern w:val="2"/>
                      <w:sz w:val="21"/>
                      <w:szCs w:val="21"/>
                      <w:highlight w:val="none"/>
                      <w:vertAlign w:val="baseline"/>
                      <w:lang w:val="en-US" w:eastAsia="zh-CN" w:bidi="ar"/>
                    </w:rPr>
                    <w:t>左述项目</w:t>
                  </w:r>
                  <w:r>
                    <w:rPr>
                      <w:rFonts w:hint="eastAsia" w:cs="Times New Roman"/>
                      <w:bCs/>
                      <w:color w:val="auto"/>
                      <w:kern w:val="2"/>
                      <w:sz w:val="21"/>
                      <w:szCs w:val="21"/>
                      <w:vertAlign w:val="baseline"/>
                      <w:lang w:val="en-US" w:eastAsia="zh-CN" w:bidi="ar"/>
                    </w:rPr>
                    <w:t>；</w:t>
                  </w:r>
                </w:p>
                <w:p w14:paraId="6DE9A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8.</w:t>
                  </w:r>
                  <w:r>
                    <w:rPr>
                      <w:rFonts w:hint="eastAsia" w:cs="宋体"/>
                      <w:bCs/>
                      <w:color w:val="auto"/>
                      <w:kern w:val="2"/>
                      <w:sz w:val="21"/>
                      <w:szCs w:val="21"/>
                      <w:highlight w:val="none"/>
                      <w:vertAlign w:val="baseline"/>
                      <w:lang w:val="en-US" w:eastAsia="zh-CN" w:bidi="ar"/>
                    </w:rPr>
                    <w:t>本项目</w:t>
                  </w:r>
                  <w:r>
                    <w:rPr>
                      <w:rFonts w:hint="eastAsia" w:ascii="Times New Roman" w:hAnsi="Times New Roman" w:eastAsia="宋体" w:cs="宋体"/>
                      <w:bCs/>
                      <w:color w:val="auto"/>
                      <w:kern w:val="2"/>
                      <w:sz w:val="21"/>
                      <w:szCs w:val="21"/>
                      <w:highlight w:val="none"/>
                      <w:vertAlign w:val="baseline"/>
                      <w:lang w:val="en-US" w:eastAsia="zh-CN" w:bidi="ar"/>
                    </w:rPr>
                    <w:t>不属于</w:t>
                  </w:r>
                  <w:r>
                    <w:rPr>
                      <w:rFonts w:hint="eastAsia" w:cs="宋体"/>
                      <w:bCs/>
                      <w:color w:val="auto"/>
                      <w:kern w:val="2"/>
                      <w:sz w:val="21"/>
                      <w:szCs w:val="21"/>
                      <w:highlight w:val="none"/>
                      <w:vertAlign w:val="baseline"/>
                      <w:lang w:val="en-US" w:eastAsia="zh-CN" w:bidi="ar"/>
                    </w:rPr>
                    <w:t>左述项目</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1D79E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9.本项目</w:t>
                  </w:r>
                  <w:r>
                    <w:rPr>
                      <w:rFonts w:hint="eastAsia" w:ascii="Times New Roman" w:hAnsi="Times New Roman" w:eastAsia="宋体" w:cs="Times New Roman"/>
                      <w:color w:val="auto"/>
                      <w:kern w:val="0"/>
                      <w:sz w:val="21"/>
                      <w:szCs w:val="21"/>
                      <w:highlight w:val="none"/>
                      <w:lang w:val="en-US" w:eastAsia="zh-CN" w:bidi="ar"/>
                    </w:rPr>
                    <w:t>不属于</w:t>
                  </w:r>
                  <w:r>
                    <w:rPr>
                      <w:rFonts w:hint="default" w:ascii="Times New Roman" w:hAnsi="Times New Roman" w:eastAsia="宋体" w:cs="Times New Roman"/>
                      <w:bCs/>
                      <w:color w:val="auto"/>
                      <w:kern w:val="2"/>
                      <w:sz w:val="21"/>
                      <w:szCs w:val="21"/>
                      <w:highlight w:val="none"/>
                      <w:vertAlign w:val="baseline"/>
                      <w:lang w:val="en-US" w:eastAsia="zh-CN" w:bidi="ar"/>
                    </w:rPr>
                    <w:t>重污染行业</w:t>
                  </w:r>
                  <w:r>
                    <w:rPr>
                      <w:rFonts w:hint="eastAsia" w:cs="Times New Roman"/>
                      <w:bCs/>
                      <w:color w:val="auto"/>
                      <w:kern w:val="2"/>
                      <w:sz w:val="21"/>
                      <w:szCs w:val="21"/>
                      <w:highlight w:val="none"/>
                      <w:vertAlign w:val="baseline"/>
                      <w:lang w:val="en-US" w:eastAsia="zh-CN" w:bidi="ar"/>
                    </w:rPr>
                    <w:t>；</w:t>
                  </w:r>
                </w:p>
                <w:p w14:paraId="4DCE7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color w:val="auto"/>
                      <w:kern w:val="0"/>
                      <w:sz w:val="21"/>
                      <w:szCs w:val="21"/>
                      <w:highlight w:val="none"/>
                      <w:lang w:val="en-US" w:eastAsia="zh-CN" w:bidi="ar"/>
                    </w:rPr>
                    <w:t>10.</w:t>
                  </w:r>
                  <w:r>
                    <w:rPr>
                      <w:rFonts w:hint="default" w:ascii="Times New Roman" w:hAnsi="Times New Roman" w:eastAsia="宋体" w:cs="Times New Roman"/>
                      <w:bCs/>
                      <w:color w:val="auto"/>
                      <w:kern w:val="2"/>
                      <w:sz w:val="21"/>
                      <w:szCs w:val="21"/>
                      <w:highlight w:val="none"/>
                      <w:vertAlign w:val="baseline"/>
                      <w:lang w:val="en-US" w:eastAsia="zh-CN" w:bidi="ar"/>
                    </w:rPr>
                    <w:t>不属于</w:t>
                  </w:r>
                  <w:r>
                    <w:rPr>
                      <w:rFonts w:hint="eastAsia" w:cs="Times New Roman"/>
                      <w:bCs/>
                      <w:color w:val="auto"/>
                      <w:kern w:val="2"/>
                      <w:sz w:val="21"/>
                      <w:szCs w:val="21"/>
                      <w:highlight w:val="none"/>
                      <w:vertAlign w:val="baseline"/>
                      <w:lang w:val="en-US" w:eastAsia="zh-CN" w:bidi="ar"/>
                    </w:rPr>
                    <w:t>高风险</w:t>
                  </w:r>
                  <w:r>
                    <w:rPr>
                      <w:rFonts w:hint="default" w:ascii="Times New Roman" w:hAnsi="Times New Roman" w:eastAsia="宋体" w:cs="Times New Roman"/>
                      <w:bCs/>
                      <w:color w:val="auto"/>
                      <w:kern w:val="2"/>
                      <w:sz w:val="21"/>
                      <w:szCs w:val="21"/>
                      <w:highlight w:val="none"/>
                      <w:vertAlign w:val="baseline"/>
                      <w:lang w:val="en-US" w:eastAsia="zh-CN" w:bidi="ar"/>
                    </w:rPr>
                    <w:t>项目</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3DC59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11.</w:t>
                  </w:r>
                  <w:r>
                    <w:rPr>
                      <w:rFonts w:hint="default" w:ascii="Times New Roman" w:hAnsi="Times New Roman" w:eastAsia="宋体" w:cs="Times New Roman"/>
                      <w:color w:val="auto"/>
                      <w:kern w:val="0"/>
                      <w:sz w:val="21"/>
                      <w:szCs w:val="21"/>
                      <w:highlight w:val="none"/>
                      <w:lang w:val="en-US" w:eastAsia="zh-CN" w:bidi="ar"/>
                    </w:rPr>
                    <w:t>本</w:t>
                  </w:r>
                  <w:r>
                    <w:rPr>
                      <w:rFonts w:hint="eastAsia" w:ascii="Times New Roman" w:hAnsi="Times New Roman" w:eastAsia="宋体" w:cs="Times New Roman"/>
                      <w:color w:val="auto"/>
                      <w:kern w:val="0"/>
                      <w:sz w:val="21"/>
                      <w:szCs w:val="21"/>
                      <w:highlight w:val="none"/>
                      <w:lang w:val="en-US" w:eastAsia="zh-CN" w:bidi="ar"/>
                    </w:rPr>
                    <w:t>项目占地为工业用地，</w:t>
                  </w:r>
                  <w:r>
                    <w:rPr>
                      <w:rFonts w:hint="eastAsia" w:cs="Times New Roman"/>
                      <w:color w:val="auto"/>
                      <w:kern w:val="0"/>
                      <w:sz w:val="21"/>
                      <w:szCs w:val="21"/>
                      <w:highlight w:val="none"/>
                      <w:lang w:val="en-US" w:eastAsia="zh-CN" w:bidi="ar"/>
                    </w:rPr>
                    <w:t>原为储煤项目，无需开展土壤</w:t>
                  </w:r>
                  <w:r>
                    <w:rPr>
                      <w:rFonts w:hint="default" w:ascii="Times New Roman" w:hAnsi="Times New Roman" w:eastAsia="宋体" w:cs="Times New Roman"/>
                      <w:bCs/>
                      <w:color w:val="auto"/>
                      <w:kern w:val="2"/>
                      <w:sz w:val="21"/>
                      <w:szCs w:val="21"/>
                      <w:vertAlign w:val="baseline"/>
                      <w:lang w:val="en-US" w:eastAsia="zh-CN" w:bidi="ar"/>
                    </w:rPr>
                    <w:t>污染状况调查</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68455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12.</w:t>
                  </w:r>
                  <w:r>
                    <w:rPr>
                      <w:rFonts w:hint="eastAsia" w:ascii="Times New Roman" w:hAnsi="Times New Roman" w:eastAsia="宋体" w:cs="Times New Roman"/>
                      <w:bCs/>
                      <w:color w:val="auto"/>
                      <w:kern w:val="2"/>
                      <w:sz w:val="21"/>
                      <w:szCs w:val="21"/>
                      <w:highlight w:val="none"/>
                      <w:vertAlign w:val="baseline"/>
                      <w:lang w:val="en-US" w:eastAsia="zh-CN" w:bidi="ar"/>
                    </w:rPr>
                    <w:t>本项目</w:t>
                  </w:r>
                  <w:r>
                    <w:rPr>
                      <w:rFonts w:hint="default" w:ascii="Times New Roman" w:hAnsi="Times New Roman" w:eastAsia="宋体" w:cs="Times New Roman"/>
                      <w:bCs/>
                      <w:color w:val="auto"/>
                      <w:kern w:val="2"/>
                      <w:sz w:val="21"/>
                      <w:szCs w:val="21"/>
                      <w:highlight w:val="none"/>
                      <w:vertAlign w:val="baseline"/>
                      <w:lang w:val="en-US" w:eastAsia="zh-CN" w:bidi="ar"/>
                    </w:rPr>
                    <w:t>不属于</w:t>
                  </w:r>
                  <w:r>
                    <w:rPr>
                      <w:rFonts w:hint="eastAsia" w:cs="Times New Roman"/>
                      <w:bCs/>
                      <w:color w:val="auto"/>
                      <w:kern w:val="2"/>
                      <w:sz w:val="21"/>
                      <w:szCs w:val="21"/>
                      <w:highlight w:val="none"/>
                      <w:vertAlign w:val="baseline"/>
                      <w:lang w:val="en-US" w:eastAsia="zh-CN" w:bidi="ar"/>
                    </w:rPr>
                    <w:t>重</w:t>
                  </w:r>
                  <w:r>
                    <w:rPr>
                      <w:rFonts w:hint="default" w:ascii="Times New Roman" w:hAnsi="Times New Roman" w:eastAsia="宋体" w:cs="Times New Roman"/>
                      <w:bCs/>
                      <w:color w:val="auto"/>
                      <w:kern w:val="2"/>
                      <w:sz w:val="21"/>
                      <w:szCs w:val="21"/>
                      <w:highlight w:val="none"/>
                      <w:vertAlign w:val="baseline"/>
                      <w:lang w:val="en-US" w:eastAsia="zh-CN" w:bidi="ar"/>
                    </w:rPr>
                    <w:t>污染工业企业</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1EAC0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13.</w:t>
                  </w:r>
                  <w:r>
                    <w:rPr>
                      <w:rFonts w:hint="eastAsia" w:ascii="Times New Roman" w:hAnsi="Times New Roman" w:eastAsia="宋体" w:cs="Times New Roman"/>
                      <w:bCs/>
                      <w:color w:val="auto"/>
                      <w:kern w:val="2"/>
                      <w:sz w:val="21"/>
                      <w:szCs w:val="21"/>
                      <w:highlight w:val="none"/>
                      <w:vertAlign w:val="baseline"/>
                      <w:lang w:val="en-US" w:eastAsia="zh-CN" w:bidi="ar"/>
                    </w:rPr>
                    <w:t>本项目</w:t>
                  </w:r>
                  <w:r>
                    <w:rPr>
                      <w:rFonts w:hint="eastAsia" w:cs="Times New Roman"/>
                      <w:bCs/>
                      <w:color w:val="auto"/>
                      <w:kern w:val="2"/>
                      <w:sz w:val="21"/>
                      <w:szCs w:val="21"/>
                      <w:highlight w:val="none"/>
                      <w:vertAlign w:val="baseline"/>
                      <w:lang w:val="en-US" w:eastAsia="zh-CN" w:bidi="ar"/>
                    </w:rPr>
                    <w:t>用水来源为自来水网管</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73E29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14.</w:t>
                  </w:r>
                  <w:r>
                    <w:rPr>
                      <w:rFonts w:hint="eastAsia" w:cs="Times New Roman"/>
                      <w:bCs/>
                      <w:color w:val="auto"/>
                      <w:kern w:val="2"/>
                      <w:sz w:val="21"/>
                      <w:szCs w:val="21"/>
                      <w:highlight w:val="none"/>
                      <w:vertAlign w:val="baseline"/>
                      <w:lang w:val="en-US" w:eastAsia="zh-CN" w:bidi="ar"/>
                    </w:rPr>
                    <w:t>本项目</w:t>
                  </w:r>
                  <w:r>
                    <w:rPr>
                      <w:rFonts w:hint="default" w:ascii="Times New Roman" w:hAnsi="Times New Roman" w:eastAsia="宋体" w:cs="Times New Roman"/>
                      <w:bCs/>
                      <w:color w:val="auto"/>
                      <w:kern w:val="2"/>
                      <w:sz w:val="21"/>
                      <w:szCs w:val="21"/>
                      <w:highlight w:val="none"/>
                      <w:vertAlign w:val="baseline"/>
                      <w:lang w:val="en-US" w:eastAsia="zh-CN" w:bidi="ar"/>
                    </w:rPr>
                    <w:t>不属于</w:t>
                  </w:r>
                  <w:r>
                    <w:rPr>
                      <w:rFonts w:hint="eastAsia" w:cs="Times New Roman"/>
                      <w:bCs/>
                      <w:color w:val="auto"/>
                      <w:kern w:val="2"/>
                      <w:sz w:val="21"/>
                      <w:szCs w:val="21"/>
                      <w:highlight w:val="none"/>
                      <w:vertAlign w:val="baseline"/>
                      <w:lang w:val="en-US" w:eastAsia="zh-CN" w:bidi="ar"/>
                    </w:rPr>
                    <w:t>左述</w:t>
                  </w:r>
                  <w:r>
                    <w:rPr>
                      <w:rFonts w:hint="eastAsia" w:ascii="Times New Roman" w:hAnsi="Times New Roman" w:eastAsia="宋体" w:cs="Times New Roman"/>
                      <w:bCs/>
                      <w:color w:val="auto"/>
                      <w:kern w:val="2"/>
                      <w:sz w:val="21"/>
                      <w:szCs w:val="21"/>
                      <w:highlight w:val="none"/>
                      <w:vertAlign w:val="baseline"/>
                      <w:lang w:val="en-US" w:eastAsia="zh-CN" w:bidi="ar"/>
                    </w:rPr>
                    <w:t>项目；</w:t>
                  </w:r>
                </w:p>
                <w:p w14:paraId="66DADA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15.本项目不属于《产业结构调整指导目录》中淘汰类工艺和淘汰类生产设备</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57A01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16.</w:t>
                  </w:r>
                  <w:r>
                    <w:rPr>
                      <w:rFonts w:hint="eastAsia" w:ascii="Times New Roman" w:hAnsi="Times New Roman" w:eastAsia="宋体" w:cs="Times New Roman"/>
                      <w:bCs/>
                      <w:color w:val="auto"/>
                      <w:kern w:val="2"/>
                      <w:sz w:val="21"/>
                      <w:szCs w:val="21"/>
                      <w:highlight w:val="none"/>
                      <w:vertAlign w:val="baseline"/>
                      <w:lang w:val="en-US" w:eastAsia="zh-CN" w:bidi="ar"/>
                    </w:rPr>
                    <w:t>本项目</w:t>
                  </w:r>
                  <w:r>
                    <w:rPr>
                      <w:rFonts w:hint="default" w:ascii="Times New Roman" w:hAnsi="Times New Roman" w:eastAsia="宋体" w:cs="Times New Roman"/>
                      <w:bCs/>
                      <w:color w:val="auto"/>
                      <w:kern w:val="2"/>
                      <w:sz w:val="21"/>
                      <w:szCs w:val="21"/>
                      <w:highlight w:val="none"/>
                      <w:vertAlign w:val="baseline"/>
                      <w:lang w:val="en-US" w:eastAsia="zh-CN" w:bidi="ar"/>
                    </w:rPr>
                    <w:t>不涉及</w:t>
                  </w:r>
                  <w:r>
                    <w:rPr>
                      <w:rFonts w:hint="default" w:ascii="Times New Roman" w:hAnsi="Times New Roman" w:eastAsia="宋体" w:cs="Times New Roman"/>
                      <w:bCs/>
                      <w:color w:val="auto"/>
                      <w:kern w:val="2"/>
                      <w:sz w:val="21"/>
                      <w:szCs w:val="21"/>
                      <w:vertAlign w:val="baseline"/>
                      <w:lang w:val="en-US" w:eastAsia="zh-CN" w:bidi="ar"/>
                    </w:rPr>
                    <w:t>产能置换</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77DD0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Cs/>
                      <w:color w:val="auto"/>
                      <w:kern w:val="2"/>
                      <w:sz w:val="21"/>
                      <w:szCs w:val="21"/>
                      <w:highlight w:val="none"/>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17.</w:t>
                  </w:r>
                  <w:r>
                    <w:rPr>
                      <w:rFonts w:hint="eastAsia" w:ascii="Times New Roman" w:hAnsi="Times New Roman" w:eastAsia="宋体" w:cs="Times New Roman"/>
                      <w:bCs/>
                      <w:color w:val="auto"/>
                      <w:kern w:val="2"/>
                      <w:sz w:val="21"/>
                      <w:szCs w:val="21"/>
                      <w:highlight w:val="none"/>
                      <w:vertAlign w:val="baseline"/>
                      <w:lang w:val="en-US" w:eastAsia="zh-CN" w:bidi="ar"/>
                    </w:rPr>
                    <w:t>本项目</w:t>
                  </w:r>
                  <w:r>
                    <w:rPr>
                      <w:rFonts w:hint="default" w:ascii="Times New Roman" w:hAnsi="Times New Roman" w:eastAsia="宋体" w:cs="Times New Roman"/>
                      <w:bCs/>
                      <w:color w:val="auto"/>
                      <w:kern w:val="2"/>
                      <w:sz w:val="21"/>
                      <w:szCs w:val="21"/>
                      <w:highlight w:val="none"/>
                      <w:vertAlign w:val="baseline"/>
                      <w:lang w:val="en-US" w:eastAsia="zh-CN" w:bidi="ar"/>
                    </w:rPr>
                    <w:t>不涉及</w:t>
                  </w:r>
                  <w:r>
                    <w:rPr>
                      <w:rFonts w:hint="default" w:ascii="Times New Roman" w:hAnsi="Times New Roman" w:eastAsia="宋体" w:cs="Times New Roman"/>
                      <w:bCs/>
                      <w:color w:val="auto"/>
                      <w:kern w:val="2"/>
                      <w:sz w:val="21"/>
                      <w:szCs w:val="21"/>
                      <w:vertAlign w:val="baseline"/>
                      <w:lang w:val="en-US" w:eastAsia="zh-CN" w:bidi="ar"/>
                    </w:rPr>
                    <w:t>VOCs</w:t>
                  </w:r>
                  <w:r>
                    <w:rPr>
                      <w:rFonts w:hint="eastAsia" w:ascii="Times New Roman" w:hAnsi="Times New Roman" w:eastAsia="宋体" w:cs="Times New Roman"/>
                      <w:bCs/>
                      <w:color w:val="auto"/>
                      <w:kern w:val="2"/>
                      <w:sz w:val="21"/>
                      <w:szCs w:val="21"/>
                      <w:highlight w:val="none"/>
                      <w:vertAlign w:val="baseline"/>
                      <w:lang w:val="en-US" w:eastAsia="zh-CN" w:bidi="ar"/>
                    </w:rPr>
                    <w:t>；</w:t>
                  </w:r>
                </w:p>
                <w:p w14:paraId="3D9C5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宋体"/>
                      <w:bCs/>
                      <w:color w:val="auto"/>
                      <w:kern w:val="2"/>
                      <w:sz w:val="21"/>
                      <w:szCs w:val="21"/>
                      <w:highlight w:val="yellow"/>
                      <w:vertAlign w:val="baseline"/>
                      <w:lang w:val="en-US" w:eastAsia="zh-CN" w:bidi="ar"/>
                    </w:rPr>
                  </w:pPr>
                  <w:r>
                    <w:rPr>
                      <w:rFonts w:hint="default" w:ascii="Times New Roman" w:hAnsi="Times New Roman" w:eastAsia="宋体" w:cs="Times New Roman"/>
                      <w:bCs/>
                      <w:color w:val="auto"/>
                      <w:kern w:val="2"/>
                      <w:sz w:val="21"/>
                      <w:szCs w:val="21"/>
                      <w:highlight w:val="none"/>
                      <w:vertAlign w:val="baseline"/>
                      <w:lang w:val="en-US" w:eastAsia="zh-CN" w:bidi="ar"/>
                    </w:rPr>
                    <w:t>18.</w:t>
                  </w:r>
                  <w:r>
                    <w:rPr>
                      <w:rFonts w:hint="eastAsia" w:cs="Times New Roman"/>
                      <w:bCs/>
                      <w:color w:val="auto"/>
                      <w:kern w:val="2"/>
                      <w:sz w:val="21"/>
                      <w:szCs w:val="21"/>
                      <w:highlight w:val="none"/>
                      <w:vertAlign w:val="baseline"/>
                      <w:lang w:val="en-US" w:eastAsia="zh-CN" w:bidi="ar"/>
                    </w:rPr>
                    <w:t>项目不属于</w:t>
                  </w:r>
                  <w:r>
                    <w:rPr>
                      <w:rFonts w:hint="default" w:ascii="Times New Roman" w:hAnsi="Times New Roman" w:eastAsia="宋体" w:cs="Times New Roman"/>
                      <w:bCs/>
                      <w:color w:val="auto"/>
                      <w:kern w:val="2"/>
                      <w:sz w:val="21"/>
                      <w:szCs w:val="21"/>
                      <w:vertAlign w:val="baseline"/>
                      <w:lang w:val="en-US" w:eastAsia="zh-CN" w:bidi="ar"/>
                    </w:rPr>
                    <w:t>钢铁</w:t>
                  </w:r>
                  <w:r>
                    <w:rPr>
                      <w:rFonts w:hint="eastAsia" w:cs="Times New Roman"/>
                      <w:bCs/>
                      <w:color w:val="auto"/>
                      <w:kern w:val="2"/>
                      <w:sz w:val="21"/>
                      <w:szCs w:val="21"/>
                      <w:vertAlign w:val="baseline"/>
                      <w:lang w:val="en-US" w:eastAsia="zh-CN" w:bidi="ar"/>
                    </w:rPr>
                    <w:t>项目。</w:t>
                  </w:r>
                </w:p>
              </w:tc>
              <w:tc>
                <w:tcPr>
                  <w:tcW w:w="413" w:type="pct"/>
                  <w:vAlign w:val="center"/>
                </w:tcPr>
                <w:p w14:paraId="123FD1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r w14:paraId="08F5E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08224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污染物排放管控</w:t>
                  </w:r>
                </w:p>
              </w:tc>
              <w:tc>
                <w:tcPr>
                  <w:tcW w:w="3070" w:type="pct"/>
                  <w:vAlign w:val="center"/>
                </w:tcPr>
                <w:p w14:paraId="74CA7B3C">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多层地下水的含水层水质差异大的，应当分层开采；对已受污染的潜水和承压水，不得混合开采。已经造成地下水串层污染的，应当按照封填井技术要求限期回填串层开采井，并对造成的地下水污染进行治理和修复。人工回灌补给地下水，应当符合相关的水质标准，不得使地下水水质恶化。</w:t>
                  </w:r>
                </w:p>
                <w:p w14:paraId="52175A5A">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2</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禁止利用渗井、渗坑、裂隙、溶洞以及私设暗管等逃避监管的方式排放水污染物。</w:t>
                  </w:r>
                </w:p>
                <w:p w14:paraId="5DC58ED5">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3</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禁止利用岩层孔隙、裂隙、溶洞、废弃矿坑等贮存石化原料及产品、农药、危险废物、城镇污水处理设施产生的污泥和处理后的污泥或者其他有毒有害物质。</w:t>
                  </w:r>
                </w:p>
                <w:p w14:paraId="25CE2A2D">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4</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禁止利用无防渗漏措施的沟渠、坑塘等输送或者贮存含有毒污染物的废水、含病原体的污水和其他废弃物。</w:t>
                  </w:r>
                </w:p>
                <w:p w14:paraId="1CD62F0E">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5</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对重有色金属矿采选业、重有色金属冶炼业、化学原料及化学制品制造业等涉重金属行业企业依法开展强制性清洁生产审核，强化气态及粉尘等无组织排放、防渗漏、防流失、防扬散等审核及监管要求。</w:t>
                  </w:r>
                </w:p>
                <w:p w14:paraId="1ECE2028">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6</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钢铁、石油、有色金属、电力、焦化、建材、化工等企业生产过程中排放粉尘、硫化物和氮氧化物的，应当采用清洁生产工艺，配套建设除尘、脱硫、脱硝等装置，或者采取技术改造等其他控制大气污染物排放的措施。</w:t>
                  </w:r>
                </w:p>
                <w:p w14:paraId="34D48EEA">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7</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产生含挥发性有机物废气的生产和服务活动，应当在密闭空间或者设备中进行，并按照规定安装、使用污染防治设施；无法密闭的，应当采取措施减少废气排放。</w:t>
                  </w:r>
                </w:p>
                <w:p w14:paraId="3349B750">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8</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储油储气库、加油加气站及油罐车、气罐车应当安装油气回收设施并保持正常运行，按照国家有关规定向市、县（区）人民政府生态环境主管部门报送油气排放检测报告。</w:t>
                  </w:r>
                </w:p>
                <w:p w14:paraId="55B96C68">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9</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畜禽养殖场、养殖小区应当按照规定对污水、畜禽粪便和尸体等进行收集、贮存、清运和无害化处理；未达到规模养殖的畜禽养殖单位和个人应当采取与其养殖规模相适应的大气污染防治措施，防止排放恶臭气体。</w:t>
                  </w:r>
                </w:p>
                <w:p w14:paraId="5AA30411">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10</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排放油烟的餐饮服务业经营者应当安装油烟净化设施并保持正常使用，或者采取其他油烟净化措施，使油烟达标排放，并防止对附近居民的正常生活环境造成污染。</w:t>
                  </w:r>
                </w:p>
                <w:p w14:paraId="22AEDC8E">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11</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准保护区范围内禁止下列行为：1）直接或者间接向水域排放不符合国家以及地方规定排放标准的废水；2）改建建设项目增加排污量；3）使用不符合《农田灌溉水质标准》的污水灌溉农田；4）利用渗井、废弃矿井、废弃井孔等排放工业废水、生活污水和矿坑水；5）法律、法规规定的其他禁止行为。</w:t>
                  </w:r>
                </w:p>
                <w:p w14:paraId="72DF89EA">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12</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二级保护区除禁止准保护区规定的行为外，还禁止下列行为：1）使用农药，丢弃农药、农药包装物或者清洗施药器械；2）利用未经净化的污水灌溉农田；3）倾倒、堆放、储存危险化学品和有毒有害废弃物；4）可能对辛安泉饮用水水源地二级保护区水环境安全造成危害的其他行为。</w:t>
                  </w:r>
                </w:p>
                <w:p w14:paraId="7F3B5B16">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13</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饮用水水源地一级保护区内除禁止准保护区和二级保护区规定的行为外，还禁止下列行为：1）倾倒、堆放工业废渣、废液、垃圾、粪便、油类和其他有害废弃物；2）从事农牧业活动；3）可能对辛安泉饮用水水源地一级保护区水环境安全造成危害的其他行为。</w:t>
                  </w:r>
                </w:p>
                <w:p w14:paraId="5CCDF278">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14</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在辛安泉域范围内，石化生产、存贮、销售企业以及工业园区、矿山开采区、矿山渣场、垃圾填埋场以及危险废物堆放场等的运营、管理单位应当进行必要的防渗处理。报废矿井、钻井以及取水井应当实施封井回填。</w:t>
                  </w:r>
                </w:p>
                <w:p w14:paraId="0589A87C">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15</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加快推进钢铁、焦化行业超超低排放改造,开展有组织、无组织及清洁运输等环节全过程、高标准、系统化整治，并建设完善无组织排放监控系统，推动现有焦化企业将现有备用湿熄焦改造为备用干熄焦，实现全干熄。</w:t>
                  </w:r>
                </w:p>
                <w:p w14:paraId="52F60E5F">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16</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加强工业炉窑深度治理,严格控制物料储存、输送及生产工艺过程无组织排放。</w:t>
                  </w:r>
                </w:p>
                <w:p w14:paraId="2F0D132C">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17</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加强煤炭等粉粒物料堆场扬尘控制。重点涉气排放企业取消烟气旁路,因安全生产无法取消的，安装在线监管系统。</w:t>
                  </w:r>
                </w:p>
                <w:p w14:paraId="2D83F50D">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18</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以能源、钢铁、焦化、建材、有色、化工、工业涂装、包装印刷等行业为重点,实施强制性清洁生产审核。</w:t>
                  </w:r>
                </w:p>
                <w:p w14:paraId="5F3879E8">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19</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加强挥发性有机物全过程综合治理。</w:t>
                  </w:r>
                </w:p>
              </w:tc>
              <w:tc>
                <w:tcPr>
                  <w:tcW w:w="1101" w:type="pct"/>
                  <w:vAlign w:val="center"/>
                </w:tcPr>
                <w:p w14:paraId="04F95B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宋体" w:eastAsiaTheme="minorEastAsia"/>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1.项目不涉及</w:t>
                  </w:r>
                  <w:r>
                    <w:rPr>
                      <w:rFonts w:hint="eastAsia" w:ascii="Times New Roman" w:hAnsi="Times New Roman" w:cs="Times New Roman"/>
                      <w:bCs/>
                      <w:color w:val="auto"/>
                      <w:sz w:val="21"/>
                      <w:szCs w:val="21"/>
                      <w:highlight w:val="none"/>
                      <w:lang w:eastAsia="zh-CN" w:bidi="ar"/>
                    </w:rPr>
                    <w:t>；</w:t>
                  </w:r>
                </w:p>
                <w:p w14:paraId="2857645E">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2.项目不涉及；</w:t>
                  </w:r>
                </w:p>
                <w:p w14:paraId="6A1477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3.项目不涉及；</w:t>
                  </w:r>
                </w:p>
                <w:p w14:paraId="0DED7126">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宋体" w:eastAsiaTheme="minorEastAsia"/>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4.项目不涉及</w:t>
                  </w:r>
                  <w:r>
                    <w:rPr>
                      <w:rFonts w:hint="eastAsia" w:ascii="Times New Roman" w:hAnsi="Times New Roman" w:cs="Times New Roman"/>
                      <w:bCs/>
                      <w:color w:val="auto"/>
                      <w:sz w:val="21"/>
                      <w:szCs w:val="21"/>
                      <w:highlight w:val="none"/>
                      <w:lang w:eastAsia="zh-CN" w:bidi="ar"/>
                    </w:rPr>
                    <w:t>；</w:t>
                  </w:r>
                </w:p>
                <w:p w14:paraId="6CB78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5.本项目不属于左述类项目；</w:t>
                  </w:r>
                </w:p>
                <w:p w14:paraId="296EBFB6">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eastAsiaTheme="minorEastAsia"/>
                      <w:bCs/>
                      <w:color w:val="auto"/>
                      <w:kern w:val="2"/>
                      <w:sz w:val="21"/>
                      <w:szCs w:val="21"/>
                      <w:highlight w:val="none"/>
                      <w:vertAlign w:val="baseline"/>
                      <w:lang w:val="en-US" w:eastAsia="zh-CN" w:bidi="ar"/>
                    </w:rPr>
                  </w:pPr>
                  <w:r>
                    <w:rPr>
                      <w:rFonts w:hint="default" w:ascii="Times New Roman" w:hAnsi="Times New Roman" w:cs="Times New Roman" w:eastAsiaTheme="minorEastAsia"/>
                      <w:bCs/>
                      <w:color w:val="auto"/>
                      <w:kern w:val="2"/>
                      <w:sz w:val="21"/>
                      <w:szCs w:val="21"/>
                      <w:highlight w:val="none"/>
                      <w:vertAlign w:val="baseline"/>
                      <w:lang w:val="en-US" w:eastAsia="zh-CN" w:bidi="ar"/>
                    </w:rPr>
                    <w:t>6.本项目不属于</w:t>
                  </w:r>
                  <w:r>
                    <w:rPr>
                      <w:rFonts w:hint="default" w:ascii="Times New Roman" w:hAnsi="Times New Roman" w:eastAsia="宋体" w:cs="Times New Roman"/>
                      <w:bCs/>
                      <w:color w:val="auto"/>
                      <w:kern w:val="2"/>
                      <w:sz w:val="21"/>
                      <w:szCs w:val="21"/>
                      <w:vertAlign w:val="baseline"/>
                      <w:lang w:val="en-US" w:eastAsia="zh-CN" w:bidi="ar"/>
                    </w:rPr>
                    <w:t>钢铁、石油、有色金属、电力、焦化、建材、化工</w:t>
                  </w:r>
                  <w:r>
                    <w:rPr>
                      <w:rFonts w:hint="eastAsia" w:ascii="Times New Roman" w:hAnsi="Times New Roman" w:cs="Times New Roman"/>
                      <w:bCs/>
                      <w:color w:val="auto"/>
                      <w:kern w:val="2"/>
                      <w:sz w:val="21"/>
                      <w:szCs w:val="21"/>
                      <w:vertAlign w:val="baseline"/>
                      <w:lang w:val="en-US" w:eastAsia="zh-CN" w:bidi="ar"/>
                    </w:rPr>
                    <w:t>类</w:t>
                  </w:r>
                  <w:r>
                    <w:rPr>
                      <w:rFonts w:hint="default" w:ascii="Times New Roman" w:hAnsi="Times New Roman" w:cs="Times New Roman" w:eastAsiaTheme="minorEastAsia"/>
                      <w:bCs/>
                      <w:color w:val="auto"/>
                      <w:kern w:val="2"/>
                      <w:sz w:val="21"/>
                      <w:szCs w:val="21"/>
                      <w:highlight w:val="none"/>
                      <w:vertAlign w:val="baseline"/>
                      <w:lang w:val="en-US" w:eastAsia="zh-CN" w:bidi="ar"/>
                    </w:rPr>
                    <w:t>项目；</w:t>
                  </w:r>
                </w:p>
                <w:p w14:paraId="2D67C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eastAsiaTheme="minorEastAsia"/>
                      <w:bCs/>
                      <w:color w:val="auto"/>
                      <w:sz w:val="21"/>
                      <w:szCs w:val="21"/>
                      <w:highlight w:val="none"/>
                      <w:vertAlign w:val="superscript"/>
                      <w:lang w:eastAsia="zh-CN" w:bidi="ar"/>
                    </w:rPr>
                  </w:pPr>
                  <w:r>
                    <w:rPr>
                      <w:rFonts w:hint="eastAsia" w:cs="宋体"/>
                      <w:bCs/>
                      <w:color w:val="auto"/>
                      <w:kern w:val="2"/>
                      <w:sz w:val="21"/>
                      <w:szCs w:val="21"/>
                      <w:highlight w:val="none"/>
                      <w:vertAlign w:val="baseline"/>
                      <w:lang w:val="en-US" w:eastAsia="zh-CN" w:bidi="ar"/>
                    </w:rPr>
                    <w:t>7.项目不涉及</w:t>
                  </w:r>
                  <w:r>
                    <w:rPr>
                      <w:rFonts w:hint="default" w:ascii="Times New Roman" w:hAnsi="Times New Roman" w:eastAsia="宋体" w:cs="Times New Roman"/>
                      <w:bCs/>
                      <w:color w:val="auto"/>
                      <w:kern w:val="2"/>
                      <w:sz w:val="21"/>
                      <w:szCs w:val="21"/>
                      <w:vertAlign w:val="baseline"/>
                      <w:lang w:val="en-US" w:eastAsia="zh-CN" w:bidi="ar"/>
                    </w:rPr>
                    <w:t>挥发性有机物废气</w:t>
                  </w:r>
                  <w:r>
                    <w:rPr>
                      <w:rFonts w:hint="eastAsia"/>
                      <w:bCs/>
                      <w:color w:val="auto"/>
                      <w:sz w:val="21"/>
                      <w:szCs w:val="21"/>
                      <w:highlight w:val="none"/>
                      <w:vertAlign w:val="baseline"/>
                      <w:lang w:eastAsia="zh-CN" w:bidi="ar"/>
                    </w:rPr>
                    <w:t>；</w:t>
                  </w:r>
                </w:p>
                <w:p w14:paraId="6E7B7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olor w:val="auto"/>
                      <w:sz w:val="21"/>
                      <w:szCs w:val="21"/>
                      <w:highlight w:val="none"/>
                    </w:rPr>
                  </w:pPr>
                  <w:r>
                    <w:rPr>
                      <w:rFonts w:hint="eastAsia"/>
                      <w:bCs/>
                      <w:color w:val="auto"/>
                      <w:sz w:val="21"/>
                      <w:szCs w:val="21"/>
                      <w:highlight w:val="none"/>
                      <w:vertAlign w:val="baseline"/>
                      <w:lang w:val="en-US" w:eastAsia="zh-CN" w:bidi="ar"/>
                    </w:rPr>
                    <w:t>8.</w:t>
                  </w:r>
                  <w:r>
                    <w:rPr>
                      <w:rFonts w:hint="eastAsia" w:cs="宋体"/>
                      <w:bCs/>
                      <w:color w:val="auto"/>
                      <w:kern w:val="2"/>
                      <w:sz w:val="21"/>
                      <w:szCs w:val="21"/>
                      <w:highlight w:val="none"/>
                      <w:vertAlign w:val="baseline"/>
                      <w:lang w:val="en-US" w:eastAsia="zh-CN" w:bidi="ar"/>
                    </w:rPr>
                    <w:t>项目不涉及</w:t>
                  </w:r>
                  <w:r>
                    <w:rPr>
                      <w:rFonts w:hint="eastAsia" w:ascii="Times New Roman" w:hAnsi="Times New Roman" w:cs="Times New Roman"/>
                      <w:bCs/>
                      <w:color w:val="auto"/>
                      <w:sz w:val="21"/>
                      <w:szCs w:val="21"/>
                      <w:highlight w:val="none"/>
                      <w:lang w:eastAsia="zh-CN" w:bidi="ar"/>
                    </w:rPr>
                    <w:t>；</w:t>
                  </w:r>
                </w:p>
                <w:p w14:paraId="26D01594">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olor w:val="auto"/>
                      <w:sz w:val="21"/>
                      <w:szCs w:val="21"/>
                      <w:highlight w:val="none"/>
                      <w:lang w:val="en-US" w:eastAsia="zh-CN"/>
                    </w:rPr>
                  </w:pPr>
                  <w:r>
                    <w:rPr>
                      <w:rFonts w:hint="eastAsia"/>
                      <w:color w:val="auto"/>
                      <w:sz w:val="21"/>
                      <w:szCs w:val="21"/>
                      <w:highlight w:val="none"/>
                      <w:lang w:val="en-US" w:eastAsia="zh-CN"/>
                    </w:rPr>
                    <w:t>9.</w:t>
                  </w:r>
                  <w:r>
                    <w:rPr>
                      <w:rFonts w:hint="eastAsia" w:cs="宋体"/>
                      <w:bCs/>
                      <w:color w:val="auto"/>
                      <w:kern w:val="2"/>
                      <w:sz w:val="21"/>
                      <w:szCs w:val="21"/>
                      <w:highlight w:val="none"/>
                      <w:vertAlign w:val="baseline"/>
                      <w:lang w:val="en-US" w:eastAsia="zh-CN" w:bidi="ar"/>
                    </w:rPr>
                    <w:t>项目不涉及</w:t>
                  </w:r>
                  <w:r>
                    <w:rPr>
                      <w:rFonts w:hint="eastAsia"/>
                      <w:color w:val="auto"/>
                      <w:sz w:val="21"/>
                      <w:szCs w:val="21"/>
                      <w:highlight w:val="none"/>
                      <w:lang w:val="en-US" w:eastAsia="zh-CN"/>
                    </w:rPr>
                    <w:t>；</w:t>
                  </w:r>
                </w:p>
                <w:p w14:paraId="52E196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eastAsiaTheme="minorEastAsia"/>
                      <w:color w:val="auto"/>
                      <w:sz w:val="21"/>
                      <w:szCs w:val="21"/>
                      <w:highlight w:val="none"/>
                      <w:lang w:val="en-US" w:eastAsia="zh-CN"/>
                    </w:rPr>
                  </w:pPr>
                  <w:r>
                    <w:rPr>
                      <w:rFonts w:hint="eastAsia"/>
                      <w:color w:val="auto"/>
                      <w:sz w:val="21"/>
                      <w:szCs w:val="21"/>
                      <w:highlight w:val="none"/>
                      <w:lang w:val="en-US" w:eastAsia="zh-CN"/>
                    </w:rPr>
                    <w:t>10.本项目不属于</w:t>
                  </w:r>
                  <w:r>
                    <w:rPr>
                      <w:rFonts w:hint="default" w:ascii="Times New Roman" w:hAnsi="Times New Roman" w:eastAsia="宋体" w:cs="Times New Roman"/>
                      <w:bCs/>
                      <w:color w:val="auto"/>
                      <w:kern w:val="2"/>
                      <w:sz w:val="21"/>
                      <w:szCs w:val="21"/>
                      <w:vertAlign w:val="baseline"/>
                      <w:lang w:val="en-US" w:eastAsia="zh-CN" w:bidi="ar"/>
                    </w:rPr>
                    <w:t>餐饮服务业</w:t>
                  </w:r>
                  <w:r>
                    <w:rPr>
                      <w:rFonts w:hint="eastAsia" w:ascii="Times New Roman" w:hAnsi="Times New Roman" w:cs="Times New Roman"/>
                      <w:bCs/>
                      <w:color w:val="auto"/>
                      <w:sz w:val="21"/>
                      <w:szCs w:val="21"/>
                      <w:highlight w:val="none"/>
                      <w:lang w:eastAsia="zh-CN" w:bidi="ar"/>
                    </w:rPr>
                    <w:t>；</w:t>
                  </w:r>
                </w:p>
                <w:p w14:paraId="61E57DAE">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11.本项目</w:t>
                  </w:r>
                  <w:r>
                    <w:rPr>
                      <w:rFonts w:hint="eastAsia" w:cs="Times New Roman"/>
                      <w:bCs/>
                      <w:color w:val="auto"/>
                      <w:sz w:val="21"/>
                      <w:szCs w:val="21"/>
                      <w:highlight w:val="none"/>
                      <w:lang w:val="en-US" w:eastAsia="zh-CN" w:bidi="ar"/>
                    </w:rPr>
                    <w:t>无废水排放</w:t>
                  </w:r>
                  <w:r>
                    <w:rPr>
                      <w:rFonts w:hint="eastAsia" w:ascii="Times New Roman" w:hAnsi="Times New Roman" w:cs="Times New Roman"/>
                      <w:bCs/>
                      <w:color w:val="auto"/>
                      <w:sz w:val="21"/>
                      <w:szCs w:val="21"/>
                      <w:highlight w:val="none"/>
                      <w:lang w:eastAsia="zh-CN" w:bidi="ar"/>
                    </w:rPr>
                    <w:t>；</w:t>
                  </w:r>
                </w:p>
                <w:p w14:paraId="3F88A3A9">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12.</w:t>
                  </w:r>
                  <w:r>
                    <w:rPr>
                      <w:rFonts w:hint="eastAsia" w:cs="Times New Roman"/>
                      <w:bCs/>
                      <w:color w:val="auto"/>
                      <w:sz w:val="21"/>
                      <w:szCs w:val="21"/>
                      <w:highlight w:val="none"/>
                      <w:lang w:val="en-US" w:eastAsia="zh-CN" w:bidi="ar"/>
                    </w:rPr>
                    <w:t>项目不涉及</w:t>
                  </w:r>
                  <w:r>
                    <w:rPr>
                      <w:rFonts w:hint="eastAsia" w:ascii="Times New Roman" w:hAnsi="Times New Roman" w:cs="Times New Roman"/>
                      <w:bCs/>
                      <w:color w:val="auto"/>
                      <w:sz w:val="21"/>
                      <w:szCs w:val="21"/>
                      <w:highlight w:val="none"/>
                      <w:lang w:val="en-US" w:eastAsia="zh-CN" w:bidi="ar"/>
                    </w:rPr>
                    <w:t>；</w:t>
                  </w:r>
                </w:p>
                <w:p w14:paraId="08F44471">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13.</w:t>
                  </w:r>
                  <w:r>
                    <w:rPr>
                      <w:rFonts w:hint="eastAsia" w:cs="Times New Roman"/>
                      <w:bCs/>
                      <w:color w:val="auto"/>
                      <w:sz w:val="21"/>
                      <w:szCs w:val="21"/>
                      <w:highlight w:val="none"/>
                      <w:lang w:val="en-US" w:eastAsia="zh-CN" w:bidi="ar"/>
                    </w:rPr>
                    <w:t>项目不涉及</w:t>
                  </w:r>
                  <w:r>
                    <w:rPr>
                      <w:rFonts w:hint="eastAsia" w:ascii="Times New Roman" w:hAnsi="Times New Roman" w:cs="Times New Roman"/>
                      <w:bCs/>
                      <w:color w:val="auto"/>
                      <w:sz w:val="21"/>
                      <w:szCs w:val="21"/>
                      <w:highlight w:val="none"/>
                      <w:lang w:val="en-US" w:eastAsia="zh-CN" w:bidi="ar"/>
                    </w:rPr>
                    <w:t>；</w:t>
                  </w:r>
                </w:p>
                <w:p w14:paraId="53EA3818">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14.本项目不涉及</w:t>
                  </w:r>
                  <w:r>
                    <w:rPr>
                      <w:rFonts w:hint="eastAsia" w:cs="Times New Roman"/>
                      <w:bCs/>
                      <w:color w:val="auto"/>
                      <w:sz w:val="21"/>
                      <w:szCs w:val="21"/>
                      <w:highlight w:val="none"/>
                      <w:lang w:val="en-US" w:eastAsia="zh-CN" w:bidi="ar"/>
                    </w:rPr>
                    <w:t>左述</w:t>
                  </w:r>
                  <w:r>
                    <w:rPr>
                      <w:rFonts w:hint="eastAsia" w:ascii="Times New Roman" w:hAnsi="Times New Roman" w:cs="Times New Roman"/>
                      <w:bCs/>
                      <w:color w:val="auto"/>
                      <w:sz w:val="21"/>
                      <w:szCs w:val="21"/>
                      <w:highlight w:val="none"/>
                      <w:lang w:val="en-US" w:eastAsia="zh-CN" w:bidi="ar"/>
                    </w:rPr>
                    <w:t>行业；</w:t>
                  </w:r>
                </w:p>
                <w:p w14:paraId="19DE9CE9">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15.本项目不</w:t>
                  </w:r>
                  <w:r>
                    <w:rPr>
                      <w:rFonts w:hint="eastAsia" w:cs="Times New Roman"/>
                      <w:bCs/>
                      <w:color w:val="auto"/>
                      <w:sz w:val="21"/>
                      <w:szCs w:val="21"/>
                      <w:highlight w:val="none"/>
                      <w:lang w:val="en-US" w:eastAsia="zh-CN" w:bidi="ar"/>
                    </w:rPr>
                    <w:t>属于</w:t>
                  </w:r>
                  <w:r>
                    <w:rPr>
                      <w:rFonts w:hint="default" w:ascii="Times New Roman" w:hAnsi="Times New Roman" w:eastAsia="宋体" w:cs="Times New Roman"/>
                      <w:bCs/>
                      <w:color w:val="auto"/>
                      <w:kern w:val="2"/>
                      <w:sz w:val="21"/>
                      <w:szCs w:val="21"/>
                      <w:vertAlign w:val="baseline"/>
                      <w:lang w:val="en-US" w:eastAsia="zh-CN" w:bidi="ar"/>
                    </w:rPr>
                    <w:t>钢铁、焦化行业</w:t>
                  </w:r>
                  <w:r>
                    <w:rPr>
                      <w:rFonts w:hint="eastAsia" w:ascii="Times New Roman" w:hAnsi="Times New Roman" w:cs="Times New Roman"/>
                      <w:bCs/>
                      <w:color w:val="auto"/>
                      <w:sz w:val="21"/>
                      <w:szCs w:val="21"/>
                      <w:highlight w:val="none"/>
                      <w:lang w:val="en-US" w:eastAsia="zh-CN" w:bidi="ar"/>
                    </w:rPr>
                    <w:t>；</w:t>
                  </w:r>
                </w:p>
                <w:p w14:paraId="50BD6C06">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bCs/>
                      <w:color w:val="auto"/>
                      <w:sz w:val="21"/>
                      <w:szCs w:val="21"/>
                      <w:highlight w:val="none"/>
                      <w:lang w:val="en-US" w:eastAsia="zh-CN" w:bidi="ar"/>
                    </w:rPr>
                  </w:pPr>
                  <w:r>
                    <w:rPr>
                      <w:rFonts w:hint="eastAsia" w:ascii="Times New Roman" w:hAnsi="Times New Roman" w:cs="Times New Roman"/>
                      <w:bCs/>
                      <w:color w:val="auto"/>
                      <w:sz w:val="21"/>
                      <w:szCs w:val="21"/>
                      <w:highlight w:val="none"/>
                      <w:lang w:val="en-US" w:eastAsia="zh-CN" w:bidi="ar"/>
                    </w:rPr>
                    <w:t>16.</w:t>
                  </w:r>
                  <w:r>
                    <w:rPr>
                      <w:rFonts w:hint="eastAsia" w:cs="Times New Roman"/>
                      <w:bCs/>
                      <w:color w:val="auto"/>
                      <w:sz w:val="21"/>
                      <w:szCs w:val="21"/>
                      <w:highlight w:val="none"/>
                      <w:lang w:val="en-US" w:eastAsia="zh-CN" w:bidi="ar"/>
                    </w:rPr>
                    <w:t>本项目不涉及</w:t>
                  </w:r>
                  <w:r>
                    <w:rPr>
                      <w:rFonts w:hint="default" w:ascii="Times New Roman" w:hAnsi="Times New Roman" w:eastAsia="宋体" w:cs="Times New Roman"/>
                      <w:bCs/>
                      <w:color w:val="auto"/>
                      <w:kern w:val="2"/>
                      <w:sz w:val="21"/>
                      <w:szCs w:val="21"/>
                      <w:vertAlign w:val="baseline"/>
                      <w:lang w:val="en-US" w:eastAsia="zh-CN" w:bidi="ar"/>
                    </w:rPr>
                    <w:t>工业炉窑</w:t>
                  </w:r>
                  <w:r>
                    <w:rPr>
                      <w:rFonts w:hint="eastAsia" w:ascii="Times New Roman" w:hAnsi="Times New Roman" w:cs="Times New Roman"/>
                      <w:bCs/>
                      <w:color w:val="auto"/>
                      <w:sz w:val="21"/>
                      <w:szCs w:val="21"/>
                      <w:highlight w:val="none"/>
                      <w:lang w:val="en-US" w:eastAsia="zh-CN" w:bidi="ar"/>
                    </w:rPr>
                    <w:t>；</w:t>
                  </w:r>
                </w:p>
                <w:p w14:paraId="756D4196">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Cs/>
                      <w:color w:val="auto"/>
                      <w:sz w:val="21"/>
                      <w:szCs w:val="21"/>
                      <w:highlight w:val="none"/>
                      <w:lang w:val="en-US" w:eastAsia="zh-CN" w:bidi="ar"/>
                    </w:rPr>
                  </w:pPr>
                  <w:r>
                    <w:rPr>
                      <w:rFonts w:hint="default" w:ascii="Times New Roman" w:hAnsi="Times New Roman" w:cs="Times New Roman"/>
                      <w:bCs/>
                      <w:color w:val="auto"/>
                      <w:sz w:val="21"/>
                      <w:szCs w:val="21"/>
                      <w:highlight w:val="none"/>
                      <w:lang w:val="en-US" w:eastAsia="zh-CN" w:bidi="ar"/>
                    </w:rPr>
                    <w:t>17.</w:t>
                  </w:r>
                  <w:r>
                    <w:rPr>
                      <w:rFonts w:hint="eastAsia" w:ascii="Times New Roman" w:hAnsi="Times New Roman" w:cs="Times New Roman"/>
                      <w:bCs/>
                      <w:color w:val="auto"/>
                      <w:sz w:val="21"/>
                      <w:szCs w:val="21"/>
                      <w:highlight w:val="none"/>
                      <w:lang w:val="en-US" w:eastAsia="zh-CN" w:bidi="ar"/>
                    </w:rPr>
                    <w:t>本项目</w:t>
                  </w:r>
                  <w:r>
                    <w:rPr>
                      <w:rFonts w:hint="eastAsia" w:cs="Times New Roman"/>
                      <w:bCs/>
                      <w:color w:val="auto"/>
                      <w:sz w:val="21"/>
                      <w:szCs w:val="21"/>
                      <w:highlight w:val="none"/>
                      <w:lang w:val="en-US" w:eastAsia="zh-CN" w:bidi="ar"/>
                    </w:rPr>
                    <w:t>原料库为全封闭式，成品库为全封闭式，厂区道路硬化，定期洒水抑尘</w:t>
                  </w:r>
                  <w:r>
                    <w:rPr>
                      <w:rFonts w:hint="eastAsia" w:ascii="Times New Roman" w:hAnsi="Times New Roman" w:cs="Times New Roman"/>
                      <w:bCs/>
                      <w:color w:val="auto"/>
                      <w:sz w:val="21"/>
                      <w:szCs w:val="21"/>
                      <w:highlight w:val="none"/>
                      <w:lang w:val="en-US" w:eastAsia="zh-CN" w:bidi="ar"/>
                    </w:rPr>
                    <w:t>；</w:t>
                  </w:r>
                </w:p>
                <w:p w14:paraId="5FF21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cs="Times New Roman" w:eastAsiaTheme="minorEastAsia"/>
                      <w:bCs/>
                      <w:color w:val="auto"/>
                      <w:kern w:val="0"/>
                      <w:sz w:val="21"/>
                      <w:szCs w:val="21"/>
                      <w:highlight w:val="none"/>
                      <w:lang w:val="en-US" w:eastAsia="zh-CN" w:bidi="ar"/>
                    </w:rPr>
                  </w:pPr>
                  <w:r>
                    <w:rPr>
                      <w:rFonts w:hint="default" w:ascii="Times New Roman" w:hAnsi="Times New Roman" w:cs="Times New Roman" w:eastAsiaTheme="minorEastAsia"/>
                      <w:bCs/>
                      <w:color w:val="auto"/>
                      <w:kern w:val="0"/>
                      <w:sz w:val="21"/>
                      <w:szCs w:val="21"/>
                      <w:highlight w:val="none"/>
                      <w:lang w:val="en-US" w:eastAsia="zh-CN" w:bidi="ar"/>
                    </w:rPr>
                    <w:t>18</w:t>
                  </w:r>
                  <w:r>
                    <w:rPr>
                      <w:rFonts w:hint="eastAsia" w:ascii="Times New Roman" w:hAnsi="Times New Roman" w:cs="Times New Roman" w:eastAsiaTheme="minorEastAsia"/>
                      <w:bCs/>
                      <w:color w:val="auto"/>
                      <w:kern w:val="0"/>
                      <w:sz w:val="21"/>
                      <w:szCs w:val="21"/>
                      <w:highlight w:val="none"/>
                      <w:lang w:val="en-US" w:eastAsia="zh-CN" w:bidi="ar"/>
                    </w:rPr>
                    <w:t>.本项目不涉及</w:t>
                  </w:r>
                  <w:r>
                    <w:rPr>
                      <w:rFonts w:hint="eastAsia" w:cs="Times New Roman" w:eastAsiaTheme="minorEastAsia"/>
                      <w:bCs/>
                      <w:color w:val="auto"/>
                      <w:kern w:val="0"/>
                      <w:sz w:val="21"/>
                      <w:szCs w:val="21"/>
                      <w:highlight w:val="none"/>
                      <w:lang w:val="en-US" w:eastAsia="zh-CN" w:bidi="ar"/>
                    </w:rPr>
                    <w:t>左述行业</w:t>
                  </w:r>
                  <w:r>
                    <w:rPr>
                      <w:rFonts w:hint="eastAsia" w:ascii="Times New Roman" w:hAnsi="Times New Roman" w:cs="Times New Roman" w:eastAsiaTheme="minorEastAsia"/>
                      <w:bCs/>
                      <w:color w:val="auto"/>
                      <w:kern w:val="0"/>
                      <w:sz w:val="21"/>
                      <w:szCs w:val="21"/>
                      <w:highlight w:val="none"/>
                      <w:lang w:val="en-US" w:eastAsia="zh-CN" w:bidi="ar"/>
                    </w:rPr>
                    <w:t>；</w:t>
                  </w:r>
                </w:p>
                <w:p w14:paraId="1446DB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color w:val="auto"/>
                      <w:sz w:val="21"/>
                      <w:szCs w:val="21"/>
                      <w:highlight w:val="yellow"/>
                      <w:lang w:val="en-US" w:eastAsia="zh-CN"/>
                    </w:rPr>
                  </w:pPr>
                  <w:r>
                    <w:rPr>
                      <w:rFonts w:hint="default" w:ascii="Times New Roman" w:hAnsi="Times New Roman" w:eastAsia="宋体" w:cs="Times New Roman"/>
                      <w:color w:val="auto"/>
                      <w:kern w:val="0"/>
                      <w:sz w:val="21"/>
                      <w:szCs w:val="21"/>
                      <w:highlight w:val="none"/>
                      <w:lang w:val="en-US" w:eastAsia="zh-CN" w:bidi="ar"/>
                    </w:rPr>
                    <w:t>19.</w:t>
                  </w:r>
                  <w:r>
                    <w:rPr>
                      <w:rFonts w:hint="eastAsia" w:ascii="Times New Roman" w:hAnsi="Times New Roman" w:eastAsia="宋体" w:cs="Times New Roman"/>
                      <w:color w:val="auto"/>
                      <w:kern w:val="0"/>
                      <w:sz w:val="21"/>
                      <w:szCs w:val="21"/>
                      <w:highlight w:val="none"/>
                      <w:lang w:val="en-US" w:eastAsia="zh-CN" w:bidi="ar"/>
                    </w:rPr>
                    <w:t>本项目</w:t>
                  </w:r>
                  <w:r>
                    <w:rPr>
                      <w:rFonts w:hint="eastAsia" w:ascii="宋体" w:hAnsi="宋体" w:eastAsia="宋体" w:cs="宋体"/>
                      <w:color w:val="auto"/>
                      <w:kern w:val="0"/>
                      <w:sz w:val="21"/>
                      <w:szCs w:val="21"/>
                      <w:highlight w:val="none"/>
                      <w:lang w:val="en-US" w:eastAsia="zh-CN" w:bidi="ar"/>
                    </w:rPr>
                    <w:t>不涉及</w:t>
                  </w:r>
                  <w:r>
                    <w:rPr>
                      <w:rFonts w:hint="default" w:ascii="Times New Roman" w:hAnsi="Times New Roman" w:eastAsia="宋体" w:cs="Times New Roman"/>
                      <w:bCs/>
                      <w:color w:val="auto"/>
                      <w:kern w:val="2"/>
                      <w:sz w:val="21"/>
                      <w:szCs w:val="21"/>
                      <w:vertAlign w:val="baseline"/>
                      <w:lang w:val="en-US" w:eastAsia="zh-CN" w:bidi="ar"/>
                    </w:rPr>
                    <w:t>挥发性有机物</w:t>
                  </w:r>
                  <w:r>
                    <w:rPr>
                      <w:rFonts w:hint="eastAsia" w:cs="Times New Roman"/>
                      <w:bCs/>
                      <w:color w:val="auto"/>
                      <w:sz w:val="21"/>
                      <w:szCs w:val="21"/>
                      <w:highlight w:val="none"/>
                      <w:lang w:eastAsia="zh-CN" w:bidi="ar"/>
                    </w:rPr>
                    <w:t>。</w:t>
                  </w:r>
                </w:p>
              </w:tc>
              <w:tc>
                <w:tcPr>
                  <w:tcW w:w="413" w:type="pct"/>
                  <w:vAlign w:val="center"/>
                </w:tcPr>
                <w:p w14:paraId="6DC1BE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vertAlign w:val="baseline"/>
                      <w:lang w:val="en-US" w:eastAsia="zh-CN" w:bidi="ar"/>
                    </w:rPr>
                  </w:pPr>
                  <w:r>
                    <w:rPr>
                      <w:rFonts w:hint="eastAsia" w:cs="宋体"/>
                      <w:bCs/>
                      <w:color w:val="auto"/>
                      <w:kern w:val="2"/>
                      <w:sz w:val="21"/>
                      <w:szCs w:val="21"/>
                      <w:vertAlign w:val="baseline"/>
                      <w:lang w:val="en-US" w:eastAsia="zh-CN" w:bidi="ar"/>
                    </w:rPr>
                    <w:t>符合</w:t>
                  </w:r>
                </w:p>
              </w:tc>
            </w:tr>
            <w:tr w14:paraId="37EC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Align w:val="center"/>
                </w:tcPr>
                <w:p w14:paraId="14B0F4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rPr>
                  </w:pPr>
                  <w:r>
                    <w:rPr>
                      <w:rFonts w:hint="default"/>
                      <w:color w:val="auto"/>
                      <w:sz w:val="21"/>
                      <w:szCs w:val="21"/>
                    </w:rPr>
                    <w:t>环境风险防控</w:t>
                  </w:r>
                </w:p>
              </w:tc>
              <w:tc>
                <w:tcPr>
                  <w:tcW w:w="3070" w:type="pct"/>
                  <w:vAlign w:val="center"/>
                </w:tcPr>
                <w:p w14:paraId="194E560E">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1</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化学品生产企业以及工业集聚区、矿山开采区、尾矿库、危险废物处置场、垃圾填埋场等的运营、管理单位，应当采取防渗漏等措施，并建设地下水水质监测井进行监测；</w:t>
                  </w:r>
                </w:p>
                <w:p w14:paraId="38CA9B2C">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2</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加油站等的地下油罐应当使用双层罐或者采取建造防渗池等其他有效措施，并进行防渗漏监测；</w:t>
                  </w:r>
                </w:p>
                <w:p w14:paraId="374531AF">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3</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存放可溶性剧毒废渣的场所，应当采取防水、防渗漏、防流失的措施。</w:t>
                  </w:r>
                </w:p>
                <w:p w14:paraId="4629797F">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4</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涉及有毒有害物质的新（改、扩）建项目，依法依规开展土壤和地下水环境影响评价，科学合理布局生产与污染治理设施，落实防腐蚀、防渗漏、防遗撒等土壤污染防治具体措施。</w:t>
                  </w:r>
                </w:p>
                <w:p w14:paraId="386A5C8D">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5</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对于成片污染地块分期分批开发的，以及污染地块周边土地开发的，要优化开发时序，合理安排土地供应及相关规划许可证发放时序，规范土壤污染风险管控和修复活动，防止污染土壤对周边拟入住敏感人群产生影响。原则上，“一住两公”等敏感类用地应后开发，在周边土壤环境风险得到全面管控后再投入使用。</w:t>
                  </w:r>
                </w:p>
                <w:p w14:paraId="773C949B">
                  <w:pPr>
                    <w:pStyle w:val="3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宋体" w:cs="Times New Roman"/>
                      <w:bCs/>
                      <w:color w:val="auto"/>
                      <w:kern w:val="2"/>
                      <w:sz w:val="21"/>
                      <w:szCs w:val="21"/>
                      <w:vertAlign w:val="baseline"/>
                      <w:lang w:val="en-US" w:eastAsia="zh-CN" w:bidi="ar"/>
                    </w:rPr>
                  </w:pPr>
                  <w:r>
                    <w:rPr>
                      <w:rFonts w:hint="default" w:ascii="Times New Roman" w:hAnsi="Times New Roman" w:eastAsia="宋体" w:cs="Times New Roman"/>
                      <w:bCs/>
                      <w:color w:val="auto"/>
                      <w:kern w:val="2"/>
                      <w:sz w:val="21"/>
                      <w:szCs w:val="21"/>
                      <w:vertAlign w:val="baseline"/>
                      <w:lang w:val="en-US" w:eastAsia="zh-CN" w:bidi="ar"/>
                    </w:rPr>
                    <w:t>6</w:t>
                  </w:r>
                  <w:r>
                    <w:rPr>
                      <w:rFonts w:hint="eastAsia" w:cs="Times New Roman"/>
                      <w:bCs/>
                      <w:color w:val="auto"/>
                      <w:kern w:val="2"/>
                      <w:sz w:val="21"/>
                      <w:szCs w:val="21"/>
                      <w:vertAlign w:val="baseline"/>
                      <w:lang w:val="en-US" w:eastAsia="zh-CN" w:bidi="ar"/>
                    </w:rPr>
                    <w:t>.</w:t>
                  </w:r>
                  <w:r>
                    <w:rPr>
                      <w:rFonts w:hint="default" w:ascii="Times New Roman" w:hAnsi="Times New Roman" w:eastAsia="宋体" w:cs="Times New Roman"/>
                      <w:bCs/>
                      <w:color w:val="auto"/>
                      <w:kern w:val="2"/>
                      <w:sz w:val="21"/>
                      <w:szCs w:val="21"/>
                      <w:vertAlign w:val="baseline"/>
                      <w:lang w:val="en-US" w:eastAsia="zh-CN" w:bidi="ar"/>
                    </w:rPr>
                    <w:t>对暂不开发利用的高风险关闭搬迁地块或污染地块，因地制宜实施风险管控，必要时组织开展土壤、地下水等环境监测。</w:t>
                  </w:r>
                </w:p>
              </w:tc>
              <w:tc>
                <w:tcPr>
                  <w:tcW w:w="1101" w:type="pct"/>
                  <w:vAlign w:val="center"/>
                </w:tcPr>
                <w:p w14:paraId="713160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bCs/>
                      <w:color w:val="auto"/>
                      <w:kern w:val="2"/>
                      <w:sz w:val="21"/>
                      <w:szCs w:val="21"/>
                      <w:vertAlign w:val="baseline"/>
                      <w:lang w:val="en-US" w:eastAsia="zh-CN" w:bidi="ar"/>
                    </w:rPr>
                  </w:pPr>
                  <w:r>
                    <w:rPr>
                      <w:rFonts w:hint="eastAsia" w:cs="宋体"/>
                      <w:bCs/>
                      <w:color w:val="auto"/>
                      <w:kern w:val="2"/>
                      <w:sz w:val="21"/>
                      <w:szCs w:val="21"/>
                      <w:highlight w:val="none"/>
                      <w:vertAlign w:val="baseline"/>
                      <w:lang w:val="en-US" w:eastAsia="zh-CN" w:bidi="ar"/>
                    </w:rPr>
                    <w:t>1.项目不属于</w:t>
                  </w:r>
                  <w:r>
                    <w:rPr>
                      <w:rFonts w:hint="default" w:ascii="Times New Roman" w:hAnsi="Times New Roman" w:eastAsia="宋体" w:cs="Times New Roman"/>
                      <w:bCs/>
                      <w:color w:val="auto"/>
                      <w:kern w:val="2"/>
                      <w:sz w:val="21"/>
                      <w:szCs w:val="21"/>
                      <w:vertAlign w:val="baseline"/>
                      <w:lang w:val="en-US" w:eastAsia="zh-CN" w:bidi="ar"/>
                    </w:rPr>
                    <w:t>化学品生产企业</w:t>
                  </w:r>
                  <w:r>
                    <w:rPr>
                      <w:rFonts w:hint="eastAsia" w:cs="Times New Roman"/>
                      <w:bCs/>
                      <w:color w:val="auto"/>
                      <w:kern w:val="2"/>
                      <w:sz w:val="21"/>
                      <w:szCs w:val="21"/>
                      <w:vertAlign w:val="baseline"/>
                      <w:lang w:val="en-US" w:eastAsia="zh-CN" w:bidi="ar"/>
                    </w:rPr>
                    <w:t>；</w:t>
                  </w:r>
                </w:p>
                <w:p w14:paraId="7BD7C49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宋体"/>
                      <w:bCs/>
                      <w:color w:val="auto"/>
                      <w:kern w:val="2"/>
                      <w:sz w:val="21"/>
                      <w:szCs w:val="21"/>
                      <w:highlight w:val="none"/>
                      <w:vertAlign w:val="baseline"/>
                      <w:lang w:val="en-US" w:eastAsia="zh-CN" w:bidi="ar"/>
                    </w:rPr>
                  </w:pPr>
                  <w:r>
                    <w:rPr>
                      <w:rFonts w:hint="eastAsia" w:cs="Times New Roman"/>
                      <w:bCs/>
                      <w:color w:val="auto"/>
                      <w:kern w:val="2"/>
                      <w:sz w:val="21"/>
                      <w:szCs w:val="21"/>
                      <w:vertAlign w:val="baseline"/>
                      <w:lang w:val="en-US" w:eastAsia="zh-CN" w:bidi="ar"/>
                    </w:rPr>
                    <w:t>2.</w:t>
                  </w:r>
                  <w:r>
                    <w:rPr>
                      <w:rFonts w:hint="eastAsia" w:cs="宋体"/>
                      <w:bCs/>
                      <w:color w:val="auto"/>
                      <w:kern w:val="2"/>
                      <w:sz w:val="21"/>
                      <w:szCs w:val="21"/>
                      <w:highlight w:val="none"/>
                      <w:vertAlign w:val="baseline"/>
                      <w:lang w:val="en-US" w:eastAsia="zh-CN" w:bidi="ar"/>
                    </w:rPr>
                    <w:t>项目不涉及；</w:t>
                  </w:r>
                </w:p>
                <w:p w14:paraId="23BD595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3.项目不涉及；</w:t>
                  </w:r>
                </w:p>
                <w:p w14:paraId="249F3F5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bCs/>
                      <w:color w:val="auto"/>
                      <w:kern w:val="2"/>
                      <w:sz w:val="21"/>
                      <w:szCs w:val="21"/>
                      <w:vertAlign w:val="baseline"/>
                      <w:lang w:val="en-US" w:eastAsia="zh-CN" w:bidi="ar"/>
                    </w:rPr>
                  </w:pPr>
                  <w:r>
                    <w:rPr>
                      <w:rFonts w:hint="eastAsia" w:cs="宋体"/>
                      <w:bCs/>
                      <w:color w:val="auto"/>
                      <w:kern w:val="2"/>
                      <w:sz w:val="21"/>
                      <w:szCs w:val="21"/>
                      <w:highlight w:val="none"/>
                      <w:vertAlign w:val="baseline"/>
                      <w:lang w:val="en-US" w:eastAsia="zh-CN" w:bidi="ar"/>
                    </w:rPr>
                    <w:t>4.本项目不</w:t>
                  </w:r>
                  <w:r>
                    <w:rPr>
                      <w:rFonts w:hint="default" w:ascii="Times New Roman" w:hAnsi="Times New Roman" w:eastAsia="宋体" w:cs="Times New Roman"/>
                      <w:bCs/>
                      <w:color w:val="auto"/>
                      <w:kern w:val="2"/>
                      <w:sz w:val="21"/>
                      <w:szCs w:val="21"/>
                      <w:vertAlign w:val="baseline"/>
                      <w:lang w:val="en-US" w:eastAsia="zh-CN" w:bidi="ar"/>
                    </w:rPr>
                    <w:t>涉及有毒有害物质</w:t>
                  </w:r>
                  <w:r>
                    <w:rPr>
                      <w:rFonts w:hint="eastAsia" w:cs="Times New Roman"/>
                      <w:bCs/>
                      <w:color w:val="auto"/>
                      <w:kern w:val="2"/>
                      <w:sz w:val="21"/>
                      <w:szCs w:val="21"/>
                      <w:vertAlign w:val="baseline"/>
                      <w:lang w:val="en-US" w:eastAsia="zh-CN" w:bidi="ar"/>
                    </w:rPr>
                    <w:t>；</w:t>
                  </w:r>
                </w:p>
                <w:p w14:paraId="1CA97FC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bCs/>
                      <w:color w:val="auto"/>
                      <w:kern w:val="2"/>
                      <w:sz w:val="21"/>
                      <w:szCs w:val="21"/>
                      <w:vertAlign w:val="baseline"/>
                      <w:lang w:val="en-US" w:eastAsia="zh-CN" w:bidi="ar"/>
                    </w:rPr>
                  </w:pPr>
                  <w:r>
                    <w:rPr>
                      <w:rFonts w:hint="eastAsia" w:cs="Times New Roman"/>
                      <w:bCs/>
                      <w:color w:val="auto"/>
                      <w:kern w:val="2"/>
                      <w:sz w:val="21"/>
                      <w:szCs w:val="21"/>
                      <w:vertAlign w:val="baseline"/>
                      <w:lang w:val="en-US" w:eastAsia="zh-CN" w:bidi="ar"/>
                    </w:rPr>
                    <w:t>5.项目不涉及；</w:t>
                  </w:r>
                </w:p>
                <w:p w14:paraId="1920D38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cs="Times New Roman"/>
                      <w:bCs/>
                      <w:color w:val="auto"/>
                      <w:kern w:val="2"/>
                      <w:sz w:val="21"/>
                      <w:szCs w:val="21"/>
                      <w:vertAlign w:val="baseline"/>
                      <w:lang w:val="en-US" w:eastAsia="zh-CN" w:bidi="ar"/>
                    </w:rPr>
                  </w:pPr>
                  <w:r>
                    <w:rPr>
                      <w:rFonts w:hint="eastAsia" w:cs="Times New Roman"/>
                      <w:bCs/>
                      <w:color w:val="auto"/>
                      <w:kern w:val="2"/>
                      <w:sz w:val="21"/>
                      <w:szCs w:val="21"/>
                      <w:vertAlign w:val="baseline"/>
                      <w:lang w:val="en-US" w:eastAsia="zh-CN" w:bidi="ar"/>
                    </w:rPr>
                    <w:t>6.本项目占地类型为工业工地，不属于左述地块。</w:t>
                  </w:r>
                </w:p>
              </w:tc>
              <w:tc>
                <w:tcPr>
                  <w:tcW w:w="413" w:type="pct"/>
                  <w:vAlign w:val="center"/>
                </w:tcPr>
                <w:p w14:paraId="76D6D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符合</w:t>
                  </w:r>
                </w:p>
              </w:tc>
            </w:tr>
            <w:tr w14:paraId="1964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415" w:type="pct"/>
                  <w:vAlign w:val="center"/>
                </w:tcPr>
                <w:p w14:paraId="49616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eastAsia="宋体"/>
                      <w:color w:val="auto"/>
                      <w:sz w:val="21"/>
                      <w:szCs w:val="21"/>
                      <w:lang w:val="en-US" w:eastAsia="zh-CN"/>
                    </w:rPr>
                  </w:pPr>
                  <w:r>
                    <w:rPr>
                      <w:rFonts w:hint="default"/>
                      <w:color w:val="auto"/>
                      <w:sz w:val="21"/>
                      <w:szCs w:val="21"/>
                      <w:highlight w:val="none"/>
                    </w:rPr>
                    <w:t>资源</w:t>
                  </w:r>
                  <w:r>
                    <w:rPr>
                      <w:rFonts w:hint="eastAsia"/>
                      <w:color w:val="auto"/>
                      <w:sz w:val="21"/>
                      <w:szCs w:val="21"/>
                      <w:highlight w:val="none"/>
                      <w:lang w:val="en-US" w:eastAsia="zh-CN"/>
                    </w:rPr>
                    <w:t>开发</w:t>
                  </w:r>
                  <w:r>
                    <w:rPr>
                      <w:rFonts w:hint="default"/>
                      <w:color w:val="auto"/>
                      <w:sz w:val="21"/>
                      <w:szCs w:val="21"/>
                      <w:highlight w:val="none"/>
                    </w:rPr>
                    <w:t>效率</w:t>
                  </w:r>
                  <w:r>
                    <w:rPr>
                      <w:rFonts w:hint="eastAsia"/>
                      <w:color w:val="auto"/>
                      <w:sz w:val="21"/>
                      <w:szCs w:val="21"/>
                      <w:highlight w:val="none"/>
                      <w:lang w:val="en-US" w:eastAsia="zh-CN"/>
                    </w:rPr>
                    <w:t>要求</w:t>
                  </w:r>
                </w:p>
              </w:tc>
              <w:tc>
                <w:tcPr>
                  <w:tcW w:w="3070" w:type="pct"/>
                  <w:vAlign w:val="center"/>
                </w:tcPr>
                <w:p w14:paraId="645EE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到2035年,长治市耕地保有量不低于549.36万亩,其中永久基本农田保护面积不低于468.65万亩</w:t>
                  </w:r>
                  <w:r>
                    <w:rPr>
                      <w:rFonts w:hint="eastAsia"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生态保护红线不低于2591.55平方千米;城镇开发边界面积控制在415.57平方千米以内。</w:t>
                  </w:r>
                </w:p>
                <w:p w14:paraId="7B960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严格实行区域用水总量和强度控制。</w:t>
                  </w:r>
                </w:p>
                <w:p w14:paraId="259B7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到2025年，全市万元地区生产总值用水量下降15%，灌溉利用系数达到0.58以上。</w:t>
                  </w:r>
                </w:p>
                <w:p w14:paraId="2CA18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到2025年再生水利用率达到50%以上。</w:t>
                  </w:r>
                </w:p>
                <w:p w14:paraId="764D8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5</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到2025年，农村生活污水治理率达到25%。</w:t>
                  </w:r>
                </w:p>
                <w:p w14:paraId="67510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6</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到2025年，畜禽粪污综合利用率达到90%以上，规模养殖场粪污处理设施装备配套率达到100%。</w:t>
                  </w:r>
                </w:p>
                <w:p w14:paraId="26191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新改扩建用煤项目，依法实行煤炭减量替代，不得将使用石油焦、焦炭、兰炭等高污染燃料作为煤炭减量替代措施。</w:t>
                  </w:r>
                </w:p>
                <w:p w14:paraId="72030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8</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严格落实煤炭消费减量替代管理要求，煤矸石、原料用煤不纳入煤炭消费总量考核。原则上不再新增自备燃煤机组，支持自备燃煤机组实施清洁能源替代。</w:t>
                  </w:r>
                </w:p>
                <w:p w14:paraId="56C58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9</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全市不再新增燃料类煤气发生炉，推进现有燃料类煤气发生炉逐步实施清洁能源替代。</w:t>
                  </w:r>
                </w:p>
                <w:p w14:paraId="23EE04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10</w:t>
                  </w:r>
                  <w:r>
                    <w:rPr>
                      <w:rFonts w:hint="eastAsia" w:cs="Times New Roman"/>
                      <w:bCs/>
                      <w:color w:val="auto"/>
                      <w:kern w:val="2"/>
                      <w:sz w:val="21"/>
                      <w:szCs w:val="21"/>
                      <w:vertAlign w:val="baseline"/>
                      <w:lang w:val="en-US" w:eastAsia="zh-CN" w:bidi="ar"/>
                    </w:rPr>
                    <w:t>.</w:t>
                  </w:r>
                  <w:r>
                    <w:rPr>
                      <w:rFonts w:hint="default" w:ascii="Times New Roman" w:hAnsi="Times New Roman" w:cs="Times New Roman"/>
                      <w:color w:val="auto"/>
                      <w:sz w:val="21"/>
                      <w:szCs w:val="21"/>
                      <w:highlight w:val="none"/>
                      <w:lang w:val="en-US" w:eastAsia="zh-CN"/>
                    </w:rPr>
                    <w:t>新改扩建加热炉、热处理炉、干燥炉、熔化炉原则上采用清洁低碳能源，清洁低碳能源优先采用电能，在气源保障的前提下推广天然气替代。现有工业炉窑要充分利用工业余热、电厂热力、可再生能源、天然气、煤层气、脱硫后焦炉煤气等清洁低碳能源替代高污染燃料。</w:t>
                  </w:r>
                </w:p>
              </w:tc>
              <w:tc>
                <w:tcPr>
                  <w:tcW w:w="1101" w:type="pct"/>
                  <w:vAlign w:val="center"/>
                </w:tcPr>
                <w:p w14:paraId="4A9EE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1.本项目占地类型为工业用地，不在城镇开发边界范围内；</w:t>
                  </w:r>
                </w:p>
                <w:p w14:paraId="6E83258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2.本项目用水量较小；</w:t>
                  </w:r>
                </w:p>
                <w:p w14:paraId="56A81FF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3-6.本项目不涉及；</w:t>
                  </w:r>
                </w:p>
                <w:p w14:paraId="1652B13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7.本项目为煤矸石综合利用制机制砂石骨料；</w:t>
                  </w:r>
                </w:p>
                <w:p w14:paraId="74A2C39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color w:val="auto"/>
                      <w:sz w:val="21"/>
                      <w:szCs w:val="21"/>
                      <w:highlight w:val="none"/>
                      <w:lang w:val="en-US" w:eastAsia="zh-CN"/>
                    </w:rPr>
                  </w:pPr>
                  <w:r>
                    <w:rPr>
                      <w:rFonts w:hint="eastAsia" w:cs="宋体"/>
                      <w:bCs/>
                      <w:color w:val="auto"/>
                      <w:kern w:val="2"/>
                      <w:sz w:val="21"/>
                      <w:szCs w:val="21"/>
                      <w:highlight w:val="none"/>
                      <w:vertAlign w:val="baseline"/>
                      <w:lang w:val="en-US" w:eastAsia="zh-CN" w:bidi="ar"/>
                    </w:rPr>
                    <w:t>8.本项目不涉及</w:t>
                  </w:r>
                  <w:r>
                    <w:rPr>
                      <w:rFonts w:hint="default" w:ascii="Times New Roman" w:hAnsi="Times New Roman" w:cs="Times New Roman"/>
                      <w:color w:val="auto"/>
                      <w:sz w:val="21"/>
                      <w:szCs w:val="21"/>
                      <w:highlight w:val="none"/>
                      <w:lang w:val="en-US" w:eastAsia="zh-CN"/>
                    </w:rPr>
                    <w:t>燃煤机组</w:t>
                  </w:r>
                  <w:r>
                    <w:rPr>
                      <w:rFonts w:hint="eastAsia" w:cs="Times New Roman"/>
                      <w:color w:val="auto"/>
                      <w:sz w:val="21"/>
                      <w:szCs w:val="21"/>
                      <w:highlight w:val="none"/>
                      <w:lang w:val="en-US" w:eastAsia="zh-CN"/>
                    </w:rPr>
                    <w:t>；</w:t>
                  </w:r>
                </w:p>
                <w:p w14:paraId="23BCC64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9.本项目不涉及</w:t>
                  </w:r>
                  <w:r>
                    <w:rPr>
                      <w:rFonts w:hint="default" w:ascii="Times New Roman" w:hAnsi="Times New Roman" w:cs="Times New Roman"/>
                      <w:color w:val="auto"/>
                      <w:sz w:val="21"/>
                      <w:szCs w:val="21"/>
                      <w:highlight w:val="none"/>
                      <w:lang w:val="en-US" w:eastAsia="zh-CN"/>
                    </w:rPr>
                    <w:t>煤气发生炉</w:t>
                  </w:r>
                  <w:r>
                    <w:rPr>
                      <w:rFonts w:hint="eastAsia" w:cs="Times New Roman"/>
                      <w:color w:val="auto"/>
                      <w:sz w:val="21"/>
                      <w:szCs w:val="21"/>
                      <w:highlight w:val="none"/>
                      <w:lang w:val="en-US" w:eastAsia="zh-CN"/>
                    </w:rPr>
                    <w:t>；</w:t>
                  </w:r>
                </w:p>
                <w:p w14:paraId="4C3B358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10.本项目不涉及</w:t>
                  </w:r>
                  <w:r>
                    <w:rPr>
                      <w:rFonts w:hint="default" w:ascii="Times New Roman" w:hAnsi="Times New Roman" w:cs="Times New Roman"/>
                      <w:color w:val="auto"/>
                      <w:sz w:val="21"/>
                      <w:szCs w:val="21"/>
                      <w:highlight w:val="none"/>
                      <w:lang w:val="en-US" w:eastAsia="zh-CN"/>
                    </w:rPr>
                    <w:t>加热炉、热处理炉、干燥炉、熔化炉</w:t>
                  </w:r>
                  <w:r>
                    <w:rPr>
                      <w:rFonts w:hint="eastAsia" w:cs="Times New Roman"/>
                      <w:color w:val="auto"/>
                      <w:sz w:val="21"/>
                      <w:szCs w:val="21"/>
                      <w:highlight w:val="none"/>
                      <w:lang w:val="en-US" w:eastAsia="zh-CN"/>
                    </w:rPr>
                    <w:t>等工业炉窑。</w:t>
                  </w:r>
                </w:p>
              </w:tc>
              <w:tc>
                <w:tcPr>
                  <w:tcW w:w="413" w:type="pct"/>
                  <w:vAlign w:val="center"/>
                </w:tcPr>
                <w:p w14:paraId="3E9B09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宋体"/>
                      <w:bCs/>
                      <w:color w:val="auto"/>
                      <w:kern w:val="2"/>
                      <w:sz w:val="21"/>
                      <w:szCs w:val="21"/>
                      <w:highlight w:val="none"/>
                      <w:vertAlign w:val="baseline"/>
                      <w:lang w:val="en-US" w:eastAsia="zh-CN" w:bidi="ar"/>
                    </w:rPr>
                  </w:pPr>
                  <w:r>
                    <w:rPr>
                      <w:rFonts w:hint="eastAsia" w:cs="宋体"/>
                      <w:bCs/>
                      <w:color w:val="auto"/>
                      <w:kern w:val="2"/>
                      <w:sz w:val="21"/>
                      <w:szCs w:val="21"/>
                      <w:highlight w:val="none"/>
                      <w:vertAlign w:val="baseline"/>
                      <w:lang w:val="en-US" w:eastAsia="zh-CN" w:bidi="ar"/>
                    </w:rPr>
                    <w:t>符合</w:t>
                  </w:r>
                </w:p>
              </w:tc>
            </w:tr>
          </w:tbl>
          <w:p w14:paraId="2E90A58D">
            <w:pPr>
              <w:pStyle w:val="2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both"/>
              <w:textAlignment w:val="auto"/>
              <w:rPr>
                <w:rFonts w:hint="default" w:ascii="Times New Roman" w:hAnsi="Times New Roman" w:cs="Times New Roman"/>
                <w:b/>
                <w:bCs w:val="0"/>
                <w:color w:val="auto"/>
                <w:kern w:val="2"/>
                <w:lang w:val="en-US"/>
              </w:rPr>
            </w:pPr>
            <w:r>
              <w:rPr>
                <w:rFonts w:hint="eastAsia" w:ascii="Times New Roman" w:hAnsi="Times New Roman" w:cs="Times New Roman"/>
                <w:b/>
                <w:bCs w:val="0"/>
                <w:color w:val="auto"/>
                <w:kern w:val="2"/>
                <w:sz w:val="24"/>
                <w:szCs w:val="24"/>
                <w:lang w:val="en-US" w:eastAsia="zh-CN" w:bidi="ar"/>
              </w:rPr>
              <w:t>1.3</w:t>
            </w:r>
            <w:r>
              <w:rPr>
                <w:rFonts w:hint="eastAsia" w:ascii="Times New Roman" w:hAnsi="Times New Roman" w:eastAsia="宋体" w:cs="Times New Roman"/>
                <w:b/>
                <w:bCs w:val="0"/>
                <w:color w:val="auto"/>
                <w:kern w:val="2"/>
                <w:sz w:val="24"/>
                <w:szCs w:val="24"/>
                <w:lang w:val="en-US" w:eastAsia="zh-CN" w:bidi="ar"/>
              </w:rPr>
              <w:t>与相关生态环境保护法律法规政策、生态环境保护规划的符合性分析</w:t>
            </w:r>
          </w:p>
          <w:p w14:paraId="764535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1.3.1</w:t>
            </w:r>
            <w:r>
              <w:rPr>
                <w:rFonts w:hint="eastAsia" w:ascii="Times New Roman" w:hAnsi="Times New Roman" w:eastAsia="宋体" w:cs="Times New Roman"/>
                <w:b/>
                <w:bCs/>
                <w:color w:val="auto"/>
                <w:kern w:val="2"/>
                <w:sz w:val="24"/>
                <w:szCs w:val="24"/>
                <w:lang w:val="en-US" w:eastAsia="zh-CN" w:bidi="ar"/>
              </w:rPr>
              <w:t>与区域水源地保护区符合性分析</w:t>
            </w:r>
          </w:p>
          <w:p w14:paraId="1D36066E">
            <w:pPr>
              <w:pStyle w:val="6"/>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480" w:lineRule="exact"/>
              <w:ind w:left="0" w:right="0" w:firstLine="480" w:firstLineChars="200"/>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cs="Times New Roman"/>
                <w:b w:val="0"/>
                <w:bCs/>
                <w:color w:val="auto"/>
                <w:sz w:val="24"/>
                <w:szCs w:val="24"/>
                <w:lang w:val="en-US" w:eastAsia="zh-CN"/>
              </w:rPr>
              <w:t>（1）</w:t>
            </w:r>
            <w:bookmarkStart w:id="6" w:name="_Hlk82075314"/>
            <w:r>
              <w:rPr>
                <w:rFonts w:hint="default" w:ascii="Times New Roman" w:hAnsi="Times New Roman" w:eastAsia="宋体" w:cs="Times New Roman"/>
                <w:b w:val="0"/>
                <w:bCs/>
                <w:color w:val="auto"/>
                <w:kern w:val="2"/>
                <w:sz w:val="24"/>
                <w:szCs w:val="24"/>
                <w:lang w:val="en-US" w:eastAsia="zh-CN" w:bidi="ar"/>
              </w:rPr>
              <w:t>县城集中饮用水源地</w:t>
            </w:r>
            <w:bookmarkEnd w:id="6"/>
          </w:p>
          <w:p w14:paraId="4CC30333">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jc w:val="both"/>
              <w:textAlignment w:val="auto"/>
              <w:rPr>
                <w:rFonts w:hint="default"/>
                <w:color w:val="auto"/>
                <w:sz w:val="24"/>
                <w:szCs w:val="21"/>
                <w:lang w:val="en-US"/>
              </w:rPr>
            </w:pPr>
            <w:r>
              <w:rPr>
                <w:rFonts w:hint="eastAsia" w:ascii="Times New Roman" w:hAnsi="Times New Roman" w:eastAsia="宋体" w:cs="宋体"/>
                <w:color w:val="auto"/>
                <w:kern w:val="2"/>
                <w:sz w:val="24"/>
                <w:szCs w:val="21"/>
                <w:lang w:val="en-US" w:eastAsia="zh-CN" w:bidi="ar"/>
              </w:rPr>
              <w:t>根据《屯留县城水源地保护区划分技术报告》，屯留区有席店和屯降两处水源地保护区。席店水源地保护区范围为东自郭村西一线，西自刘家坪西南一线，北起刘家坪南一线，南到罗庄席店东一线，由以上圈点的面积为</w:t>
            </w:r>
            <w:r>
              <w:rPr>
                <w:rFonts w:hint="default" w:ascii="Times New Roman" w:hAnsi="Times New Roman" w:eastAsia="宋体" w:cs="Times New Roman"/>
                <w:color w:val="auto"/>
                <w:kern w:val="2"/>
                <w:sz w:val="24"/>
                <w:szCs w:val="21"/>
                <w:lang w:val="en-US" w:eastAsia="zh-CN" w:bidi="ar"/>
              </w:rPr>
              <w:t>1.85km</w:t>
            </w:r>
            <w:r>
              <w:rPr>
                <w:rFonts w:hint="default" w:ascii="Times New Roman" w:hAnsi="Times New Roman" w:eastAsia="宋体" w:cs="Times New Roman"/>
                <w:color w:val="auto"/>
                <w:kern w:val="2"/>
                <w:sz w:val="24"/>
                <w:szCs w:val="21"/>
                <w:vertAlign w:val="superscript"/>
                <w:lang w:val="en-US" w:eastAsia="zh-CN" w:bidi="ar"/>
              </w:rPr>
              <w:t>2</w:t>
            </w:r>
            <w:r>
              <w:rPr>
                <w:rFonts w:hint="eastAsia" w:ascii="Times New Roman" w:hAnsi="Times New Roman" w:eastAsia="宋体" w:cs="宋体"/>
                <w:color w:val="auto"/>
                <w:kern w:val="2"/>
                <w:sz w:val="24"/>
                <w:szCs w:val="21"/>
                <w:lang w:val="en-US" w:eastAsia="zh-CN" w:bidi="ar"/>
              </w:rPr>
              <w:t>。屯降水库水源地保护区范围为屯降水库水面及水库上游</w:t>
            </w:r>
            <w:r>
              <w:rPr>
                <w:rFonts w:hint="default" w:ascii="Times New Roman" w:hAnsi="Times New Roman" w:eastAsia="宋体" w:cs="Times New Roman"/>
                <w:color w:val="auto"/>
                <w:kern w:val="2"/>
                <w:sz w:val="24"/>
                <w:szCs w:val="21"/>
                <w:lang w:val="en-US" w:eastAsia="zh-CN" w:bidi="ar"/>
              </w:rPr>
              <w:t>1000m</w:t>
            </w:r>
            <w:r>
              <w:rPr>
                <w:rFonts w:hint="eastAsia" w:ascii="Times New Roman" w:hAnsi="Times New Roman" w:eastAsia="宋体" w:cs="宋体"/>
                <w:color w:val="auto"/>
                <w:kern w:val="2"/>
                <w:sz w:val="24"/>
                <w:szCs w:val="21"/>
                <w:lang w:val="en-US" w:eastAsia="zh-CN" w:bidi="ar"/>
              </w:rPr>
              <w:t>的水面和陆面。厂址位置距离席店和屯降两处水源地保护区分别为</w:t>
            </w:r>
            <w:r>
              <w:rPr>
                <w:rFonts w:hint="eastAsia" w:cs="Times New Roman"/>
                <w:color w:val="auto"/>
                <w:kern w:val="2"/>
                <w:sz w:val="24"/>
                <w:szCs w:val="21"/>
                <w:highlight w:val="none"/>
                <w:lang w:val="en-US" w:eastAsia="zh-CN" w:bidi="ar"/>
              </w:rPr>
              <w:t>13.5</w:t>
            </w:r>
            <w:r>
              <w:rPr>
                <w:rFonts w:hint="default" w:ascii="Times New Roman" w:hAnsi="Times New Roman" w:eastAsia="宋体" w:cs="Times New Roman"/>
                <w:color w:val="auto"/>
                <w:kern w:val="2"/>
                <w:sz w:val="24"/>
                <w:szCs w:val="21"/>
                <w:highlight w:val="none"/>
                <w:lang w:val="en-US" w:eastAsia="zh-CN" w:bidi="ar"/>
              </w:rPr>
              <w:t>km</w:t>
            </w:r>
            <w:r>
              <w:rPr>
                <w:rFonts w:hint="eastAsia" w:ascii="Times New Roman" w:hAnsi="Times New Roman" w:eastAsia="宋体" w:cs="宋体"/>
                <w:color w:val="auto"/>
                <w:kern w:val="2"/>
                <w:sz w:val="24"/>
                <w:szCs w:val="21"/>
                <w:highlight w:val="none"/>
                <w:lang w:val="en-US" w:eastAsia="zh-CN" w:bidi="ar"/>
              </w:rPr>
              <w:t>和</w:t>
            </w:r>
            <w:r>
              <w:rPr>
                <w:rFonts w:hint="default" w:ascii="Times New Roman" w:hAnsi="Times New Roman" w:eastAsia="宋体" w:cs="Times New Roman"/>
                <w:color w:val="auto"/>
                <w:kern w:val="2"/>
                <w:sz w:val="24"/>
                <w:szCs w:val="21"/>
                <w:highlight w:val="none"/>
                <w:lang w:val="en-US" w:eastAsia="zh-CN" w:bidi="ar"/>
              </w:rPr>
              <w:t>1</w:t>
            </w:r>
            <w:r>
              <w:rPr>
                <w:rFonts w:hint="eastAsia" w:cs="Times New Roman"/>
                <w:color w:val="auto"/>
                <w:kern w:val="2"/>
                <w:sz w:val="24"/>
                <w:szCs w:val="21"/>
                <w:highlight w:val="none"/>
                <w:lang w:val="en-US" w:eastAsia="zh-CN" w:bidi="ar"/>
              </w:rPr>
              <w:t>2.5</w:t>
            </w:r>
            <w:r>
              <w:rPr>
                <w:rFonts w:hint="default" w:ascii="Times New Roman" w:hAnsi="Times New Roman" w:eastAsia="宋体" w:cs="Times New Roman"/>
                <w:color w:val="auto"/>
                <w:kern w:val="2"/>
                <w:sz w:val="24"/>
                <w:szCs w:val="21"/>
                <w:highlight w:val="none"/>
                <w:lang w:val="en-US" w:eastAsia="zh-CN" w:bidi="ar"/>
              </w:rPr>
              <w:t>km</w:t>
            </w:r>
            <w:r>
              <w:rPr>
                <w:rFonts w:hint="eastAsia" w:ascii="Times New Roman" w:hAnsi="Times New Roman" w:eastAsia="宋体" w:cs="宋体"/>
                <w:color w:val="auto"/>
                <w:kern w:val="2"/>
                <w:sz w:val="24"/>
                <w:szCs w:val="21"/>
                <w:highlight w:val="none"/>
                <w:lang w:val="en-US" w:eastAsia="zh-CN" w:bidi="ar"/>
              </w:rPr>
              <w:t>，</w:t>
            </w:r>
            <w:r>
              <w:rPr>
                <w:rFonts w:hint="eastAsia" w:ascii="Times New Roman" w:hAnsi="Times New Roman" w:eastAsia="宋体" w:cs="宋体"/>
                <w:color w:val="auto"/>
                <w:kern w:val="2"/>
                <w:sz w:val="24"/>
                <w:szCs w:val="21"/>
                <w:lang w:val="en-US" w:eastAsia="zh-CN" w:bidi="ar"/>
              </w:rPr>
              <w:t>不会对水源地造成影响。本项目与屯留区县城水源地保护区相对位置关系图见附图</w:t>
            </w:r>
            <w:r>
              <w:rPr>
                <w:rFonts w:hint="eastAsia" w:cs="Times New Roman"/>
                <w:color w:val="auto"/>
                <w:kern w:val="2"/>
                <w:sz w:val="24"/>
                <w:szCs w:val="21"/>
                <w:lang w:val="en-US" w:eastAsia="zh-CN" w:bidi="ar"/>
              </w:rPr>
              <w:t>5</w:t>
            </w:r>
            <w:r>
              <w:rPr>
                <w:rFonts w:hint="eastAsia" w:ascii="Times New Roman" w:hAnsi="Times New Roman" w:eastAsia="宋体" w:cs="宋体"/>
                <w:color w:val="auto"/>
                <w:kern w:val="2"/>
                <w:sz w:val="24"/>
                <w:szCs w:val="21"/>
                <w:lang w:val="en-US" w:eastAsia="zh-CN" w:bidi="ar"/>
              </w:rPr>
              <w:t>。</w:t>
            </w:r>
          </w:p>
          <w:p w14:paraId="141FC4CE">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w:t>
            </w:r>
            <w:r>
              <w:rPr>
                <w:rFonts w:hint="eastAsia"/>
                <w:color w:val="auto"/>
                <w:sz w:val="24"/>
                <w:szCs w:val="21"/>
              </w:rPr>
              <w:t>2</w:t>
            </w:r>
            <w:r>
              <w:rPr>
                <w:rFonts w:hint="default"/>
                <w:color w:val="auto"/>
                <w:sz w:val="24"/>
                <w:szCs w:val="21"/>
              </w:rPr>
              <w:t>）</w:t>
            </w:r>
            <w:r>
              <w:rPr>
                <w:rFonts w:hint="eastAsia"/>
                <w:color w:val="auto"/>
                <w:sz w:val="24"/>
                <w:szCs w:val="21"/>
              </w:rPr>
              <w:t>乡镇</w:t>
            </w:r>
            <w:r>
              <w:rPr>
                <w:rFonts w:hint="default"/>
                <w:color w:val="auto"/>
                <w:sz w:val="24"/>
                <w:szCs w:val="21"/>
              </w:rPr>
              <w:t>集中饮用水源地</w:t>
            </w:r>
          </w:p>
          <w:p w14:paraId="32D055AD">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eastAsia" w:ascii="Times New Roman" w:hAnsi="Times New Roman" w:eastAsia="宋体" w:cs="Times New Roman"/>
                <w:color w:val="auto"/>
                <w:sz w:val="24"/>
                <w:highlight w:val="none"/>
                <w:lang w:val="en-US" w:eastAsia="zh-CN"/>
              </w:rPr>
              <w:t>屯留区共有7个乡镇集中饮用水水源地，其中有6个乡镇集中供水水源地（上村镇、渔泽镇、吾元镇、张店镇、李高乡、河神庙乡集中供水水源地），1个开发区集中供水水源地（上莲开发区集中供水水源地），均为地下水型水源地，开采地下水类型包括岩溶裂隙水、砂岩裂隙水、第四系孔隙水，承压水和潜水类型均有。</w:t>
            </w:r>
          </w:p>
          <w:p w14:paraId="4BFFAC41">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eastAsia"/>
                <w:color w:val="auto"/>
                <w:sz w:val="24"/>
                <w:szCs w:val="21"/>
                <w:highlight w:val="none"/>
              </w:rPr>
            </w:pPr>
            <w:r>
              <w:rPr>
                <w:rFonts w:hint="default"/>
                <w:color w:val="auto"/>
                <w:sz w:val="24"/>
                <w:szCs w:val="21"/>
                <w:highlight w:val="none"/>
              </w:rPr>
              <w:t>本项目</w:t>
            </w:r>
            <w:r>
              <w:rPr>
                <w:rFonts w:hint="eastAsia"/>
                <w:color w:val="auto"/>
                <w:sz w:val="24"/>
                <w:szCs w:val="21"/>
                <w:highlight w:val="none"/>
                <w:lang w:val="en-US" w:eastAsia="zh-CN"/>
              </w:rPr>
              <w:t>位于路村乡，路村集中供水水源位于上村镇岭上村，厂址距离其一级保护区边界约为9.1km。</w:t>
            </w:r>
            <w:r>
              <w:rPr>
                <w:rFonts w:hint="default"/>
                <w:color w:val="auto"/>
                <w:sz w:val="24"/>
                <w:szCs w:val="21"/>
                <w:highlight w:val="none"/>
              </w:rPr>
              <w:t>厂址距离屯留</w:t>
            </w:r>
            <w:r>
              <w:rPr>
                <w:rFonts w:hint="eastAsia"/>
                <w:color w:val="auto"/>
                <w:sz w:val="24"/>
                <w:szCs w:val="21"/>
                <w:highlight w:val="none"/>
              </w:rPr>
              <w:t>区</w:t>
            </w:r>
            <w:r>
              <w:rPr>
                <w:rFonts w:hint="default"/>
                <w:color w:val="auto"/>
                <w:sz w:val="24"/>
                <w:szCs w:val="21"/>
                <w:highlight w:val="none"/>
              </w:rPr>
              <w:t>各乡镇集中供水水源地最近的为</w:t>
            </w:r>
            <w:r>
              <w:rPr>
                <w:rFonts w:hint="eastAsia" w:ascii="Times New Roman" w:hAnsi="Times New Roman" w:eastAsia="宋体" w:cs="Times New Roman"/>
                <w:color w:val="auto"/>
                <w:sz w:val="24"/>
                <w:highlight w:val="none"/>
                <w:lang w:val="en-US" w:eastAsia="zh-CN"/>
              </w:rPr>
              <w:t>渔泽镇</w:t>
            </w:r>
            <w:r>
              <w:rPr>
                <w:rFonts w:hint="eastAsia"/>
                <w:color w:val="auto"/>
                <w:sz w:val="24"/>
                <w:szCs w:val="21"/>
                <w:highlight w:val="none"/>
              </w:rPr>
              <w:t>集中供水水源</w:t>
            </w:r>
            <w:r>
              <w:rPr>
                <w:rFonts w:hint="default"/>
                <w:color w:val="auto"/>
                <w:sz w:val="24"/>
                <w:szCs w:val="21"/>
                <w:highlight w:val="none"/>
              </w:rPr>
              <w:t>，距离其一级保护区边界为</w:t>
            </w:r>
            <w:r>
              <w:rPr>
                <w:rFonts w:hint="eastAsia"/>
                <w:color w:val="auto"/>
                <w:sz w:val="24"/>
                <w:szCs w:val="21"/>
                <w:highlight w:val="none"/>
                <w:lang w:val="en-US" w:eastAsia="zh-CN"/>
              </w:rPr>
              <w:t>2.6</w:t>
            </w:r>
            <w:r>
              <w:rPr>
                <w:rFonts w:hint="default"/>
                <w:color w:val="auto"/>
                <w:sz w:val="24"/>
                <w:szCs w:val="21"/>
                <w:highlight w:val="none"/>
              </w:rPr>
              <w:t>km，距离较远。</w:t>
            </w:r>
            <w:r>
              <w:rPr>
                <w:rFonts w:hint="eastAsia"/>
                <w:color w:val="auto"/>
                <w:sz w:val="24"/>
                <w:szCs w:val="21"/>
                <w:highlight w:val="none"/>
              </w:rPr>
              <w:t>本项目与</w:t>
            </w:r>
            <w:bookmarkStart w:id="7" w:name="_Hlk120198576"/>
            <w:r>
              <w:rPr>
                <w:rFonts w:hint="eastAsia" w:ascii="Times New Roman" w:hAnsi="Times New Roman" w:eastAsia="宋体" w:cs="Times New Roman"/>
                <w:color w:val="auto"/>
                <w:sz w:val="24"/>
                <w:highlight w:val="none"/>
                <w:lang w:val="en-US" w:eastAsia="zh-CN"/>
              </w:rPr>
              <w:t>渔泽镇</w:t>
            </w:r>
            <w:r>
              <w:rPr>
                <w:rFonts w:hint="eastAsia"/>
                <w:color w:val="auto"/>
                <w:sz w:val="24"/>
                <w:szCs w:val="21"/>
                <w:highlight w:val="none"/>
              </w:rPr>
              <w:t>集中供水水源保护区</w:t>
            </w:r>
            <w:bookmarkEnd w:id="7"/>
            <w:r>
              <w:rPr>
                <w:rFonts w:hint="eastAsia"/>
                <w:color w:val="auto"/>
                <w:sz w:val="24"/>
                <w:szCs w:val="21"/>
                <w:highlight w:val="none"/>
              </w:rPr>
              <w:t>相对位置关系图见附图</w:t>
            </w:r>
            <w:r>
              <w:rPr>
                <w:rFonts w:hint="eastAsia"/>
                <w:color w:val="auto"/>
                <w:sz w:val="24"/>
                <w:szCs w:val="21"/>
                <w:highlight w:val="none"/>
                <w:lang w:val="en-US" w:eastAsia="zh-CN"/>
              </w:rPr>
              <w:t>6</w:t>
            </w:r>
            <w:r>
              <w:rPr>
                <w:rFonts w:hint="eastAsia"/>
                <w:color w:val="auto"/>
                <w:sz w:val="24"/>
                <w:szCs w:val="21"/>
                <w:highlight w:val="none"/>
              </w:rPr>
              <w:t>。</w:t>
            </w:r>
          </w:p>
          <w:p w14:paraId="7D575FCD">
            <w:pPr>
              <w:pStyle w:val="36"/>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2" w:firstLineChars="200"/>
              <w:textAlignment w:val="auto"/>
              <w:rPr>
                <w:rFonts w:hint="default" w:ascii="Times New Roman" w:hAnsi="Times New Roman"/>
                <w:b/>
                <w:bCs w:val="0"/>
                <w:color w:val="auto"/>
              </w:rPr>
            </w:pPr>
            <w:r>
              <w:rPr>
                <w:rFonts w:hint="eastAsia" w:cs="Times New Roman"/>
                <w:b/>
                <w:bCs/>
                <w:color w:val="auto"/>
                <w:kern w:val="0"/>
                <w:sz w:val="24"/>
                <w:szCs w:val="24"/>
                <w:highlight w:val="none"/>
                <w:lang w:val="en-US" w:eastAsia="zh-CN"/>
              </w:rPr>
              <w:t>1.3.</w:t>
            </w:r>
            <w:r>
              <w:rPr>
                <w:rFonts w:hint="default" w:ascii="Times New Roman" w:hAnsi="Times New Roman"/>
                <w:b/>
                <w:bCs w:val="0"/>
                <w:color w:val="auto"/>
              </w:rPr>
              <w:t>2与</w:t>
            </w:r>
            <w:r>
              <w:rPr>
                <w:rFonts w:hint="eastAsia" w:ascii="Times New Roman" w:hAnsi="Times New Roman"/>
                <w:b/>
                <w:bCs w:val="0"/>
                <w:color w:val="auto"/>
              </w:rPr>
              <w:t>辛安</w:t>
            </w:r>
            <w:r>
              <w:rPr>
                <w:rFonts w:hint="default" w:ascii="Times New Roman" w:hAnsi="Times New Roman"/>
                <w:b/>
                <w:bCs w:val="0"/>
                <w:color w:val="auto"/>
              </w:rPr>
              <w:t>泉域符合性分析</w:t>
            </w:r>
          </w:p>
          <w:p w14:paraId="1C48A8A3">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eastAsia"/>
                <w:color w:val="auto"/>
                <w:sz w:val="24"/>
                <w:szCs w:val="21"/>
              </w:rPr>
            </w:pPr>
            <w:r>
              <w:rPr>
                <w:rFonts w:hint="eastAsia"/>
                <w:color w:val="auto"/>
                <w:sz w:val="24"/>
                <w:szCs w:val="21"/>
              </w:rPr>
              <w:t>（1）泉域概况</w:t>
            </w:r>
          </w:p>
          <w:p w14:paraId="77A46BE3">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辛安泉出露于潞城市西流村至平顺县北耽车长16km的浊漳河河谷中，可见泉点170余个。辛安村以上较大泉组有林滩泉、西流泉、苇泉、南流泉，称王曲泉群，出露高程615-643m，出露地层为奥套系中统；辛安村以下有实会泉、年流泉等，多出露于寒武系中统，称实会泉群，标高600-615m。多年平均流量11.9m</w:t>
            </w:r>
            <w:r>
              <w:rPr>
                <w:rFonts w:hint="default"/>
                <w:color w:val="auto"/>
                <w:sz w:val="24"/>
                <w:szCs w:val="21"/>
                <w:vertAlign w:val="superscript"/>
              </w:rPr>
              <w:t>3</w:t>
            </w:r>
            <w:r>
              <w:rPr>
                <w:rFonts w:hint="default"/>
                <w:color w:val="auto"/>
                <w:sz w:val="24"/>
                <w:szCs w:val="21"/>
              </w:rPr>
              <w:t>/s</w:t>
            </w:r>
            <w:r>
              <w:rPr>
                <w:rFonts w:hint="eastAsia"/>
                <w:color w:val="auto"/>
                <w:sz w:val="24"/>
                <w:szCs w:val="21"/>
                <w:lang w:eastAsia="zh-CN"/>
              </w:rPr>
              <w:t>（</w:t>
            </w:r>
            <w:r>
              <w:rPr>
                <w:rFonts w:hint="default"/>
                <w:color w:val="auto"/>
                <w:sz w:val="24"/>
                <w:szCs w:val="21"/>
              </w:rPr>
              <w:t>1959-1984年</w:t>
            </w:r>
            <w:r>
              <w:rPr>
                <w:rFonts w:hint="eastAsia"/>
                <w:color w:val="auto"/>
                <w:sz w:val="24"/>
                <w:szCs w:val="21"/>
                <w:lang w:eastAsia="zh-CN"/>
              </w:rPr>
              <w:t>）</w:t>
            </w:r>
            <w:r>
              <w:rPr>
                <w:rFonts w:hint="default"/>
                <w:color w:val="auto"/>
                <w:sz w:val="24"/>
                <w:szCs w:val="21"/>
              </w:rPr>
              <w:t>。</w:t>
            </w:r>
          </w:p>
          <w:p w14:paraId="2CA3DEDE">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w:t>
            </w:r>
            <w:r>
              <w:rPr>
                <w:rFonts w:hint="eastAsia"/>
                <w:color w:val="auto"/>
                <w:sz w:val="24"/>
                <w:szCs w:val="21"/>
              </w:rPr>
              <w:t>2</w:t>
            </w:r>
            <w:r>
              <w:rPr>
                <w:rFonts w:hint="default"/>
                <w:color w:val="auto"/>
                <w:sz w:val="24"/>
                <w:szCs w:val="21"/>
              </w:rPr>
              <w:t>）辛安泉域范围</w:t>
            </w:r>
          </w:p>
          <w:p w14:paraId="2CC39579">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北部及西部边界：泉域北部、西部在构造上处于沁水向斜核部，地表出露二叠、三叠系地层，寒武、奥陶系地层埋深千米以上，岩溶水呈封闭的滞流状态，因此以浊漳河与汾河及沁河的地表分水岭为泉域边界。自北向南有榆社县人头山-辉教北-子金山-分南南。西部沁县与沁源县行政边界，自北向南基本为自分南南-屯留县八泉-长子县良坪西。</w:t>
            </w:r>
          </w:p>
          <w:p w14:paraId="75239DE7">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南部边界：为浊漳河和沁河与丹河的地表分水岭，自西向东基本为长治市与晋城市的行政边界，由老庄沟-色头镇南-金泉山-陵川西马安。</w:t>
            </w:r>
          </w:p>
          <w:p w14:paraId="0415DF7C">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东部边界：东北段以清漳河与浊漳河地表分水岭及和神烟地下分水岭与娘子关泉域为界。为晋中地区和顺县、左权县与榆社县、长治市武乡县的行政边界。</w:t>
            </w:r>
          </w:p>
          <w:p w14:paraId="4F11E69F">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泉域边界范围内总面积为13500m</w:t>
            </w:r>
            <w:r>
              <w:rPr>
                <w:rFonts w:hint="default"/>
                <w:color w:val="auto"/>
                <w:sz w:val="24"/>
                <w:szCs w:val="21"/>
                <w:vertAlign w:val="superscript"/>
              </w:rPr>
              <w:t>2</w:t>
            </w:r>
            <w:r>
              <w:rPr>
                <w:rFonts w:hint="default"/>
                <w:color w:val="auto"/>
                <w:sz w:val="24"/>
                <w:szCs w:val="21"/>
              </w:rPr>
              <w:t>，其中碳酸盐岩裸露面积2600km</w:t>
            </w:r>
            <w:r>
              <w:rPr>
                <w:rFonts w:hint="default"/>
                <w:color w:val="auto"/>
                <w:sz w:val="24"/>
                <w:szCs w:val="21"/>
                <w:vertAlign w:val="superscript"/>
              </w:rPr>
              <w:t>2</w:t>
            </w:r>
            <w:r>
              <w:rPr>
                <w:rFonts w:hint="default"/>
                <w:color w:val="auto"/>
                <w:sz w:val="24"/>
                <w:szCs w:val="21"/>
              </w:rPr>
              <w:t>，碎屑岩面积为6830km</w:t>
            </w:r>
            <w:r>
              <w:rPr>
                <w:rFonts w:hint="default"/>
                <w:color w:val="auto"/>
                <w:sz w:val="24"/>
                <w:szCs w:val="21"/>
                <w:vertAlign w:val="superscript"/>
              </w:rPr>
              <w:t>2</w:t>
            </w:r>
            <w:r>
              <w:rPr>
                <w:rFonts w:hint="default"/>
                <w:color w:val="auto"/>
                <w:sz w:val="24"/>
                <w:szCs w:val="21"/>
              </w:rPr>
              <w:t>，松散岩面积为4070km</w:t>
            </w:r>
            <w:r>
              <w:rPr>
                <w:rFonts w:hint="default"/>
                <w:color w:val="auto"/>
                <w:sz w:val="24"/>
                <w:szCs w:val="21"/>
                <w:vertAlign w:val="superscript"/>
              </w:rPr>
              <w:t>2</w:t>
            </w:r>
            <w:r>
              <w:rPr>
                <w:rFonts w:hint="default"/>
                <w:color w:val="auto"/>
                <w:sz w:val="24"/>
                <w:szCs w:val="21"/>
              </w:rPr>
              <w:t>。</w:t>
            </w:r>
          </w:p>
          <w:p w14:paraId="751CB75D">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w:t>
            </w:r>
            <w:r>
              <w:rPr>
                <w:rFonts w:hint="eastAsia"/>
                <w:color w:val="auto"/>
                <w:sz w:val="24"/>
                <w:szCs w:val="21"/>
              </w:rPr>
              <w:t>3</w:t>
            </w:r>
            <w:r>
              <w:rPr>
                <w:rFonts w:hint="default"/>
                <w:color w:val="auto"/>
                <w:sz w:val="24"/>
                <w:szCs w:val="21"/>
              </w:rPr>
              <w:t>）泉域重点保护区范围</w:t>
            </w:r>
          </w:p>
          <w:p w14:paraId="7A44BB6C">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根据山西省人民政府晋政函[1998]137号“关于山西省泉域边界范围及重点保护区划定的批复”，划定的辛安泉域重点保护区范围：</w:t>
            </w:r>
          </w:p>
          <w:p w14:paraId="6F8E56AF">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1）泉水集中出露带和文王山地拿渗漏段，其中泉水集中出露带以浊漳河为轴线，北起黎城县南赵店桥，顺浊漳河谷向下游、至平顺县北耽车，包括河谷两岸地带；西起山西化肥厂排污管道，两侧宽200m，至辛安桥下河道，面积48km</w:t>
            </w:r>
            <w:r>
              <w:rPr>
                <w:rFonts w:hint="default"/>
                <w:color w:val="auto"/>
                <w:sz w:val="24"/>
                <w:szCs w:val="21"/>
                <w:vertAlign w:val="superscript"/>
              </w:rPr>
              <w:t>2</w:t>
            </w:r>
            <w:r>
              <w:rPr>
                <w:rFonts w:hint="default"/>
                <w:color w:val="auto"/>
                <w:sz w:val="24"/>
                <w:szCs w:val="21"/>
              </w:rPr>
              <w:t>。</w:t>
            </w:r>
          </w:p>
          <w:p w14:paraId="331660C0">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2）文王山地垒渗漏段自黄碾南铁路桥上游500m起，顺浊漳河南源主河道，左右两侧各500m，向下游至与浊漳河西源汇流处，面积18km</w:t>
            </w:r>
            <w:r>
              <w:rPr>
                <w:rFonts w:hint="default"/>
                <w:color w:val="auto"/>
                <w:sz w:val="24"/>
                <w:szCs w:val="21"/>
                <w:vertAlign w:val="superscript"/>
              </w:rPr>
              <w:t>2</w:t>
            </w:r>
            <w:r>
              <w:rPr>
                <w:rFonts w:hint="default"/>
                <w:color w:val="auto"/>
                <w:sz w:val="24"/>
                <w:szCs w:val="21"/>
              </w:rPr>
              <w:t>。</w:t>
            </w:r>
          </w:p>
          <w:p w14:paraId="3BA8151E">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两处合计面积为66km</w:t>
            </w:r>
            <w:r>
              <w:rPr>
                <w:rFonts w:hint="default"/>
                <w:color w:val="auto"/>
                <w:sz w:val="24"/>
                <w:szCs w:val="21"/>
                <w:vertAlign w:val="superscript"/>
              </w:rPr>
              <w:t>2</w:t>
            </w:r>
            <w:r>
              <w:rPr>
                <w:rFonts w:hint="default"/>
                <w:color w:val="auto"/>
                <w:sz w:val="24"/>
                <w:szCs w:val="21"/>
              </w:rPr>
              <w:t>。</w:t>
            </w:r>
          </w:p>
          <w:p w14:paraId="2C5A7729">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同时，根据《山西省长治市辛安泉饮用水水源地保护条例》，建立辛安泉饮用水水源地保护区制度。辛安泉饮用水水源地保护区划分为一级保护区、二级保护区，并在保护区外围设立准保护区，实行分级保护与管理。</w:t>
            </w:r>
          </w:p>
          <w:p w14:paraId="58B545EA">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辛安泉饮用水水源地一级保护区范围为现有水源井组周边区域，涉及潞城市辛安泉镇西流北村</w:t>
            </w:r>
            <w:r>
              <w:rPr>
                <w:rFonts w:hint="eastAsia"/>
                <w:color w:val="auto"/>
                <w:sz w:val="24"/>
                <w:szCs w:val="21"/>
                <w:lang w:eastAsia="zh-CN"/>
              </w:rPr>
              <w:t>（</w:t>
            </w:r>
            <w:r>
              <w:rPr>
                <w:rFonts w:hint="default"/>
                <w:color w:val="auto"/>
                <w:sz w:val="24"/>
                <w:szCs w:val="21"/>
              </w:rPr>
              <w:t>西北村</w:t>
            </w:r>
            <w:r>
              <w:rPr>
                <w:rFonts w:hint="eastAsia"/>
                <w:color w:val="auto"/>
                <w:sz w:val="24"/>
                <w:szCs w:val="21"/>
                <w:lang w:eastAsia="zh-CN"/>
              </w:rPr>
              <w:t>）</w:t>
            </w:r>
            <w:r>
              <w:rPr>
                <w:rFonts w:hint="default"/>
                <w:color w:val="auto"/>
                <w:sz w:val="24"/>
                <w:szCs w:val="21"/>
              </w:rPr>
              <w:t>、西流南村</w:t>
            </w:r>
            <w:r>
              <w:rPr>
                <w:rFonts w:hint="eastAsia"/>
                <w:color w:val="auto"/>
                <w:sz w:val="24"/>
                <w:szCs w:val="21"/>
                <w:lang w:eastAsia="zh-CN"/>
              </w:rPr>
              <w:t>（</w:t>
            </w:r>
            <w:r>
              <w:rPr>
                <w:rFonts w:hint="default"/>
                <w:color w:val="auto"/>
                <w:sz w:val="24"/>
                <w:szCs w:val="21"/>
              </w:rPr>
              <w:t>西南村</w:t>
            </w:r>
            <w:r>
              <w:rPr>
                <w:rFonts w:hint="eastAsia"/>
                <w:color w:val="auto"/>
                <w:sz w:val="24"/>
                <w:szCs w:val="21"/>
                <w:lang w:eastAsia="zh-CN"/>
              </w:rPr>
              <w:t>）</w:t>
            </w:r>
            <w:r>
              <w:rPr>
                <w:rFonts w:hint="default"/>
                <w:color w:val="auto"/>
                <w:sz w:val="24"/>
                <w:szCs w:val="21"/>
              </w:rPr>
              <w:t>，黎城县程家山乡北流村，面积3.73平方公里。</w:t>
            </w:r>
          </w:p>
          <w:p w14:paraId="30E25B00">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辛安泉饮用水水源地二级保护区范围为东至黎城县隆旺村东-北流村东-南堡村东一线，南至平顺县王曲村北，西至潞城市西流南村</w:t>
            </w:r>
            <w:r>
              <w:rPr>
                <w:rFonts w:hint="eastAsia"/>
                <w:color w:val="auto"/>
                <w:sz w:val="24"/>
                <w:szCs w:val="21"/>
                <w:lang w:eastAsia="zh-CN"/>
              </w:rPr>
              <w:t>（</w:t>
            </w:r>
            <w:r>
              <w:rPr>
                <w:rFonts w:hint="default"/>
                <w:color w:val="auto"/>
                <w:sz w:val="24"/>
                <w:szCs w:val="21"/>
              </w:rPr>
              <w:t>西南村</w:t>
            </w:r>
            <w:r>
              <w:rPr>
                <w:rFonts w:hint="eastAsia"/>
                <w:color w:val="auto"/>
                <w:sz w:val="24"/>
                <w:szCs w:val="21"/>
                <w:lang w:eastAsia="zh-CN"/>
              </w:rPr>
              <w:t>）</w:t>
            </w:r>
            <w:r>
              <w:rPr>
                <w:rFonts w:hint="default"/>
                <w:color w:val="auto"/>
                <w:sz w:val="24"/>
                <w:szCs w:val="21"/>
              </w:rPr>
              <w:t>西1.3公里-涧口村西一线，北至潞城市续村南-黎城县东窑上村北一线，面积24.9平方公里。</w:t>
            </w:r>
          </w:p>
          <w:p w14:paraId="34E9622C">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color w:val="auto"/>
                <w:sz w:val="24"/>
                <w:szCs w:val="21"/>
              </w:rPr>
            </w:pPr>
            <w:r>
              <w:rPr>
                <w:rFonts w:hint="default"/>
                <w:color w:val="auto"/>
                <w:sz w:val="24"/>
                <w:szCs w:val="21"/>
              </w:rPr>
              <w:t>辛安泉饮用水水源地准保护区范围为水源地上游辛安泉域灰岩裸露补给区，涉及城区、郊区、长治县、潞城市、壶关县、平顺县、黎城县、武乡县、襄垣县，面积约1260平方公里。</w:t>
            </w:r>
          </w:p>
          <w:p w14:paraId="312ED1B7">
            <w:pPr>
              <w:pStyle w:val="36"/>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jc w:val="both"/>
              <w:textAlignment w:val="auto"/>
              <w:rPr>
                <w:rFonts w:hint="default" w:ascii="Times New Roman" w:hAnsi="Times New Roman"/>
                <w:color w:val="auto"/>
              </w:rPr>
            </w:pPr>
            <w:r>
              <w:rPr>
                <w:rFonts w:hint="default" w:ascii="Times New Roman" w:hAnsi="Times New Roman"/>
                <w:color w:val="auto"/>
                <w:kern w:val="2"/>
              </w:rPr>
              <w:t>本项目拟选厂址处于辛安泉域内，但不在泉域的重点保护范围之内，</w:t>
            </w:r>
            <w:r>
              <w:rPr>
                <w:rFonts w:hint="default" w:ascii="Times New Roman" w:hAnsi="Times New Roman"/>
                <w:color w:val="auto"/>
                <w:kern w:val="2"/>
                <w:highlight w:val="none"/>
              </w:rPr>
              <w:t>距离重点泉域保护区边界约</w:t>
            </w:r>
            <w:r>
              <w:rPr>
                <w:rFonts w:hint="eastAsia"/>
                <w:color w:val="auto"/>
                <w:kern w:val="2"/>
                <w:highlight w:val="none"/>
                <w:lang w:val="en-US" w:eastAsia="zh-CN"/>
              </w:rPr>
              <w:t>10.3</w:t>
            </w:r>
            <w:r>
              <w:rPr>
                <w:rFonts w:hint="default" w:ascii="Times New Roman" w:hAnsi="Times New Roman"/>
                <w:color w:val="auto"/>
                <w:kern w:val="2"/>
                <w:highlight w:val="none"/>
              </w:rPr>
              <w:t>km，</w:t>
            </w:r>
            <w:r>
              <w:rPr>
                <w:rFonts w:hint="default" w:ascii="Times New Roman" w:hAnsi="Times New Roman"/>
                <w:color w:val="auto"/>
                <w:kern w:val="2"/>
              </w:rPr>
              <w:t>且不在</w:t>
            </w:r>
            <w:r>
              <w:rPr>
                <w:rFonts w:hint="default"/>
                <w:color w:val="auto"/>
                <w:szCs w:val="21"/>
              </w:rPr>
              <w:t>辛安泉饮用水水源地</w:t>
            </w:r>
            <w:r>
              <w:rPr>
                <w:rFonts w:hint="default" w:ascii="Times New Roman" w:hAnsi="Times New Roman"/>
                <w:color w:val="auto"/>
                <w:kern w:val="2"/>
              </w:rPr>
              <w:t>一级、二级、准保护区内。相对位置关系详见</w:t>
            </w:r>
            <w:r>
              <w:rPr>
                <w:rFonts w:hint="eastAsia" w:ascii="Times New Roman" w:hAnsi="Times New Roman"/>
                <w:color w:val="auto"/>
                <w:kern w:val="2"/>
              </w:rPr>
              <w:t>附图</w:t>
            </w:r>
            <w:r>
              <w:rPr>
                <w:rFonts w:hint="eastAsia"/>
                <w:color w:val="auto"/>
                <w:kern w:val="2"/>
                <w:lang w:val="en-US" w:eastAsia="zh-CN"/>
              </w:rPr>
              <w:t>7</w:t>
            </w:r>
            <w:r>
              <w:rPr>
                <w:rFonts w:hint="default" w:ascii="Times New Roman" w:hAnsi="Times New Roman"/>
                <w:color w:val="auto"/>
              </w:rPr>
              <w:t>。</w:t>
            </w:r>
          </w:p>
          <w:p w14:paraId="09CAC8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textAlignment w:val="auto"/>
              <w:rPr>
                <w:rFonts w:hint="default"/>
                <w:b/>
                <w:bCs/>
                <w:color w:val="auto"/>
                <w:sz w:val="24"/>
              </w:rPr>
            </w:pPr>
            <w:r>
              <w:rPr>
                <w:rFonts w:hint="eastAsia" w:cs="Times New Roman"/>
                <w:b/>
                <w:bCs/>
                <w:color w:val="auto"/>
                <w:kern w:val="0"/>
                <w:sz w:val="24"/>
                <w:szCs w:val="24"/>
                <w:highlight w:val="none"/>
                <w:lang w:val="en-US" w:eastAsia="zh-CN"/>
              </w:rPr>
              <w:t>1.3.</w:t>
            </w:r>
            <w:r>
              <w:rPr>
                <w:rFonts w:hint="default"/>
                <w:b/>
                <w:bCs/>
                <w:color w:val="auto"/>
                <w:sz w:val="24"/>
              </w:rPr>
              <w:t>3与《屯留区国土空间总体规划</w:t>
            </w:r>
            <w:r>
              <w:rPr>
                <w:rFonts w:hint="eastAsia"/>
                <w:b/>
                <w:bCs/>
                <w:color w:val="auto"/>
                <w:sz w:val="24"/>
              </w:rPr>
              <w:t>（2021-2035年）</w:t>
            </w:r>
            <w:r>
              <w:rPr>
                <w:rFonts w:hint="default"/>
                <w:b/>
                <w:bCs/>
                <w:color w:val="auto"/>
                <w:sz w:val="24"/>
              </w:rPr>
              <w:t>》符合性分析</w:t>
            </w:r>
          </w:p>
          <w:p w14:paraId="7B1E5E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（1）规划范围</w:t>
            </w:r>
          </w:p>
          <w:p w14:paraId="1D8E29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规划范围为屯留区行政辖区内全部国土空间，包括全区和中心城区两个层次。</w:t>
            </w:r>
          </w:p>
          <w:p w14:paraId="23F607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（2）规划期限</w:t>
            </w:r>
          </w:p>
          <w:p w14:paraId="16BD2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规划期限为2021-2035年，基准年为2020年，近期目标为2025年，远期目标为2035年，远景展望至2050年。</w:t>
            </w:r>
          </w:p>
          <w:p w14:paraId="57F8FA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（3）功能定位</w:t>
            </w:r>
          </w:p>
          <w:p w14:paraId="69A72D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规划屯留区功能定位为：有机循环农业示范区、以煤基新材。</w:t>
            </w:r>
          </w:p>
          <w:p w14:paraId="6EB821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料为主导的资源型城市转型升级示范区、以康体休闲为特色的现代化太行山水名城，合力保障长治市建设全国资源型城市转型升级示范区、现代化太行山水名城。</w:t>
            </w:r>
          </w:p>
          <w:p w14:paraId="41B515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（4）三区三线划定</w:t>
            </w:r>
          </w:p>
          <w:p w14:paraId="65598A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1）耕地与永久基本农田</w:t>
            </w:r>
          </w:p>
          <w:p w14:paraId="0CCF85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全区划定不低于513.00平方千米（76.95万亩）的耕地和不低于444.27平方千米（66.64万亩）的永久基本农田。</w:t>
            </w:r>
          </w:p>
          <w:p w14:paraId="1B5699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落实最严格的耕地保护制度，对永久基本农田实行特殊保护，坚决防止永久基本农田“非农化”，积极开展永久基本农田储备区划定并严格管理。</w:t>
            </w:r>
          </w:p>
          <w:p w14:paraId="4974BB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2）生态保护红线</w:t>
            </w:r>
          </w:p>
          <w:p w14:paraId="013A17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全区划定生态保护红线总面积不少于20.64平方千米，占全区国土面积的1.73%，全部为整合优化后的自然保护地。</w:t>
            </w:r>
          </w:p>
          <w:p w14:paraId="1121A8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稳固太行山区生态安全屏障，增强水源涵养、水土保持和生物多样性等生态系统服务功能，加强生物多样性保护优先区域和珍稀濒危野生动植物集中分布地保护，注重保护重要生态空间，严格控制人为活动尤其是开发建设活动对生态系统的破坏。</w:t>
            </w:r>
          </w:p>
          <w:p w14:paraId="680E81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3）城镇开发边界</w:t>
            </w:r>
          </w:p>
          <w:p w14:paraId="2B53E4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全区城镇开发边界控制在24.75平方千米（3.71万亩），占全区总面积的2.08%。</w:t>
            </w:r>
          </w:p>
          <w:p w14:paraId="42B871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color w:val="auto"/>
                <w:sz w:val="24"/>
              </w:rPr>
            </w:pPr>
            <w:r>
              <w:rPr>
                <w:rFonts w:hint="eastAsia"/>
                <w:color w:val="auto"/>
                <w:sz w:val="24"/>
              </w:rPr>
              <w:t>集中建设区重点保障生产、生活、生态和安全空间需求。在城镇开发边界内实施战略留白，为长远发展谋划预留战略空间。</w:t>
            </w:r>
          </w:p>
          <w:p w14:paraId="287758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color w:val="auto"/>
                <w:sz w:val="24"/>
              </w:rPr>
            </w:pPr>
            <w:r>
              <w:rPr>
                <w:rFonts w:hint="default" w:hAnsi="宋体"/>
                <w:b w:val="0"/>
                <w:bCs/>
                <w:color w:val="auto"/>
                <w:kern w:val="0"/>
                <w:sz w:val="24"/>
              </w:rPr>
              <w:t>本</w:t>
            </w:r>
            <w:r>
              <w:rPr>
                <w:rFonts w:hint="eastAsia" w:hAnsi="宋体"/>
                <w:b w:val="0"/>
                <w:bCs/>
                <w:color w:val="auto"/>
                <w:kern w:val="0"/>
                <w:sz w:val="24"/>
              </w:rPr>
              <w:t>项目</w:t>
            </w:r>
            <w:r>
              <w:rPr>
                <w:rFonts w:hint="eastAsia"/>
                <w:b w:val="0"/>
                <w:bCs/>
                <w:color w:val="auto"/>
                <w:sz w:val="24"/>
              </w:rPr>
              <w:t>位于</w:t>
            </w:r>
            <w:r>
              <w:rPr>
                <w:rFonts w:hint="default" w:ascii="Times New Roman" w:hAnsi="Times New Roman" w:eastAsia="宋体" w:cs="Times New Roman"/>
                <w:color w:val="auto"/>
                <w:sz w:val="24"/>
                <w:szCs w:val="24"/>
                <w:highlight w:val="none"/>
                <w:lang w:val="en-US" w:eastAsia="zh-CN"/>
              </w:rPr>
              <w:t>山西省长治市屯留区路村乡常西村西</w:t>
            </w:r>
            <w:r>
              <w:rPr>
                <w:rFonts w:hint="eastAsia" w:cs="Times New Roman"/>
                <w:color w:val="auto"/>
                <w:sz w:val="24"/>
                <w:szCs w:val="24"/>
                <w:highlight w:val="none"/>
                <w:lang w:val="en-US" w:eastAsia="zh-CN"/>
              </w:rPr>
              <w:t>，</w:t>
            </w:r>
            <w:r>
              <w:rPr>
                <w:rFonts w:hint="eastAsia"/>
                <w:color w:val="auto"/>
                <w:sz w:val="24"/>
                <w:lang w:val="en-US" w:eastAsia="zh-CN"/>
              </w:rPr>
              <w:t>占地类型为工业用地，</w:t>
            </w:r>
            <w:r>
              <w:rPr>
                <w:rFonts w:hint="eastAsia"/>
                <w:color w:val="auto"/>
                <w:sz w:val="24"/>
              </w:rPr>
              <w:t>不占用永久基本农田，不在生态保护红线范围内，</w:t>
            </w:r>
            <w:r>
              <w:rPr>
                <w:rFonts w:hint="eastAsia"/>
                <w:color w:val="auto"/>
                <w:sz w:val="24"/>
                <w:lang w:val="en-US" w:eastAsia="zh-CN"/>
              </w:rPr>
              <w:t>不在</w:t>
            </w:r>
            <w:r>
              <w:rPr>
                <w:rFonts w:hint="eastAsia"/>
                <w:color w:val="auto"/>
                <w:sz w:val="24"/>
              </w:rPr>
              <w:t>城镇开发边界</w:t>
            </w:r>
            <w:r>
              <w:rPr>
                <w:rFonts w:hint="eastAsia"/>
                <w:color w:val="auto"/>
                <w:sz w:val="24"/>
                <w:lang w:val="en-US" w:eastAsia="zh-CN"/>
              </w:rPr>
              <w:t>范围内</w:t>
            </w:r>
            <w:r>
              <w:rPr>
                <w:rFonts w:hint="eastAsia"/>
                <w:color w:val="auto"/>
                <w:sz w:val="24"/>
              </w:rPr>
              <w:t>。本项目与屯留区国土空间控制线规划图相对位置关系图见附图</w:t>
            </w:r>
            <w:r>
              <w:rPr>
                <w:rFonts w:hint="default" w:ascii="Times New Roman" w:hAnsi="Times New Roman" w:cs="Times New Roman"/>
                <w:color w:val="auto"/>
                <w:sz w:val="24"/>
                <w:lang w:val="en-US" w:eastAsia="zh-CN"/>
              </w:rPr>
              <w:t>1</w:t>
            </w:r>
            <w:r>
              <w:rPr>
                <w:rFonts w:hint="eastAsia" w:cs="Times New Roman"/>
                <w:color w:val="auto"/>
                <w:sz w:val="24"/>
                <w:lang w:val="en-US" w:eastAsia="zh-CN"/>
              </w:rPr>
              <w:t>0</w:t>
            </w:r>
            <w:r>
              <w:rPr>
                <w:rFonts w:hint="default"/>
                <w:color w:val="auto"/>
                <w:sz w:val="24"/>
              </w:rPr>
              <w:t>。</w:t>
            </w:r>
          </w:p>
          <w:p w14:paraId="0F0C7002">
            <w:pPr>
              <w:pStyle w:val="34"/>
              <w:keepNext w:val="0"/>
              <w:keepLines w:val="0"/>
              <w:suppressLineNumbers w:val="0"/>
              <w:spacing w:before="0" w:beforeAutospacing="0" w:after="0" w:afterAutospacing="0"/>
              <w:ind w:left="0" w:right="0"/>
              <w:rPr>
                <w:rFonts w:hint="default"/>
                <w:color w:val="auto"/>
                <w:sz w:val="24"/>
              </w:rPr>
            </w:pPr>
          </w:p>
          <w:p w14:paraId="3703AC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jc w:val="both"/>
              <w:textAlignment w:val="auto"/>
              <w:rPr>
                <w:rFonts w:hint="eastAsia" w:ascii="Times New Roman" w:hAnsi="Times New Roman" w:eastAsia="宋体" w:cs="Times New Roman"/>
                <w:b/>
                <w:bCs/>
                <w:color w:val="auto"/>
                <w:sz w:val="24"/>
                <w:highlight w:val="none"/>
                <w:lang w:val="en-US" w:eastAsia="zh-CN"/>
              </w:rPr>
            </w:pPr>
            <w:r>
              <w:rPr>
                <w:rFonts w:hint="eastAsia" w:cs="Times New Roman"/>
                <w:b/>
                <w:bCs/>
                <w:color w:val="auto"/>
                <w:kern w:val="0"/>
                <w:sz w:val="24"/>
                <w:szCs w:val="24"/>
                <w:highlight w:val="none"/>
                <w:lang w:val="en-US" w:eastAsia="zh-CN"/>
              </w:rPr>
              <w:t>1.3.</w:t>
            </w:r>
            <w:r>
              <w:rPr>
                <w:rFonts w:hint="eastAsia"/>
                <w:b/>
                <w:bCs/>
                <w:color w:val="auto"/>
                <w:sz w:val="24"/>
                <w:highlight w:val="none"/>
                <w:lang w:val="en-US" w:eastAsia="zh-CN"/>
              </w:rPr>
              <w:t>4</w:t>
            </w:r>
            <w:r>
              <w:rPr>
                <w:rFonts w:hint="eastAsia" w:ascii="Times New Roman" w:cs="Times New Roman"/>
                <w:b/>
                <w:bCs/>
                <w:color w:val="auto"/>
                <w:sz w:val="24"/>
                <w:szCs w:val="24"/>
                <w:highlight w:val="none"/>
                <w:lang w:val="en-US" w:eastAsia="zh-CN"/>
              </w:rPr>
              <w:t>与长治市生态环境局关于贯彻落实《长治市大气和水污染物排放管控要求》的通知（长环函〔2023〕106号）符合性分析</w:t>
            </w:r>
          </w:p>
          <w:p w14:paraId="64CD76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bCs/>
                <w:color w:val="auto"/>
                <w:sz w:val="21"/>
                <w:szCs w:val="21"/>
                <w:highlight w:val="none"/>
                <w:shd w:val="clear" w:color="auto" w:fill="auto"/>
                <w:lang w:val="en-US" w:eastAsia="zh-CN"/>
              </w:rPr>
            </w:pPr>
            <w:r>
              <w:rPr>
                <w:rFonts w:hint="default" w:ascii="Times New Roman" w:hAnsi="Times New Roman" w:eastAsia="宋体" w:cs="Times New Roman"/>
                <w:b/>
                <w:bCs/>
                <w:color w:val="auto"/>
                <w:sz w:val="21"/>
                <w:szCs w:val="21"/>
                <w:highlight w:val="none"/>
                <w:shd w:val="clear" w:color="auto" w:fill="auto"/>
                <w:lang w:val="en-US" w:eastAsia="zh-CN"/>
              </w:rPr>
              <w:t>表</w:t>
            </w:r>
            <w:r>
              <w:rPr>
                <w:rFonts w:hint="default" w:ascii="Times New Roman" w:hAnsi="Times New Roman" w:eastAsia="宋体" w:cs="Times New Roman"/>
                <w:b/>
                <w:bCs/>
                <w:color w:val="auto"/>
                <w:sz w:val="21"/>
                <w:szCs w:val="21"/>
              </w:rPr>
              <w:t>1</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highlight w:val="none"/>
                <w:shd w:val="clear" w:color="auto" w:fill="auto"/>
                <w:lang w:val="en-US" w:eastAsia="zh-CN"/>
              </w:rPr>
              <w:t>-</w:t>
            </w:r>
            <w:r>
              <w:rPr>
                <w:rFonts w:hint="eastAsia" w:cs="Times New Roman"/>
                <w:b/>
                <w:bCs/>
                <w:color w:val="auto"/>
                <w:sz w:val="21"/>
                <w:szCs w:val="21"/>
                <w:highlight w:val="none"/>
                <w:shd w:val="clear" w:color="auto" w:fill="auto"/>
                <w:lang w:val="en-US" w:eastAsia="zh-CN"/>
              </w:rPr>
              <w:t>1</w:t>
            </w:r>
            <w:r>
              <w:rPr>
                <w:rFonts w:hint="default" w:ascii="Times New Roman" w:hAnsi="Times New Roman" w:eastAsia="宋体" w:cs="Times New Roman"/>
                <w:b/>
                <w:bCs/>
                <w:color w:val="auto"/>
                <w:sz w:val="21"/>
                <w:szCs w:val="21"/>
                <w:highlight w:val="none"/>
                <w:shd w:val="clear" w:color="auto" w:fill="auto"/>
                <w:lang w:val="en-US" w:eastAsia="zh-CN"/>
              </w:rPr>
              <w:t xml:space="preserve">  项目与长环函〔2023〕106号符合性分析</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3542"/>
              <w:gridCol w:w="3473"/>
              <w:gridCol w:w="902"/>
            </w:tblGrid>
            <w:tr w14:paraId="53B2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7ACC91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shd w:val="clear" w:color="auto" w:fill="auto"/>
                      <w:vertAlign w:val="baseline"/>
                      <w:lang w:val="en-US" w:eastAsia="zh-CN"/>
                    </w:rPr>
                  </w:pPr>
                  <w:r>
                    <w:rPr>
                      <w:rFonts w:hint="default" w:ascii="Times New Roman" w:hAnsi="Times New Roman" w:cs="Times New Roman"/>
                      <w:b/>
                      <w:bCs/>
                      <w:color w:val="auto"/>
                      <w:sz w:val="21"/>
                      <w:szCs w:val="21"/>
                      <w:highlight w:val="none"/>
                      <w:shd w:val="clear" w:color="auto" w:fill="auto"/>
                      <w:vertAlign w:val="baseline"/>
                      <w:lang w:val="en-US" w:eastAsia="zh-CN"/>
                    </w:rPr>
                    <w:t>序号</w:t>
                  </w:r>
                </w:p>
              </w:tc>
              <w:tc>
                <w:tcPr>
                  <w:tcW w:w="2066" w:type="pct"/>
                  <w:tcBorders>
                    <w:tl2br w:val="nil"/>
                    <w:tr2bl w:val="nil"/>
                  </w:tcBorders>
                  <w:noWrap w:val="0"/>
                  <w:vAlign w:val="center"/>
                </w:tcPr>
                <w:p w14:paraId="2723D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shd w:val="clear" w:color="auto" w:fill="auto"/>
                      <w:vertAlign w:val="baseline"/>
                      <w:lang w:val="en-US" w:eastAsia="zh-CN"/>
                    </w:rPr>
                  </w:pPr>
                  <w:r>
                    <w:rPr>
                      <w:rFonts w:hint="eastAsia" w:ascii="Times New Roman" w:hAnsi="Times New Roman" w:cs="Times New Roman"/>
                      <w:b/>
                      <w:bCs/>
                      <w:color w:val="auto"/>
                      <w:sz w:val="21"/>
                      <w:szCs w:val="21"/>
                      <w:highlight w:val="none"/>
                      <w:shd w:val="clear" w:color="auto" w:fill="auto"/>
                      <w:vertAlign w:val="baseline"/>
                      <w:lang w:val="en-US" w:eastAsia="zh-CN"/>
                    </w:rPr>
                    <w:t>文件中砖瓦石材行业</w:t>
                  </w:r>
                  <w:r>
                    <w:rPr>
                      <w:rFonts w:hint="default" w:ascii="Times New Roman" w:hAnsi="Times New Roman" w:cs="Times New Roman"/>
                      <w:b/>
                      <w:bCs/>
                      <w:color w:val="auto"/>
                      <w:sz w:val="21"/>
                      <w:szCs w:val="21"/>
                      <w:highlight w:val="none"/>
                      <w:shd w:val="clear" w:color="auto" w:fill="auto"/>
                      <w:vertAlign w:val="baseline"/>
                      <w:lang w:val="en-US" w:eastAsia="zh-CN"/>
                    </w:rPr>
                    <w:t>要求</w:t>
                  </w:r>
                </w:p>
              </w:tc>
              <w:tc>
                <w:tcPr>
                  <w:tcW w:w="2026" w:type="pct"/>
                  <w:tcBorders>
                    <w:tl2br w:val="nil"/>
                    <w:tr2bl w:val="nil"/>
                  </w:tcBorders>
                  <w:noWrap w:val="0"/>
                  <w:vAlign w:val="center"/>
                </w:tcPr>
                <w:p w14:paraId="55B4AC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shd w:val="clear" w:color="auto" w:fill="auto"/>
                      <w:vertAlign w:val="baseline"/>
                      <w:lang w:val="en-US" w:eastAsia="zh-CN"/>
                    </w:rPr>
                  </w:pPr>
                  <w:r>
                    <w:rPr>
                      <w:rFonts w:hint="default" w:ascii="Times New Roman" w:hAnsi="Times New Roman" w:cs="Times New Roman"/>
                      <w:b/>
                      <w:bCs/>
                      <w:color w:val="auto"/>
                      <w:sz w:val="21"/>
                      <w:szCs w:val="21"/>
                      <w:highlight w:val="none"/>
                      <w:shd w:val="clear" w:color="auto" w:fill="auto"/>
                      <w:vertAlign w:val="baseline"/>
                      <w:lang w:val="en-US" w:eastAsia="zh-CN"/>
                    </w:rPr>
                    <w:t>项目情况</w:t>
                  </w:r>
                </w:p>
              </w:tc>
              <w:tc>
                <w:tcPr>
                  <w:tcW w:w="526" w:type="pct"/>
                  <w:tcBorders>
                    <w:tl2br w:val="nil"/>
                    <w:tr2bl w:val="nil"/>
                  </w:tcBorders>
                  <w:noWrap w:val="0"/>
                  <w:vAlign w:val="center"/>
                </w:tcPr>
                <w:p w14:paraId="28B7E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shd w:val="clear" w:color="auto" w:fill="auto"/>
                      <w:vertAlign w:val="baseline"/>
                      <w:lang w:val="en-US" w:eastAsia="zh-CN"/>
                    </w:rPr>
                  </w:pPr>
                  <w:r>
                    <w:rPr>
                      <w:rFonts w:hint="default" w:ascii="Times New Roman" w:hAnsi="Times New Roman" w:cs="Times New Roman"/>
                      <w:b/>
                      <w:bCs/>
                      <w:color w:val="auto"/>
                      <w:sz w:val="21"/>
                      <w:szCs w:val="21"/>
                      <w:highlight w:val="none"/>
                      <w:shd w:val="clear" w:color="auto" w:fill="auto"/>
                      <w:vertAlign w:val="baseline"/>
                      <w:lang w:val="en-US" w:eastAsia="zh-CN"/>
                    </w:rPr>
                    <w:t>符合性</w:t>
                  </w:r>
                </w:p>
              </w:tc>
            </w:tr>
            <w:tr w14:paraId="1B71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3AED9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1</w:t>
                  </w:r>
                </w:p>
              </w:tc>
              <w:tc>
                <w:tcPr>
                  <w:tcW w:w="2066" w:type="pct"/>
                  <w:tcBorders>
                    <w:tl2br w:val="nil"/>
                    <w:tr2bl w:val="nil"/>
                  </w:tcBorders>
                  <w:noWrap w:val="0"/>
                  <w:vAlign w:val="center"/>
                </w:tcPr>
                <w:p w14:paraId="29EF5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储存：</w:t>
                  </w:r>
                </w:p>
                <w:p w14:paraId="3BC2EE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块状物料全部密闭或封闭储存。并对物料采取覆盖、喷淋（雾）等抑尘措施。料场出口要设置车轮清洗和车身清洁设施，或采取其他有效控制措施</w:t>
                  </w:r>
                </w:p>
              </w:tc>
              <w:tc>
                <w:tcPr>
                  <w:tcW w:w="2026" w:type="pct"/>
                  <w:tcBorders>
                    <w:tl2br w:val="nil"/>
                    <w:tr2bl w:val="nil"/>
                  </w:tcBorders>
                  <w:noWrap w:val="0"/>
                  <w:vAlign w:val="center"/>
                </w:tcPr>
                <w:p w14:paraId="1F5060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color w:val="auto"/>
                      <w:sz w:val="21"/>
                      <w:szCs w:val="21"/>
                      <w:highlight w:val="none"/>
                      <w:lang w:val="en-US" w:eastAsia="zh-CN"/>
                    </w:rPr>
                    <w:t>本项目原料主要为煤矸石，煤矸石来源为屯留周边煤矿，均由全封闭厢式车运送至本项目原料堆放区，煤矸石由装载机送入给料机料仓。原料堆放区位于全封闭生产车间内南侧，顶部设置喷雾洒水</w:t>
                  </w:r>
                  <w:r>
                    <w:rPr>
                      <w:rFonts w:hint="default" w:ascii="Times New Roman" w:hAnsi="Times New Roman" w:eastAsia="宋体" w:cs="Times New Roman"/>
                      <w:color w:val="auto"/>
                      <w:sz w:val="21"/>
                      <w:szCs w:val="21"/>
                      <w:highlight w:val="none"/>
                      <w:shd w:val="clear" w:color="auto" w:fill="auto"/>
                      <w:vertAlign w:val="baseline"/>
                      <w:lang w:val="en-US" w:eastAsia="zh-CN"/>
                    </w:rPr>
                    <w:t>抑尘措施</w:t>
                  </w:r>
                  <w:r>
                    <w:rPr>
                      <w:rFonts w:hint="eastAsia"/>
                      <w:color w:val="auto"/>
                      <w:sz w:val="21"/>
                      <w:szCs w:val="21"/>
                      <w:highlight w:val="none"/>
                      <w:lang w:val="en-US" w:eastAsia="zh-CN"/>
                    </w:rPr>
                    <w:t>，出入厂区设置洗车平台</w:t>
                  </w:r>
                </w:p>
              </w:tc>
              <w:tc>
                <w:tcPr>
                  <w:tcW w:w="526" w:type="pct"/>
                  <w:tcBorders>
                    <w:tl2br w:val="nil"/>
                    <w:tr2bl w:val="nil"/>
                  </w:tcBorders>
                  <w:noWrap w:val="0"/>
                  <w:vAlign w:val="center"/>
                </w:tcPr>
                <w:p w14:paraId="4C00D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4687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6168A1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2</w:t>
                  </w:r>
                </w:p>
              </w:tc>
              <w:tc>
                <w:tcPr>
                  <w:tcW w:w="2066" w:type="pct"/>
                  <w:tcBorders>
                    <w:tl2br w:val="nil"/>
                    <w:tr2bl w:val="nil"/>
                  </w:tcBorders>
                  <w:noWrap w:val="0"/>
                  <w:vAlign w:val="center"/>
                </w:tcPr>
                <w:p w14:paraId="7DA21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装卸：</w:t>
                  </w:r>
                </w:p>
                <w:p w14:paraId="46D77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1.</w:t>
                  </w:r>
                  <w:r>
                    <w:rPr>
                      <w:rFonts w:hint="default" w:ascii="Times New Roman" w:hAnsi="Times New Roman" w:eastAsia="宋体" w:cs="Times New Roman"/>
                      <w:color w:val="auto"/>
                      <w:sz w:val="21"/>
                      <w:szCs w:val="21"/>
                      <w:highlight w:val="none"/>
                      <w:shd w:val="clear" w:color="auto" w:fill="auto"/>
                      <w:vertAlign w:val="baseline"/>
                      <w:lang w:val="en-US" w:eastAsia="zh-CN"/>
                    </w:rPr>
                    <w:t>装卸车时要采取加湿抑尘或喷淋等有效抑尘措施</w:t>
                  </w:r>
                </w:p>
                <w:p w14:paraId="48930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2.物料输送落料点要配备集气罩或喷雾等抑尘措施。料场出口设置车轮和车身清洗设施</w:t>
                  </w:r>
                </w:p>
              </w:tc>
              <w:tc>
                <w:tcPr>
                  <w:tcW w:w="2026" w:type="pct"/>
                  <w:tcBorders>
                    <w:tl2br w:val="nil"/>
                    <w:tr2bl w:val="nil"/>
                  </w:tcBorders>
                  <w:noWrap w:val="0"/>
                  <w:vAlign w:val="center"/>
                </w:tcPr>
                <w:p w14:paraId="7AC489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装卸车时设置移动雾炮</w:t>
                  </w:r>
                  <w:r>
                    <w:rPr>
                      <w:rFonts w:hint="eastAsia" w:cs="Times New Roman"/>
                      <w:color w:val="auto"/>
                      <w:sz w:val="21"/>
                      <w:szCs w:val="21"/>
                      <w:highlight w:val="none"/>
                      <w:shd w:val="clear" w:color="auto" w:fill="auto"/>
                      <w:vertAlign w:val="baseline"/>
                      <w:lang w:val="en-US" w:eastAsia="zh-CN"/>
                    </w:rPr>
                    <w:t>机抑尘</w:t>
                  </w:r>
                  <w:r>
                    <w:rPr>
                      <w:rFonts w:hint="eastAsia" w:ascii="Times New Roman" w:hAnsi="Times New Roman" w:cs="Times New Roman"/>
                      <w:color w:val="auto"/>
                      <w:sz w:val="21"/>
                      <w:szCs w:val="21"/>
                      <w:highlight w:val="none"/>
                      <w:shd w:val="clear" w:color="auto" w:fill="auto"/>
                      <w:vertAlign w:val="baseline"/>
                      <w:lang w:val="en-US" w:eastAsia="zh-CN"/>
                    </w:rPr>
                    <w:t>。落料通过</w:t>
                  </w:r>
                  <w:r>
                    <w:rPr>
                      <w:rFonts w:hint="eastAsia" w:cs="Times New Roman"/>
                      <w:color w:val="auto"/>
                      <w:sz w:val="21"/>
                      <w:szCs w:val="21"/>
                      <w:highlight w:val="none"/>
                      <w:shd w:val="clear" w:color="auto" w:fill="auto"/>
                      <w:vertAlign w:val="baseline"/>
                      <w:lang w:val="en-US" w:eastAsia="zh-CN"/>
                    </w:rPr>
                    <w:t>全</w:t>
                  </w:r>
                  <w:r>
                    <w:rPr>
                      <w:rFonts w:hint="eastAsia" w:ascii="Times New Roman" w:hAnsi="Times New Roman" w:cs="Times New Roman"/>
                      <w:color w:val="auto"/>
                      <w:sz w:val="21"/>
                      <w:szCs w:val="21"/>
                      <w:highlight w:val="none"/>
                      <w:shd w:val="clear" w:color="auto" w:fill="auto"/>
                      <w:vertAlign w:val="baseline"/>
                      <w:lang w:val="en-US" w:eastAsia="zh-CN"/>
                    </w:rPr>
                    <w:t>封闭皮带输送机转载，</w:t>
                  </w:r>
                  <w:r>
                    <w:rPr>
                      <w:rFonts w:hint="eastAsia"/>
                      <w:color w:val="auto"/>
                      <w:sz w:val="21"/>
                      <w:szCs w:val="21"/>
                      <w:highlight w:val="none"/>
                      <w:lang w:val="en-US" w:eastAsia="zh-CN"/>
                    </w:rPr>
                    <w:t>出入厂区设置洗车平台</w:t>
                  </w:r>
                </w:p>
              </w:tc>
              <w:tc>
                <w:tcPr>
                  <w:tcW w:w="526" w:type="pct"/>
                  <w:tcBorders>
                    <w:tl2br w:val="nil"/>
                    <w:tr2bl w:val="nil"/>
                  </w:tcBorders>
                  <w:noWrap w:val="0"/>
                  <w:vAlign w:val="center"/>
                </w:tcPr>
                <w:p w14:paraId="4507A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2296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0C772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3</w:t>
                  </w:r>
                </w:p>
              </w:tc>
              <w:tc>
                <w:tcPr>
                  <w:tcW w:w="2066" w:type="pct"/>
                  <w:tcBorders>
                    <w:tl2br w:val="nil"/>
                    <w:tr2bl w:val="nil"/>
                  </w:tcBorders>
                  <w:noWrap w:val="0"/>
                  <w:vAlign w:val="center"/>
                </w:tcPr>
                <w:p w14:paraId="052DCC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转运：</w:t>
                  </w:r>
                </w:p>
                <w:p w14:paraId="0669E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1.</w:t>
                  </w:r>
                  <w:r>
                    <w:rPr>
                      <w:rFonts w:hint="default" w:ascii="Times New Roman" w:hAnsi="Times New Roman" w:eastAsia="宋体" w:cs="Times New Roman"/>
                      <w:color w:val="auto"/>
                      <w:sz w:val="21"/>
                      <w:szCs w:val="21"/>
                      <w:highlight w:val="none"/>
                      <w:shd w:val="clear" w:color="auto" w:fill="auto"/>
                      <w:vertAlign w:val="baseline"/>
                      <w:lang w:val="en-US" w:eastAsia="zh-CN"/>
                    </w:rPr>
                    <w:t>粉状物料全部密闭或封闭</w:t>
                  </w:r>
                  <w:r>
                    <w:rPr>
                      <w:rFonts w:hint="eastAsia" w:ascii="Times New Roman" w:hAnsi="Times New Roman" w:eastAsia="宋体" w:cs="Times New Roman"/>
                      <w:color w:val="auto"/>
                      <w:sz w:val="21"/>
                      <w:szCs w:val="21"/>
                      <w:highlight w:val="none"/>
                      <w:shd w:val="clear" w:color="auto" w:fill="auto"/>
                      <w:vertAlign w:val="baseline"/>
                      <w:lang w:val="en-US" w:eastAsia="zh-CN"/>
                    </w:rPr>
                    <w:t>，</w:t>
                  </w:r>
                  <w:r>
                    <w:rPr>
                      <w:rFonts w:hint="default" w:ascii="Times New Roman" w:hAnsi="Times New Roman" w:eastAsia="宋体" w:cs="Times New Roman"/>
                      <w:color w:val="auto"/>
                      <w:sz w:val="21"/>
                      <w:szCs w:val="21"/>
                      <w:highlight w:val="none"/>
                      <w:shd w:val="clear" w:color="auto" w:fill="auto"/>
                      <w:vertAlign w:val="baseline"/>
                      <w:lang w:val="en-US" w:eastAsia="zh-CN"/>
                    </w:rPr>
                    <w:t>储存，采用密闭皮带、封闭通廊或密闭车厢等方式输送，并配备除尘设施，或采取喷淋（雾）等抑尘措施</w:t>
                  </w:r>
                </w:p>
                <w:p w14:paraId="0657B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2.厂区道路要硬化。道路采取清扫、洒水等措施，保持清洁</w:t>
                  </w:r>
                </w:p>
              </w:tc>
              <w:tc>
                <w:tcPr>
                  <w:tcW w:w="2026" w:type="pct"/>
                  <w:tcBorders>
                    <w:tl2br w:val="nil"/>
                    <w:tr2bl w:val="nil"/>
                  </w:tcBorders>
                  <w:noWrap w:val="0"/>
                  <w:vAlign w:val="center"/>
                </w:tcPr>
                <w:p w14:paraId="54BCE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成品</w:t>
                  </w:r>
                  <w:r>
                    <w:rPr>
                      <w:rFonts w:hint="eastAsia" w:cs="Times New Roman"/>
                      <w:color w:val="auto"/>
                      <w:sz w:val="21"/>
                      <w:szCs w:val="21"/>
                      <w:highlight w:val="none"/>
                      <w:shd w:val="clear" w:color="auto" w:fill="auto"/>
                      <w:vertAlign w:val="baseline"/>
                      <w:lang w:val="en-US" w:eastAsia="zh-CN"/>
                    </w:rPr>
                    <w:t>机制砂储存于本项目</w:t>
                  </w:r>
                  <w:r>
                    <w:rPr>
                      <w:rFonts w:hint="eastAsia" w:ascii="Times New Roman" w:hAnsi="Times New Roman" w:cs="Times New Roman"/>
                      <w:color w:val="auto"/>
                      <w:sz w:val="21"/>
                      <w:szCs w:val="21"/>
                      <w:highlight w:val="none"/>
                      <w:shd w:val="clear" w:color="auto" w:fill="auto"/>
                      <w:vertAlign w:val="baseline"/>
                      <w:lang w:val="en-US" w:eastAsia="zh-CN"/>
                    </w:rPr>
                    <w:t>成品</w:t>
                  </w:r>
                  <w:r>
                    <w:rPr>
                      <w:rFonts w:hint="eastAsia" w:cs="Times New Roman"/>
                      <w:color w:val="auto"/>
                      <w:sz w:val="21"/>
                      <w:szCs w:val="21"/>
                      <w:highlight w:val="none"/>
                      <w:shd w:val="clear" w:color="auto" w:fill="auto"/>
                      <w:vertAlign w:val="baseline"/>
                      <w:lang w:val="en-US" w:eastAsia="zh-CN"/>
                    </w:rPr>
                    <w:t>堆放区</w:t>
                  </w:r>
                  <w:r>
                    <w:rPr>
                      <w:rFonts w:hint="eastAsia" w:ascii="Times New Roman" w:hAnsi="Times New Roman" w:cs="Times New Roman"/>
                      <w:color w:val="auto"/>
                      <w:sz w:val="21"/>
                      <w:szCs w:val="21"/>
                      <w:highlight w:val="none"/>
                      <w:shd w:val="clear" w:color="auto" w:fill="auto"/>
                      <w:vertAlign w:val="baseline"/>
                      <w:lang w:val="en-US" w:eastAsia="zh-CN"/>
                    </w:rPr>
                    <w:t>，</w:t>
                  </w:r>
                  <w:r>
                    <w:rPr>
                      <w:rFonts w:hint="eastAsia" w:cs="Times New Roman"/>
                      <w:color w:val="auto"/>
                      <w:sz w:val="21"/>
                      <w:szCs w:val="21"/>
                      <w:highlight w:val="none"/>
                      <w:shd w:val="clear" w:color="auto" w:fill="auto"/>
                      <w:vertAlign w:val="baseline"/>
                      <w:lang w:val="en-US" w:eastAsia="zh-CN"/>
                    </w:rPr>
                    <w:t>成品堆放区位于本项目全封闭生产车间内北侧，物料采用</w:t>
                  </w:r>
                  <w:r>
                    <w:rPr>
                      <w:rFonts w:hint="eastAsia" w:ascii="Times New Roman" w:hAnsi="Times New Roman" w:cs="Times New Roman"/>
                      <w:color w:val="auto"/>
                      <w:sz w:val="21"/>
                      <w:szCs w:val="21"/>
                      <w:highlight w:val="none"/>
                      <w:shd w:val="clear" w:color="auto" w:fill="auto"/>
                      <w:vertAlign w:val="baseline"/>
                      <w:lang w:val="en-US" w:eastAsia="zh-CN"/>
                    </w:rPr>
                    <w:t>全封闭皮带输送</w:t>
                  </w:r>
                  <w:r>
                    <w:rPr>
                      <w:rFonts w:hint="eastAsia" w:cs="Times New Roman"/>
                      <w:color w:val="auto"/>
                      <w:sz w:val="21"/>
                      <w:szCs w:val="21"/>
                      <w:highlight w:val="none"/>
                      <w:shd w:val="clear" w:color="auto" w:fill="auto"/>
                      <w:vertAlign w:val="baseline"/>
                      <w:lang w:val="en-US" w:eastAsia="zh-CN"/>
                    </w:rPr>
                    <w:t>，</w:t>
                  </w:r>
                  <w:r>
                    <w:rPr>
                      <w:rFonts w:hint="default" w:ascii="Times New Roman" w:hAnsi="Times New Roman" w:eastAsia="宋体" w:cs="Times New Roman"/>
                      <w:color w:val="auto"/>
                      <w:sz w:val="21"/>
                      <w:szCs w:val="21"/>
                      <w:highlight w:val="none"/>
                      <w:shd w:val="clear" w:color="auto" w:fill="auto"/>
                      <w:vertAlign w:val="baseline"/>
                      <w:lang w:val="en-US" w:eastAsia="zh-CN"/>
                    </w:rPr>
                    <w:t>厂区道路</w:t>
                  </w:r>
                  <w:r>
                    <w:rPr>
                      <w:rFonts w:hint="eastAsia" w:ascii="Times New Roman" w:hAnsi="Times New Roman" w:eastAsia="宋体" w:cs="Times New Roman"/>
                      <w:color w:val="auto"/>
                      <w:sz w:val="21"/>
                      <w:szCs w:val="21"/>
                      <w:highlight w:val="none"/>
                      <w:shd w:val="clear" w:color="auto" w:fill="auto"/>
                      <w:vertAlign w:val="baseline"/>
                      <w:lang w:val="en-US" w:eastAsia="zh-CN"/>
                    </w:rPr>
                    <w:t>全部</w:t>
                  </w:r>
                  <w:r>
                    <w:rPr>
                      <w:rFonts w:hint="default" w:ascii="Times New Roman" w:hAnsi="Times New Roman" w:eastAsia="宋体" w:cs="Times New Roman"/>
                      <w:color w:val="auto"/>
                      <w:sz w:val="21"/>
                      <w:szCs w:val="21"/>
                      <w:highlight w:val="none"/>
                      <w:shd w:val="clear" w:color="auto" w:fill="auto"/>
                      <w:vertAlign w:val="baseline"/>
                      <w:lang w:val="en-US" w:eastAsia="zh-CN"/>
                    </w:rPr>
                    <w:t>硬化</w:t>
                  </w:r>
                  <w:r>
                    <w:rPr>
                      <w:rFonts w:hint="eastAsia" w:ascii="Times New Roman" w:hAnsi="Times New Roman" w:eastAsia="宋体" w:cs="Times New Roman"/>
                      <w:color w:val="auto"/>
                      <w:sz w:val="21"/>
                      <w:szCs w:val="21"/>
                      <w:highlight w:val="none"/>
                      <w:shd w:val="clear" w:color="auto" w:fill="auto"/>
                      <w:vertAlign w:val="baseline"/>
                      <w:lang w:val="en-US" w:eastAsia="zh-CN"/>
                    </w:rPr>
                    <w:t>，定期洒水抑尘</w:t>
                  </w:r>
                </w:p>
              </w:tc>
              <w:tc>
                <w:tcPr>
                  <w:tcW w:w="526" w:type="pct"/>
                  <w:tcBorders>
                    <w:tl2br w:val="nil"/>
                    <w:tr2bl w:val="nil"/>
                  </w:tcBorders>
                  <w:noWrap w:val="0"/>
                  <w:vAlign w:val="center"/>
                </w:tcPr>
                <w:p w14:paraId="42FD05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0CBA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00969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4</w:t>
                  </w:r>
                </w:p>
              </w:tc>
              <w:tc>
                <w:tcPr>
                  <w:tcW w:w="2066" w:type="pct"/>
                  <w:tcBorders>
                    <w:tl2br w:val="nil"/>
                    <w:tr2bl w:val="nil"/>
                  </w:tcBorders>
                  <w:noWrap w:val="0"/>
                  <w:vAlign w:val="center"/>
                </w:tcPr>
                <w:p w14:paraId="1D20C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工艺过程</w:t>
                  </w:r>
                  <w:r>
                    <w:rPr>
                      <w:rFonts w:hint="eastAsia" w:ascii="Times New Roman" w:hAnsi="Times New Roman" w:eastAsia="宋体" w:cs="Times New Roman"/>
                      <w:color w:val="auto"/>
                      <w:sz w:val="21"/>
                      <w:szCs w:val="21"/>
                      <w:highlight w:val="none"/>
                      <w:shd w:val="clear" w:color="auto" w:fill="auto"/>
                      <w:vertAlign w:val="baseline"/>
                      <w:lang w:val="en-US" w:eastAsia="zh-CN"/>
                    </w:rPr>
                    <w:t>：</w:t>
                  </w:r>
                </w:p>
                <w:p w14:paraId="4E686C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1.生产工艺产尘点要采取密闭、封闭或设置集气罩等措施</w:t>
                  </w:r>
                </w:p>
                <w:p w14:paraId="7DD50F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2.产尘点及及车间不得有可见烟（粉）尘外逸。料棚配备喷雾抑尘设施，料棚出入口安装自动门</w:t>
                  </w:r>
                </w:p>
              </w:tc>
              <w:tc>
                <w:tcPr>
                  <w:tcW w:w="2026" w:type="pct"/>
                  <w:tcBorders>
                    <w:tl2br w:val="nil"/>
                    <w:tr2bl w:val="nil"/>
                  </w:tcBorders>
                  <w:noWrap w:val="0"/>
                  <w:vAlign w:val="center"/>
                </w:tcPr>
                <w:p w14:paraId="3AA05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pacing w:val="0"/>
                      <w:kern w:val="2"/>
                      <w:sz w:val="21"/>
                      <w:szCs w:val="21"/>
                      <w:highlight w:val="none"/>
                      <w:vertAlign w:val="baseline"/>
                      <w:lang w:val="en-US" w:eastAsia="zh-CN" w:bidi="ar-SA"/>
                    </w:rPr>
                    <w:t>给料机上方安装</w:t>
                  </w:r>
                  <w:r>
                    <w:rPr>
                      <w:rFonts w:hint="eastAsia" w:cs="Times New Roman"/>
                      <w:color w:val="auto"/>
                      <w:spacing w:val="0"/>
                      <w:kern w:val="2"/>
                      <w:sz w:val="21"/>
                      <w:szCs w:val="21"/>
                      <w:highlight w:val="none"/>
                      <w:vertAlign w:val="baseline"/>
                      <w:lang w:val="en-US" w:eastAsia="zh-CN" w:bidi="ar-SA"/>
                    </w:rPr>
                    <w:t>柜式式</w:t>
                  </w:r>
                  <w:r>
                    <w:rPr>
                      <w:rFonts w:hint="default" w:ascii="Times New Roman" w:hAnsi="Times New Roman" w:eastAsia="宋体" w:cs="Times New Roman"/>
                      <w:color w:val="auto"/>
                      <w:spacing w:val="0"/>
                      <w:kern w:val="2"/>
                      <w:sz w:val="21"/>
                      <w:szCs w:val="21"/>
                      <w:highlight w:val="none"/>
                      <w:vertAlign w:val="baseline"/>
                      <w:lang w:val="en-US" w:eastAsia="zh-CN" w:bidi="ar-SA"/>
                    </w:rPr>
                    <w:t>集气罩，颚式破碎机、1#振动筛和2台细颚式破碎机为全封闭式，上方均设置集气管道，废气经收集后共同引入1台布袋除尘器（TA001）处理后，由1根20m高排气筒（DA001）排放</w:t>
                  </w:r>
                  <w:r>
                    <w:rPr>
                      <w:rFonts w:hint="eastAsia" w:ascii="Times New Roman" w:hAnsi="Times New Roman" w:eastAsia="宋体" w:cs="Times New Roman"/>
                      <w:color w:val="auto"/>
                      <w:spacing w:val="0"/>
                      <w:kern w:val="2"/>
                      <w:sz w:val="21"/>
                      <w:szCs w:val="21"/>
                      <w:highlight w:val="none"/>
                      <w:vertAlign w:val="baseline"/>
                      <w:lang w:val="en-US" w:eastAsia="zh-CN" w:bidi="ar-SA"/>
                    </w:rPr>
                    <w:t>。</w:t>
                  </w:r>
                  <w:r>
                    <w:rPr>
                      <w:rFonts w:hint="eastAsia" w:cs="Times New Roman"/>
                      <w:color w:val="auto"/>
                      <w:kern w:val="2"/>
                      <w:sz w:val="21"/>
                      <w:szCs w:val="21"/>
                      <w:highlight w:val="none"/>
                      <w:lang w:val="en-US" w:eastAsia="zh-CN" w:bidi="ar-SA"/>
                    </w:rPr>
                    <w:t>制砂机</w:t>
                  </w:r>
                  <w:r>
                    <w:rPr>
                      <w:rFonts w:hint="default" w:ascii="Times New Roman" w:hAnsi="Times New Roman" w:eastAsia="宋体" w:cs="Times New Roman"/>
                      <w:color w:val="auto"/>
                      <w:kern w:val="2"/>
                      <w:sz w:val="21"/>
                      <w:szCs w:val="21"/>
                      <w:highlight w:val="none"/>
                      <w:lang w:val="en-US" w:eastAsia="zh-CN" w:bidi="ar-SA"/>
                    </w:rPr>
                    <w:t>、2振动筛均为全封闭式，上方设置集气管道，废气经收集后共同引入1台布袋除尘器（TA002）处理后，由1根20m高排气筒（DA002）排放</w:t>
                  </w:r>
                  <w:r>
                    <w:rPr>
                      <w:rFonts w:hint="eastAsia" w:cs="Times New Roman"/>
                      <w:color w:val="auto"/>
                      <w:sz w:val="21"/>
                      <w:szCs w:val="21"/>
                      <w:highlight w:val="none"/>
                      <w:shd w:val="clear" w:color="auto" w:fill="auto"/>
                      <w:vertAlign w:val="baseline"/>
                      <w:lang w:val="en-US" w:eastAsia="zh-CN"/>
                    </w:rPr>
                    <w:t>。</w:t>
                  </w:r>
                  <w:r>
                    <w:rPr>
                      <w:rFonts w:hint="eastAsia" w:ascii="Times New Roman" w:hAnsi="Times New Roman" w:cs="Times New Roman"/>
                      <w:color w:val="auto"/>
                      <w:sz w:val="21"/>
                      <w:szCs w:val="21"/>
                      <w:highlight w:val="none"/>
                      <w:shd w:val="clear" w:color="auto" w:fill="auto"/>
                      <w:vertAlign w:val="baseline"/>
                      <w:lang w:val="en-US" w:eastAsia="zh-CN"/>
                    </w:rPr>
                    <w:t>原料</w:t>
                  </w:r>
                  <w:r>
                    <w:rPr>
                      <w:rFonts w:hint="eastAsia" w:cs="Times New Roman"/>
                      <w:color w:val="auto"/>
                      <w:sz w:val="21"/>
                      <w:szCs w:val="21"/>
                      <w:highlight w:val="none"/>
                      <w:shd w:val="clear" w:color="auto" w:fill="auto"/>
                      <w:vertAlign w:val="baseline"/>
                      <w:lang w:val="en-US" w:eastAsia="zh-CN"/>
                    </w:rPr>
                    <w:t>堆放区</w:t>
                  </w:r>
                  <w:r>
                    <w:rPr>
                      <w:rFonts w:hint="eastAsia" w:ascii="Times New Roman" w:hAnsi="Times New Roman" w:cs="Times New Roman"/>
                      <w:color w:val="auto"/>
                      <w:sz w:val="21"/>
                      <w:szCs w:val="21"/>
                      <w:highlight w:val="none"/>
                      <w:shd w:val="clear" w:color="auto" w:fill="auto"/>
                      <w:vertAlign w:val="baseline"/>
                      <w:lang w:val="en-US" w:eastAsia="zh-CN"/>
                    </w:rPr>
                    <w:t>和成品</w:t>
                  </w:r>
                  <w:r>
                    <w:rPr>
                      <w:rFonts w:hint="eastAsia" w:cs="Times New Roman"/>
                      <w:color w:val="auto"/>
                      <w:sz w:val="21"/>
                      <w:szCs w:val="21"/>
                      <w:highlight w:val="none"/>
                      <w:shd w:val="clear" w:color="auto" w:fill="auto"/>
                      <w:vertAlign w:val="baseline"/>
                      <w:lang w:val="en-US" w:eastAsia="zh-CN"/>
                    </w:rPr>
                    <w:t>堆放区顶部安装</w:t>
                  </w:r>
                  <w:r>
                    <w:rPr>
                      <w:rFonts w:hint="eastAsia" w:ascii="Times New Roman" w:hAnsi="Times New Roman" w:eastAsia="宋体" w:cs="Times New Roman"/>
                      <w:color w:val="auto"/>
                      <w:sz w:val="21"/>
                      <w:szCs w:val="21"/>
                      <w:highlight w:val="none"/>
                      <w:shd w:val="clear" w:color="auto" w:fill="auto"/>
                      <w:vertAlign w:val="baseline"/>
                      <w:lang w:val="en-US" w:eastAsia="zh-CN"/>
                    </w:rPr>
                    <w:t>喷雾抑尘设施，</w:t>
                  </w:r>
                  <w:r>
                    <w:rPr>
                      <w:rFonts w:hint="eastAsia" w:cs="Times New Roman"/>
                      <w:color w:val="auto"/>
                      <w:sz w:val="21"/>
                      <w:szCs w:val="21"/>
                      <w:highlight w:val="none"/>
                      <w:shd w:val="clear" w:color="auto" w:fill="auto"/>
                      <w:vertAlign w:val="baseline"/>
                      <w:lang w:val="en-US" w:eastAsia="zh-CN"/>
                    </w:rPr>
                    <w:t>车辆</w:t>
                  </w:r>
                  <w:r>
                    <w:rPr>
                      <w:rFonts w:hint="eastAsia" w:ascii="Times New Roman" w:hAnsi="Times New Roman" w:eastAsia="宋体" w:cs="Times New Roman"/>
                      <w:color w:val="auto"/>
                      <w:sz w:val="21"/>
                      <w:szCs w:val="21"/>
                      <w:highlight w:val="none"/>
                      <w:shd w:val="clear" w:color="auto" w:fill="auto"/>
                      <w:vertAlign w:val="baseline"/>
                      <w:lang w:val="en-US" w:eastAsia="zh-CN"/>
                    </w:rPr>
                    <w:t>出入口安装</w:t>
                  </w:r>
                  <w:r>
                    <w:rPr>
                      <w:rFonts w:hint="eastAsia" w:cs="Times New Roman"/>
                      <w:color w:val="auto"/>
                      <w:spacing w:val="0"/>
                      <w:kern w:val="2"/>
                      <w:sz w:val="21"/>
                      <w:szCs w:val="21"/>
                      <w:highlight w:val="none"/>
                      <w:lang w:val="en-US" w:eastAsia="zh-CN" w:bidi="ar-SA"/>
                    </w:rPr>
                    <w:t>自动感应密闭门</w:t>
                  </w:r>
                </w:p>
              </w:tc>
              <w:tc>
                <w:tcPr>
                  <w:tcW w:w="526" w:type="pct"/>
                  <w:tcBorders>
                    <w:tl2br w:val="nil"/>
                    <w:tr2bl w:val="nil"/>
                  </w:tcBorders>
                  <w:noWrap w:val="0"/>
                  <w:vAlign w:val="center"/>
                </w:tcPr>
                <w:p w14:paraId="456D7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2882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4CDF9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5</w:t>
                  </w:r>
                </w:p>
              </w:tc>
              <w:tc>
                <w:tcPr>
                  <w:tcW w:w="2066" w:type="pct"/>
                  <w:tcBorders>
                    <w:tl2br w:val="nil"/>
                    <w:tr2bl w:val="nil"/>
                  </w:tcBorders>
                  <w:noWrap w:val="0"/>
                  <w:vAlign w:val="center"/>
                </w:tcPr>
                <w:p w14:paraId="723FBE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道路运输</w:t>
                  </w:r>
                  <w:r>
                    <w:rPr>
                      <w:rFonts w:hint="eastAsia" w:ascii="Times New Roman" w:hAnsi="Times New Roman" w:eastAsia="宋体" w:cs="Times New Roman"/>
                      <w:color w:val="auto"/>
                      <w:sz w:val="21"/>
                      <w:szCs w:val="21"/>
                      <w:highlight w:val="none"/>
                      <w:shd w:val="clear" w:color="auto" w:fill="auto"/>
                      <w:vertAlign w:val="baseline"/>
                      <w:lang w:val="en-US" w:eastAsia="zh-CN"/>
                    </w:rPr>
                    <w:t>：</w:t>
                  </w:r>
                </w:p>
                <w:p w14:paraId="5A2E4A5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kern w:val="2"/>
                      <w:sz w:val="21"/>
                      <w:szCs w:val="21"/>
                      <w:shd w:val="clear" w:fill="auto"/>
                      <w:vertAlign w:val="baseline"/>
                      <w:lang w:val="en-US" w:eastAsia="zh-CN" w:bidi="ar-SA"/>
                    </w:rPr>
                    <w:t>1.</w:t>
                  </w:r>
                  <w:r>
                    <w:rPr>
                      <w:rFonts w:hint="eastAsia" w:ascii="Times New Roman" w:hAnsi="Times New Roman" w:eastAsia="宋体" w:cs="Times New Roman"/>
                      <w:color w:val="auto"/>
                      <w:sz w:val="21"/>
                      <w:szCs w:val="21"/>
                      <w:highlight w:val="none"/>
                      <w:shd w:val="clear" w:color="auto" w:fill="auto"/>
                      <w:vertAlign w:val="baseline"/>
                      <w:lang w:val="en-US" w:eastAsia="zh-CN"/>
                    </w:rPr>
                    <w:t>块状物料及产品运输必须苫盖，采取密闭运输，严禁沿路抛洒逸散。</w:t>
                  </w:r>
                </w:p>
                <w:p w14:paraId="290D2E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kern w:val="2"/>
                      <w:sz w:val="21"/>
                      <w:szCs w:val="21"/>
                      <w:shd w:val="clear" w:fill="auto"/>
                      <w:vertAlign w:val="baseline"/>
                      <w:lang w:val="en-US" w:eastAsia="zh-CN" w:bidi="ar-SA"/>
                    </w:rPr>
                    <w:t>2.</w:t>
                  </w:r>
                  <w:r>
                    <w:rPr>
                      <w:rFonts w:hint="eastAsia" w:ascii="Times New Roman" w:hAnsi="Times New Roman" w:eastAsia="宋体" w:cs="Times New Roman"/>
                      <w:color w:val="auto"/>
                      <w:sz w:val="21"/>
                      <w:szCs w:val="21"/>
                      <w:highlight w:val="none"/>
                      <w:shd w:val="clear" w:color="auto" w:fill="auto"/>
                      <w:vertAlign w:val="baseline"/>
                      <w:lang w:val="en-US" w:eastAsia="zh-CN"/>
                    </w:rPr>
                    <w:t>鼓励现有企业建设全封闭的厂内车辆运输通道，连通原料储仓和产品储库，力争实现车辆从进厂到出厂全封闭行驶</w:t>
                  </w:r>
                </w:p>
                <w:p w14:paraId="55B871C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3.厂区内道路及厂区至主干公路的道路必须硬化，要铺设沥青路面，道路两侧设置绿化带，采用吸尘车或洒水车进行喷洒抑尘、道路洗扫，厂区、道路两侧及路面不得有明显积尘</w:t>
                  </w:r>
                </w:p>
                <w:p w14:paraId="6E9FD0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shd w:val="clear" w:color="auto" w:fill="auto"/>
                      <w:vertAlign w:val="baseline"/>
                      <w:lang w:val="en-US" w:eastAsia="zh-CN"/>
                    </w:rPr>
                    <w:t>4.要将进出厂道路与交通干线连接点上下各2km范围内的道路纳入卫生责任区，建立清洗制度，每日开展道路清洗工作，根据洗扫范围购置1-2辆新能源喷雾降尘车和2-3辆新能源洗扫吸尘车</w:t>
                  </w:r>
                </w:p>
              </w:tc>
              <w:tc>
                <w:tcPr>
                  <w:tcW w:w="2026" w:type="pct"/>
                  <w:tcBorders>
                    <w:tl2br w:val="nil"/>
                    <w:tr2bl w:val="nil"/>
                  </w:tcBorders>
                  <w:noWrap w:val="0"/>
                  <w:vAlign w:val="center"/>
                </w:tcPr>
                <w:p w14:paraId="157EEB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cs="Times New Roman"/>
                      <w:color w:val="auto"/>
                      <w:sz w:val="21"/>
                      <w:szCs w:val="21"/>
                      <w:highlight w:val="none"/>
                      <w:shd w:val="clear" w:color="auto" w:fill="auto"/>
                      <w:vertAlign w:val="baseline"/>
                      <w:lang w:val="en-US" w:eastAsia="zh-CN"/>
                    </w:rPr>
                    <w:t>原料煤矸石</w:t>
                  </w:r>
                  <w:r>
                    <w:rPr>
                      <w:rFonts w:hint="eastAsia" w:ascii="Times New Roman" w:hAnsi="Times New Roman" w:eastAsia="宋体" w:cs="Times New Roman"/>
                      <w:color w:val="auto"/>
                      <w:sz w:val="21"/>
                      <w:szCs w:val="21"/>
                      <w:highlight w:val="none"/>
                      <w:shd w:val="clear" w:color="auto" w:fill="auto"/>
                      <w:vertAlign w:val="baseline"/>
                      <w:lang w:val="en-US" w:eastAsia="zh-CN"/>
                    </w:rPr>
                    <w:t>及产品运输采用</w:t>
                  </w:r>
                  <w:r>
                    <w:rPr>
                      <w:rFonts w:hint="eastAsia" w:cs="Times New Roman"/>
                      <w:color w:val="auto"/>
                      <w:sz w:val="21"/>
                      <w:szCs w:val="21"/>
                      <w:highlight w:val="none"/>
                      <w:shd w:val="clear" w:color="auto" w:fill="auto"/>
                      <w:vertAlign w:val="baseline"/>
                      <w:lang w:val="en-US" w:eastAsia="zh-CN"/>
                    </w:rPr>
                    <w:t>封闭式厢式车</w:t>
                  </w:r>
                  <w:r>
                    <w:rPr>
                      <w:rFonts w:hint="eastAsia" w:ascii="Times New Roman" w:hAnsi="Times New Roman" w:eastAsia="宋体" w:cs="Times New Roman"/>
                      <w:color w:val="auto"/>
                      <w:sz w:val="21"/>
                      <w:szCs w:val="21"/>
                      <w:highlight w:val="none"/>
                      <w:shd w:val="clear" w:color="auto" w:fill="auto"/>
                      <w:vertAlign w:val="baseline"/>
                      <w:lang w:val="en-US" w:eastAsia="zh-CN"/>
                    </w:rPr>
                    <w:t>篷布遮盖，密闭运输，严禁沿路抛洒逸散，连通原料储仓和产品储库，实现了车辆从进厂到出厂全封闭行驶，厂区道路硬化，道路两侧设置绿化带，采用吸尘车或洒水车进行喷洒抑尘、道路洗扫；进出厂道路与交通干线连接点上下各2km范围内的道路为本单位卫生责任区，每日开展道路清洗工作，厂区配备新能源喷雾降尘设施以及新能源洗扫吸尘设施</w:t>
                  </w:r>
                </w:p>
              </w:tc>
              <w:tc>
                <w:tcPr>
                  <w:tcW w:w="526" w:type="pct"/>
                  <w:tcBorders>
                    <w:tl2br w:val="nil"/>
                    <w:tr2bl w:val="nil"/>
                  </w:tcBorders>
                  <w:noWrap w:val="0"/>
                  <w:vAlign w:val="center"/>
                </w:tcPr>
                <w:p w14:paraId="7CBEF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3B51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35AB7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6</w:t>
                  </w:r>
                </w:p>
              </w:tc>
              <w:tc>
                <w:tcPr>
                  <w:tcW w:w="2066" w:type="pct"/>
                  <w:tcBorders>
                    <w:tl2br w:val="nil"/>
                    <w:tr2bl w:val="nil"/>
                  </w:tcBorders>
                  <w:noWrap w:val="0"/>
                  <w:vAlign w:val="center"/>
                </w:tcPr>
                <w:p w14:paraId="20985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在厂区或物料棚出入口设置车辆冲洗平台，要淘汰现有的简易冲洗平台，设置具有保温、烘干等功能的现代化冲洗平台，冲洗平台的长度和高度要确保货运重卡车辆的车身和车轮全部冲洗到位，货运车辆进、出厂区必须进行轮胎和车身清洗，车辆冲洗时间要在100秒以上，有效将车轮及车身全部冲洗干净，确保车身整洁、车轮干净，不带泥带灰上路</w:t>
                  </w:r>
                </w:p>
              </w:tc>
              <w:tc>
                <w:tcPr>
                  <w:tcW w:w="2026" w:type="pct"/>
                  <w:tcBorders>
                    <w:tl2br w:val="nil"/>
                    <w:tr2bl w:val="nil"/>
                  </w:tcBorders>
                  <w:noWrap w:val="0"/>
                  <w:vAlign w:val="center"/>
                </w:tcPr>
                <w:p w14:paraId="101243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eastAsia="宋体" w:cs="Times New Roman"/>
                      <w:color w:val="auto"/>
                      <w:sz w:val="21"/>
                      <w:szCs w:val="21"/>
                      <w:highlight w:val="none"/>
                      <w:lang w:val="en-US" w:eastAsia="zh-CN"/>
                    </w:rPr>
                    <w:t>洗车平台</w:t>
                  </w:r>
                  <w:r>
                    <w:rPr>
                      <w:rFonts w:hint="default" w:ascii="Times New Roman" w:hAnsi="Times New Roman" w:eastAsia="宋体" w:cs="Times New Roman"/>
                      <w:color w:val="auto"/>
                      <w:sz w:val="21"/>
                      <w:szCs w:val="21"/>
                      <w:highlight w:val="none"/>
                    </w:rPr>
                    <w:t>位于厂区</w:t>
                  </w:r>
                  <w:r>
                    <w:rPr>
                      <w:rFonts w:hint="eastAsia" w:cs="Times New Roman"/>
                      <w:color w:val="auto"/>
                      <w:sz w:val="21"/>
                      <w:szCs w:val="21"/>
                      <w:highlight w:val="none"/>
                      <w:lang w:val="en-US" w:eastAsia="zh-CN"/>
                    </w:rPr>
                    <w:t>东侧出</w:t>
                  </w:r>
                  <w:r>
                    <w:rPr>
                      <w:rFonts w:hint="default" w:ascii="Times New Roman" w:hAnsi="Times New Roman" w:eastAsia="宋体" w:cs="Times New Roman"/>
                      <w:color w:val="auto"/>
                      <w:sz w:val="21"/>
                      <w:szCs w:val="21"/>
                      <w:highlight w:val="none"/>
                    </w:rPr>
                    <w:t>入口处，内设水泵，高压水枪等可覆盖全部车身的冲洗设备，对出厂车辆的车身及轮胎进行清洗；设置沉淀池</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lang w:val="en-US" w:eastAsia="zh-CN"/>
                    </w:rPr>
                    <w:t>冬季池体有保温措施</w:t>
                  </w:r>
                </w:p>
              </w:tc>
              <w:tc>
                <w:tcPr>
                  <w:tcW w:w="526" w:type="pct"/>
                  <w:tcBorders>
                    <w:tl2br w:val="nil"/>
                    <w:tr2bl w:val="nil"/>
                  </w:tcBorders>
                  <w:noWrap w:val="0"/>
                  <w:vAlign w:val="center"/>
                </w:tcPr>
                <w:p w14:paraId="2585A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r w14:paraId="229B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9" w:type="pct"/>
                  <w:tcBorders>
                    <w:tl2br w:val="nil"/>
                    <w:tr2bl w:val="nil"/>
                  </w:tcBorders>
                  <w:noWrap w:val="0"/>
                  <w:vAlign w:val="center"/>
                </w:tcPr>
                <w:p w14:paraId="2634A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7</w:t>
                  </w:r>
                </w:p>
              </w:tc>
              <w:tc>
                <w:tcPr>
                  <w:tcW w:w="2066" w:type="pct"/>
                  <w:tcBorders>
                    <w:tl2br w:val="nil"/>
                    <w:tr2bl w:val="nil"/>
                  </w:tcBorders>
                  <w:noWrap w:val="0"/>
                  <w:vAlign w:val="center"/>
                </w:tcPr>
                <w:p w14:paraId="36136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default" w:ascii="Times New Roman" w:hAnsi="Times New Roman" w:eastAsia="宋体" w:cs="Times New Roman"/>
                      <w:color w:val="auto"/>
                      <w:sz w:val="21"/>
                      <w:szCs w:val="21"/>
                      <w:highlight w:val="none"/>
                      <w:shd w:val="clear" w:color="auto" w:fill="auto"/>
                      <w:vertAlign w:val="baseline"/>
                      <w:lang w:val="en-US" w:eastAsia="zh-CN"/>
                    </w:rPr>
                    <w:t>建设门禁系统和视频监控系统，监控运输车辆进出厂区情况。物料公路运输和厂内运输全部使用国六及以上排放标准的载货车辆或新能源车辆，逐步全部更换为新能源车辆；厂内非道路移动机械全部使用国四及以上排放标准或新能源车辆，逐步全部更换为新能源车辆</w:t>
                  </w:r>
                </w:p>
              </w:tc>
              <w:tc>
                <w:tcPr>
                  <w:tcW w:w="2026" w:type="pct"/>
                  <w:tcBorders>
                    <w:tl2br w:val="nil"/>
                    <w:tr2bl w:val="nil"/>
                  </w:tcBorders>
                  <w:noWrap w:val="0"/>
                  <w:vAlign w:val="center"/>
                </w:tcPr>
                <w:p w14:paraId="73722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sz w:val="21"/>
                      <w:szCs w:val="21"/>
                      <w:highlight w:val="none"/>
                      <w:shd w:val="clear" w:color="auto" w:fill="auto"/>
                      <w:vertAlign w:val="baseline"/>
                      <w:lang w:val="en-US" w:eastAsia="zh-CN"/>
                    </w:rPr>
                  </w:pPr>
                  <w:r>
                    <w:rPr>
                      <w:rFonts w:hint="eastAsia" w:ascii="Times New Roman" w:hAnsi="Times New Roman" w:cs="Times New Roman"/>
                      <w:color w:val="auto"/>
                      <w:sz w:val="21"/>
                      <w:szCs w:val="21"/>
                      <w:highlight w:val="none"/>
                      <w:shd w:val="clear" w:color="auto" w:fill="auto"/>
                      <w:vertAlign w:val="baseline"/>
                      <w:lang w:val="en-US" w:eastAsia="zh-CN"/>
                    </w:rPr>
                    <w:t>原料</w:t>
                  </w:r>
                  <w:r>
                    <w:rPr>
                      <w:rFonts w:hint="eastAsia" w:cs="Times New Roman"/>
                      <w:color w:val="auto"/>
                      <w:sz w:val="21"/>
                      <w:szCs w:val="21"/>
                      <w:highlight w:val="none"/>
                      <w:shd w:val="clear" w:color="auto" w:fill="auto"/>
                      <w:vertAlign w:val="baseline"/>
                      <w:lang w:val="en-US" w:eastAsia="zh-CN"/>
                    </w:rPr>
                    <w:t>堆放区</w:t>
                  </w:r>
                  <w:r>
                    <w:rPr>
                      <w:rFonts w:hint="eastAsia" w:ascii="Times New Roman" w:hAnsi="Times New Roman" w:cs="Times New Roman"/>
                      <w:color w:val="auto"/>
                      <w:sz w:val="21"/>
                      <w:szCs w:val="21"/>
                      <w:highlight w:val="none"/>
                      <w:shd w:val="clear" w:color="auto" w:fill="auto"/>
                      <w:vertAlign w:val="baseline"/>
                      <w:lang w:val="en-US" w:eastAsia="zh-CN"/>
                    </w:rPr>
                    <w:t>、</w:t>
                  </w:r>
                  <w:r>
                    <w:rPr>
                      <w:rFonts w:hint="eastAsia" w:cs="Times New Roman"/>
                      <w:color w:val="auto"/>
                      <w:sz w:val="21"/>
                      <w:szCs w:val="21"/>
                      <w:highlight w:val="none"/>
                      <w:shd w:val="clear" w:color="auto" w:fill="auto"/>
                      <w:vertAlign w:val="baseline"/>
                      <w:lang w:val="en-US" w:eastAsia="zh-CN"/>
                    </w:rPr>
                    <w:t>成品堆放区、</w:t>
                  </w:r>
                  <w:r>
                    <w:rPr>
                      <w:rFonts w:hint="eastAsia" w:ascii="Times New Roman" w:hAnsi="Times New Roman" w:cs="Times New Roman"/>
                      <w:color w:val="auto"/>
                      <w:sz w:val="21"/>
                      <w:szCs w:val="21"/>
                      <w:highlight w:val="none"/>
                      <w:shd w:val="clear" w:color="auto" w:fill="auto"/>
                      <w:vertAlign w:val="baseline"/>
                      <w:lang w:val="en-US" w:eastAsia="zh-CN"/>
                    </w:rPr>
                    <w:t>生产车间</w:t>
                  </w:r>
                  <w:r>
                    <w:rPr>
                      <w:rFonts w:hint="eastAsia" w:cs="Times New Roman"/>
                      <w:color w:val="auto"/>
                      <w:sz w:val="21"/>
                      <w:szCs w:val="21"/>
                      <w:highlight w:val="none"/>
                      <w:shd w:val="clear" w:color="auto" w:fill="auto"/>
                      <w:vertAlign w:val="baseline"/>
                      <w:lang w:val="en-US" w:eastAsia="zh-CN"/>
                    </w:rPr>
                    <w:t>及</w:t>
                  </w:r>
                  <w:r>
                    <w:rPr>
                      <w:rFonts w:hint="eastAsia" w:ascii="Times New Roman" w:hAnsi="Times New Roman" w:cs="Times New Roman"/>
                      <w:color w:val="auto"/>
                      <w:sz w:val="21"/>
                      <w:szCs w:val="21"/>
                      <w:highlight w:val="none"/>
                      <w:shd w:val="clear" w:color="auto" w:fill="auto"/>
                      <w:vertAlign w:val="baseline"/>
                      <w:lang w:val="en-US" w:eastAsia="zh-CN"/>
                    </w:rPr>
                    <w:t>厂区布设视频监控，设置门禁系统；运输车辆必须为国六排放标准或新能源车辆</w:t>
                  </w:r>
                  <w:r>
                    <w:rPr>
                      <w:rFonts w:hint="eastAsia" w:cs="Times New Roman"/>
                      <w:color w:val="auto"/>
                      <w:sz w:val="21"/>
                      <w:szCs w:val="21"/>
                      <w:highlight w:val="none"/>
                      <w:shd w:val="clear" w:color="auto" w:fill="auto"/>
                      <w:vertAlign w:val="baseline"/>
                      <w:lang w:val="en-US" w:eastAsia="zh-CN"/>
                    </w:rPr>
                    <w:t>；</w:t>
                  </w:r>
                  <w:r>
                    <w:rPr>
                      <w:rFonts w:hint="default" w:ascii="Times New Roman" w:hAnsi="Times New Roman" w:eastAsia="宋体" w:cs="Times New Roman"/>
                      <w:color w:val="auto"/>
                      <w:sz w:val="21"/>
                      <w:szCs w:val="21"/>
                      <w:highlight w:val="none"/>
                      <w:shd w:val="clear" w:color="auto" w:fill="auto"/>
                      <w:vertAlign w:val="baseline"/>
                      <w:lang w:val="en-US" w:eastAsia="zh-CN"/>
                    </w:rPr>
                    <w:t>厂内非道路移动机械全部使用国四及以上排放标准或新能源车辆</w:t>
                  </w:r>
                </w:p>
              </w:tc>
              <w:tc>
                <w:tcPr>
                  <w:tcW w:w="526" w:type="pct"/>
                  <w:tcBorders>
                    <w:tl2br w:val="nil"/>
                    <w:tr2bl w:val="nil"/>
                  </w:tcBorders>
                  <w:noWrap w:val="0"/>
                  <w:vAlign w:val="center"/>
                </w:tcPr>
                <w:p w14:paraId="11403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shd w:val="clear" w:color="auto" w:fill="auto"/>
                      <w:vertAlign w:val="baseline"/>
                      <w:lang w:val="en-US" w:eastAsia="zh-CN"/>
                    </w:rPr>
                  </w:pPr>
                  <w:r>
                    <w:rPr>
                      <w:rFonts w:hint="default" w:ascii="Times New Roman" w:hAnsi="Times New Roman" w:cs="Times New Roman"/>
                      <w:color w:val="auto"/>
                      <w:sz w:val="21"/>
                      <w:szCs w:val="21"/>
                      <w:highlight w:val="none"/>
                      <w:shd w:val="clear" w:color="auto" w:fill="auto"/>
                      <w:vertAlign w:val="baseline"/>
                      <w:lang w:val="en-US" w:eastAsia="zh-CN"/>
                    </w:rPr>
                    <w:t>符合</w:t>
                  </w:r>
                </w:p>
              </w:tc>
            </w:tr>
          </w:tbl>
          <w:p w14:paraId="794BA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eastAsia="宋体"/>
                <w:b/>
                <w:bCs/>
                <w:color w:val="auto"/>
                <w:sz w:val="24"/>
                <w:lang w:val="en-US" w:eastAsia="zh-CN"/>
              </w:rPr>
            </w:pPr>
            <w:r>
              <w:rPr>
                <w:rFonts w:hint="eastAsia" w:cs="Times New Roman"/>
                <w:b/>
                <w:bCs/>
                <w:color w:val="auto"/>
                <w:kern w:val="0"/>
                <w:sz w:val="24"/>
                <w:szCs w:val="24"/>
                <w:highlight w:val="none"/>
                <w:lang w:val="en-US" w:eastAsia="zh-CN"/>
              </w:rPr>
              <w:t>1.3.</w:t>
            </w:r>
            <w:r>
              <w:rPr>
                <w:rFonts w:hint="eastAsia"/>
                <w:b/>
                <w:bCs/>
                <w:color w:val="auto"/>
                <w:sz w:val="24"/>
                <w:lang w:val="en-US" w:eastAsia="zh-CN"/>
              </w:rPr>
              <w:t>5与《关于推进机制砂石行业高质量发展的若干意见》（工信部联原〔2019〕239号）的符合性分析</w:t>
            </w:r>
          </w:p>
          <w:p w14:paraId="12F33B9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kern w:val="2"/>
                <w:sz w:val="21"/>
                <w:szCs w:val="21"/>
                <w:lang w:val="en-US" w:eastAsia="zh-CN" w:bidi="ar-SA"/>
              </w:rPr>
              <w:t>表</w:t>
            </w:r>
            <w:r>
              <w:rPr>
                <w:rFonts w:hint="default" w:ascii="Times New Roman" w:hAnsi="Times New Roman" w:eastAsia="宋体" w:cs="Times New Roman"/>
                <w:b/>
                <w:bCs/>
                <w:color w:val="auto"/>
                <w:sz w:val="21"/>
                <w:szCs w:val="21"/>
              </w:rPr>
              <w:t>1</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highlight w:val="none"/>
                <w:shd w:val="clear" w:color="auto" w:fill="auto"/>
                <w:lang w:val="en-US" w:eastAsia="zh-CN"/>
              </w:rPr>
              <w:t>-</w:t>
            </w:r>
            <w:r>
              <w:rPr>
                <w:rFonts w:hint="eastAsia" w:cs="Times New Roman"/>
                <w:b/>
                <w:bCs/>
                <w:color w:val="auto"/>
                <w:sz w:val="21"/>
                <w:szCs w:val="21"/>
                <w:highlight w:val="none"/>
                <w:shd w:val="clear" w:color="auto" w:fill="auto"/>
                <w:lang w:val="en-US" w:eastAsia="zh-CN"/>
              </w:rPr>
              <w:t>2</w:t>
            </w:r>
            <w:r>
              <w:rPr>
                <w:rFonts w:hint="default" w:ascii="Times New Roman" w:hAnsi="Times New Roman" w:eastAsia="宋体" w:cs="Times New Roman"/>
                <w:b/>
                <w:bCs/>
                <w:color w:val="auto"/>
                <w:kern w:val="2"/>
                <w:sz w:val="21"/>
                <w:szCs w:val="21"/>
                <w:lang w:val="en-US" w:eastAsia="zh-CN" w:bidi="ar-SA"/>
              </w:rPr>
              <w:t xml:space="preserve">  与“工信部联原[2019]239号”符合性分析一览表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4518"/>
              <w:gridCol w:w="2471"/>
              <w:gridCol w:w="888"/>
            </w:tblGrid>
            <w:tr w14:paraId="4B7F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039" w:type="pct"/>
                  <w:gridSpan w:val="2"/>
                  <w:tcBorders>
                    <w:tl2br w:val="nil"/>
                    <w:tr2bl w:val="nil"/>
                  </w:tcBorders>
                  <w:noWrap w:val="0"/>
                  <w:vAlign w:val="center"/>
                </w:tcPr>
                <w:p w14:paraId="1746841E">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center"/>
                    <w:textAlignment w:val="auto"/>
                    <w:rPr>
                      <w:rFonts w:hint="default"/>
                      <w:b/>
                      <w:bCs/>
                      <w:color w:val="auto"/>
                    </w:rPr>
                  </w:pPr>
                  <w:r>
                    <w:rPr>
                      <w:rFonts w:hint="default"/>
                      <w:b/>
                      <w:bCs/>
                      <w:color w:val="auto"/>
                    </w:rPr>
                    <w:t>文件要求</w:t>
                  </w:r>
                </w:p>
              </w:tc>
              <w:tc>
                <w:tcPr>
                  <w:tcW w:w="1442" w:type="pct"/>
                  <w:tcBorders>
                    <w:tl2br w:val="nil"/>
                    <w:tr2bl w:val="nil"/>
                  </w:tcBorders>
                  <w:noWrap w:val="0"/>
                  <w:vAlign w:val="center"/>
                </w:tcPr>
                <w:p w14:paraId="630831FF">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center"/>
                    <w:textAlignment w:val="auto"/>
                    <w:rPr>
                      <w:rFonts w:hint="default"/>
                      <w:b/>
                      <w:bCs/>
                      <w:color w:val="auto"/>
                    </w:rPr>
                  </w:pPr>
                  <w:r>
                    <w:rPr>
                      <w:rFonts w:hint="eastAsia"/>
                      <w:b/>
                      <w:bCs/>
                      <w:color w:val="auto"/>
                      <w:lang w:val="en-US" w:eastAsia="zh-CN"/>
                    </w:rPr>
                    <w:t>本</w:t>
                  </w:r>
                  <w:r>
                    <w:rPr>
                      <w:rFonts w:hint="default"/>
                      <w:b/>
                      <w:bCs/>
                      <w:color w:val="auto"/>
                    </w:rPr>
                    <w:t>项目情况</w:t>
                  </w:r>
                </w:p>
              </w:tc>
              <w:tc>
                <w:tcPr>
                  <w:tcW w:w="518" w:type="pct"/>
                  <w:tcBorders>
                    <w:tl2br w:val="nil"/>
                    <w:tr2bl w:val="nil"/>
                  </w:tcBorders>
                  <w:noWrap w:val="0"/>
                  <w:vAlign w:val="center"/>
                </w:tcPr>
                <w:p w14:paraId="6BE68081">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eastAsia" w:eastAsia="宋体"/>
                      <w:b/>
                      <w:bCs/>
                      <w:color w:val="auto"/>
                      <w:lang w:val="en-US" w:eastAsia="zh-CN"/>
                    </w:rPr>
                  </w:pPr>
                  <w:r>
                    <w:rPr>
                      <w:rFonts w:hint="eastAsia"/>
                      <w:b/>
                      <w:bCs/>
                      <w:color w:val="auto"/>
                      <w:lang w:val="en-US" w:eastAsia="zh-CN"/>
                    </w:rPr>
                    <w:t>符合性</w:t>
                  </w:r>
                </w:p>
              </w:tc>
            </w:tr>
            <w:tr w14:paraId="7B75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39" w:type="pct"/>
                  <w:gridSpan w:val="2"/>
                  <w:tcBorders>
                    <w:tl2br w:val="nil"/>
                    <w:tr2bl w:val="nil"/>
                  </w:tcBorders>
                  <w:noWrap w:val="0"/>
                  <w:vAlign w:val="center"/>
                </w:tcPr>
                <w:p w14:paraId="3A4DB9E5">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r>
                    <w:rPr>
                      <w:rFonts w:hint="default"/>
                      <w:color w:val="auto"/>
                    </w:rPr>
                    <w:t>一、总体要求发展目标：到2025年，形成较为完善合理的机制砂石供应保障体系，产品质量符合GB/T14684《建设用砂》等有关要求，以Ⅰ类产品为代表的高品质机制砂石比例大幅提升，年产1000万吨及以上的</w:t>
                  </w:r>
                  <w:r>
                    <w:rPr>
                      <w:rFonts w:hint="eastAsia"/>
                      <w:color w:val="auto"/>
                    </w:rPr>
                    <w:t>超</w:t>
                  </w:r>
                  <w:r>
                    <w:rPr>
                      <w:rFonts w:hint="default"/>
                      <w:color w:val="auto"/>
                    </w:rPr>
                    <w:t>大型机制砂石企业产能占比达到40%，利用尾矿、废石、建筑垃圾等生产的机制砂石占比明显提高，</w:t>
                  </w:r>
                  <w:r>
                    <w:rPr>
                      <w:rFonts w:hint="eastAsia"/>
                      <w:color w:val="auto"/>
                      <w:lang w:eastAsia="zh-CN"/>
                    </w:rPr>
                    <w:t>“</w:t>
                  </w:r>
                  <w:r>
                    <w:rPr>
                      <w:rFonts w:hint="default"/>
                      <w:color w:val="auto"/>
                    </w:rPr>
                    <w:t>公转铁、公转水</w:t>
                  </w:r>
                  <w:r>
                    <w:rPr>
                      <w:rFonts w:hint="eastAsia"/>
                      <w:color w:val="auto"/>
                      <w:lang w:eastAsia="zh-CN"/>
                    </w:rPr>
                    <w:t>”</w:t>
                  </w:r>
                  <w:r>
                    <w:rPr>
                      <w:rFonts w:hint="default"/>
                      <w:color w:val="auto"/>
                    </w:rPr>
                    <w:t>运输取得明显进展</w:t>
                  </w:r>
                </w:p>
              </w:tc>
              <w:tc>
                <w:tcPr>
                  <w:tcW w:w="1442" w:type="pct"/>
                  <w:tcBorders>
                    <w:tl2br w:val="nil"/>
                    <w:tr2bl w:val="nil"/>
                  </w:tcBorders>
                  <w:noWrap w:val="0"/>
                  <w:vAlign w:val="center"/>
                </w:tcPr>
                <w:p w14:paraId="5A0096D2">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val="en-US" w:eastAsia="zh-CN"/>
                    </w:rPr>
                  </w:pPr>
                  <w:r>
                    <w:rPr>
                      <w:rFonts w:hint="default"/>
                      <w:color w:val="auto"/>
                      <w:kern w:val="0"/>
                      <w:szCs w:val="21"/>
                    </w:rPr>
                    <w:t>项目为</w:t>
                  </w:r>
                  <w:r>
                    <w:rPr>
                      <w:rFonts w:hint="eastAsia"/>
                      <w:color w:val="auto"/>
                      <w:kern w:val="0"/>
                      <w:szCs w:val="21"/>
                    </w:rPr>
                    <w:t>利用</w:t>
                  </w:r>
                  <w:r>
                    <w:rPr>
                      <w:rFonts w:hint="default"/>
                      <w:color w:val="auto"/>
                      <w:kern w:val="0"/>
                      <w:szCs w:val="21"/>
                    </w:rPr>
                    <w:t>煤</w:t>
                  </w:r>
                  <w:r>
                    <w:rPr>
                      <w:rFonts w:hint="eastAsia"/>
                      <w:color w:val="auto"/>
                      <w:kern w:val="0"/>
                      <w:szCs w:val="21"/>
                    </w:rPr>
                    <w:t>矸</w:t>
                  </w:r>
                  <w:r>
                    <w:rPr>
                      <w:rFonts w:hint="default"/>
                      <w:color w:val="auto"/>
                      <w:kern w:val="0"/>
                      <w:szCs w:val="21"/>
                    </w:rPr>
                    <w:t>石生产机制砂</w:t>
                  </w:r>
                  <w:r>
                    <w:rPr>
                      <w:rFonts w:hint="eastAsia"/>
                      <w:color w:val="auto"/>
                      <w:kern w:val="0"/>
                      <w:szCs w:val="21"/>
                      <w:lang w:val="en-US" w:eastAsia="zh-CN"/>
                    </w:rPr>
                    <w:t>石骨料</w:t>
                  </w:r>
                  <w:r>
                    <w:rPr>
                      <w:rFonts w:hint="default"/>
                      <w:color w:val="auto"/>
                      <w:kern w:val="0"/>
                      <w:szCs w:val="21"/>
                    </w:rPr>
                    <w:t>，产品质量要求符合《建设用砂》</w:t>
                  </w:r>
                  <w:r>
                    <w:rPr>
                      <w:rFonts w:hint="eastAsia"/>
                      <w:color w:val="auto"/>
                      <w:kern w:val="0"/>
                      <w:szCs w:val="21"/>
                      <w:lang w:eastAsia="zh-CN"/>
                    </w:rPr>
                    <w:t>（</w:t>
                  </w:r>
                  <w:r>
                    <w:rPr>
                      <w:rFonts w:hint="default"/>
                      <w:color w:val="auto"/>
                      <w:kern w:val="0"/>
                      <w:szCs w:val="21"/>
                    </w:rPr>
                    <w:t>GB/T14684</w:t>
                  </w:r>
                  <w:r>
                    <w:rPr>
                      <w:rFonts w:hint="eastAsia"/>
                      <w:color w:val="auto"/>
                      <w:kern w:val="0"/>
                      <w:szCs w:val="21"/>
                      <w:lang w:eastAsia="zh-CN"/>
                    </w:rPr>
                    <w:t>）</w:t>
                  </w:r>
                  <w:r>
                    <w:rPr>
                      <w:rFonts w:hint="eastAsia"/>
                      <w:color w:val="auto"/>
                      <w:kern w:val="0"/>
                      <w:szCs w:val="21"/>
                      <w:lang w:val="en-US" w:eastAsia="zh-CN"/>
                    </w:rPr>
                    <w:t>中</w:t>
                  </w:r>
                  <w:r>
                    <w:rPr>
                      <w:rFonts w:hint="default"/>
                      <w:color w:val="auto"/>
                      <w:kern w:val="0"/>
                      <w:szCs w:val="21"/>
                    </w:rPr>
                    <w:t>IⅡ类产品标准</w:t>
                  </w:r>
                </w:p>
              </w:tc>
              <w:tc>
                <w:tcPr>
                  <w:tcW w:w="518" w:type="pct"/>
                  <w:tcBorders>
                    <w:tl2br w:val="nil"/>
                    <w:tr2bl w:val="nil"/>
                  </w:tcBorders>
                  <w:noWrap w:val="0"/>
                  <w:vAlign w:val="center"/>
                </w:tcPr>
                <w:p w14:paraId="3D1B90C0">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default"/>
                      <w:color w:val="auto"/>
                    </w:rPr>
                  </w:pPr>
                  <w:r>
                    <w:rPr>
                      <w:rFonts w:hint="eastAsia"/>
                      <w:color w:val="auto"/>
                    </w:rPr>
                    <w:t>符合</w:t>
                  </w:r>
                </w:p>
              </w:tc>
            </w:tr>
            <w:tr w14:paraId="78D3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3" w:type="pct"/>
                  <w:vMerge w:val="restart"/>
                  <w:tcBorders>
                    <w:tl2br w:val="nil"/>
                    <w:tr2bl w:val="nil"/>
                  </w:tcBorders>
                  <w:noWrap w:val="0"/>
                  <w:vAlign w:val="center"/>
                </w:tcPr>
                <w:p w14:paraId="7757558C">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center"/>
                    <w:textAlignment w:val="auto"/>
                    <w:rPr>
                      <w:rFonts w:hint="default"/>
                      <w:color w:val="auto"/>
                    </w:rPr>
                  </w:pPr>
                  <w:r>
                    <w:rPr>
                      <w:rFonts w:hint="default"/>
                      <w:color w:val="auto"/>
                    </w:rPr>
                    <w:t>二、多措并举保障市场供应</w:t>
                  </w:r>
                </w:p>
              </w:tc>
              <w:tc>
                <w:tcPr>
                  <w:tcW w:w="2635" w:type="pct"/>
                  <w:tcBorders>
                    <w:tl2br w:val="nil"/>
                    <w:tr2bl w:val="nil"/>
                  </w:tcBorders>
                  <w:noWrap w:val="0"/>
                  <w:vAlign w:val="center"/>
                </w:tcPr>
                <w:p w14:paraId="33E482E1">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r>
                    <w:rPr>
                      <w:rFonts w:hint="eastAsia"/>
                      <w:color w:val="auto"/>
                    </w:rPr>
                    <w:t>统筹协调布局。根据“十四五”投资建设需要，统筹考虑矿产资源、市场需求、交通物流等因素，按照安全、环保、功能区等方面要求，科学规划、合理布局，建立国内合理的机制砂石供应体系，既保障供给，又防止“一哄而上”造成产能过剩。市、县区域合理布局服务当地的砂石加工基地或集散中心。</w:t>
                  </w:r>
                </w:p>
              </w:tc>
              <w:tc>
                <w:tcPr>
                  <w:tcW w:w="1442" w:type="pct"/>
                  <w:tcBorders>
                    <w:tl2br w:val="nil"/>
                    <w:tr2bl w:val="nil"/>
                  </w:tcBorders>
                  <w:noWrap w:val="0"/>
                  <w:vAlign w:val="center"/>
                </w:tcPr>
                <w:p w14:paraId="4A362DD9">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eastAsia="宋体"/>
                      <w:color w:val="auto"/>
                      <w:lang w:val="en-US" w:eastAsia="zh-CN"/>
                    </w:rPr>
                  </w:pPr>
                  <w:r>
                    <w:rPr>
                      <w:rFonts w:hint="eastAsia"/>
                      <w:color w:val="auto"/>
                      <w:lang w:val="en-US" w:eastAsia="zh-CN"/>
                    </w:rPr>
                    <w:t>本项目位于长治市屯留区路村乡常西村西，</w:t>
                  </w:r>
                  <w:r>
                    <w:rPr>
                      <w:rFonts w:hint="eastAsia"/>
                      <w:color w:val="auto"/>
                      <w:kern w:val="0"/>
                      <w:szCs w:val="21"/>
                    </w:rPr>
                    <w:t>本项目周边众多在建工程项目，可缓解区域内</w:t>
                  </w:r>
                  <w:r>
                    <w:rPr>
                      <w:rFonts w:hint="eastAsia"/>
                      <w:color w:val="auto"/>
                      <w:kern w:val="0"/>
                      <w:szCs w:val="21"/>
                      <w:lang w:val="en-US" w:eastAsia="zh-CN"/>
                    </w:rPr>
                    <w:t>机制砂石骨料</w:t>
                  </w:r>
                  <w:r>
                    <w:rPr>
                      <w:rFonts w:hint="eastAsia"/>
                      <w:color w:val="auto"/>
                      <w:kern w:val="0"/>
                      <w:szCs w:val="21"/>
                    </w:rPr>
                    <w:t>需求压力</w:t>
                  </w:r>
                </w:p>
              </w:tc>
              <w:tc>
                <w:tcPr>
                  <w:tcW w:w="518" w:type="pct"/>
                  <w:tcBorders>
                    <w:tl2br w:val="nil"/>
                    <w:tr2bl w:val="nil"/>
                  </w:tcBorders>
                  <w:noWrap w:val="0"/>
                  <w:vAlign w:val="center"/>
                </w:tcPr>
                <w:p w14:paraId="7438E72F">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eastAsia"/>
                      <w:color w:val="auto"/>
                    </w:rPr>
                  </w:pPr>
                  <w:r>
                    <w:rPr>
                      <w:rFonts w:hint="eastAsia"/>
                      <w:color w:val="auto"/>
                    </w:rPr>
                    <w:t>符合</w:t>
                  </w:r>
                </w:p>
              </w:tc>
            </w:tr>
            <w:tr w14:paraId="358A2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3" w:type="pct"/>
                  <w:vMerge w:val="continue"/>
                  <w:tcBorders>
                    <w:tl2br w:val="nil"/>
                    <w:tr2bl w:val="nil"/>
                  </w:tcBorders>
                  <w:noWrap w:val="0"/>
                  <w:vAlign w:val="center"/>
                </w:tcPr>
                <w:p w14:paraId="42440987">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p>
              </w:tc>
              <w:tc>
                <w:tcPr>
                  <w:tcW w:w="2635" w:type="pct"/>
                  <w:tcBorders>
                    <w:tl2br w:val="nil"/>
                    <w:tr2bl w:val="nil"/>
                  </w:tcBorders>
                  <w:noWrap w:val="0"/>
                  <w:vAlign w:val="center"/>
                </w:tcPr>
                <w:p w14:paraId="000EE3CA">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r>
                    <w:rPr>
                      <w:rFonts w:hint="eastAsia"/>
                      <w:color w:val="auto"/>
                    </w:rPr>
                    <w:t>拓展砂石来源。规范砂石资源管理，鼓励利用废石以及铁、钼、钒钛等矿山的尾矿生产机制砂石，节约天然资源，提高产业固体废物综合利用水平。支持就地取材，利用开山、道路、隧洞、场地平整等建设工程产生的砂石料生产机制砂石，减少长距离运输外来砂石，满足建设需要。发展“互联网+砂石骨料”，构建机制砂石电子商务平台，完善支撑服务体系，培育适合砂石产业的O2O、C2B等电商模式，实现砂石电子商务交易中的信息交流、市场交易、物流配送、支付结算、售后服务等功能</w:t>
                  </w:r>
                </w:p>
              </w:tc>
              <w:tc>
                <w:tcPr>
                  <w:tcW w:w="1442" w:type="pct"/>
                  <w:tcBorders>
                    <w:tl2br w:val="nil"/>
                    <w:tr2bl w:val="nil"/>
                  </w:tcBorders>
                  <w:noWrap w:val="0"/>
                  <w:vAlign w:val="center"/>
                </w:tcPr>
                <w:p w14:paraId="54F7C793">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eastAsia="zh-CN"/>
                    </w:rPr>
                  </w:pPr>
                  <w:r>
                    <w:rPr>
                      <w:rFonts w:hint="eastAsia"/>
                      <w:color w:val="auto"/>
                      <w:highlight w:val="none"/>
                    </w:rPr>
                    <w:t>本项目为</w:t>
                  </w:r>
                  <w:r>
                    <w:rPr>
                      <w:rFonts w:hint="eastAsia"/>
                      <w:color w:val="auto"/>
                      <w:kern w:val="0"/>
                      <w:szCs w:val="21"/>
                    </w:rPr>
                    <w:t>利用</w:t>
                  </w:r>
                  <w:r>
                    <w:rPr>
                      <w:rFonts w:hint="default"/>
                      <w:color w:val="auto"/>
                      <w:kern w:val="0"/>
                      <w:szCs w:val="21"/>
                    </w:rPr>
                    <w:t>煤</w:t>
                  </w:r>
                  <w:r>
                    <w:rPr>
                      <w:rFonts w:hint="eastAsia"/>
                      <w:color w:val="auto"/>
                      <w:kern w:val="0"/>
                      <w:szCs w:val="21"/>
                    </w:rPr>
                    <w:t>矸</w:t>
                  </w:r>
                  <w:r>
                    <w:rPr>
                      <w:rFonts w:hint="default"/>
                      <w:color w:val="auto"/>
                      <w:kern w:val="0"/>
                      <w:szCs w:val="21"/>
                    </w:rPr>
                    <w:t>石生产机制砂</w:t>
                  </w:r>
                  <w:r>
                    <w:rPr>
                      <w:rFonts w:hint="eastAsia"/>
                      <w:color w:val="auto"/>
                      <w:kern w:val="0"/>
                      <w:szCs w:val="21"/>
                      <w:lang w:val="en-US" w:eastAsia="zh-CN"/>
                    </w:rPr>
                    <w:t>石骨料</w:t>
                  </w:r>
                  <w:r>
                    <w:rPr>
                      <w:rFonts w:hint="eastAsia"/>
                      <w:color w:val="auto"/>
                      <w:highlight w:val="none"/>
                    </w:rPr>
                    <w:t>，</w:t>
                  </w:r>
                  <w:r>
                    <w:rPr>
                      <w:rFonts w:hint="eastAsia"/>
                      <w:color w:val="auto"/>
                      <w:highlight w:val="none"/>
                      <w:lang w:val="en-US" w:eastAsia="zh-CN"/>
                    </w:rPr>
                    <w:t>煤矸石来源为屯留区周边煤矿，</w:t>
                  </w:r>
                  <w:r>
                    <w:rPr>
                      <w:rFonts w:hint="eastAsia"/>
                      <w:color w:val="auto"/>
                      <w:kern w:val="0"/>
                      <w:szCs w:val="21"/>
                    </w:rPr>
                    <w:t>属于固体废物综合利用，</w:t>
                  </w:r>
                  <w:r>
                    <w:rPr>
                      <w:rFonts w:hint="eastAsia"/>
                      <w:color w:val="auto"/>
                      <w:kern w:val="0"/>
                      <w:szCs w:val="21"/>
                      <w:lang w:val="en-US" w:eastAsia="zh-CN"/>
                    </w:rPr>
                    <w:t>成品砂石骨料外售屯留区周边用于市政修路铺路，</w:t>
                  </w:r>
                  <w:r>
                    <w:rPr>
                      <w:rFonts w:hint="eastAsia"/>
                      <w:color w:val="auto"/>
                      <w:highlight w:val="none"/>
                    </w:rPr>
                    <w:t>最远运距约</w:t>
                  </w:r>
                  <w:r>
                    <w:rPr>
                      <w:rFonts w:hint="eastAsia"/>
                      <w:color w:val="auto"/>
                      <w:highlight w:val="none"/>
                      <w:lang w:val="en-US" w:eastAsia="zh-CN"/>
                    </w:rPr>
                    <w:t>10</w:t>
                  </w:r>
                  <w:r>
                    <w:rPr>
                      <w:rFonts w:hint="default"/>
                      <w:color w:val="auto"/>
                      <w:highlight w:val="none"/>
                    </w:rPr>
                    <w:t>km，</w:t>
                  </w:r>
                  <w:r>
                    <w:rPr>
                      <w:rFonts w:hint="eastAsia"/>
                      <w:color w:val="auto"/>
                      <w:highlight w:val="none"/>
                      <w:lang w:val="en-US" w:eastAsia="zh-CN"/>
                    </w:rPr>
                    <w:t>沿路敏感目标是周围村庄（姬村、路村、王村、北渔泽村、北浒庄村等）</w:t>
                  </w:r>
                  <w:r>
                    <w:rPr>
                      <w:rFonts w:hint="eastAsia"/>
                      <w:color w:val="auto"/>
                      <w:highlight w:val="none"/>
                    </w:rPr>
                    <w:t>，</w:t>
                  </w:r>
                  <w:r>
                    <w:rPr>
                      <w:rFonts w:hint="eastAsia"/>
                      <w:color w:val="auto"/>
                      <w:highlight w:val="none"/>
                      <w:lang w:val="en-US" w:eastAsia="zh-CN"/>
                    </w:rPr>
                    <w:t>运输车辆采用厢式车运输，篷布苫盖，路过村庄禁止鸣笛，限制车速，夜间禁止运输</w:t>
                  </w:r>
                </w:p>
              </w:tc>
              <w:tc>
                <w:tcPr>
                  <w:tcW w:w="518" w:type="pct"/>
                  <w:tcBorders>
                    <w:tl2br w:val="nil"/>
                    <w:tr2bl w:val="nil"/>
                  </w:tcBorders>
                  <w:noWrap w:val="0"/>
                  <w:vAlign w:val="center"/>
                </w:tcPr>
                <w:p w14:paraId="1E33EED2">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default"/>
                      <w:color w:val="auto"/>
                    </w:rPr>
                  </w:pPr>
                  <w:r>
                    <w:rPr>
                      <w:rFonts w:hint="eastAsia"/>
                      <w:color w:val="auto"/>
                    </w:rPr>
                    <w:t>符合</w:t>
                  </w:r>
                </w:p>
              </w:tc>
            </w:tr>
            <w:tr w14:paraId="65BD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3" w:type="pct"/>
                  <w:vMerge w:val="continue"/>
                  <w:tcBorders>
                    <w:tl2br w:val="nil"/>
                    <w:tr2bl w:val="nil"/>
                  </w:tcBorders>
                  <w:noWrap w:val="0"/>
                  <w:vAlign w:val="center"/>
                </w:tcPr>
                <w:p w14:paraId="7DC709B5">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p>
              </w:tc>
              <w:tc>
                <w:tcPr>
                  <w:tcW w:w="2635" w:type="pct"/>
                  <w:tcBorders>
                    <w:tl2br w:val="nil"/>
                    <w:tr2bl w:val="nil"/>
                  </w:tcBorders>
                  <w:noWrap w:val="0"/>
                  <w:vAlign w:val="center"/>
                </w:tcPr>
                <w:p w14:paraId="1D49F0FE">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r>
                    <w:rPr>
                      <w:rFonts w:hint="eastAsia"/>
                      <w:color w:val="auto"/>
                    </w:rPr>
                    <w:t>加强运输保障。推进机制砂石中长距离运输“公转铁、公转水”，减少公路运输量，增加铁路运输量，完善内河水运网络和港口集疏运体系建设。在充分利用铁路专用线、城市铁路货场和岸线码头运输能力的同时，推进铁路专用线建设，对年运量150万吨以上的机制砂石企业，应按规定建设铁路专用线。有序发展多式联运，加强不同运输方式间的有效衔接，大力发展集装箱铁公联运，切实提高机制砂石运输能力。加快建设封闭式运输皮带廊道，逐步减少散货露天装卸量。利用信息化手段对砂石运输实现全程监管，构建绿色物流和绿色供应链。加强运输车辆检测，防止超限超载车辆出场（站）上路</w:t>
                  </w:r>
                </w:p>
              </w:tc>
              <w:tc>
                <w:tcPr>
                  <w:tcW w:w="1442" w:type="pct"/>
                  <w:tcBorders>
                    <w:tl2br w:val="nil"/>
                    <w:tr2bl w:val="nil"/>
                  </w:tcBorders>
                  <w:noWrap w:val="0"/>
                  <w:vAlign w:val="center"/>
                </w:tcPr>
                <w:p w14:paraId="74D5781E">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eastAsia="zh-CN"/>
                    </w:rPr>
                  </w:pPr>
                  <w:r>
                    <w:rPr>
                      <w:rFonts w:hint="eastAsia"/>
                      <w:color w:val="auto"/>
                      <w:highlight w:val="none"/>
                    </w:rPr>
                    <w:t>本项目</w:t>
                  </w:r>
                  <w:r>
                    <w:rPr>
                      <w:rFonts w:hint="eastAsia"/>
                      <w:color w:val="auto"/>
                      <w:kern w:val="0"/>
                      <w:szCs w:val="21"/>
                    </w:rPr>
                    <w:t>利用</w:t>
                  </w:r>
                  <w:r>
                    <w:rPr>
                      <w:rFonts w:hint="default"/>
                      <w:color w:val="auto"/>
                      <w:kern w:val="0"/>
                      <w:szCs w:val="21"/>
                    </w:rPr>
                    <w:t>煤</w:t>
                  </w:r>
                  <w:r>
                    <w:rPr>
                      <w:rFonts w:hint="eastAsia"/>
                      <w:color w:val="auto"/>
                      <w:kern w:val="0"/>
                      <w:szCs w:val="21"/>
                    </w:rPr>
                    <w:t>矸</w:t>
                  </w:r>
                  <w:r>
                    <w:rPr>
                      <w:rFonts w:hint="default"/>
                      <w:color w:val="auto"/>
                      <w:kern w:val="0"/>
                      <w:szCs w:val="21"/>
                    </w:rPr>
                    <w:t>石生产机制砂</w:t>
                  </w:r>
                  <w:r>
                    <w:rPr>
                      <w:rFonts w:hint="eastAsia"/>
                      <w:color w:val="auto"/>
                      <w:kern w:val="0"/>
                      <w:szCs w:val="21"/>
                      <w:lang w:val="en-US" w:eastAsia="zh-CN"/>
                    </w:rPr>
                    <w:t>石骨料</w:t>
                  </w:r>
                  <w:r>
                    <w:rPr>
                      <w:rFonts w:hint="eastAsia"/>
                      <w:color w:val="auto"/>
                      <w:highlight w:val="none"/>
                      <w:lang w:eastAsia="zh-CN"/>
                    </w:rPr>
                    <w:t>，</w:t>
                  </w:r>
                  <w:r>
                    <w:rPr>
                      <w:rFonts w:hint="eastAsia"/>
                      <w:color w:val="auto"/>
                      <w:highlight w:val="none"/>
                      <w:lang w:val="en-US" w:eastAsia="zh-CN"/>
                    </w:rPr>
                    <w:t>煤矸石来源为屯留区周边煤矿，设计规模为年处理煤矸石30万吨</w:t>
                  </w:r>
                  <w:r>
                    <w:rPr>
                      <w:rFonts w:hint="eastAsia"/>
                      <w:color w:val="auto"/>
                      <w:highlight w:val="none"/>
                    </w:rPr>
                    <w:t>，</w:t>
                  </w:r>
                  <w:r>
                    <w:rPr>
                      <w:rFonts w:hint="eastAsia"/>
                      <w:color w:val="auto"/>
                      <w:highlight w:val="none"/>
                      <w:lang w:val="en-US" w:eastAsia="zh-CN"/>
                    </w:rPr>
                    <w:t>运输距离最长约为10km，公路运输较为便捷，沿路为少量村庄和工业企业，成品机制砂外售</w:t>
                  </w:r>
                  <w:r>
                    <w:rPr>
                      <w:rFonts w:hint="eastAsia"/>
                      <w:color w:val="auto"/>
                      <w:kern w:val="0"/>
                      <w:szCs w:val="21"/>
                      <w:lang w:val="en-US" w:eastAsia="zh-CN"/>
                    </w:rPr>
                    <w:t>屯留区周边用于市政修路铺路</w:t>
                  </w:r>
                  <w:r>
                    <w:rPr>
                      <w:rFonts w:hint="eastAsia"/>
                      <w:color w:val="auto"/>
                      <w:highlight w:val="none"/>
                      <w:lang w:val="en-US" w:eastAsia="zh-CN"/>
                    </w:rPr>
                    <w:t>。</w:t>
                  </w:r>
                  <w:r>
                    <w:rPr>
                      <w:rFonts w:hint="eastAsia"/>
                      <w:color w:val="auto"/>
                      <w:highlight w:val="none"/>
                    </w:rPr>
                    <w:t>评价要求厂内所有物料及生产工序均在全封闭厂房内进行，物料转运均设置封闭式的运输皮带，杜绝散货露天装卸；项目建成后加强对运输车辆的管理，防止超限超载车辆出场上路</w:t>
                  </w:r>
                  <w:r>
                    <w:rPr>
                      <w:rFonts w:hint="eastAsia"/>
                      <w:color w:val="auto"/>
                      <w:highlight w:val="none"/>
                      <w:lang w:eastAsia="zh-CN"/>
                    </w:rPr>
                    <w:t>。</w:t>
                  </w:r>
                  <w:r>
                    <w:rPr>
                      <w:rFonts w:hint="eastAsia" w:ascii="Times New Roman" w:hAnsi="Times New Roman" w:cs="Times New Roman"/>
                      <w:color w:val="auto"/>
                      <w:sz w:val="21"/>
                      <w:szCs w:val="21"/>
                      <w:highlight w:val="none"/>
                      <w:shd w:val="clear" w:color="auto" w:fill="auto"/>
                      <w:vertAlign w:val="baseline"/>
                      <w:lang w:val="en-US" w:eastAsia="zh-CN"/>
                    </w:rPr>
                    <w:t>运输车辆使用国六标准以上的运输车辆或新能源清洁燃料车辆</w:t>
                  </w:r>
                </w:p>
              </w:tc>
              <w:tc>
                <w:tcPr>
                  <w:tcW w:w="518" w:type="pct"/>
                  <w:tcBorders>
                    <w:tl2br w:val="nil"/>
                    <w:tr2bl w:val="nil"/>
                  </w:tcBorders>
                  <w:noWrap w:val="0"/>
                  <w:vAlign w:val="center"/>
                </w:tcPr>
                <w:p w14:paraId="30C9F335">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eastAsia"/>
                      <w:color w:val="auto"/>
                    </w:rPr>
                  </w:pPr>
                  <w:r>
                    <w:rPr>
                      <w:rFonts w:hint="eastAsia"/>
                      <w:color w:val="auto"/>
                    </w:rPr>
                    <w:t>符合</w:t>
                  </w:r>
                </w:p>
              </w:tc>
            </w:tr>
            <w:tr w14:paraId="2C93B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39" w:type="pct"/>
                  <w:gridSpan w:val="2"/>
                  <w:tcBorders>
                    <w:tl2br w:val="nil"/>
                    <w:tr2bl w:val="nil"/>
                  </w:tcBorders>
                  <w:noWrap w:val="0"/>
                  <w:vAlign w:val="center"/>
                </w:tcPr>
                <w:p w14:paraId="255A6734">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eastAsia="zh-CN"/>
                    </w:rPr>
                  </w:pPr>
                  <w:r>
                    <w:rPr>
                      <w:rFonts w:hint="default"/>
                      <w:color w:val="auto"/>
                    </w:rPr>
                    <w:t>三、加快技术创新提高质量水平</w:t>
                  </w:r>
                  <w:r>
                    <w:rPr>
                      <w:rFonts w:hint="eastAsia"/>
                      <w:color w:val="auto"/>
                    </w:rPr>
                    <w:t>。</w:t>
                  </w:r>
                  <w:r>
                    <w:rPr>
                      <w:rFonts w:hint="default"/>
                      <w:color w:val="auto"/>
                    </w:rPr>
                    <w:t>严格质量管控：强化企业主体责任，完善质量管理体系，加强过程质量控制，严格执行相关标准，鼓励企业建立检测中心，配备合格的质量检验设备和专业质检人员。对成品料分类或分仓储存。加强对原料的品质监测和控制能力，严格控制有毒杂质含量</w:t>
                  </w:r>
                </w:p>
              </w:tc>
              <w:tc>
                <w:tcPr>
                  <w:tcW w:w="1442" w:type="pct"/>
                  <w:tcBorders>
                    <w:tl2br w:val="nil"/>
                    <w:tr2bl w:val="nil"/>
                  </w:tcBorders>
                  <w:noWrap w:val="0"/>
                  <w:vAlign w:val="center"/>
                </w:tcPr>
                <w:p w14:paraId="5240BDB2">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eastAsia="zh-CN"/>
                    </w:rPr>
                  </w:pPr>
                  <w:r>
                    <w:rPr>
                      <w:rFonts w:hint="default"/>
                      <w:color w:val="auto"/>
                    </w:rPr>
                    <w:t>企业定期委托质量检测部门对产品质量进行检测，确保出厂产品质量符合相应质量标准。对原料、成品分区储存</w:t>
                  </w:r>
                </w:p>
              </w:tc>
              <w:tc>
                <w:tcPr>
                  <w:tcW w:w="518" w:type="pct"/>
                  <w:tcBorders>
                    <w:tl2br w:val="nil"/>
                    <w:tr2bl w:val="nil"/>
                  </w:tcBorders>
                  <w:noWrap w:val="0"/>
                  <w:vAlign w:val="center"/>
                </w:tcPr>
                <w:p w14:paraId="6E7EF842">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default"/>
                      <w:color w:val="auto"/>
                    </w:rPr>
                  </w:pPr>
                  <w:r>
                    <w:rPr>
                      <w:rFonts w:hint="eastAsia"/>
                      <w:color w:val="auto"/>
                    </w:rPr>
                    <w:t>符合</w:t>
                  </w:r>
                </w:p>
              </w:tc>
            </w:tr>
            <w:tr w14:paraId="2A36C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39" w:type="pct"/>
                  <w:gridSpan w:val="2"/>
                  <w:tcBorders>
                    <w:tl2br w:val="nil"/>
                    <w:tr2bl w:val="nil"/>
                  </w:tcBorders>
                  <w:noWrap w:val="0"/>
                  <w:vAlign w:val="center"/>
                </w:tcPr>
                <w:p w14:paraId="0FBD80D8">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default"/>
                      <w:color w:val="auto"/>
                    </w:rPr>
                  </w:pPr>
                  <w:r>
                    <w:rPr>
                      <w:rFonts w:hint="eastAsia"/>
                      <w:color w:val="auto"/>
                    </w:rPr>
                    <w:t>四</w:t>
                  </w:r>
                  <w:r>
                    <w:rPr>
                      <w:rFonts w:hint="default"/>
                      <w:color w:val="auto"/>
                    </w:rPr>
                    <w:t>、推进绿色发展提升本质安全</w:t>
                  </w:r>
                  <w:r>
                    <w:rPr>
                      <w:rFonts w:hint="eastAsia"/>
                      <w:color w:val="auto"/>
                    </w:rPr>
                    <w:t>。</w:t>
                  </w:r>
                  <w:r>
                    <w:rPr>
                      <w:rFonts w:hint="default"/>
                      <w:color w:val="auto"/>
                    </w:rPr>
                    <w:t>发展绿色制造</w:t>
                  </w:r>
                  <w:r>
                    <w:rPr>
                      <w:rFonts w:hint="eastAsia"/>
                      <w:color w:val="auto"/>
                    </w:rPr>
                    <w:t>：</w:t>
                  </w:r>
                  <w:r>
                    <w:rPr>
                      <w:rFonts w:hint="default"/>
                      <w:color w:val="auto"/>
                    </w:rPr>
                    <w:t>机制砂石企业要坚持绿色低碳循环发展，按照相关规范要求建设绿色矿山。生产线配套建设抑尘收尘、水处理和降噪等污染防治以及水土保持设施，对设备、产品采取棚化密封或其他有效覆盖措施，推进清洁生产，严控无组织排放，满足达标排放等环保要求。对工艺废水、细粉和沉淀泥浆等加强回收再利用，鼓励利用生产过程中的伴生石粉生产绿色建材，实现近零排放。提高设备整体能效、节水水平，降低单位产品的综合能耗、水</w:t>
                  </w:r>
                  <w:r>
                    <w:rPr>
                      <w:rFonts w:hint="eastAsia"/>
                      <w:color w:val="auto"/>
                    </w:rPr>
                    <w:t>耗，鼓励有条件的企业实施输送带势能发电、开展合同节水管理</w:t>
                  </w:r>
                </w:p>
              </w:tc>
              <w:tc>
                <w:tcPr>
                  <w:tcW w:w="1442" w:type="pct"/>
                  <w:tcBorders>
                    <w:tl2br w:val="nil"/>
                    <w:tr2bl w:val="nil"/>
                  </w:tcBorders>
                  <w:noWrap w:val="0"/>
                  <w:vAlign w:val="center"/>
                </w:tcPr>
                <w:p w14:paraId="00A95D5F">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jc w:val="both"/>
                    <w:textAlignment w:val="auto"/>
                    <w:rPr>
                      <w:rFonts w:hint="eastAsia" w:eastAsia="宋体"/>
                      <w:color w:val="auto"/>
                      <w:lang w:eastAsia="zh-CN"/>
                    </w:rPr>
                  </w:pPr>
                  <w:r>
                    <w:rPr>
                      <w:rFonts w:hint="default"/>
                      <w:color w:val="auto"/>
                      <w:kern w:val="0"/>
                      <w:szCs w:val="21"/>
                    </w:rPr>
                    <w:t>本项目各产尘点配套</w:t>
                  </w:r>
                  <w:r>
                    <w:rPr>
                      <w:rFonts w:hint="eastAsia"/>
                      <w:color w:val="auto"/>
                      <w:kern w:val="0"/>
                      <w:szCs w:val="21"/>
                    </w:rPr>
                    <w:t>除尘</w:t>
                  </w:r>
                  <w:r>
                    <w:rPr>
                      <w:rFonts w:hint="default"/>
                      <w:color w:val="auto"/>
                      <w:kern w:val="0"/>
                      <w:szCs w:val="21"/>
                    </w:rPr>
                    <w:t>措施</w:t>
                  </w:r>
                  <w:r>
                    <w:rPr>
                      <w:rFonts w:hint="default"/>
                      <w:color w:val="auto"/>
                      <w:highlight w:val="none"/>
                    </w:rPr>
                    <w:t>，</w:t>
                  </w:r>
                  <w:r>
                    <w:rPr>
                      <w:rFonts w:hint="eastAsia"/>
                      <w:color w:val="auto"/>
                    </w:rPr>
                    <w:t>各储库均为全封闭且配套喷雾抑尘措施，</w:t>
                  </w:r>
                  <w:r>
                    <w:rPr>
                      <w:rFonts w:hint="default"/>
                      <w:color w:val="auto"/>
                    </w:rPr>
                    <w:t>生产废水</w:t>
                  </w:r>
                  <w:r>
                    <w:rPr>
                      <w:rFonts w:hint="eastAsia"/>
                      <w:color w:val="auto"/>
                      <w:lang w:val="en-US" w:eastAsia="zh-CN"/>
                    </w:rPr>
                    <w:t>循环使用</w:t>
                  </w:r>
                  <w:r>
                    <w:rPr>
                      <w:rFonts w:hint="default"/>
                      <w:color w:val="auto"/>
                    </w:rPr>
                    <w:t>，各生产设备均置于封闭</w:t>
                  </w:r>
                  <w:r>
                    <w:rPr>
                      <w:rFonts w:hint="eastAsia"/>
                      <w:color w:val="auto"/>
                      <w:lang w:val="en-US" w:eastAsia="zh-CN"/>
                    </w:rPr>
                    <w:t>式</w:t>
                  </w:r>
                  <w:r>
                    <w:rPr>
                      <w:rFonts w:hint="default"/>
                      <w:color w:val="auto"/>
                    </w:rPr>
                    <w:t>车间</w:t>
                  </w:r>
                  <w:r>
                    <w:rPr>
                      <w:rFonts w:hint="eastAsia"/>
                      <w:color w:val="auto"/>
                      <w:lang w:val="en-US" w:eastAsia="zh-CN"/>
                    </w:rPr>
                    <w:t>内</w:t>
                  </w:r>
                  <w:r>
                    <w:rPr>
                      <w:rFonts w:hint="default"/>
                      <w:color w:val="auto"/>
                    </w:rPr>
                    <w:t>，生产过程中收集的粉尘、废水等均</w:t>
                  </w:r>
                  <w:r>
                    <w:rPr>
                      <w:rFonts w:hint="eastAsia"/>
                      <w:color w:val="auto"/>
                    </w:rPr>
                    <w:t>合理处置</w:t>
                  </w:r>
                  <w:r>
                    <w:rPr>
                      <w:rFonts w:hint="default"/>
                      <w:color w:val="auto"/>
                    </w:rPr>
                    <w:t>。项目选用行业先进节能、节水设备</w:t>
                  </w:r>
                </w:p>
              </w:tc>
              <w:tc>
                <w:tcPr>
                  <w:tcW w:w="518" w:type="pct"/>
                  <w:tcBorders>
                    <w:tl2br w:val="nil"/>
                    <w:tr2bl w:val="nil"/>
                  </w:tcBorders>
                  <w:noWrap w:val="0"/>
                  <w:vAlign w:val="center"/>
                </w:tcPr>
                <w:p w14:paraId="7B9AC90F">
                  <w:pPr>
                    <w:pStyle w:val="100"/>
                    <w:keepNext w:val="0"/>
                    <w:keepLines w:val="0"/>
                    <w:pageBreakBefore w:val="0"/>
                    <w:widowControl w:val="0"/>
                    <w:suppressLineNumbers w:val="0"/>
                    <w:kinsoku/>
                    <w:wordWrap/>
                    <w:overflowPunct/>
                    <w:topLinePunct w:val="0"/>
                    <w:autoSpaceDE/>
                    <w:autoSpaceDN/>
                    <w:bidi w:val="0"/>
                    <w:adjustRightInd/>
                    <w:snapToGrid/>
                    <w:spacing w:beforeAutospacing="0" w:afterAutospacing="0"/>
                    <w:ind w:left="0" w:right="0"/>
                    <w:textAlignment w:val="auto"/>
                    <w:rPr>
                      <w:rFonts w:hint="default"/>
                      <w:color w:val="auto"/>
                    </w:rPr>
                  </w:pPr>
                  <w:r>
                    <w:rPr>
                      <w:rFonts w:hint="eastAsia"/>
                      <w:color w:val="auto"/>
                    </w:rPr>
                    <w:t>符合</w:t>
                  </w:r>
                </w:p>
              </w:tc>
            </w:tr>
          </w:tbl>
          <w:p w14:paraId="20D81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1.3.6与《关于促进砂石行业健康有序发展的指导意见》符合性分析</w:t>
            </w:r>
          </w:p>
          <w:p w14:paraId="0F383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22" w:firstLineChars="200"/>
              <w:jc w:val="center"/>
              <w:textAlignment w:val="auto"/>
              <w:rPr>
                <w:rFonts w:hint="eastAsia" w:cs="Times New Roman"/>
                <w:b/>
                <w:bCs/>
                <w:color w:val="auto"/>
                <w:kern w:val="0"/>
                <w:sz w:val="21"/>
                <w:szCs w:val="21"/>
                <w:highlight w:val="none"/>
                <w:lang w:val="en-US" w:eastAsia="zh-CN"/>
              </w:rPr>
            </w:pPr>
            <w:r>
              <w:rPr>
                <w:rFonts w:hint="eastAsia" w:cs="Times New Roman"/>
                <w:b/>
                <w:bCs/>
                <w:color w:val="auto"/>
                <w:kern w:val="0"/>
                <w:sz w:val="21"/>
                <w:szCs w:val="21"/>
                <w:highlight w:val="none"/>
                <w:lang w:val="en-US" w:eastAsia="zh-CN"/>
              </w:rPr>
              <w:t>表1.3-3  与相关文件符合性分析一览表</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4332"/>
              <w:gridCol w:w="2712"/>
              <w:gridCol w:w="876"/>
            </w:tblGrid>
            <w:tr w14:paraId="0B58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43998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序号</w:t>
                  </w:r>
                </w:p>
              </w:tc>
              <w:tc>
                <w:tcPr>
                  <w:tcW w:w="4332" w:type="dxa"/>
                  <w:tcBorders>
                    <w:tl2br w:val="nil"/>
                    <w:tr2bl w:val="nil"/>
                  </w:tcBorders>
                  <w:vAlign w:val="center"/>
                </w:tcPr>
                <w:p w14:paraId="02DD1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sz w:val="21"/>
                      <w:szCs w:val="21"/>
                    </w:rPr>
                    <w:t>相关政策要求</w:t>
                  </w:r>
                </w:p>
              </w:tc>
              <w:tc>
                <w:tcPr>
                  <w:tcW w:w="2712" w:type="dxa"/>
                  <w:tcBorders>
                    <w:tl2br w:val="nil"/>
                    <w:tr2bl w:val="nil"/>
                  </w:tcBorders>
                  <w:vAlign w:val="center"/>
                </w:tcPr>
                <w:p w14:paraId="743D2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sz w:val="21"/>
                      <w:szCs w:val="21"/>
                    </w:rPr>
                    <w:t>项目情况</w:t>
                  </w:r>
                </w:p>
              </w:tc>
              <w:tc>
                <w:tcPr>
                  <w:tcW w:w="876" w:type="dxa"/>
                  <w:tcBorders>
                    <w:tl2br w:val="nil"/>
                    <w:tr2bl w:val="nil"/>
                  </w:tcBorders>
                  <w:vAlign w:val="center"/>
                </w:tcPr>
                <w:p w14:paraId="53E0D2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cs="Times New Roman"/>
                      <w:b/>
                      <w:bCs/>
                      <w:color w:val="auto"/>
                      <w:kern w:val="0"/>
                      <w:sz w:val="21"/>
                      <w:szCs w:val="21"/>
                      <w:highlight w:val="none"/>
                      <w:vertAlign w:val="baseline"/>
                      <w:lang w:val="en-US" w:eastAsia="zh-CN"/>
                    </w:rPr>
                  </w:pPr>
                  <w:r>
                    <w:rPr>
                      <w:rFonts w:hint="default" w:ascii="Times New Roman" w:hAnsi="Times New Roman" w:eastAsia="宋体" w:cs="Times New Roman"/>
                      <w:b/>
                      <w:bCs/>
                      <w:color w:val="auto"/>
                      <w:sz w:val="21"/>
                      <w:szCs w:val="21"/>
                    </w:rPr>
                    <w:t>符合性</w:t>
                  </w:r>
                </w:p>
              </w:tc>
            </w:tr>
            <w:tr w14:paraId="16B4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562C7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eastAsia="宋体"/>
                      <w:b w:val="0"/>
                      <w:bCs w:val="0"/>
                      <w:color w:val="auto"/>
                      <w:sz w:val="21"/>
                      <w:szCs w:val="21"/>
                      <w:lang w:val="en-US" w:eastAsia="zh-CN"/>
                    </w:rPr>
                  </w:pPr>
                  <w:r>
                    <w:rPr>
                      <w:rFonts w:hint="eastAsia"/>
                      <w:b w:val="0"/>
                      <w:bCs w:val="0"/>
                      <w:color w:val="auto"/>
                      <w:sz w:val="21"/>
                      <w:szCs w:val="21"/>
                      <w:lang w:val="en-US" w:eastAsia="zh-CN"/>
                    </w:rPr>
                    <w:t>1</w:t>
                  </w:r>
                </w:p>
              </w:tc>
              <w:tc>
                <w:tcPr>
                  <w:tcW w:w="4332" w:type="dxa"/>
                  <w:tcBorders>
                    <w:tl2br w:val="nil"/>
                    <w:tr2bl w:val="nil"/>
                  </w:tcBorders>
                  <w:vAlign w:val="center"/>
                </w:tcPr>
                <w:p w14:paraId="6A9BB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以习近平新时代中国特色社会主义思想为指导，按照党中央、国务院决策部署，牢固树立和坚决践行新发展理念，充分发挥市场在资源配置中的决定性作用，更好发挥政府作用，切实落实地方政府主体责任，坚持先立后破，加快“开前门”和坚决“堵后门”并重，综合施策、多措并举，合理控制河湖砂开采，逐步提升机制砂石等替代砂源利用比例，优化产销布局，加快构建区域供需平衡、价格合理、绿色环保、优质高效的砂石产业体系，为基础设施投资建设和经济平稳运行提供有力支撑</w:t>
                  </w:r>
                </w:p>
              </w:tc>
              <w:tc>
                <w:tcPr>
                  <w:tcW w:w="2712" w:type="dxa"/>
                  <w:tcBorders>
                    <w:tl2br w:val="nil"/>
                    <w:tr2bl w:val="nil"/>
                  </w:tcBorders>
                  <w:vAlign w:val="center"/>
                </w:tcPr>
                <w:p w14:paraId="22415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本项目建成后可</w:t>
                  </w:r>
                  <w:r>
                    <w:rPr>
                      <w:rFonts w:hint="eastAsia"/>
                      <w:b w:val="0"/>
                      <w:bCs w:val="0"/>
                      <w:color w:val="auto"/>
                      <w:sz w:val="21"/>
                      <w:szCs w:val="21"/>
                      <w:lang w:val="en-US" w:eastAsia="zh-CN"/>
                    </w:rPr>
                    <w:t>有效利用屯留区周边煤矿产生的煤矸石制造机制砂石，促进了固体废物的综合利用</w:t>
                  </w:r>
                </w:p>
              </w:tc>
              <w:tc>
                <w:tcPr>
                  <w:tcW w:w="876" w:type="dxa"/>
                  <w:tcBorders>
                    <w:tl2br w:val="nil"/>
                    <w:tr2bl w:val="nil"/>
                  </w:tcBorders>
                  <w:vAlign w:val="center"/>
                </w:tcPr>
                <w:p w14:paraId="17396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7F68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092479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2</w:t>
                  </w:r>
                </w:p>
              </w:tc>
              <w:tc>
                <w:tcPr>
                  <w:tcW w:w="4332" w:type="dxa"/>
                  <w:tcBorders>
                    <w:tl2br w:val="nil"/>
                    <w:tr2bl w:val="nil"/>
                  </w:tcBorders>
                  <w:vAlign w:val="center"/>
                </w:tcPr>
                <w:p w14:paraId="6B9C5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大力发展和推广应用机制砂石。加快落实《关于推进机制砂石行业高质量发展的若干意见》（工信部联原〔2019〕239号），统筹考虑各类砂石资源整体发展趋势，逐步过渡到依靠机制砂石满足建设需要为主，在规划布局、工艺装备、产品质量、污染防治、综合利用、安全生产等方面加强联动</w:t>
                  </w:r>
                  <w:r>
                    <w:rPr>
                      <w:rFonts w:hint="eastAsia"/>
                      <w:b w:val="0"/>
                      <w:bCs w:val="0"/>
                      <w:color w:val="auto"/>
                      <w:sz w:val="21"/>
                      <w:szCs w:val="21"/>
                      <w:lang w:eastAsia="zh-CN"/>
                    </w:rPr>
                    <w:t>，</w:t>
                  </w:r>
                  <w:r>
                    <w:rPr>
                      <w:rFonts w:hint="eastAsia"/>
                      <w:b w:val="0"/>
                      <w:bCs w:val="0"/>
                      <w:color w:val="auto"/>
                      <w:sz w:val="21"/>
                      <w:szCs w:val="21"/>
                    </w:rPr>
                    <w:t>加快推动机制砂石产业转型升级</w:t>
                  </w:r>
                </w:p>
              </w:tc>
              <w:tc>
                <w:tcPr>
                  <w:tcW w:w="2712" w:type="dxa"/>
                  <w:tcBorders>
                    <w:tl2br w:val="nil"/>
                    <w:tr2bl w:val="nil"/>
                  </w:tcBorders>
                  <w:vAlign w:val="center"/>
                </w:tcPr>
                <w:p w14:paraId="1BB88A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本项目项目的建设符合“工信部联原〔2019〕239号”中相关要求</w:t>
                  </w:r>
                </w:p>
              </w:tc>
              <w:tc>
                <w:tcPr>
                  <w:tcW w:w="876" w:type="dxa"/>
                  <w:tcBorders>
                    <w:tl2br w:val="nil"/>
                    <w:tr2bl w:val="nil"/>
                  </w:tcBorders>
                  <w:vAlign w:val="center"/>
                </w:tcPr>
                <w:p w14:paraId="56A606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0AA0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67CAE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3</w:t>
                  </w:r>
                </w:p>
              </w:tc>
              <w:tc>
                <w:tcPr>
                  <w:tcW w:w="4332" w:type="dxa"/>
                  <w:tcBorders>
                    <w:tl2br w:val="nil"/>
                    <w:tr2bl w:val="nil"/>
                  </w:tcBorders>
                  <w:vAlign w:val="center"/>
                </w:tcPr>
                <w:p w14:paraId="4095E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b w:val="0"/>
                      <w:bCs w:val="0"/>
                      <w:color w:val="auto"/>
                      <w:sz w:val="21"/>
                      <w:szCs w:val="21"/>
                    </w:rPr>
                    <w:t>降低运输成本。推进砂石中长距离运输“公转铁、公转水”，减少公路运输量，增加铁路运输量，完善内河水运网络和港口集疏运体系建设，加强不同运输方式间的有效衔接。推进铁路专用线建设，对年运量150万吨以上的机制砂石企业，应规定建设铁路专用线</w:t>
                  </w:r>
                </w:p>
              </w:tc>
              <w:tc>
                <w:tcPr>
                  <w:tcW w:w="2712" w:type="dxa"/>
                  <w:tcBorders>
                    <w:tl2br w:val="nil"/>
                    <w:tr2bl w:val="nil"/>
                  </w:tcBorders>
                  <w:vAlign w:val="center"/>
                </w:tcPr>
                <w:p w14:paraId="11A104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ascii="Times New Roman" w:hAnsi="Times New Roman" w:cs="Times New Roman"/>
                      <w:b w:val="0"/>
                      <w:bCs w:val="0"/>
                      <w:color w:val="auto"/>
                      <w:kern w:val="0"/>
                      <w:sz w:val="21"/>
                      <w:szCs w:val="21"/>
                      <w:lang w:bidi="ar"/>
                    </w:rPr>
                    <w:t>本项目年运输量</w:t>
                  </w:r>
                  <w:r>
                    <w:rPr>
                      <w:rFonts w:hint="eastAsia" w:ascii="Times New Roman" w:hAnsi="Times New Roman" w:cs="Times New Roman"/>
                      <w:b w:val="0"/>
                      <w:bCs w:val="0"/>
                      <w:color w:val="auto"/>
                      <w:kern w:val="0"/>
                      <w:sz w:val="21"/>
                      <w:szCs w:val="21"/>
                      <w:lang w:val="en-US" w:eastAsia="zh-CN" w:bidi="ar"/>
                    </w:rPr>
                    <w:t>约60</w:t>
                  </w:r>
                  <w:r>
                    <w:rPr>
                      <w:rFonts w:hint="default" w:ascii="Times New Roman" w:hAnsi="Times New Roman" w:cs="Times New Roman"/>
                      <w:b w:val="0"/>
                      <w:bCs w:val="0"/>
                      <w:color w:val="auto"/>
                      <w:kern w:val="0"/>
                      <w:sz w:val="21"/>
                      <w:szCs w:val="21"/>
                      <w:lang w:bidi="ar"/>
                    </w:rPr>
                    <w:t>万</w:t>
                  </w:r>
                  <w:r>
                    <w:rPr>
                      <w:rFonts w:hint="eastAsia" w:ascii="Times New Roman" w:hAnsi="Times New Roman" w:cs="Times New Roman"/>
                      <w:b w:val="0"/>
                      <w:bCs w:val="0"/>
                      <w:color w:val="auto"/>
                      <w:kern w:val="0"/>
                      <w:sz w:val="21"/>
                      <w:szCs w:val="21"/>
                      <w:lang w:val="en-US" w:eastAsia="zh-CN" w:bidi="ar"/>
                    </w:rPr>
                    <w:t>t</w:t>
                  </w:r>
                  <w:r>
                    <w:rPr>
                      <w:rFonts w:hint="default" w:ascii="Times New Roman" w:hAnsi="Times New Roman" w:cs="Times New Roman"/>
                      <w:b w:val="0"/>
                      <w:bCs w:val="0"/>
                      <w:color w:val="auto"/>
                      <w:kern w:val="0"/>
                      <w:sz w:val="21"/>
                      <w:szCs w:val="21"/>
                      <w:lang w:eastAsia="zh-CN" w:bidi="ar"/>
                    </w:rPr>
                    <w:t>（</w:t>
                  </w:r>
                  <w:r>
                    <w:rPr>
                      <w:rFonts w:hint="default" w:ascii="Times New Roman" w:hAnsi="Times New Roman" w:cs="Times New Roman"/>
                      <w:b w:val="0"/>
                      <w:bCs w:val="0"/>
                      <w:color w:val="auto"/>
                      <w:kern w:val="0"/>
                      <w:sz w:val="21"/>
                      <w:szCs w:val="21"/>
                      <w:lang w:val="en-US" w:eastAsia="zh-CN" w:bidi="ar"/>
                    </w:rPr>
                    <w:t>＜</w:t>
                  </w:r>
                  <w:r>
                    <w:rPr>
                      <w:rFonts w:hint="default" w:ascii="Times New Roman" w:hAnsi="Times New Roman" w:cs="Times New Roman"/>
                      <w:b w:val="0"/>
                      <w:bCs w:val="0"/>
                      <w:color w:val="auto"/>
                      <w:kern w:val="0"/>
                      <w:sz w:val="21"/>
                      <w:szCs w:val="21"/>
                      <w:lang w:bidi="ar"/>
                    </w:rPr>
                    <w:t>150万</w:t>
                  </w:r>
                  <w:r>
                    <w:rPr>
                      <w:rFonts w:hint="eastAsia" w:ascii="Times New Roman" w:hAnsi="Times New Roman" w:cs="Times New Roman"/>
                      <w:b w:val="0"/>
                      <w:bCs w:val="0"/>
                      <w:color w:val="auto"/>
                      <w:kern w:val="0"/>
                      <w:sz w:val="21"/>
                      <w:szCs w:val="21"/>
                      <w:lang w:val="en-US" w:eastAsia="zh-CN" w:bidi="ar"/>
                    </w:rPr>
                    <w:t>t</w:t>
                  </w:r>
                  <w:r>
                    <w:rPr>
                      <w:rFonts w:hint="default" w:ascii="Times New Roman" w:hAnsi="Times New Roman" w:cs="Times New Roman"/>
                      <w:b w:val="0"/>
                      <w:bCs w:val="0"/>
                      <w:color w:val="auto"/>
                      <w:kern w:val="0"/>
                      <w:sz w:val="21"/>
                      <w:szCs w:val="21"/>
                      <w:lang w:eastAsia="zh-CN" w:bidi="ar"/>
                    </w:rPr>
                    <w:t>）</w:t>
                  </w:r>
                  <w:r>
                    <w:rPr>
                      <w:rFonts w:hint="eastAsia" w:ascii="宋体" w:hAnsi="宋体" w:cs="宋体"/>
                      <w:b w:val="0"/>
                      <w:bCs w:val="0"/>
                      <w:color w:val="auto"/>
                      <w:kern w:val="0"/>
                      <w:sz w:val="21"/>
                      <w:szCs w:val="21"/>
                      <w:lang w:bidi="ar"/>
                    </w:rPr>
                    <w:t>，故无需建设铁路专用线，且原料来源较近</w:t>
                  </w:r>
                  <w:r>
                    <w:rPr>
                      <w:rFonts w:hint="eastAsia" w:ascii="宋体" w:hAnsi="宋体" w:cs="宋体"/>
                      <w:b w:val="0"/>
                      <w:bCs w:val="0"/>
                      <w:color w:val="auto"/>
                      <w:kern w:val="0"/>
                      <w:sz w:val="21"/>
                      <w:szCs w:val="21"/>
                      <w:lang w:val="en-US" w:eastAsia="zh-CN" w:bidi="ar"/>
                    </w:rPr>
                    <w:t>为屯留区周边煤矿</w:t>
                  </w:r>
                  <w:r>
                    <w:rPr>
                      <w:rFonts w:hint="eastAsia" w:ascii="宋体" w:hAnsi="宋体" w:cs="宋体"/>
                      <w:b w:val="0"/>
                      <w:bCs w:val="0"/>
                      <w:color w:val="auto"/>
                      <w:kern w:val="0"/>
                      <w:sz w:val="21"/>
                      <w:szCs w:val="21"/>
                      <w:lang w:bidi="ar"/>
                    </w:rPr>
                    <w:t>，公路运输更加便捷；本项目厂区</w:t>
                  </w:r>
                  <w:r>
                    <w:rPr>
                      <w:rFonts w:hint="eastAsia" w:ascii="宋体" w:hAnsi="宋体" w:cs="宋体"/>
                      <w:b w:val="0"/>
                      <w:bCs w:val="0"/>
                      <w:color w:val="auto"/>
                      <w:kern w:val="0"/>
                      <w:sz w:val="21"/>
                      <w:szCs w:val="21"/>
                      <w:lang w:val="en-US" w:eastAsia="zh-CN" w:bidi="ar"/>
                    </w:rPr>
                    <w:t>主出入口</w:t>
                  </w:r>
                  <w:r>
                    <w:rPr>
                      <w:rFonts w:hint="eastAsia" w:ascii="宋体" w:hAnsi="宋体" w:cs="宋体"/>
                      <w:b w:val="0"/>
                      <w:bCs w:val="0"/>
                      <w:color w:val="auto"/>
                      <w:kern w:val="0"/>
                      <w:sz w:val="21"/>
                      <w:szCs w:val="21"/>
                      <w:lang w:bidi="ar"/>
                    </w:rPr>
                    <w:t>设置</w:t>
                  </w:r>
                  <w:r>
                    <w:rPr>
                      <w:rFonts w:hint="default" w:ascii="Times New Roman" w:hAnsi="Times New Roman" w:cs="Times New Roman"/>
                      <w:b w:val="0"/>
                      <w:bCs w:val="0"/>
                      <w:color w:val="auto"/>
                      <w:kern w:val="0"/>
                      <w:sz w:val="21"/>
                      <w:szCs w:val="21"/>
                      <w:lang w:val="en-US" w:eastAsia="zh-CN" w:bidi="ar"/>
                    </w:rPr>
                    <w:t>1</w:t>
                  </w:r>
                  <w:r>
                    <w:rPr>
                      <w:rFonts w:hint="eastAsia" w:ascii="宋体" w:hAnsi="宋体" w:cs="宋体"/>
                      <w:b w:val="0"/>
                      <w:bCs w:val="0"/>
                      <w:color w:val="auto"/>
                      <w:kern w:val="0"/>
                      <w:sz w:val="21"/>
                      <w:szCs w:val="21"/>
                      <w:lang w:val="en-US" w:eastAsia="zh-CN" w:bidi="ar"/>
                    </w:rPr>
                    <w:t>座</w:t>
                  </w:r>
                  <w:r>
                    <w:rPr>
                      <w:rFonts w:hint="eastAsia" w:ascii="宋体" w:hAnsi="宋体" w:cs="宋体"/>
                      <w:b w:val="0"/>
                      <w:bCs w:val="0"/>
                      <w:color w:val="auto"/>
                      <w:kern w:val="0"/>
                      <w:sz w:val="21"/>
                      <w:szCs w:val="21"/>
                      <w:lang w:bidi="ar"/>
                    </w:rPr>
                    <w:t>地磅，加强运输车辆检测，可有效防止超限超载车辆出场上路</w:t>
                  </w:r>
                </w:p>
              </w:tc>
              <w:tc>
                <w:tcPr>
                  <w:tcW w:w="876" w:type="dxa"/>
                  <w:tcBorders>
                    <w:tl2br w:val="nil"/>
                    <w:tr2bl w:val="nil"/>
                  </w:tcBorders>
                  <w:vAlign w:val="center"/>
                </w:tcPr>
                <w:p w14:paraId="52BB0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176A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4AB43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4</w:t>
                  </w:r>
                </w:p>
              </w:tc>
              <w:tc>
                <w:tcPr>
                  <w:tcW w:w="4332" w:type="dxa"/>
                  <w:tcBorders>
                    <w:tl2br w:val="nil"/>
                    <w:tr2bl w:val="nil"/>
                  </w:tcBorders>
                  <w:vAlign w:val="center"/>
                </w:tcPr>
                <w:p w14:paraId="3B495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b w:val="0"/>
                      <w:bCs w:val="0"/>
                      <w:color w:val="auto"/>
                      <w:sz w:val="21"/>
                      <w:szCs w:val="21"/>
                    </w:rPr>
                    <w:t>加强非法采砂综合治理。加强砂石行业全环节、全流程监管，及早发现问题隐患，完善管理制度规范。对无证采砂、不按许可要求采砂等非法采砂行为，保持高压态势，强化行刑衔接，加大打击力度。严格管控长江中下游采砂活动，严防河道非法采砂反弹，维护长江采砂秩序，确保长江健康</w:t>
                  </w:r>
                </w:p>
              </w:tc>
              <w:tc>
                <w:tcPr>
                  <w:tcW w:w="2712" w:type="dxa"/>
                  <w:tcBorders>
                    <w:tl2br w:val="nil"/>
                    <w:tr2bl w:val="nil"/>
                  </w:tcBorders>
                  <w:vAlign w:val="center"/>
                </w:tcPr>
                <w:p w14:paraId="681D6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w:t>
                  </w:r>
                  <w:r>
                    <w:rPr>
                      <w:rFonts w:hint="eastAsia"/>
                      <w:b w:val="0"/>
                      <w:bCs w:val="0"/>
                      <w:color w:val="auto"/>
                      <w:sz w:val="21"/>
                      <w:szCs w:val="21"/>
                      <w:lang w:val="en-US" w:eastAsia="zh-CN"/>
                    </w:rPr>
                    <w:t>原料为煤矸石，购买屯留周边煤矿，项目不涉及</w:t>
                  </w:r>
                  <w:r>
                    <w:rPr>
                      <w:rFonts w:hint="eastAsia"/>
                      <w:b w:val="0"/>
                      <w:bCs w:val="0"/>
                      <w:color w:val="auto"/>
                      <w:sz w:val="21"/>
                      <w:szCs w:val="21"/>
                    </w:rPr>
                    <w:t>采砂</w:t>
                  </w:r>
                </w:p>
              </w:tc>
              <w:tc>
                <w:tcPr>
                  <w:tcW w:w="876" w:type="dxa"/>
                  <w:tcBorders>
                    <w:tl2br w:val="nil"/>
                    <w:tr2bl w:val="nil"/>
                  </w:tcBorders>
                  <w:vAlign w:val="center"/>
                </w:tcPr>
                <w:p w14:paraId="730EE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6807F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014889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5</w:t>
                  </w:r>
                </w:p>
              </w:tc>
              <w:tc>
                <w:tcPr>
                  <w:tcW w:w="4332" w:type="dxa"/>
                  <w:tcBorders>
                    <w:tl2br w:val="nil"/>
                    <w:tr2bl w:val="nil"/>
                  </w:tcBorders>
                  <w:vAlign w:val="center"/>
                </w:tcPr>
                <w:p w14:paraId="32309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大力发展和推广应用机制砂石。加快落实《关于推进机制砂石行业高质量发展的若干意见》（工信部联原〔2019〕239号），统筹考虑各类砂石资源整体发展趋势，逐步过渡到依靠机制砂石满足建设需要为主，在规划布局、工艺装备、产品质量、污染防治、综合利用、安全生产等方面加强联动</w:t>
                  </w:r>
                  <w:r>
                    <w:rPr>
                      <w:rFonts w:hint="eastAsia"/>
                      <w:b w:val="0"/>
                      <w:bCs w:val="0"/>
                      <w:color w:val="auto"/>
                      <w:sz w:val="21"/>
                      <w:szCs w:val="21"/>
                      <w:lang w:eastAsia="zh-CN"/>
                    </w:rPr>
                    <w:t>，</w:t>
                  </w:r>
                  <w:r>
                    <w:rPr>
                      <w:rFonts w:hint="eastAsia"/>
                      <w:b w:val="0"/>
                      <w:bCs w:val="0"/>
                      <w:color w:val="auto"/>
                      <w:sz w:val="21"/>
                      <w:szCs w:val="21"/>
                    </w:rPr>
                    <w:t>加快推动机制砂石产业转型升级</w:t>
                  </w:r>
                </w:p>
              </w:tc>
              <w:tc>
                <w:tcPr>
                  <w:tcW w:w="2712" w:type="dxa"/>
                  <w:tcBorders>
                    <w:tl2br w:val="nil"/>
                    <w:tr2bl w:val="nil"/>
                  </w:tcBorders>
                  <w:vAlign w:val="center"/>
                </w:tcPr>
                <w:p w14:paraId="6EE7D8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本项目项目的建设符合“工信部联原〔2019〕239号”中相关要求</w:t>
                  </w:r>
                </w:p>
              </w:tc>
              <w:tc>
                <w:tcPr>
                  <w:tcW w:w="876" w:type="dxa"/>
                  <w:tcBorders>
                    <w:tl2br w:val="nil"/>
                    <w:tr2bl w:val="nil"/>
                  </w:tcBorders>
                  <w:vAlign w:val="center"/>
                </w:tcPr>
                <w:p w14:paraId="47EF2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29E1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69B20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6</w:t>
                  </w:r>
                </w:p>
              </w:tc>
              <w:tc>
                <w:tcPr>
                  <w:tcW w:w="4332" w:type="dxa"/>
                  <w:tcBorders>
                    <w:tl2br w:val="nil"/>
                    <w:tr2bl w:val="nil"/>
                  </w:tcBorders>
                  <w:vAlign w:val="center"/>
                </w:tcPr>
                <w:p w14:paraId="4D2F5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b w:val="0"/>
                      <w:bCs w:val="0"/>
                      <w:color w:val="auto"/>
                      <w:sz w:val="21"/>
                      <w:szCs w:val="21"/>
                    </w:rPr>
                    <w:t>合理开发利用河道砂石资源。加强行业指导，加快河道采砂规划编制，在保障防洪、生态、通航安全的前提下，合理确定可采区</w:t>
                  </w:r>
                  <w:r>
                    <w:rPr>
                      <w:rFonts w:hint="eastAsia"/>
                      <w:b w:val="0"/>
                      <w:bCs w:val="0"/>
                      <w:color w:val="auto"/>
                      <w:sz w:val="21"/>
                      <w:szCs w:val="21"/>
                    </w:rPr>
                    <w:t>、</w:t>
                  </w:r>
                  <w:r>
                    <w:rPr>
                      <w:rFonts w:hint="default"/>
                      <w:b w:val="0"/>
                      <w:bCs w:val="0"/>
                      <w:color w:val="auto"/>
                      <w:sz w:val="21"/>
                      <w:szCs w:val="21"/>
                    </w:rPr>
                    <w:t>可采期、可采量，鼓励和支持河砂统一开采管理，推进集约化、规模化开采。尽快清理不合理的禁采区和禁采期，调整不切实际片面扩大设置的禁采区，纠正没有法律依据实施长期全年禁采的“一刀切”做法</w:t>
                  </w:r>
                </w:p>
              </w:tc>
              <w:tc>
                <w:tcPr>
                  <w:tcW w:w="2712" w:type="dxa"/>
                  <w:tcBorders>
                    <w:tl2br w:val="nil"/>
                    <w:tr2bl w:val="nil"/>
                  </w:tcBorders>
                  <w:vAlign w:val="center"/>
                </w:tcPr>
                <w:p w14:paraId="5B787C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eastAsia="宋体"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w:t>
                  </w:r>
                  <w:r>
                    <w:rPr>
                      <w:rFonts w:hint="eastAsia"/>
                      <w:b w:val="0"/>
                      <w:bCs w:val="0"/>
                      <w:color w:val="auto"/>
                      <w:sz w:val="21"/>
                      <w:szCs w:val="21"/>
                      <w:lang w:val="en-US" w:eastAsia="zh-CN"/>
                    </w:rPr>
                    <w:t>不涉及</w:t>
                  </w:r>
                </w:p>
              </w:tc>
              <w:tc>
                <w:tcPr>
                  <w:tcW w:w="876" w:type="dxa"/>
                  <w:tcBorders>
                    <w:tl2br w:val="nil"/>
                    <w:tr2bl w:val="nil"/>
                  </w:tcBorders>
                  <w:vAlign w:val="center"/>
                </w:tcPr>
                <w:p w14:paraId="3639D1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0AD8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78AE5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7</w:t>
                  </w:r>
                </w:p>
              </w:tc>
              <w:tc>
                <w:tcPr>
                  <w:tcW w:w="4332" w:type="dxa"/>
                  <w:tcBorders>
                    <w:tl2br w:val="nil"/>
                    <w:tr2bl w:val="nil"/>
                  </w:tcBorders>
                  <w:vAlign w:val="center"/>
                </w:tcPr>
                <w:p w14:paraId="255CF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b w:val="0"/>
                      <w:bCs w:val="0"/>
                      <w:color w:val="auto"/>
                      <w:sz w:val="21"/>
                      <w:szCs w:val="21"/>
                    </w:rPr>
                    <w:t>加大河道航道疏浚砂利用。及时总结推广河道航道疏浚砂综合利用试点经验，推进河砂开采与河道治理相结合，建立疏浚砂综合利用机制，促进疏浚砂利用</w:t>
                  </w:r>
                </w:p>
              </w:tc>
              <w:tc>
                <w:tcPr>
                  <w:tcW w:w="2712" w:type="dxa"/>
                  <w:tcBorders>
                    <w:tl2br w:val="nil"/>
                    <w:tr2bl w:val="nil"/>
                  </w:tcBorders>
                  <w:vAlign w:val="center"/>
                </w:tcPr>
                <w:p w14:paraId="209E1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outlineLvl w:val="9"/>
                    <w:rPr>
                      <w:rFonts w:hint="eastAsia" w:eastAsia="宋体"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w:t>
                  </w:r>
                  <w:r>
                    <w:rPr>
                      <w:rFonts w:hint="eastAsia"/>
                      <w:b w:val="0"/>
                      <w:bCs w:val="0"/>
                      <w:color w:val="auto"/>
                      <w:sz w:val="21"/>
                      <w:szCs w:val="21"/>
                      <w:lang w:val="en-US" w:eastAsia="zh-CN"/>
                    </w:rPr>
                    <w:t>不涉及</w:t>
                  </w:r>
                </w:p>
              </w:tc>
              <w:tc>
                <w:tcPr>
                  <w:tcW w:w="876" w:type="dxa"/>
                  <w:tcBorders>
                    <w:tl2br w:val="nil"/>
                    <w:tr2bl w:val="nil"/>
                  </w:tcBorders>
                  <w:vAlign w:val="center"/>
                </w:tcPr>
                <w:p w14:paraId="6C2478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3EAF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3F2F4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8</w:t>
                  </w:r>
                </w:p>
              </w:tc>
              <w:tc>
                <w:tcPr>
                  <w:tcW w:w="4332" w:type="dxa"/>
                  <w:tcBorders>
                    <w:tl2br w:val="nil"/>
                    <w:tr2bl w:val="nil"/>
                  </w:tcBorders>
                  <w:vAlign w:val="center"/>
                </w:tcPr>
                <w:p w14:paraId="4CD58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cs="Times New Roman"/>
                      <w:b w:val="0"/>
                      <w:bCs w:val="0"/>
                      <w:color w:val="auto"/>
                      <w:kern w:val="0"/>
                      <w:sz w:val="24"/>
                      <w:szCs w:val="24"/>
                      <w:highlight w:val="none"/>
                      <w:vertAlign w:val="baseline"/>
                      <w:lang w:val="en-US" w:eastAsia="zh-CN"/>
                    </w:rPr>
                  </w:pPr>
                  <w:r>
                    <w:rPr>
                      <w:rFonts w:hint="default" w:ascii="Times New Roman" w:hAnsi="Times New Roman" w:eastAsia="宋体" w:cs="Times New Roman"/>
                      <w:color w:val="auto"/>
                      <w:kern w:val="0"/>
                      <w:sz w:val="21"/>
                      <w:szCs w:val="21"/>
                    </w:rPr>
                    <w:t>支持废石尾矿综合利用。在符合安全、生态环保要求的前提下，鼓励和支持综合利用废石、矿渣和尾矿等砂石资源，实现“变废为宝”</w:t>
                  </w:r>
                </w:p>
              </w:tc>
              <w:tc>
                <w:tcPr>
                  <w:tcW w:w="2712" w:type="dxa"/>
                  <w:vMerge w:val="restart"/>
                  <w:tcBorders>
                    <w:tl2br w:val="nil"/>
                    <w:tr2bl w:val="nil"/>
                  </w:tcBorders>
                  <w:vAlign w:val="center"/>
                </w:tcPr>
                <w:p w14:paraId="2CFA3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default" w:cs="Times New Roman"/>
                      <w:b w:val="0"/>
                      <w:bCs w:val="0"/>
                      <w:color w:val="auto"/>
                      <w:kern w:val="0"/>
                      <w:sz w:val="24"/>
                      <w:szCs w:val="24"/>
                      <w:highlight w:val="none"/>
                      <w:vertAlign w:val="baseline"/>
                      <w:lang w:val="en-US" w:eastAsia="zh-CN"/>
                    </w:rPr>
                  </w:pPr>
                  <w:r>
                    <w:rPr>
                      <w:rFonts w:hint="eastAsia"/>
                      <w:b w:val="0"/>
                      <w:bCs w:val="0"/>
                      <w:color w:val="auto"/>
                      <w:sz w:val="21"/>
                      <w:szCs w:val="21"/>
                    </w:rPr>
                    <w:t>本项目购买</w:t>
                  </w:r>
                  <w:r>
                    <w:rPr>
                      <w:rFonts w:hint="eastAsia"/>
                      <w:b w:val="0"/>
                      <w:bCs w:val="0"/>
                      <w:color w:val="auto"/>
                      <w:sz w:val="21"/>
                      <w:szCs w:val="21"/>
                      <w:lang w:val="en-US" w:eastAsia="zh-CN"/>
                    </w:rPr>
                    <w:t>屯留区周边煤矿产生的煤矸石，利用煤矸石制造砂石骨料，实现了综合利用</w:t>
                  </w:r>
                </w:p>
              </w:tc>
              <w:tc>
                <w:tcPr>
                  <w:tcW w:w="876" w:type="dxa"/>
                  <w:tcBorders>
                    <w:tl2br w:val="nil"/>
                    <w:tr2bl w:val="nil"/>
                  </w:tcBorders>
                  <w:vAlign w:val="center"/>
                </w:tcPr>
                <w:p w14:paraId="3248B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r w14:paraId="33719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9" w:type="dxa"/>
                  <w:tcBorders>
                    <w:tl2br w:val="nil"/>
                    <w:tr2bl w:val="nil"/>
                  </w:tcBorders>
                  <w:vAlign w:val="center"/>
                </w:tcPr>
                <w:p w14:paraId="338F7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0"/>
                      <w:sz w:val="24"/>
                      <w:szCs w:val="24"/>
                      <w:highlight w:val="none"/>
                      <w:vertAlign w:val="baseline"/>
                      <w:lang w:val="en-US" w:eastAsia="zh-CN"/>
                    </w:rPr>
                  </w:pPr>
                  <w:r>
                    <w:rPr>
                      <w:rFonts w:hint="eastAsia" w:cs="Times New Roman"/>
                      <w:b w:val="0"/>
                      <w:bCs w:val="0"/>
                      <w:color w:val="auto"/>
                      <w:kern w:val="0"/>
                      <w:sz w:val="24"/>
                      <w:szCs w:val="24"/>
                      <w:highlight w:val="none"/>
                      <w:vertAlign w:val="baseline"/>
                      <w:lang w:val="en-US" w:eastAsia="zh-CN"/>
                    </w:rPr>
                    <w:t>9</w:t>
                  </w:r>
                </w:p>
              </w:tc>
              <w:tc>
                <w:tcPr>
                  <w:tcW w:w="4332" w:type="dxa"/>
                  <w:tcBorders>
                    <w:tl2br w:val="nil"/>
                    <w:tr2bl w:val="nil"/>
                  </w:tcBorders>
                  <w:vAlign w:val="center"/>
                </w:tcPr>
                <w:p w14:paraId="7676E1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r>
                    <w:rPr>
                      <w:rFonts w:hint="default"/>
                      <w:b w:val="0"/>
                      <w:bCs w:val="0"/>
                      <w:color w:val="auto"/>
                      <w:sz w:val="21"/>
                      <w:szCs w:val="21"/>
                    </w:rPr>
                    <w:t>鼓励利用固废资源制造再生砂石。鼓励利用建筑拆除垃圾等固废资源生产砂石替代材料，清理不合理的区域限制措施，增加再生砂石供给</w:t>
                  </w:r>
                </w:p>
              </w:tc>
              <w:tc>
                <w:tcPr>
                  <w:tcW w:w="2712" w:type="dxa"/>
                  <w:vMerge w:val="continue"/>
                  <w:tcBorders>
                    <w:tl2br w:val="nil"/>
                    <w:tr2bl w:val="nil"/>
                  </w:tcBorders>
                  <w:vAlign w:val="center"/>
                </w:tcPr>
                <w:p w14:paraId="35446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outlineLvl w:val="9"/>
                    <w:rPr>
                      <w:rFonts w:hint="eastAsia" w:cs="Times New Roman"/>
                      <w:b w:val="0"/>
                      <w:bCs w:val="0"/>
                      <w:color w:val="auto"/>
                      <w:kern w:val="0"/>
                      <w:sz w:val="24"/>
                      <w:szCs w:val="24"/>
                      <w:highlight w:val="none"/>
                      <w:vertAlign w:val="baseline"/>
                      <w:lang w:val="en-US" w:eastAsia="zh-CN"/>
                    </w:rPr>
                  </w:pPr>
                </w:p>
              </w:tc>
              <w:tc>
                <w:tcPr>
                  <w:tcW w:w="876" w:type="dxa"/>
                  <w:tcBorders>
                    <w:tl2br w:val="nil"/>
                    <w:tr2bl w:val="nil"/>
                  </w:tcBorders>
                  <w:vAlign w:val="center"/>
                </w:tcPr>
                <w:p w14:paraId="1C148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vertAlign w:val="baseline"/>
                      <w:lang w:val="en-US" w:eastAsia="zh-CN"/>
                    </w:rPr>
                  </w:pPr>
                  <w:r>
                    <w:rPr>
                      <w:rFonts w:hint="eastAsia" w:cs="Times New Roman"/>
                      <w:b w:val="0"/>
                      <w:bCs w:val="0"/>
                      <w:color w:val="auto"/>
                      <w:kern w:val="0"/>
                      <w:sz w:val="21"/>
                      <w:szCs w:val="21"/>
                      <w:highlight w:val="none"/>
                      <w:vertAlign w:val="baseline"/>
                      <w:lang w:val="en-US" w:eastAsia="zh-CN"/>
                    </w:rPr>
                    <w:t>符合</w:t>
                  </w:r>
                </w:p>
              </w:tc>
            </w:tr>
          </w:tbl>
          <w:p w14:paraId="752C0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cs="Times New Roman"/>
                <w:b/>
                <w:bCs/>
                <w:color w:val="auto"/>
                <w:kern w:val="0"/>
                <w:sz w:val="24"/>
                <w:highlight w:val="none"/>
                <w:lang w:val="en-US" w:eastAsia="zh-CN"/>
              </w:rPr>
            </w:pPr>
            <w:r>
              <w:rPr>
                <w:rFonts w:hint="eastAsia" w:cs="Times New Roman"/>
                <w:b/>
                <w:bCs/>
                <w:color w:val="auto"/>
                <w:kern w:val="0"/>
                <w:sz w:val="24"/>
                <w:szCs w:val="24"/>
                <w:highlight w:val="none"/>
                <w:lang w:val="en-US" w:eastAsia="zh-CN"/>
              </w:rPr>
              <w:t>1.3.</w:t>
            </w:r>
            <w:r>
              <w:rPr>
                <w:rFonts w:hint="eastAsia" w:cs="Times New Roman"/>
                <w:b/>
                <w:bCs/>
                <w:color w:val="auto"/>
                <w:kern w:val="0"/>
                <w:sz w:val="24"/>
                <w:highlight w:val="none"/>
                <w:lang w:val="en-US" w:eastAsia="zh-CN"/>
              </w:rPr>
              <w:t>7</w:t>
            </w:r>
            <w:r>
              <w:rPr>
                <w:rFonts w:hint="eastAsia"/>
                <w:b/>
                <w:bCs/>
                <w:color w:val="auto"/>
                <w:sz w:val="24"/>
              </w:rPr>
              <w:t>与《煤矸石综合管理办法》（2014年修订版</w:t>
            </w:r>
            <w:r>
              <w:rPr>
                <w:rFonts w:hint="eastAsia"/>
                <w:b/>
                <w:bCs/>
                <w:color w:val="auto"/>
                <w:sz w:val="24"/>
                <w:lang w:eastAsia="zh-CN"/>
              </w:rPr>
              <w:t>）</w:t>
            </w:r>
            <w:r>
              <w:rPr>
                <w:rFonts w:hint="eastAsia"/>
                <w:b/>
                <w:bCs/>
                <w:color w:val="auto"/>
                <w:sz w:val="24"/>
              </w:rPr>
              <w:t>符合性分析</w:t>
            </w:r>
          </w:p>
          <w:p w14:paraId="274E103E">
            <w:pPr>
              <w:pStyle w:val="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kern w:val="2"/>
                <w:sz w:val="21"/>
                <w:szCs w:val="21"/>
                <w:lang w:val="en-US" w:eastAsia="zh-CN" w:bidi="ar-SA"/>
              </w:rPr>
              <w:t>表</w:t>
            </w:r>
            <w:r>
              <w:rPr>
                <w:rFonts w:hint="default" w:ascii="Times New Roman" w:hAnsi="Times New Roman" w:eastAsia="宋体" w:cs="Times New Roman"/>
                <w:b/>
                <w:bCs/>
                <w:color w:val="auto"/>
                <w:sz w:val="21"/>
                <w:szCs w:val="21"/>
              </w:rPr>
              <w:t>1</w:t>
            </w:r>
            <w:r>
              <w:rPr>
                <w:rFonts w:hint="eastAsia" w:cs="Times New Roman"/>
                <w:b/>
                <w:bCs/>
                <w:color w:val="auto"/>
                <w:sz w:val="21"/>
                <w:szCs w:val="21"/>
                <w:lang w:val="en-US" w:eastAsia="zh-CN"/>
              </w:rPr>
              <w:t>.3</w:t>
            </w:r>
            <w:r>
              <w:rPr>
                <w:rFonts w:hint="default" w:ascii="Times New Roman" w:hAnsi="Times New Roman" w:eastAsia="宋体" w:cs="Times New Roman"/>
                <w:b/>
                <w:bCs/>
                <w:color w:val="auto"/>
                <w:sz w:val="21"/>
                <w:szCs w:val="21"/>
                <w:highlight w:val="none"/>
                <w:shd w:val="clear" w:color="auto" w:fill="auto"/>
                <w:lang w:val="en-US" w:eastAsia="zh-CN"/>
              </w:rPr>
              <w:t>-</w:t>
            </w:r>
            <w:r>
              <w:rPr>
                <w:rFonts w:hint="eastAsia" w:cs="Times New Roman"/>
                <w:b/>
                <w:bCs/>
                <w:color w:val="auto"/>
                <w:sz w:val="21"/>
                <w:szCs w:val="21"/>
                <w:highlight w:val="none"/>
                <w:shd w:val="clear" w:color="auto" w:fill="auto"/>
                <w:lang w:val="en-US" w:eastAsia="zh-CN"/>
              </w:rPr>
              <w:t>4</w:t>
            </w:r>
            <w:r>
              <w:rPr>
                <w:rFonts w:hint="default" w:ascii="Times New Roman" w:hAnsi="Times New Roman" w:eastAsia="宋体" w:cs="Times New Roman"/>
                <w:b/>
                <w:bCs/>
                <w:color w:val="auto"/>
                <w:kern w:val="2"/>
                <w:sz w:val="21"/>
                <w:szCs w:val="21"/>
                <w:lang w:val="en-US" w:eastAsia="zh-CN" w:bidi="ar-SA"/>
              </w:rPr>
              <w:t xml:space="preserve">  与《煤矸石综合管理办法》符合性分析一览表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3702"/>
              <w:gridCol w:w="3257"/>
              <w:gridCol w:w="919"/>
            </w:tblGrid>
            <w:tr w14:paraId="72FC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2" w:type="pct"/>
                  <w:tcBorders>
                    <w:tl2br w:val="nil"/>
                    <w:tr2bl w:val="nil"/>
                  </w:tcBorders>
                  <w:noWrap w:val="0"/>
                  <w:vAlign w:val="center"/>
                </w:tcPr>
                <w:p w14:paraId="5291A222">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序号</w:t>
                  </w:r>
                </w:p>
              </w:tc>
              <w:tc>
                <w:tcPr>
                  <w:tcW w:w="2160" w:type="pct"/>
                  <w:tcBorders>
                    <w:tl2br w:val="nil"/>
                    <w:tr2bl w:val="nil"/>
                  </w:tcBorders>
                  <w:noWrap w:val="0"/>
                  <w:vAlign w:val="center"/>
                </w:tcPr>
                <w:p w14:paraId="03DFD7DC">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jc w:val="center"/>
                    <w:textAlignment w:val="auto"/>
                    <w:rPr>
                      <w:rFonts w:hint="default"/>
                      <w:b/>
                      <w:bCs/>
                      <w:color w:val="auto"/>
                      <w:sz w:val="21"/>
                      <w:szCs w:val="21"/>
                    </w:rPr>
                  </w:pPr>
                  <w:r>
                    <w:rPr>
                      <w:rFonts w:hint="default"/>
                      <w:b/>
                      <w:bCs/>
                      <w:color w:val="auto"/>
                      <w:sz w:val="21"/>
                      <w:szCs w:val="21"/>
                    </w:rPr>
                    <w:t>文件要求</w:t>
                  </w:r>
                </w:p>
              </w:tc>
              <w:tc>
                <w:tcPr>
                  <w:tcW w:w="1900" w:type="pct"/>
                  <w:tcBorders>
                    <w:tl2br w:val="nil"/>
                    <w:tr2bl w:val="nil"/>
                  </w:tcBorders>
                  <w:noWrap w:val="0"/>
                  <w:vAlign w:val="center"/>
                </w:tcPr>
                <w:p w14:paraId="571549DF">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jc w:val="center"/>
                    <w:textAlignment w:val="auto"/>
                    <w:rPr>
                      <w:rFonts w:hint="default"/>
                      <w:b/>
                      <w:bCs/>
                      <w:color w:val="auto"/>
                      <w:sz w:val="21"/>
                      <w:szCs w:val="21"/>
                    </w:rPr>
                  </w:pPr>
                  <w:r>
                    <w:rPr>
                      <w:rFonts w:hint="default"/>
                      <w:b/>
                      <w:bCs/>
                      <w:color w:val="auto"/>
                      <w:sz w:val="21"/>
                      <w:szCs w:val="21"/>
                    </w:rPr>
                    <w:t>项目情况</w:t>
                  </w:r>
                </w:p>
              </w:tc>
              <w:tc>
                <w:tcPr>
                  <w:tcW w:w="536" w:type="pct"/>
                  <w:tcBorders>
                    <w:tl2br w:val="nil"/>
                    <w:tr2bl w:val="nil"/>
                  </w:tcBorders>
                  <w:noWrap w:val="0"/>
                  <w:vAlign w:val="center"/>
                </w:tcPr>
                <w:p w14:paraId="6A6D80E6">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textAlignment w:val="auto"/>
                    <w:rPr>
                      <w:rFonts w:hint="eastAsia" w:eastAsia="宋体"/>
                      <w:b/>
                      <w:bCs/>
                      <w:color w:val="auto"/>
                      <w:sz w:val="21"/>
                      <w:szCs w:val="21"/>
                      <w:lang w:val="en-US" w:eastAsia="zh-CN"/>
                    </w:rPr>
                  </w:pPr>
                  <w:r>
                    <w:rPr>
                      <w:rFonts w:hint="eastAsia"/>
                      <w:b/>
                      <w:bCs/>
                      <w:color w:val="auto"/>
                      <w:sz w:val="21"/>
                      <w:szCs w:val="21"/>
                      <w:lang w:val="en-US" w:eastAsia="zh-CN"/>
                    </w:rPr>
                    <w:t>符合性</w:t>
                  </w:r>
                </w:p>
              </w:tc>
            </w:tr>
            <w:tr w14:paraId="588F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2" w:type="pct"/>
                  <w:tcBorders>
                    <w:tl2br w:val="nil"/>
                    <w:tr2bl w:val="nil"/>
                  </w:tcBorders>
                  <w:noWrap w:val="0"/>
                  <w:vAlign w:val="center"/>
                </w:tcPr>
                <w:p w14:paraId="7C6D079C">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jc w:val="center"/>
                    <w:textAlignment w:val="auto"/>
                    <w:rPr>
                      <w:rFonts w:hint="default"/>
                      <w:b w:val="0"/>
                      <w:bCs w:val="0"/>
                      <w:color w:val="auto"/>
                      <w:sz w:val="21"/>
                      <w:szCs w:val="21"/>
                      <w:lang w:val="en-US" w:eastAsia="zh-CN"/>
                    </w:rPr>
                  </w:pPr>
                  <w:r>
                    <w:rPr>
                      <w:rFonts w:hint="eastAsia"/>
                      <w:b w:val="0"/>
                      <w:bCs w:val="0"/>
                      <w:color w:val="auto"/>
                      <w:sz w:val="21"/>
                      <w:szCs w:val="21"/>
                      <w:lang w:val="en-US" w:eastAsia="zh-CN"/>
                    </w:rPr>
                    <w:t>1</w:t>
                  </w:r>
                </w:p>
              </w:tc>
              <w:tc>
                <w:tcPr>
                  <w:tcW w:w="2160" w:type="pct"/>
                  <w:tcBorders>
                    <w:tl2br w:val="nil"/>
                    <w:tr2bl w:val="nil"/>
                  </w:tcBorders>
                  <w:noWrap w:val="0"/>
                  <w:vAlign w:val="center"/>
                </w:tcPr>
                <w:p w14:paraId="25173646">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both"/>
                    <w:textAlignment w:val="auto"/>
                    <w:rPr>
                      <w:rFonts w:hint="default"/>
                      <w:b w:val="0"/>
                      <w:bCs w:val="0"/>
                      <w:color w:val="auto"/>
                      <w:sz w:val="21"/>
                      <w:szCs w:val="21"/>
                    </w:rPr>
                  </w:pPr>
                  <w:r>
                    <w:rPr>
                      <w:rFonts w:hint="default"/>
                      <w:color w:val="auto"/>
                      <w:kern w:val="0"/>
                      <w:sz w:val="21"/>
                      <w:szCs w:val="21"/>
                    </w:rPr>
                    <w:t>利用煤</w:t>
                  </w:r>
                  <w:r>
                    <w:rPr>
                      <w:rFonts w:hint="eastAsia"/>
                      <w:color w:val="auto"/>
                      <w:kern w:val="0"/>
                      <w:sz w:val="21"/>
                      <w:szCs w:val="21"/>
                    </w:rPr>
                    <w:t>矸</w:t>
                  </w:r>
                  <w:r>
                    <w:rPr>
                      <w:rFonts w:hint="default"/>
                      <w:color w:val="auto"/>
                      <w:kern w:val="0"/>
                      <w:sz w:val="21"/>
                      <w:szCs w:val="21"/>
                    </w:rPr>
                    <w:t>石生产的建筑材料或其他与煤</w:t>
                  </w:r>
                  <w:r>
                    <w:rPr>
                      <w:rFonts w:hint="eastAsia"/>
                      <w:color w:val="auto"/>
                      <w:kern w:val="0"/>
                      <w:sz w:val="21"/>
                      <w:szCs w:val="21"/>
                    </w:rPr>
                    <w:t>矸</w:t>
                  </w:r>
                  <w:r>
                    <w:rPr>
                      <w:rFonts w:hint="default"/>
                      <w:color w:val="auto"/>
                      <w:kern w:val="0"/>
                      <w:sz w:val="21"/>
                      <w:szCs w:val="21"/>
                    </w:rPr>
                    <w:t>石综合利用相关的产品</w:t>
                  </w:r>
                  <w:r>
                    <w:rPr>
                      <w:rFonts w:hint="eastAsia"/>
                      <w:color w:val="auto"/>
                      <w:kern w:val="0"/>
                      <w:sz w:val="21"/>
                      <w:szCs w:val="21"/>
                    </w:rPr>
                    <w:t>，</w:t>
                  </w:r>
                  <w:r>
                    <w:rPr>
                      <w:rFonts w:hint="default"/>
                      <w:color w:val="auto"/>
                      <w:kern w:val="0"/>
                      <w:sz w:val="21"/>
                      <w:szCs w:val="21"/>
                    </w:rPr>
                    <w:t>应当符合国家或行业有关质量、环境、节能和安全标准</w:t>
                  </w:r>
                </w:p>
              </w:tc>
              <w:tc>
                <w:tcPr>
                  <w:tcW w:w="1900" w:type="pct"/>
                  <w:tcBorders>
                    <w:tl2br w:val="nil"/>
                    <w:tr2bl w:val="nil"/>
                  </w:tcBorders>
                  <w:noWrap w:val="0"/>
                  <w:vAlign w:val="center"/>
                </w:tcPr>
                <w:p w14:paraId="0B9F72DA">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both"/>
                    <w:textAlignment w:val="auto"/>
                    <w:rPr>
                      <w:rFonts w:hint="eastAsia" w:eastAsia="宋体"/>
                      <w:b w:val="0"/>
                      <w:bCs w:val="0"/>
                      <w:color w:val="auto"/>
                      <w:sz w:val="21"/>
                      <w:szCs w:val="21"/>
                      <w:lang w:val="en-US" w:eastAsia="zh-CN"/>
                    </w:rPr>
                  </w:pPr>
                  <w:r>
                    <w:rPr>
                      <w:rFonts w:hint="default"/>
                      <w:color w:val="auto"/>
                      <w:kern w:val="0"/>
                      <w:sz w:val="21"/>
                      <w:szCs w:val="21"/>
                    </w:rPr>
                    <w:t>本项目利用煤</w:t>
                  </w:r>
                  <w:r>
                    <w:rPr>
                      <w:rFonts w:hint="eastAsia"/>
                      <w:color w:val="auto"/>
                      <w:kern w:val="0"/>
                      <w:sz w:val="21"/>
                      <w:szCs w:val="21"/>
                    </w:rPr>
                    <w:t>矸</w:t>
                  </w:r>
                  <w:r>
                    <w:rPr>
                      <w:rFonts w:hint="default"/>
                      <w:color w:val="auto"/>
                      <w:kern w:val="0"/>
                      <w:sz w:val="21"/>
                      <w:szCs w:val="21"/>
                    </w:rPr>
                    <w:t>石</w:t>
                  </w:r>
                  <w:r>
                    <w:rPr>
                      <w:rFonts w:hint="eastAsia"/>
                      <w:color w:val="auto"/>
                      <w:kern w:val="0"/>
                      <w:sz w:val="21"/>
                      <w:szCs w:val="21"/>
                    </w:rPr>
                    <w:t>生产机制砂，产品质量符合GB/T</w:t>
                  </w:r>
                  <w:r>
                    <w:rPr>
                      <w:rFonts w:hint="eastAsia"/>
                      <w:color w:val="auto"/>
                      <w:kern w:val="0"/>
                      <w:sz w:val="21"/>
                      <w:szCs w:val="21"/>
                      <w:lang w:val="en-US" w:eastAsia="zh-CN"/>
                    </w:rPr>
                    <w:t xml:space="preserve"> </w:t>
                  </w:r>
                  <w:r>
                    <w:rPr>
                      <w:rFonts w:hint="eastAsia"/>
                      <w:color w:val="auto"/>
                      <w:kern w:val="0"/>
                      <w:sz w:val="21"/>
                      <w:szCs w:val="21"/>
                    </w:rPr>
                    <w:t>14684《建设用砂》等有关要求，生产废水全部回用，废气达标排放，固废合理处置</w:t>
                  </w:r>
                </w:p>
              </w:tc>
              <w:tc>
                <w:tcPr>
                  <w:tcW w:w="536" w:type="pct"/>
                  <w:tcBorders>
                    <w:tl2br w:val="nil"/>
                    <w:tr2bl w:val="nil"/>
                  </w:tcBorders>
                  <w:noWrap w:val="0"/>
                  <w:vAlign w:val="center"/>
                </w:tcPr>
                <w:p w14:paraId="00C5B62F">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eastAsia"/>
                      <w:b w:val="0"/>
                      <w:bCs w:val="0"/>
                      <w:color w:val="auto"/>
                      <w:sz w:val="21"/>
                      <w:szCs w:val="21"/>
                      <w:lang w:val="en-US" w:eastAsia="zh-CN"/>
                    </w:rPr>
                  </w:pPr>
                  <w:r>
                    <w:rPr>
                      <w:rFonts w:hint="eastAsia"/>
                      <w:color w:val="auto"/>
                      <w:kern w:val="0"/>
                      <w:sz w:val="21"/>
                      <w:szCs w:val="21"/>
                    </w:rPr>
                    <w:t>符合</w:t>
                  </w:r>
                </w:p>
              </w:tc>
            </w:tr>
            <w:tr w14:paraId="3326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2" w:type="pct"/>
                  <w:tcBorders>
                    <w:tl2br w:val="nil"/>
                    <w:tr2bl w:val="nil"/>
                  </w:tcBorders>
                  <w:noWrap w:val="0"/>
                  <w:vAlign w:val="center"/>
                </w:tcPr>
                <w:p w14:paraId="2D040493">
                  <w:pPr>
                    <w:pStyle w:val="100"/>
                    <w:keepNext w:val="0"/>
                    <w:keepLines w:val="0"/>
                    <w:pageBreakBefore w:val="0"/>
                    <w:widowControl w:val="0"/>
                    <w:suppressLineNumbers w:val="0"/>
                    <w:kinsoku/>
                    <w:wordWrap/>
                    <w:overflowPunct/>
                    <w:topLinePunct w:val="0"/>
                    <w:autoSpaceDE/>
                    <w:autoSpaceDN/>
                    <w:bidi w:val="0"/>
                    <w:spacing w:beforeAutospacing="0" w:afterAutospacing="0"/>
                    <w:ind w:left="0" w:right="0"/>
                    <w:jc w:val="center"/>
                    <w:textAlignment w:val="auto"/>
                    <w:rPr>
                      <w:rFonts w:hint="default"/>
                      <w:b w:val="0"/>
                      <w:bCs w:val="0"/>
                      <w:color w:val="auto"/>
                      <w:sz w:val="21"/>
                      <w:szCs w:val="21"/>
                      <w:lang w:val="en-US" w:eastAsia="zh-CN"/>
                    </w:rPr>
                  </w:pPr>
                  <w:r>
                    <w:rPr>
                      <w:rFonts w:hint="eastAsia"/>
                      <w:b w:val="0"/>
                      <w:bCs w:val="0"/>
                      <w:color w:val="auto"/>
                      <w:sz w:val="21"/>
                      <w:szCs w:val="21"/>
                      <w:lang w:val="en-US" w:eastAsia="zh-CN"/>
                    </w:rPr>
                    <w:t>2</w:t>
                  </w:r>
                </w:p>
              </w:tc>
              <w:tc>
                <w:tcPr>
                  <w:tcW w:w="2160" w:type="pct"/>
                  <w:tcBorders>
                    <w:tl2br w:val="nil"/>
                    <w:tr2bl w:val="nil"/>
                  </w:tcBorders>
                  <w:noWrap w:val="0"/>
                  <w:vAlign w:val="center"/>
                </w:tcPr>
                <w:p w14:paraId="2C06AEF9">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both"/>
                    <w:textAlignment w:val="auto"/>
                    <w:rPr>
                      <w:rFonts w:hint="default"/>
                      <w:b w:val="0"/>
                      <w:bCs w:val="0"/>
                      <w:color w:val="auto"/>
                      <w:sz w:val="21"/>
                      <w:szCs w:val="21"/>
                    </w:rPr>
                  </w:pPr>
                  <w:r>
                    <w:rPr>
                      <w:rFonts w:hint="default"/>
                      <w:color w:val="auto"/>
                      <w:kern w:val="0"/>
                      <w:sz w:val="21"/>
                      <w:szCs w:val="21"/>
                    </w:rPr>
                    <w:t>国家鼓励煤</w:t>
                  </w:r>
                  <w:r>
                    <w:rPr>
                      <w:rFonts w:hint="eastAsia"/>
                      <w:color w:val="auto"/>
                      <w:kern w:val="0"/>
                      <w:sz w:val="21"/>
                      <w:szCs w:val="21"/>
                    </w:rPr>
                    <w:t>矸</w:t>
                  </w:r>
                  <w:r>
                    <w:rPr>
                      <w:rFonts w:hint="default"/>
                      <w:color w:val="auto"/>
                      <w:kern w:val="0"/>
                      <w:sz w:val="21"/>
                      <w:szCs w:val="21"/>
                    </w:rPr>
                    <w:t>石大宗利用和高附加值利用</w:t>
                  </w:r>
                  <w:r>
                    <w:rPr>
                      <w:rFonts w:hint="eastAsia"/>
                      <w:color w:val="auto"/>
                      <w:kern w:val="0"/>
                      <w:sz w:val="21"/>
                      <w:szCs w:val="21"/>
                    </w:rPr>
                    <w:t>，</w:t>
                  </w:r>
                  <w:r>
                    <w:rPr>
                      <w:rFonts w:hint="default"/>
                      <w:color w:val="auto"/>
                      <w:kern w:val="0"/>
                      <w:sz w:val="21"/>
                      <w:szCs w:val="21"/>
                    </w:rPr>
                    <w:t>煤</w:t>
                  </w:r>
                  <w:r>
                    <w:rPr>
                      <w:rFonts w:hint="eastAsia"/>
                      <w:color w:val="auto"/>
                      <w:kern w:val="0"/>
                      <w:sz w:val="21"/>
                      <w:szCs w:val="21"/>
                    </w:rPr>
                    <w:t>矸</w:t>
                  </w:r>
                  <w:r>
                    <w:rPr>
                      <w:rFonts w:hint="default"/>
                      <w:color w:val="auto"/>
                      <w:kern w:val="0"/>
                      <w:sz w:val="21"/>
                      <w:szCs w:val="21"/>
                    </w:rPr>
                    <w:t>石生产建筑材料</w:t>
                  </w:r>
                  <w:r>
                    <w:rPr>
                      <w:rFonts w:hint="eastAsia"/>
                      <w:color w:val="auto"/>
                      <w:kern w:val="0"/>
                      <w:sz w:val="21"/>
                      <w:szCs w:val="21"/>
                    </w:rPr>
                    <w:t>，</w:t>
                  </w:r>
                  <w:r>
                    <w:rPr>
                      <w:rFonts w:hint="default"/>
                      <w:color w:val="auto"/>
                      <w:kern w:val="0"/>
                      <w:sz w:val="21"/>
                      <w:szCs w:val="21"/>
                    </w:rPr>
                    <w:t>从煤</w:t>
                  </w:r>
                  <w:r>
                    <w:rPr>
                      <w:rFonts w:hint="eastAsia"/>
                      <w:color w:val="auto"/>
                      <w:kern w:val="0"/>
                      <w:sz w:val="21"/>
                      <w:szCs w:val="21"/>
                    </w:rPr>
                    <w:t>矸</w:t>
                  </w:r>
                  <w:r>
                    <w:rPr>
                      <w:rFonts w:hint="default"/>
                      <w:color w:val="auto"/>
                      <w:kern w:val="0"/>
                      <w:sz w:val="21"/>
                      <w:szCs w:val="21"/>
                    </w:rPr>
                    <w:t>石中回收矿产品</w:t>
                  </w:r>
                </w:p>
              </w:tc>
              <w:tc>
                <w:tcPr>
                  <w:tcW w:w="1900" w:type="pct"/>
                  <w:tcBorders>
                    <w:tl2br w:val="nil"/>
                    <w:tr2bl w:val="nil"/>
                  </w:tcBorders>
                  <w:noWrap w:val="0"/>
                  <w:vAlign w:val="center"/>
                </w:tcPr>
                <w:p w14:paraId="682761C4">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both"/>
                    <w:textAlignment w:val="auto"/>
                    <w:rPr>
                      <w:rFonts w:hint="eastAsia" w:eastAsia="宋体"/>
                      <w:b w:val="0"/>
                      <w:bCs w:val="0"/>
                      <w:color w:val="auto"/>
                      <w:sz w:val="21"/>
                      <w:szCs w:val="21"/>
                      <w:lang w:val="en-US" w:eastAsia="zh-CN"/>
                    </w:rPr>
                  </w:pPr>
                  <w:r>
                    <w:rPr>
                      <w:rFonts w:hint="eastAsia"/>
                      <w:color w:val="auto"/>
                      <w:kern w:val="0"/>
                      <w:sz w:val="21"/>
                      <w:szCs w:val="21"/>
                      <w:lang w:val="en-US" w:eastAsia="zh-CN"/>
                    </w:rPr>
                    <w:t>利用</w:t>
                  </w:r>
                  <w:r>
                    <w:rPr>
                      <w:rFonts w:hint="eastAsia"/>
                      <w:color w:val="auto"/>
                      <w:kern w:val="0"/>
                      <w:sz w:val="21"/>
                      <w:szCs w:val="21"/>
                    </w:rPr>
                    <w:t>煤矸石加工成机制</w:t>
                  </w:r>
                  <w:r>
                    <w:rPr>
                      <w:rFonts w:hint="eastAsia"/>
                      <w:color w:val="auto"/>
                      <w:kern w:val="0"/>
                      <w:sz w:val="21"/>
                      <w:szCs w:val="21"/>
                      <w:lang w:val="en-US" w:eastAsia="zh-CN"/>
                    </w:rPr>
                    <w:t>砂石骨料</w:t>
                  </w:r>
                  <w:r>
                    <w:rPr>
                      <w:rFonts w:hint="eastAsia"/>
                      <w:color w:val="auto"/>
                      <w:kern w:val="0"/>
                      <w:sz w:val="21"/>
                      <w:szCs w:val="21"/>
                    </w:rPr>
                    <w:t>，符合国家鼓励政策</w:t>
                  </w:r>
                </w:p>
              </w:tc>
              <w:tc>
                <w:tcPr>
                  <w:tcW w:w="536" w:type="pct"/>
                  <w:tcBorders>
                    <w:tl2br w:val="nil"/>
                    <w:tr2bl w:val="nil"/>
                  </w:tcBorders>
                  <w:noWrap w:val="0"/>
                  <w:vAlign w:val="center"/>
                </w:tcPr>
                <w:p w14:paraId="33110690">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jc w:val="center"/>
                    <w:textAlignment w:val="auto"/>
                    <w:rPr>
                      <w:rFonts w:hint="eastAsia"/>
                      <w:b w:val="0"/>
                      <w:bCs w:val="0"/>
                      <w:color w:val="auto"/>
                      <w:sz w:val="21"/>
                      <w:szCs w:val="21"/>
                      <w:lang w:val="en-US" w:eastAsia="zh-CN"/>
                    </w:rPr>
                  </w:pPr>
                  <w:r>
                    <w:rPr>
                      <w:rFonts w:hint="eastAsia"/>
                      <w:color w:val="auto"/>
                      <w:kern w:val="0"/>
                      <w:sz w:val="21"/>
                      <w:szCs w:val="21"/>
                    </w:rPr>
                    <w:t>符合</w:t>
                  </w:r>
                </w:p>
              </w:tc>
            </w:tr>
          </w:tbl>
          <w:p w14:paraId="3BA4FF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cs="Times New Roman"/>
                <w:b/>
                <w:bCs/>
                <w:color w:val="auto"/>
                <w:kern w:val="0"/>
                <w:sz w:val="24"/>
                <w:highlight w:val="none"/>
                <w:lang w:val="en-US" w:eastAsia="zh-CN"/>
              </w:rPr>
            </w:pPr>
            <w:r>
              <w:rPr>
                <w:rFonts w:hint="eastAsia" w:cs="Times New Roman"/>
                <w:b/>
                <w:bCs/>
                <w:color w:val="auto"/>
                <w:kern w:val="0"/>
                <w:sz w:val="24"/>
                <w:szCs w:val="24"/>
                <w:highlight w:val="none"/>
                <w:lang w:val="en-US" w:eastAsia="zh-CN"/>
              </w:rPr>
              <w:t>1.3.</w:t>
            </w:r>
            <w:r>
              <w:rPr>
                <w:rFonts w:hint="eastAsia" w:cs="Times New Roman"/>
                <w:b/>
                <w:bCs/>
                <w:color w:val="auto"/>
                <w:kern w:val="0"/>
                <w:sz w:val="24"/>
                <w:highlight w:val="none"/>
                <w:lang w:val="en-US" w:eastAsia="zh-CN"/>
              </w:rPr>
              <w:t>8</w:t>
            </w:r>
            <w:r>
              <w:rPr>
                <w:rFonts w:hint="eastAsia"/>
                <w:b/>
                <w:bCs/>
                <w:color w:val="auto"/>
                <w:sz w:val="24"/>
              </w:rPr>
              <w:t>与山西省人民政府办公厅《关于印发山西省推进多式联运发展优化调整运输结构工作实施方案（2</w:t>
            </w:r>
            <w:r>
              <w:rPr>
                <w:rFonts w:hint="default"/>
                <w:b/>
                <w:bCs/>
                <w:color w:val="auto"/>
                <w:sz w:val="24"/>
              </w:rPr>
              <w:t>022-2025</w:t>
            </w:r>
            <w:r>
              <w:rPr>
                <w:rFonts w:hint="eastAsia"/>
                <w:b/>
                <w:bCs/>
                <w:color w:val="auto"/>
                <w:sz w:val="24"/>
              </w:rPr>
              <w:t>年）的通知》的符合性分析</w:t>
            </w:r>
          </w:p>
          <w:p w14:paraId="43CBC2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s="Times New Roman"/>
                <w:b/>
                <w:bCs/>
                <w:color w:val="auto"/>
                <w:kern w:val="0"/>
                <w:sz w:val="24"/>
                <w:highlight w:val="none"/>
                <w:lang w:val="en-US" w:eastAsia="zh-CN"/>
              </w:rPr>
            </w:pPr>
            <w:r>
              <w:rPr>
                <w:rFonts w:hint="eastAsia"/>
                <w:color w:val="auto"/>
                <w:sz w:val="24"/>
              </w:rPr>
              <w:t>20</w:t>
            </w:r>
            <w:r>
              <w:rPr>
                <w:rFonts w:hint="default"/>
                <w:color w:val="auto"/>
                <w:sz w:val="24"/>
              </w:rPr>
              <w:t>22</w:t>
            </w:r>
            <w:r>
              <w:rPr>
                <w:rFonts w:hint="eastAsia"/>
                <w:color w:val="auto"/>
                <w:sz w:val="24"/>
              </w:rPr>
              <w:t>年</w:t>
            </w:r>
            <w:r>
              <w:rPr>
                <w:rFonts w:hint="default"/>
                <w:color w:val="auto"/>
                <w:sz w:val="24"/>
              </w:rPr>
              <w:t>11</w:t>
            </w:r>
            <w:r>
              <w:rPr>
                <w:rFonts w:hint="eastAsia"/>
                <w:color w:val="auto"/>
                <w:sz w:val="24"/>
              </w:rPr>
              <w:t>月</w:t>
            </w:r>
            <w:r>
              <w:rPr>
                <w:rFonts w:hint="default"/>
                <w:color w:val="auto"/>
                <w:sz w:val="24"/>
              </w:rPr>
              <w:t>8</w:t>
            </w:r>
            <w:r>
              <w:rPr>
                <w:rFonts w:hint="eastAsia"/>
                <w:color w:val="auto"/>
                <w:sz w:val="24"/>
              </w:rPr>
              <w:t>日山西省人民政府办公厅晋政办发[20</w:t>
            </w:r>
            <w:r>
              <w:rPr>
                <w:rFonts w:hint="default"/>
                <w:color w:val="auto"/>
                <w:sz w:val="24"/>
              </w:rPr>
              <w:t>22</w:t>
            </w:r>
            <w:r>
              <w:rPr>
                <w:rFonts w:hint="eastAsia"/>
                <w:color w:val="auto"/>
                <w:sz w:val="24"/>
              </w:rPr>
              <w:t>]</w:t>
            </w:r>
            <w:r>
              <w:rPr>
                <w:rFonts w:hint="default"/>
                <w:color w:val="auto"/>
                <w:sz w:val="24"/>
              </w:rPr>
              <w:t>88</w:t>
            </w:r>
            <w:r>
              <w:rPr>
                <w:rFonts w:hint="eastAsia"/>
                <w:color w:val="auto"/>
                <w:sz w:val="24"/>
              </w:rPr>
              <w:t>号“关于印发山西省推进多式联运发展优化调整运输结构工作实施方案（2022-2025年）的通知”，文中提到：进一步加快运输结构调整，推动大宗物资“公转铁”，鼓励工矿企业等实施大宗货物公转铁”、“散改集”，中长距离运输时主要采用铁路运输，短距离运输时优先采用封闭式皮带廊道或新能源车。加快推动铁路专用线建设，新建或迁建煤炭、矿石、焦炭等大宗货物年运量150万吨以上的物流园区、工矿企业及粮食储备库等，原则上要接入铁路专用线或管道。推动太原、大同、临汾等无水港与沿海港口深度合作、联动发展，探索推广大宗固体废物公铁协同联运模式。</w:t>
            </w:r>
          </w:p>
          <w:p w14:paraId="5B9F86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s="Times New Roman"/>
                <w:b/>
                <w:bCs/>
                <w:color w:val="auto"/>
                <w:kern w:val="0"/>
                <w:sz w:val="24"/>
                <w:highlight w:val="none"/>
                <w:lang w:val="en-US" w:eastAsia="zh-CN"/>
              </w:rPr>
            </w:pPr>
            <w:r>
              <w:rPr>
                <w:rFonts w:hint="eastAsia"/>
                <w:color w:val="auto"/>
                <w:sz w:val="24"/>
              </w:rPr>
              <w:t>本项目利用煤炭开采、洗煤厂固废</w:t>
            </w:r>
            <w:r>
              <w:rPr>
                <w:rFonts w:hint="eastAsia"/>
                <w:color w:val="auto"/>
                <w:sz w:val="24"/>
                <w:lang w:val="en-US" w:eastAsia="zh-CN"/>
              </w:rPr>
              <w:t>煤矸</w:t>
            </w:r>
            <w:r>
              <w:rPr>
                <w:rFonts w:hint="eastAsia"/>
                <w:color w:val="auto"/>
                <w:sz w:val="24"/>
              </w:rPr>
              <w:t>石，节约天然资源，提高产业固体废物综合利用水平，属于废弃资源</w:t>
            </w:r>
            <w:r>
              <w:rPr>
                <w:rFonts w:hint="eastAsia"/>
                <w:color w:val="auto"/>
                <w:sz w:val="24"/>
                <w:lang w:val="en-US" w:eastAsia="zh-CN"/>
              </w:rPr>
              <w:t>综合</w:t>
            </w:r>
            <w:r>
              <w:rPr>
                <w:rFonts w:hint="eastAsia"/>
                <w:color w:val="auto"/>
                <w:sz w:val="24"/>
              </w:rPr>
              <w:t>利用，本质上不属于上述文件中提到的“新建或迁建煤炭、矿石、焦炭等项目”；本项目所用煤矸石主要来源于</w:t>
            </w:r>
            <w:r>
              <w:rPr>
                <w:rFonts w:hint="eastAsia"/>
                <w:color w:val="auto"/>
                <w:sz w:val="24"/>
                <w:lang w:val="en-US" w:eastAsia="zh-CN"/>
              </w:rPr>
              <w:t>厂区南侧约1.8km处的常村煤矿，</w:t>
            </w:r>
            <w:r>
              <w:rPr>
                <w:rFonts w:hint="eastAsia"/>
                <w:color w:val="auto"/>
                <w:sz w:val="24"/>
              </w:rPr>
              <w:t>属于短距离运输</w:t>
            </w:r>
            <w:r>
              <w:rPr>
                <w:rFonts w:hint="eastAsia"/>
                <w:color w:val="auto"/>
                <w:sz w:val="24"/>
                <w:lang w:eastAsia="zh-CN"/>
              </w:rPr>
              <w:t>，</w:t>
            </w:r>
            <w:r>
              <w:rPr>
                <w:rFonts w:hint="eastAsia"/>
                <w:color w:val="auto"/>
                <w:sz w:val="24"/>
                <w:szCs w:val="24"/>
                <w:highlight w:val="none"/>
                <w:lang w:val="en-US" w:eastAsia="zh-CN"/>
              </w:rPr>
              <w:t>由全封闭厢式车运至本项目原料堆放区</w:t>
            </w:r>
            <w:r>
              <w:rPr>
                <w:rFonts w:hint="eastAsia"/>
                <w:color w:val="auto"/>
                <w:sz w:val="24"/>
                <w:szCs w:val="24"/>
                <w:lang w:eastAsia="zh-CN"/>
              </w:rPr>
              <w:t>。</w:t>
            </w:r>
            <w:r>
              <w:rPr>
                <w:rFonts w:hint="eastAsia"/>
                <w:color w:val="auto"/>
                <w:sz w:val="24"/>
                <w:szCs w:val="24"/>
                <w:lang w:val="en-US" w:eastAsia="zh-CN"/>
              </w:rPr>
              <w:t>本项目年处理煤矸石30万吨，不涉及大宗物料运输，</w:t>
            </w:r>
            <w:r>
              <w:rPr>
                <w:rFonts w:hint="eastAsia"/>
                <w:color w:val="auto"/>
                <w:sz w:val="24"/>
              </w:rPr>
              <w:t>本项目符合“山西省推进多式联运发展优化调整运输结构工作实施方案（2022-2025年）的通知”要求。</w:t>
            </w:r>
          </w:p>
          <w:p w14:paraId="3E2468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eastAsia" w:cs="Times New Roman"/>
                <w:b/>
                <w:bCs/>
                <w:color w:val="auto"/>
                <w:kern w:val="0"/>
                <w:sz w:val="24"/>
                <w:highlight w:val="none"/>
                <w:lang w:val="en-US" w:eastAsia="zh-CN"/>
              </w:rPr>
            </w:pPr>
            <w:r>
              <w:rPr>
                <w:rFonts w:hint="eastAsia" w:cs="Times New Roman"/>
                <w:b/>
                <w:bCs/>
                <w:color w:val="auto"/>
                <w:kern w:val="0"/>
                <w:sz w:val="24"/>
                <w:szCs w:val="24"/>
                <w:highlight w:val="none"/>
                <w:lang w:val="en-US" w:eastAsia="zh-CN"/>
              </w:rPr>
              <w:t>1.3.</w:t>
            </w:r>
            <w:r>
              <w:rPr>
                <w:rFonts w:hint="eastAsia" w:cs="Times New Roman"/>
                <w:b/>
                <w:bCs/>
                <w:color w:val="auto"/>
                <w:kern w:val="0"/>
                <w:sz w:val="24"/>
                <w:highlight w:val="none"/>
                <w:lang w:val="en-US" w:eastAsia="zh-CN"/>
              </w:rPr>
              <w:t>9</w:t>
            </w:r>
            <w:r>
              <w:rPr>
                <w:rFonts w:hint="default"/>
                <w:b/>
                <w:bCs/>
                <w:color w:val="auto"/>
                <w:kern w:val="0"/>
                <w:sz w:val="24"/>
                <w:highlight w:val="none"/>
              </w:rPr>
              <w:t>与屯留区禁煤区符合性分析</w:t>
            </w:r>
          </w:p>
          <w:p w14:paraId="7DE19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highlight w:val="none"/>
              </w:rPr>
            </w:pPr>
            <w:r>
              <w:rPr>
                <w:rFonts w:hint="default"/>
                <w:color w:val="auto"/>
                <w:kern w:val="0"/>
                <w:sz w:val="24"/>
                <w:highlight w:val="none"/>
              </w:rPr>
              <w:t>根据《屯留县人民政府关于在麟绛县（县城建成区）、康庄工业区管理中心实施禁煤的通知》（屯政发[2017]72号），屯留区禁煤区相关规定为：</w:t>
            </w:r>
          </w:p>
          <w:p w14:paraId="20985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highlight w:val="none"/>
              </w:rPr>
            </w:pPr>
            <w:r>
              <w:rPr>
                <w:rFonts w:hint="default"/>
                <w:color w:val="auto"/>
                <w:kern w:val="0"/>
                <w:sz w:val="24"/>
                <w:highlight w:val="none"/>
              </w:rPr>
              <w:t>（1）麟绛镇（县城建成区）禁煤区域：北至绛河北岸，南至城际路，东至东环路、久安路，西至禹王路、金威佳园，包括麟绛镇西街、南街、东街、东脑、西堰、东堰、郭村7个行政村。</w:t>
            </w:r>
          </w:p>
          <w:p w14:paraId="1697D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（2）康庄工业区禁煤区域：常珍、康庄、高头寺、东史、西史、北栗、市泽、常金、驼坊、桃园、市泽庄11个行政村。</w:t>
            </w:r>
          </w:p>
          <w:p w14:paraId="2997E1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（3）禁煤对象：麟绛镇（县城建成区）、康庄工业区内所有党政机关、企事业单位和商业、服务业等10蒸吨及以下燃煤锅炉、所有居民的生产和生活用煤。</w:t>
            </w:r>
          </w:p>
          <w:p w14:paraId="5B4FF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（4）禁煤区内全面禁止经营、运输、使用燃煤，各类涉煤生产企业和经营单位必须停止生产和经营行为，将生产、经营场地迁移至禁煤区域以外。</w:t>
            </w:r>
          </w:p>
          <w:p w14:paraId="12606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根据《屯留县人民政府关于在麟绛县（县城建成区）、康庄工业区管理中心实施禁煤的通知》（屯政发[2017]72号）和《屯留县人民政府关于进一步扩大禁煤区范围的通知》（屯政发[2018]53号），屯留区禁煤区相关规定为：</w:t>
            </w:r>
          </w:p>
          <w:p w14:paraId="56FD4C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1）麟绛镇禁煤区域：在原屯留县人民政府《关于在麟绛镇（县城建成区）、康庄工业区管理中心禁煤的通告》（屯政通字[2017]5号）7个行政村禁煤区的基础上，进一步扩大禁煤区范围，包括：东藕、中藕、西藕、堰漕、水泉、沙庄、刘家坪、西莲、河北脑、西河北、东河北11个行政村。</w:t>
            </w:r>
          </w:p>
          <w:p w14:paraId="07ED24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（2）上村镇禁煤区域：上村村。</w:t>
            </w:r>
          </w:p>
          <w:p w14:paraId="0BA57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（3）渔泽镇禁煤区域：东古、南渔泽、北渔泽、崔蒙、顾车5个行政村。</w:t>
            </w:r>
          </w:p>
          <w:p w14:paraId="7A249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（4）李高乡禁煤区域</w:t>
            </w:r>
            <w:r>
              <w:rPr>
                <w:rFonts w:hint="eastAsia"/>
                <w:color w:val="auto"/>
                <w:kern w:val="0"/>
                <w:sz w:val="24"/>
                <w:lang w:eastAsia="zh-CN"/>
              </w:rPr>
              <w:t>：</w:t>
            </w:r>
            <w:r>
              <w:rPr>
                <w:rFonts w:hint="default"/>
                <w:color w:val="auto"/>
                <w:kern w:val="0"/>
                <w:sz w:val="24"/>
              </w:rPr>
              <w:t>东李高、西李高、下李高、东六余、西六余、王公庄、古城沟、东魏村8个行政村。</w:t>
            </w:r>
          </w:p>
          <w:p w14:paraId="7169E0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（5）禁煤对象：麟绛镇、上村镇、渔泽镇、李高乡涉及清洁取暖区域内的所有党政机关、企事业单位和商业、服务业等10蒸吨及以下燃煤锅炉、所有居民的生产和生活用煤。</w:t>
            </w:r>
          </w:p>
          <w:p w14:paraId="2FDF6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color w:val="auto"/>
                <w:kern w:val="0"/>
                <w:sz w:val="24"/>
              </w:rPr>
              <w:t>（6）禁煤区范围内除煤电、集中供热和原料用煤企业外，全面禁止经营、运输、使用燃煤，各类涉煤生产企业和经营单位必须停止生产和经营行为，将生产、经营场地迁移至禁煤区域以外。</w:t>
            </w:r>
          </w:p>
          <w:p w14:paraId="3D5B3B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kern w:val="0"/>
                <w:sz w:val="24"/>
              </w:rPr>
            </w:pPr>
            <w:r>
              <w:rPr>
                <w:rFonts w:hint="default" w:hAnsi="宋体"/>
                <w:b w:val="0"/>
                <w:bCs/>
                <w:color w:val="auto"/>
                <w:kern w:val="0"/>
                <w:sz w:val="24"/>
              </w:rPr>
              <w:t>本</w:t>
            </w:r>
            <w:r>
              <w:rPr>
                <w:rFonts w:hint="eastAsia" w:hAnsi="宋体"/>
                <w:b w:val="0"/>
                <w:bCs/>
                <w:color w:val="auto"/>
                <w:kern w:val="0"/>
                <w:sz w:val="24"/>
              </w:rPr>
              <w:t>项目</w:t>
            </w:r>
            <w:r>
              <w:rPr>
                <w:rFonts w:hint="eastAsia"/>
                <w:b w:val="0"/>
                <w:bCs/>
                <w:color w:val="auto"/>
                <w:sz w:val="24"/>
              </w:rPr>
              <w:t>位于</w:t>
            </w:r>
            <w:r>
              <w:rPr>
                <w:rFonts w:hint="default" w:ascii="Times New Roman" w:hAnsi="Times New Roman" w:eastAsia="宋体" w:cs="Times New Roman"/>
                <w:color w:val="auto"/>
                <w:sz w:val="24"/>
                <w:szCs w:val="24"/>
                <w:highlight w:val="none"/>
                <w:lang w:val="en-US" w:eastAsia="zh-CN"/>
              </w:rPr>
              <w:t>山西省长治市屯留区路村乡常西村西</w:t>
            </w:r>
            <w:r>
              <w:rPr>
                <w:rFonts w:hint="eastAsia" w:cs="Times New Roman"/>
                <w:color w:val="auto"/>
                <w:sz w:val="24"/>
                <w:szCs w:val="24"/>
                <w:highlight w:val="none"/>
                <w:lang w:val="en-US" w:eastAsia="zh-CN"/>
              </w:rPr>
              <w:t>，</w:t>
            </w:r>
            <w:r>
              <w:rPr>
                <w:rFonts w:hint="eastAsia"/>
                <w:color w:val="auto"/>
                <w:kern w:val="0"/>
                <w:sz w:val="24"/>
              </w:rPr>
              <w:t>不在上述屯留区禁煤区范围内</w:t>
            </w:r>
            <w:r>
              <w:rPr>
                <w:rFonts w:hint="eastAsia"/>
                <w:color w:val="auto"/>
                <w:kern w:val="0"/>
                <w:sz w:val="24"/>
                <w:lang w:eastAsia="zh-CN"/>
              </w:rPr>
              <w:t>，</w:t>
            </w:r>
            <w:r>
              <w:rPr>
                <w:rFonts w:hint="eastAsia"/>
                <w:color w:val="auto"/>
                <w:kern w:val="0"/>
                <w:sz w:val="24"/>
              </w:rPr>
              <w:t>屯留区禁煤区划分示意图见附图1</w:t>
            </w:r>
            <w:r>
              <w:rPr>
                <w:rFonts w:hint="eastAsia"/>
                <w:color w:val="auto"/>
                <w:kern w:val="0"/>
                <w:sz w:val="24"/>
                <w:lang w:val="en-US" w:eastAsia="zh-CN"/>
              </w:rPr>
              <w:t>2</w:t>
            </w:r>
            <w:r>
              <w:rPr>
                <w:rFonts w:hint="default"/>
                <w:color w:val="auto"/>
                <w:kern w:val="0"/>
                <w:sz w:val="24"/>
              </w:rPr>
              <w:t>。</w:t>
            </w:r>
          </w:p>
          <w:p w14:paraId="23CA9D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eastAsia="宋体"/>
                <w:b/>
                <w:bCs/>
                <w:color w:val="auto"/>
                <w:sz w:val="24"/>
                <w:szCs w:val="21"/>
                <w:lang w:val="en-US" w:eastAsia="zh-CN"/>
              </w:rPr>
            </w:pPr>
            <w:r>
              <w:rPr>
                <w:rFonts w:hint="eastAsia" w:cs="Times New Roman"/>
                <w:b/>
                <w:bCs/>
                <w:color w:val="auto"/>
                <w:kern w:val="0"/>
                <w:sz w:val="24"/>
                <w:szCs w:val="24"/>
                <w:highlight w:val="none"/>
                <w:lang w:val="en-US" w:eastAsia="zh-CN"/>
              </w:rPr>
              <w:t>1.3.</w:t>
            </w:r>
            <w:r>
              <w:rPr>
                <w:rFonts w:hint="eastAsia" w:cs="Times New Roman"/>
                <w:b/>
                <w:bCs/>
                <w:color w:val="auto"/>
                <w:kern w:val="0"/>
                <w:sz w:val="24"/>
                <w:highlight w:val="none"/>
                <w:lang w:val="en-US" w:eastAsia="zh-CN"/>
              </w:rPr>
              <w:t>10</w:t>
            </w:r>
            <w:r>
              <w:rPr>
                <w:rFonts w:hint="eastAsia"/>
                <w:b/>
                <w:bCs/>
                <w:color w:val="auto"/>
                <w:sz w:val="24"/>
              </w:rPr>
              <w:t>选址可行性分析</w:t>
            </w:r>
          </w:p>
          <w:p w14:paraId="310FF1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本项目为利用煤矸石生产机制</w:t>
            </w:r>
            <w:r>
              <w:rPr>
                <w:rFonts w:hint="eastAsia"/>
                <w:color w:val="auto"/>
                <w:sz w:val="24"/>
                <w:lang w:val="en-US" w:eastAsia="zh-CN"/>
              </w:rPr>
              <w:t>砂石骨料</w:t>
            </w:r>
            <w:r>
              <w:rPr>
                <w:rFonts w:hint="eastAsia"/>
                <w:color w:val="auto"/>
                <w:sz w:val="24"/>
              </w:rPr>
              <w:t>，选址位于</w:t>
            </w:r>
            <w:r>
              <w:rPr>
                <w:rFonts w:hint="eastAsia"/>
                <w:b w:val="0"/>
                <w:bCs/>
                <w:color w:val="auto"/>
                <w:sz w:val="24"/>
              </w:rPr>
              <w:t>位于</w:t>
            </w:r>
            <w:r>
              <w:rPr>
                <w:rFonts w:hint="default" w:ascii="Times New Roman" w:hAnsi="Times New Roman" w:eastAsia="宋体" w:cs="Times New Roman"/>
                <w:color w:val="auto"/>
                <w:sz w:val="24"/>
                <w:szCs w:val="24"/>
                <w:highlight w:val="none"/>
                <w:lang w:val="en-US" w:eastAsia="zh-CN"/>
              </w:rPr>
              <w:t>山西省长治市屯留区路村乡常西村西</w:t>
            </w:r>
            <w:r>
              <w:rPr>
                <w:rFonts w:hint="eastAsia" w:cs="Times New Roman"/>
                <w:color w:val="auto"/>
                <w:sz w:val="24"/>
                <w:szCs w:val="24"/>
                <w:highlight w:val="none"/>
                <w:lang w:val="en-US" w:eastAsia="zh-CN"/>
              </w:rPr>
              <w:t>，</w:t>
            </w:r>
            <w:r>
              <w:rPr>
                <w:rFonts w:hint="eastAsia"/>
                <w:color w:val="auto"/>
                <w:sz w:val="24"/>
                <w:lang w:val="en-US" w:eastAsia="zh-CN"/>
              </w:rPr>
              <w:t>占地类型为工业</w:t>
            </w:r>
            <w:r>
              <w:rPr>
                <w:rFonts w:hint="eastAsia"/>
                <w:color w:val="auto"/>
                <w:sz w:val="24"/>
              </w:rPr>
              <w:t>用地。</w:t>
            </w:r>
          </w:p>
          <w:p w14:paraId="7EA15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根据前述分析可知，本项目选址符合</w:t>
            </w:r>
            <w:r>
              <w:rPr>
                <w:rFonts w:hint="eastAsia"/>
                <w:color w:val="auto"/>
                <w:sz w:val="24"/>
                <w:lang w:val="en-US" w:eastAsia="zh-CN"/>
              </w:rPr>
              <w:t>生态环境分区</w:t>
            </w:r>
            <w:r>
              <w:rPr>
                <w:rFonts w:hint="eastAsia"/>
                <w:color w:val="auto"/>
                <w:sz w:val="24"/>
              </w:rPr>
              <w:t>的管控要求，不涉及集中式饮用水水源保护区、准保护区，符合当地国土空间总体规划，场地不与辛安泉域重点保护区重叠。本项目不属于高污染、高耗水、高耗能项目，且项目运营期无废水外排，固废收集后合理处置，大气污染物主要为颗粒物，严格采取环评要求的环保措施后，可达标排放，对区域环境空气及敏感目标影响较小。</w:t>
            </w:r>
          </w:p>
          <w:p w14:paraId="408C3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rPr>
            </w:pPr>
            <w:r>
              <w:rPr>
                <w:rFonts w:hint="eastAsia"/>
                <w:color w:val="auto"/>
                <w:sz w:val="24"/>
              </w:rPr>
              <w:t>综上所述，本项目选址、规模、性质符合国家和山西省有关环境保护法律法规、标准、政策、规范，本项目选址可行。</w:t>
            </w:r>
          </w:p>
          <w:p w14:paraId="24FC6C56">
            <w:pPr>
              <w:keepNext w:val="0"/>
              <w:keepLines w:val="0"/>
              <w:suppressLineNumbers w:val="0"/>
              <w:bidi w:val="0"/>
              <w:spacing w:before="0" w:beforeAutospacing="0" w:after="0" w:afterAutospacing="0"/>
              <w:ind w:left="0" w:right="0"/>
              <w:rPr>
                <w:rFonts w:hint="eastAsia"/>
                <w:color w:val="auto"/>
                <w:lang w:eastAsia="zh-CN"/>
              </w:rPr>
            </w:pPr>
          </w:p>
          <w:p w14:paraId="3D6A57A8">
            <w:pPr>
              <w:keepNext w:val="0"/>
              <w:keepLines w:val="0"/>
              <w:suppressLineNumbers w:val="0"/>
              <w:bidi w:val="0"/>
              <w:spacing w:before="0" w:beforeAutospacing="0" w:after="0" w:afterAutospacing="0"/>
              <w:ind w:left="0" w:right="0"/>
              <w:rPr>
                <w:rFonts w:hint="eastAsia"/>
                <w:color w:val="auto"/>
                <w:lang w:eastAsia="zh-CN"/>
              </w:rPr>
            </w:pPr>
          </w:p>
          <w:p w14:paraId="2C4ADB4B">
            <w:pPr>
              <w:keepNext w:val="0"/>
              <w:keepLines w:val="0"/>
              <w:suppressLineNumbers w:val="0"/>
              <w:bidi w:val="0"/>
              <w:spacing w:before="0" w:beforeAutospacing="0" w:after="0" w:afterAutospacing="0"/>
              <w:ind w:left="0" w:right="0"/>
              <w:rPr>
                <w:rFonts w:hint="eastAsia"/>
                <w:color w:val="auto"/>
                <w:lang w:eastAsia="zh-CN"/>
              </w:rPr>
            </w:pPr>
          </w:p>
          <w:p w14:paraId="170D2CBF">
            <w:pPr>
              <w:pStyle w:val="17"/>
              <w:keepNext w:val="0"/>
              <w:keepLines w:val="0"/>
              <w:suppressLineNumbers w:val="0"/>
              <w:spacing w:before="0" w:beforeAutospacing="0" w:after="0" w:afterAutospacing="0"/>
              <w:ind w:left="0" w:right="0"/>
              <w:rPr>
                <w:rFonts w:hint="eastAsia"/>
                <w:color w:val="auto"/>
                <w:lang w:eastAsia="zh-CN"/>
              </w:rPr>
            </w:pPr>
          </w:p>
          <w:p w14:paraId="6DA90D0E">
            <w:pPr>
              <w:keepNext w:val="0"/>
              <w:keepLines w:val="0"/>
              <w:suppressLineNumbers w:val="0"/>
              <w:spacing w:before="0" w:beforeAutospacing="0" w:after="0" w:afterAutospacing="0"/>
              <w:ind w:left="0" w:right="0"/>
              <w:rPr>
                <w:rFonts w:hint="eastAsia"/>
                <w:color w:val="auto"/>
                <w:lang w:eastAsia="zh-CN"/>
              </w:rPr>
            </w:pPr>
          </w:p>
          <w:p w14:paraId="000621A9">
            <w:pPr>
              <w:pStyle w:val="17"/>
              <w:keepNext w:val="0"/>
              <w:keepLines w:val="0"/>
              <w:suppressLineNumbers w:val="0"/>
              <w:spacing w:before="0" w:beforeAutospacing="0" w:after="0" w:afterAutospacing="0"/>
              <w:ind w:left="0" w:right="0"/>
              <w:rPr>
                <w:rFonts w:hint="eastAsia"/>
                <w:color w:val="auto"/>
                <w:lang w:eastAsia="zh-CN"/>
              </w:rPr>
            </w:pPr>
          </w:p>
          <w:p w14:paraId="69255B22">
            <w:pPr>
              <w:keepNext w:val="0"/>
              <w:keepLines w:val="0"/>
              <w:suppressLineNumbers w:val="0"/>
              <w:spacing w:before="0" w:beforeAutospacing="0" w:after="0" w:afterAutospacing="0"/>
              <w:ind w:left="0" w:right="0"/>
              <w:rPr>
                <w:rFonts w:hint="eastAsia"/>
                <w:color w:val="auto"/>
                <w:lang w:eastAsia="zh-CN"/>
              </w:rPr>
            </w:pPr>
          </w:p>
          <w:p w14:paraId="2FC46868">
            <w:pPr>
              <w:pStyle w:val="17"/>
              <w:keepNext w:val="0"/>
              <w:keepLines w:val="0"/>
              <w:suppressLineNumbers w:val="0"/>
              <w:spacing w:before="0" w:beforeAutospacing="0" w:after="0" w:afterAutospacing="0"/>
              <w:ind w:left="0" w:right="0"/>
              <w:rPr>
                <w:rFonts w:hint="eastAsia"/>
                <w:color w:val="auto"/>
                <w:lang w:eastAsia="zh-CN"/>
              </w:rPr>
            </w:pPr>
          </w:p>
          <w:p w14:paraId="549640ED">
            <w:pPr>
              <w:keepNext w:val="0"/>
              <w:keepLines w:val="0"/>
              <w:suppressLineNumbers w:val="0"/>
              <w:bidi w:val="0"/>
              <w:spacing w:before="0" w:beforeAutospacing="0" w:after="0" w:afterAutospacing="0"/>
              <w:ind w:left="0" w:right="0"/>
              <w:rPr>
                <w:rFonts w:hint="eastAsia"/>
                <w:color w:val="auto"/>
                <w:lang w:eastAsia="zh-CN"/>
              </w:rPr>
            </w:pPr>
          </w:p>
          <w:p w14:paraId="333EE9BF">
            <w:pPr>
              <w:keepNext w:val="0"/>
              <w:keepLines w:val="0"/>
              <w:suppressLineNumbers w:val="0"/>
              <w:bidi w:val="0"/>
              <w:spacing w:before="0" w:beforeAutospacing="0" w:after="0" w:afterAutospacing="0"/>
              <w:ind w:left="0" w:right="0"/>
              <w:rPr>
                <w:rFonts w:hint="eastAsia"/>
                <w:color w:val="auto"/>
              </w:rPr>
            </w:pPr>
          </w:p>
          <w:p w14:paraId="30338E3F">
            <w:pPr>
              <w:keepNext w:val="0"/>
              <w:keepLines w:val="0"/>
              <w:suppressLineNumbers w:val="0"/>
              <w:bidi w:val="0"/>
              <w:spacing w:before="0" w:beforeAutospacing="0" w:after="0" w:afterAutospacing="0"/>
              <w:ind w:left="0" w:right="0"/>
              <w:rPr>
                <w:rFonts w:hint="eastAsia"/>
                <w:color w:val="auto"/>
              </w:rPr>
            </w:pPr>
          </w:p>
          <w:p w14:paraId="1D112BAD">
            <w:pPr>
              <w:keepNext w:val="0"/>
              <w:keepLines w:val="0"/>
              <w:suppressLineNumbers w:val="0"/>
              <w:bidi w:val="0"/>
              <w:spacing w:before="0" w:beforeAutospacing="0" w:after="0" w:afterAutospacing="0"/>
              <w:ind w:left="0" w:right="0"/>
              <w:rPr>
                <w:rFonts w:hint="eastAsia"/>
                <w:color w:val="auto"/>
              </w:rPr>
            </w:pPr>
          </w:p>
          <w:p w14:paraId="2645E731">
            <w:pPr>
              <w:keepNext w:val="0"/>
              <w:keepLines w:val="0"/>
              <w:suppressLineNumbers w:val="0"/>
              <w:bidi w:val="0"/>
              <w:spacing w:before="0" w:beforeAutospacing="0" w:after="0" w:afterAutospacing="0"/>
              <w:ind w:left="0" w:right="0"/>
              <w:rPr>
                <w:rFonts w:hint="default"/>
                <w:color w:val="auto"/>
                <w:lang w:val="en-US" w:eastAsia="zh-CN"/>
              </w:rPr>
            </w:pPr>
          </w:p>
          <w:p w14:paraId="636E8F6F">
            <w:pPr>
              <w:keepNext w:val="0"/>
              <w:keepLines w:val="0"/>
              <w:pageBreakBefore w:val="0"/>
              <w:widowControl w:val="0"/>
              <w:suppressLineNumbers w:val="0"/>
              <w:kinsoku/>
              <w:wordWrap/>
              <w:overflowPunct/>
              <w:topLinePunct w:val="0"/>
              <w:autoSpaceDE/>
              <w:autoSpaceDN/>
              <w:bidi w:val="0"/>
              <w:spacing w:before="0" w:beforeAutospacing="0" w:after="0" w:afterAutospacing="0"/>
              <w:ind w:left="0" w:right="0"/>
              <w:textAlignment w:val="auto"/>
              <w:rPr>
                <w:rFonts w:hint="default"/>
                <w:color w:val="auto"/>
                <w:lang w:val="en-US" w:eastAsia="zh-CN"/>
              </w:rPr>
            </w:pPr>
          </w:p>
        </w:tc>
      </w:tr>
    </w:tbl>
    <w:p w14:paraId="38CA6AE1">
      <w:pPr>
        <w:rPr>
          <w:color w:val="auto"/>
          <w:highlight w:val="none"/>
        </w:rPr>
        <w:sectPr>
          <w:headerReference r:id="rId4" w:type="default"/>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D2546A2">
      <w:pPr>
        <w:pStyle w:val="22"/>
        <w:jc w:val="center"/>
        <w:outlineLvl w:val="0"/>
        <w:rPr>
          <w:rFonts w:hint="default" w:ascii="Times New Roman" w:hAnsi="Times New Roman" w:eastAsia="黑体" w:cs="Times New Roman"/>
          <w:snapToGrid w:val="0"/>
          <w:color w:val="auto"/>
          <w:sz w:val="30"/>
          <w:szCs w:val="30"/>
          <w:highlight w:val="none"/>
        </w:rPr>
      </w:pPr>
      <w:bookmarkStart w:id="8" w:name="_Toc21071"/>
      <w:r>
        <w:rPr>
          <w:rFonts w:hint="default" w:ascii="Times New Roman" w:hAnsi="Times New Roman" w:eastAsia="黑体" w:cs="Times New Roman"/>
          <w:snapToGrid w:val="0"/>
          <w:color w:val="auto"/>
          <w:sz w:val="30"/>
          <w:szCs w:val="30"/>
          <w:highlight w:val="none"/>
        </w:rPr>
        <w:t>二、建设项目工程分析</w:t>
      </w:r>
      <w:bookmarkEnd w:id="8"/>
    </w:p>
    <w:tbl>
      <w:tblPr>
        <w:tblStyle w:val="27"/>
        <w:tblW w:w="93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3"/>
        <w:gridCol w:w="8802"/>
      </w:tblGrid>
      <w:tr w14:paraId="47B6B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13" w:type="dxa"/>
            <w:tcBorders>
              <w:tl2br w:val="nil"/>
              <w:tr2bl w:val="nil"/>
            </w:tcBorders>
            <w:vAlign w:val="center"/>
          </w:tcPr>
          <w:p w14:paraId="2FC525E8">
            <w:pPr>
              <w:pStyle w:val="22"/>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pacing w:val="0"/>
                <w:sz w:val="21"/>
                <w:szCs w:val="21"/>
                <w:highlight w:val="none"/>
              </w:rPr>
            </w:pPr>
            <w:r>
              <w:rPr>
                <w:rFonts w:hint="default" w:ascii="Times New Roman" w:hAnsi="Times New Roman" w:cs="Times New Roman"/>
                <w:b/>
                <w:bCs/>
                <w:color w:val="auto"/>
                <w:spacing w:val="0"/>
                <w:sz w:val="21"/>
                <w:szCs w:val="21"/>
                <w:highlight w:val="none"/>
              </w:rPr>
              <w:t>建设内容</w:t>
            </w:r>
          </w:p>
        </w:tc>
        <w:tc>
          <w:tcPr>
            <w:tcW w:w="8802" w:type="dxa"/>
            <w:tcBorders>
              <w:tl2br w:val="nil"/>
              <w:tr2bl w:val="nil"/>
            </w:tcBorders>
          </w:tcPr>
          <w:p w14:paraId="0FC481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2.1</w:t>
            </w:r>
            <w:r>
              <w:rPr>
                <w:rFonts w:hint="default" w:cs="Times New Roman"/>
                <w:b/>
                <w:bCs w:val="0"/>
                <w:color w:val="auto"/>
                <w:spacing w:val="0"/>
                <w:sz w:val="24"/>
                <w:szCs w:val="24"/>
                <w:highlight w:val="none"/>
                <w:lang w:val="en-US" w:eastAsia="zh-CN"/>
              </w:rPr>
              <w:t>工程组成</w:t>
            </w:r>
          </w:p>
          <w:p w14:paraId="27CDB57C">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s="Times New Roman"/>
                <w:color w:val="auto"/>
                <w:spacing w:val="0"/>
                <w:sz w:val="24"/>
                <w:szCs w:val="20"/>
                <w:highlight w:val="none"/>
                <w:lang w:val="en-US" w:eastAsia="zh-CN"/>
              </w:rPr>
            </w:pPr>
            <w:r>
              <w:rPr>
                <w:rFonts w:hint="eastAsia" w:cs="Times New Roman"/>
                <w:color w:val="auto"/>
                <w:spacing w:val="0"/>
                <w:sz w:val="24"/>
                <w:szCs w:val="20"/>
                <w:highlight w:val="none"/>
                <w:lang w:val="en-US" w:eastAsia="zh-CN"/>
              </w:rPr>
              <w:t>本</w:t>
            </w:r>
            <w:r>
              <w:rPr>
                <w:rFonts w:hint="default" w:ascii="Times New Roman" w:hAnsi="Times New Roman" w:eastAsia="宋体" w:cs="Times New Roman"/>
                <w:color w:val="auto"/>
                <w:spacing w:val="0"/>
                <w:sz w:val="24"/>
                <w:szCs w:val="20"/>
                <w:highlight w:val="none"/>
                <w:lang w:val="en-US" w:eastAsia="zh-CN"/>
              </w:rPr>
              <w:t>项目组成</w:t>
            </w:r>
            <w:r>
              <w:rPr>
                <w:rFonts w:hint="default" w:ascii="Times New Roman" w:hAnsi="Times New Roman" w:eastAsia="宋体" w:cs="Times New Roman"/>
                <w:color w:val="auto"/>
                <w:spacing w:val="0"/>
                <w:sz w:val="24"/>
                <w:szCs w:val="20"/>
                <w:highlight w:val="none"/>
              </w:rPr>
              <w:t>内容见表</w:t>
            </w:r>
            <w:r>
              <w:rPr>
                <w:rFonts w:hint="default" w:ascii="Times New Roman" w:hAnsi="Times New Roman" w:eastAsia="宋体" w:cs="Times New Roman"/>
                <w:color w:val="auto"/>
                <w:spacing w:val="0"/>
                <w:sz w:val="24"/>
                <w:szCs w:val="20"/>
                <w:highlight w:val="none"/>
                <w:lang w:val="en-US" w:eastAsia="zh-CN"/>
              </w:rPr>
              <w:t>2</w:t>
            </w:r>
            <w:r>
              <w:rPr>
                <w:rFonts w:hint="eastAsia" w:cs="Times New Roman"/>
                <w:color w:val="auto"/>
                <w:spacing w:val="0"/>
                <w:sz w:val="24"/>
                <w:szCs w:val="20"/>
                <w:highlight w:val="none"/>
                <w:lang w:val="en-US" w:eastAsia="zh-CN"/>
              </w:rPr>
              <w:t>.1</w:t>
            </w:r>
            <w:r>
              <w:rPr>
                <w:rFonts w:hint="default" w:ascii="Times New Roman" w:hAnsi="Times New Roman" w:eastAsia="宋体" w:cs="Times New Roman"/>
                <w:color w:val="auto"/>
                <w:spacing w:val="0"/>
                <w:sz w:val="24"/>
                <w:szCs w:val="20"/>
                <w:highlight w:val="none"/>
              </w:rPr>
              <w:t>-1</w:t>
            </w:r>
            <w:r>
              <w:rPr>
                <w:rFonts w:hint="eastAsia" w:cs="Times New Roman"/>
                <w:color w:val="auto"/>
                <w:spacing w:val="0"/>
                <w:sz w:val="24"/>
                <w:szCs w:val="20"/>
                <w:highlight w:val="none"/>
                <w:lang w:val="en-US" w:eastAsia="zh-CN"/>
              </w:rPr>
              <w:t>。</w:t>
            </w:r>
          </w:p>
          <w:p w14:paraId="1F49F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iCs/>
                <w:snapToGrid w:val="0"/>
                <w:color w:val="auto"/>
                <w:spacing w:val="0"/>
                <w:kern w:val="0"/>
                <w:sz w:val="21"/>
                <w:szCs w:val="21"/>
                <w:highlight w:val="none"/>
                <w:lang w:val="en-US" w:eastAsia="zh-CN" w:bidi="ar-SA"/>
              </w:rPr>
            </w:pPr>
            <w:r>
              <w:rPr>
                <w:rFonts w:hint="default" w:ascii="Times New Roman" w:hAnsi="Times New Roman" w:eastAsia="宋体" w:cs="Times New Roman"/>
                <w:b/>
                <w:bCs/>
                <w:iCs/>
                <w:snapToGrid w:val="0"/>
                <w:color w:val="auto"/>
                <w:spacing w:val="0"/>
                <w:kern w:val="0"/>
                <w:sz w:val="21"/>
                <w:szCs w:val="21"/>
                <w:highlight w:val="none"/>
                <w:lang w:val="en-US" w:eastAsia="zh-CN" w:bidi="ar-SA"/>
              </w:rPr>
              <w:t>表2.</w:t>
            </w:r>
            <w:r>
              <w:rPr>
                <w:rFonts w:hint="eastAsia" w:cs="Times New Roman"/>
                <w:b/>
                <w:bCs/>
                <w:iCs/>
                <w:snapToGrid w:val="0"/>
                <w:color w:val="auto"/>
                <w:spacing w:val="0"/>
                <w:kern w:val="0"/>
                <w:sz w:val="21"/>
                <w:szCs w:val="21"/>
                <w:highlight w:val="none"/>
                <w:lang w:val="en-US" w:eastAsia="zh-CN" w:bidi="ar-SA"/>
              </w:rPr>
              <w:t>1</w:t>
            </w:r>
            <w:r>
              <w:rPr>
                <w:rFonts w:hint="default" w:ascii="Times New Roman" w:hAnsi="Times New Roman" w:eastAsia="宋体" w:cs="Times New Roman"/>
                <w:b/>
                <w:bCs/>
                <w:iCs/>
                <w:snapToGrid w:val="0"/>
                <w:color w:val="auto"/>
                <w:spacing w:val="0"/>
                <w:kern w:val="0"/>
                <w:sz w:val="21"/>
                <w:szCs w:val="21"/>
                <w:highlight w:val="none"/>
                <w:lang w:val="en-US" w:eastAsia="zh-CN" w:bidi="ar-SA"/>
              </w:rPr>
              <w:t>-1  工程主要建设内容一览表</w:t>
            </w:r>
          </w:p>
          <w:tbl>
            <w:tblPr>
              <w:tblStyle w:val="28"/>
              <w:tblW w:w="8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5"/>
              <w:gridCol w:w="432"/>
              <w:gridCol w:w="1005"/>
              <w:gridCol w:w="36"/>
              <w:gridCol w:w="5767"/>
              <w:gridCol w:w="909"/>
            </w:tblGrid>
            <w:tr w14:paraId="02E3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tcBorders>
                    <w:tl2br w:val="nil"/>
                    <w:tr2bl w:val="nil"/>
                  </w:tcBorders>
                  <w:vAlign w:val="center"/>
                </w:tcPr>
                <w:p w14:paraId="68A5A1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b/>
                      <w:bCs/>
                      <w:color w:val="auto"/>
                      <w:spacing w:val="0"/>
                      <w:sz w:val="21"/>
                      <w:szCs w:val="21"/>
                      <w:highlight w:val="none"/>
                    </w:rPr>
                    <w:t>类别</w:t>
                  </w:r>
                </w:p>
              </w:tc>
              <w:tc>
                <w:tcPr>
                  <w:tcW w:w="829" w:type="pct"/>
                  <w:gridSpan w:val="2"/>
                  <w:tcBorders>
                    <w:tl2br w:val="nil"/>
                    <w:tr2bl w:val="nil"/>
                  </w:tcBorders>
                  <w:vAlign w:val="center"/>
                </w:tcPr>
                <w:p w14:paraId="6D2C9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b/>
                      <w:bCs/>
                      <w:color w:val="auto"/>
                      <w:spacing w:val="0"/>
                      <w:sz w:val="21"/>
                      <w:szCs w:val="21"/>
                      <w:highlight w:val="none"/>
                      <w:lang w:val="en-US" w:eastAsia="zh-CN"/>
                    </w:rPr>
                    <w:t>项目</w:t>
                  </w:r>
                </w:p>
              </w:tc>
              <w:tc>
                <w:tcPr>
                  <w:tcW w:w="3348" w:type="pct"/>
                  <w:gridSpan w:val="2"/>
                  <w:tcBorders>
                    <w:tl2br w:val="nil"/>
                    <w:tr2bl w:val="nil"/>
                  </w:tcBorders>
                  <w:vAlign w:val="center"/>
                </w:tcPr>
                <w:p w14:paraId="1360B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b/>
                      <w:bCs/>
                      <w:color w:val="auto"/>
                      <w:spacing w:val="0"/>
                      <w:sz w:val="21"/>
                      <w:szCs w:val="21"/>
                      <w:highlight w:val="none"/>
                    </w:rPr>
                    <w:t>建设内容</w:t>
                  </w:r>
                </w:p>
              </w:tc>
              <w:tc>
                <w:tcPr>
                  <w:tcW w:w="524" w:type="pct"/>
                  <w:tcBorders>
                    <w:tl2br w:val="nil"/>
                    <w:tr2bl w:val="nil"/>
                  </w:tcBorders>
                  <w:vAlign w:val="center"/>
                </w:tcPr>
                <w:p w14:paraId="22C18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b/>
                      <w:bCs/>
                      <w:color w:val="auto"/>
                      <w:spacing w:val="0"/>
                      <w:sz w:val="21"/>
                      <w:szCs w:val="21"/>
                      <w:highlight w:val="none"/>
                    </w:rPr>
                    <w:t>备注</w:t>
                  </w:r>
                </w:p>
              </w:tc>
            </w:tr>
            <w:tr w14:paraId="04E2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tcBorders>
                    <w:tl2br w:val="nil"/>
                    <w:tr2bl w:val="nil"/>
                  </w:tcBorders>
                  <w:vAlign w:val="center"/>
                </w:tcPr>
                <w:p w14:paraId="575EA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b w:val="0"/>
                      <w:bCs w:val="0"/>
                      <w:color w:val="auto"/>
                      <w:spacing w:val="0"/>
                      <w:sz w:val="21"/>
                      <w:szCs w:val="21"/>
                      <w:highlight w:val="none"/>
                    </w:rPr>
                    <w:t>主体工程</w:t>
                  </w:r>
                </w:p>
              </w:tc>
              <w:tc>
                <w:tcPr>
                  <w:tcW w:w="829" w:type="pct"/>
                  <w:gridSpan w:val="2"/>
                  <w:tcBorders>
                    <w:tl2br w:val="nil"/>
                    <w:tr2bl w:val="nil"/>
                  </w:tcBorders>
                  <w:vAlign w:val="center"/>
                </w:tcPr>
                <w:p w14:paraId="0BF0BE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ascii="Times New Roman" w:hAnsi="Times New Roman" w:eastAsia="宋体" w:cs="Times New Roman"/>
                      <w:b w:val="0"/>
                      <w:bCs w:val="0"/>
                      <w:color w:val="auto"/>
                      <w:spacing w:val="0"/>
                      <w:sz w:val="21"/>
                      <w:szCs w:val="21"/>
                      <w:highlight w:val="none"/>
                      <w:lang w:val="en-US" w:eastAsia="zh-CN"/>
                    </w:rPr>
                    <w:t>生产车间</w:t>
                  </w:r>
                </w:p>
              </w:tc>
              <w:tc>
                <w:tcPr>
                  <w:tcW w:w="3348" w:type="pct"/>
                  <w:gridSpan w:val="2"/>
                  <w:tcBorders>
                    <w:tl2br w:val="nil"/>
                    <w:tr2bl w:val="nil"/>
                  </w:tcBorders>
                  <w:vAlign w:val="center"/>
                </w:tcPr>
                <w:p w14:paraId="4F87461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cs="Times New Roman"/>
                      <w:b w:val="0"/>
                      <w:bCs w:val="0"/>
                      <w:iCs/>
                      <w:snapToGrid w:val="0"/>
                      <w:color w:val="auto"/>
                      <w:spacing w:val="0"/>
                      <w:kern w:val="0"/>
                      <w:sz w:val="21"/>
                      <w:szCs w:val="21"/>
                      <w:highlight w:val="none"/>
                      <w:vertAlign w:val="baseline"/>
                      <w:lang w:val="en-US" w:eastAsia="zh-CN" w:bidi="ar-SA"/>
                    </w:rPr>
                    <w:t>1座，全封闭钢</w:t>
                  </w:r>
                  <w:r>
                    <w:rPr>
                      <w:rFonts w:hint="eastAsia" w:ascii="Times New Roman" w:hAnsi="Times New Roman" w:cs="Times New Roman"/>
                      <w:b w:val="0"/>
                      <w:bCs w:val="0"/>
                      <w:iCs/>
                      <w:snapToGrid w:val="0"/>
                      <w:color w:val="auto"/>
                      <w:spacing w:val="0"/>
                      <w:kern w:val="0"/>
                      <w:sz w:val="21"/>
                      <w:szCs w:val="21"/>
                      <w:highlight w:val="none"/>
                      <w:vertAlign w:val="baseline"/>
                      <w:lang w:val="en-US" w:eastAsia="zh-CN" w:bidi="ar-SA"/>
                    </w:rPr>
                    <w:t>混</w:t>
                  </w:r>
                  <w:r>
                    <w:rPr>
                      <w:rFonts w:hint="default" w:ascii="Times New Roman" w:hAnsi="Times New Roman" w:cs="Times New Roman"/>
                      <w:b w:val="0"/>
                      <w:bCs w:val="0"/>
                      <w:iCs/>
                      <w:snapToGrid w:val="0"/>
                      <w:color w:val="auto"/>
                      <w:spacing w:val="0"/>
                      <w:kern w:val="0"/>
                      <w:sz w:val="21"/>
                      <w:szCs w:val="21"/>
                      <w:highlight w:val="none"/>
                      <w:vertAlign w:val="baseline"/>
                      <w:lang w:val="en-US" w:eastAsia="zh-CN" w:bidi="ar-SA"/>
                    </w:rPr>
                    <w:t>结构</w:t>
                  </w:r>
                  <w:r>
                    <w:rPr>
                      <w:rFonts w:hint="eastAsia" w:ascii="Times New Roman" w:hAnsi="Times New Roman" w:cs="Times New Roman"/>
                      <w:b w:val="0"/>
                      <w:bCs w:val="0"/>
                      <w:iCs/>
                      <w:snapToGrid w:val="0"/>
                      <w:color w:val="auto"/>
                      <w:spacing w:val="0"/>
                      <w:kern w:val="0"/>
                      <w:sz w:val="21"/>
                      <w:szCs w:val="21"/>
                      <w:highlight w:val="none"/>
                      <w:vertAlign w:val="baseline"/>
                      <w:lang w:val="en-US" w:eastAsia="zh-CN" w:bidi="ar-SA"/>
                    </w:rPr>
                    <w:t>，</w:t>
                  </w:r>
                  <w:r>
                    <w:rPr>
                      <w:rFonts w:hint="eastAsia"/>
                      <w:b w:val="0"/>
                      <w:bCs w:val="0"/>
                      <w:color w:val="auto"/>
                      <w:szCs w:val="21"/>
                    </w:rPr>
                    <w:t>采用混凝土砌石+轻钢网架+彩钢顶盖</w:t>
                  </w:r>
                  <w:r>
                    <w:rPr>
                      <w:rFonts w:hint="eastAsia"/>
                      <w:b w:val="0"/>
                      <w:bCs w:val="0"/>
                      <w:color w:val="auto"/>
                      <w:szCs w:val="21"/>
                      <w:lang w:eastAsia="zh-CN"/>
                    </w:rPr>
                    <w:t>（</w:t>
                  </w:r>
                  <w:r>
                    <w:rPr>
                      <w:rFonts w:hint="default"/>
                      <w:b w:val="0"/>
                      <w:bCs w:val="0"/>
                      <w:color w:val="auto"/>
                      <w:szCs w:val="21"/>
                    </w:rPr>
                    <w:t>7</w:t>
                  </w:r>
                  <w:r>
                    <w:rPr>
                      <w:rFonts w:hint="eastAsia"/>
                      <w:b w:val="0"/>
                      <w:bCs w:val="0"/>
                      <w:color w:val="auto"/>
                      <w:szCs w:val="21"/>
                      <w:lang w:val="en-US" w:eastAsia="zh-CN"/>
                    </w:rPr>
                    <w:t>7</w:t>
                  </w:r>
                  <w:r>
                    <w:rPr>
                      <w:rFonts w:hint="default"/>
                      <w:b w:val="0"/>
                      <w:bCs w:val="0"/>
                      <w:color w:val="auto"/>
                      <w:szCs w:val="21"/>
                    </w:rPr>
                    <w:t>m×9</w:t>
                  </w:r>
                  <w:r>
                    <w:rPr>
                      <w:rFonts w:hint="eastAsia"/>
                      <w:b w:val="0"/>
                      <w:bCs w:val="0"/>
                      <w:color w:val="auto"/>
                      <w:szCs w:val="21"/>
                      <w:lang w:val="en-US" w:eastAsia="zh-CN"/>
                    </w:rPr>
                    <w:t>8</w:t>
                  </w:r>
                  <w:r>
                    <w:rPr>
                      <w:rFonts w:hint="default"/>
                      <w:b w:val="0"/>
                      <w:bCs w:val="0"/>
                      <w:color w:val="auto"/>
                      <w:szCs w:val="21"/>
                    </w:rPr>
                    <w:t>m×[12m+</w:t>
                  </w:r>
                  <w:r>
                    <w:rPr>
                      <w:rFonts w:hint="eastAsia"/>
                      <w:b w:val="0"/>
                      <w:bCs w:val="0"/>
                      <w:color w:val="auto"/>
                      <w:szCs w:val="21"/>
                      <w:lang w:val="en-US" w:eastAsia="zh-CN"/>
                    </w:rPr>
                    <w:t>5</w:t>
                  </w:r>
                  <w:r>
                    <w:rPr>
                      <w:rFonts w:hint="default"/>
                      <w:b w:val="0"/>
                      <w:bCs w:val="0"/>
                      <w:color w:val="auto"/>
                      <w:szCs w:val="21"/>
                    </w:rPr>
                    <w:t>m拱高]</w:t>
                  </w:r>
                  <w:r>
                    <w:rPr>
                      <w:rFonts w:hint="eastAsia"/>
                      <w:b w:val="0"/>
                      <w:bCs w:val="0"/>
                      <w:color w:val="auto"/>
                      <w:szCs w:val="21"/>
                      <w:lang w:eastAsia="zh-CN"/>
                    </w:rPr>
                    <w:t>），</w:t>
                  </w:r>
                  <w:r>
                    <w:rPr>
                      <w:rFonts w:hint="eastAsia"/>
                      <w:b w:val="0"/>
                      <w:bCs w:val="0"/>
                      <w:color w:val="auto"/>
                      <w:szCs w:val="21"/>
                      <w:lang w:val="en-US" w:eastAsia="zh-CN"/>
                    </w:rPr>
                    <w:t>占地面积7546m</w:t>
                  </w:r>
                  <w:r>
                    <w:rPr>
                      <w:rFonts w:hint="eastAsia"/>
                      <w:b w:val="0"/>
                      <w:bCs w:val="0"/>
                      <w:color w:val="auto"/>
                      <w:szCs w:val="21"/>
                      <w:vertAlign w:val="superscript"/>
                      <w:lang w:val="en-US" w:eastAsia="zh-CN"/>
                    </w:rPr>
                    <w:t>2</w:t>
                  </w:r>
                  <w:r>
                    <w:rPr>
                      <w:rFonts w:hint="eastAsia"/>
                      <w:b w:val="0"/>
                      <w:bCs w:val="0"/>
                      <w:color w:val="auto"/>
                      <w:szCs w:val="21"/>
                      <w:vertAlign w:val="baseline"/>
                      <w:lang w:val="en-US" w:eastAsia="zh-CN"/>
                    </w:rPr>
                    <w:t>，</w:t>
                  </w:r>
                  <w:r>
                    <w:rPr>
                      <w:rFonts w:hint="eastAsia"/>
                      <w:b w:val="0"/>
                      <w:bCs w:val="0"/>
                      <w:color w:val="auto"/>
                      <w:szCs w:val="21"/>
                      <w:lang w:val="en-US" w:eastAsia="zh-CN"/>
                    </w:rPr>
                    <w:t>地面已做硬化处理，大门</w:t>
                  </w:r>
                  <w:r>
                    <w:rPr>
                      <w:rFonts w:hint="eastAsia"/>
                      <w:b w:val="0"/>
                      <w:bCs w:val="0"/>
                      <w:color w:val="auto"/>
                      <w:kern w:val="0"/>
                      <w:szCs w:val="21"/>
                    </w:rPr>
                    <w:t>自动升降帘，</w:t>
                  </w:r>
                  <w:r>
                    <w:rPr>
                      <w:rFonts w:hint="eastAsia"/>
                      <w:b w:val="0"/>
                      <w:bCs w:val="0"/>
                      <w:color w:val="auto"/>
                      <w:kern w:val="0"/>
                      <w:szCs w:val="21"/>
                      <w:lang w:val="en-US" w:eastAsia="zh-CN"/>
                    </w:rPr>
                    <w:t>车间设置1条年处理30万吨煤矸石生产线，设置1台给料机、1台颚式破碎机、2台振动筛及全封闭皮带输送机等配套设备</w:t>
                  </w:r>
                </w:p>
              </w:tc>
              <w:tc>
                <w:tcPr>
                  <w:tcW w:w="524" w:type="pct"/>
                  <w:tcBorders>
                    <w:tl2br w:val="nil"/>
                    <w:tr2bl w:val="nil"/>
                  </w:tcBorders>
                  <w:vAlign w:val="center"/>
                </w:tcPr>
                <w:p w14:paraId="1590589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改造（构筑物依托现有）</w:t>
                  </w:r>
                </w:p>
              </w:tc>
            </w:tr>
            <w:tr w14:paraId="61A6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restart"/>
                  <w:tcBorders>
                    <w:tl2br w:val="nil"/>
                    <w:tr2bl w:val="nil"/>
                  </w:tcBorders>
                  <w:vAlign w:val="center"/>
                </w:tcPr>
                <w:p w14:paraId="41171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lang w:val="en-US" w:eastAsia="zh-CN"/>
                    </w:rPr>
                    <w:t>储运工程</w:t>
                  </w:r>
                </w:p>
              </w:tc>
              <w:tc>
                <w:tcPr>
                  <w:tcW w:w="829" w:type="pct"/>
                  <w:gridSpan w:val="2"/>
                  <w:tcBorders>
                    <w:tl2br w:val="nil"/>
                    <w:tr2bl w:val="nil"/>
                  </w:tcBorders>
                  <w:vAlign w:val="center"/>
                </w:tcPr>
                <w:p w14:paraId="76F5B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原料堆放区</w:t>
                  </w:r>
                </w:p>
              </w:tc>
              <w:tc>
                <w:tcPr>
                  <w:tcW w:w="3348" w:type="pct"/>
                  <w:gridSpan w:val="2"/>
                  <w:tcBorders>
                    <w:tl2br w:val="nil"/>
                    <w:tr2bl w:val="nil"/>
                  </w:tcBorders>
                  <w:vAlign w:val="center"/>
                </w:tcPr>
                <w:p w14:paraId="127D596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位于生产车间内西南侧，占地面积约2000</w:t>
                  </w:r>
                  <w:r>
                    <w:rPr>
                      <w:rFonts w:hint="default" w:ascii="Times New Roman" w:hAnsi="Times New Roman" w:cs="Times New Roman"/>
                      <w:color w:val="auto"/>
                      <w:spacing w:val="0"/>
                      <w:szCs w:val="21"/>
                      <w:highlight w:val="none"/>
                    </w:rPr>
                    <w:t>m</w:t>
                  </w:r>
                  <w:r>
                    <w:rPr>
                      <w:rFonts w:hint="default" w:ascii="Times New Roman" w:hAnsi="Times New Roman" w:cs="Times New Roman"/>
                      <w:color w:val="auto"/>
                      <w:spacing w:val="0"/>
                      <w:szCs w:val="21"/>
                      <w:highlight w:val="none"/>
                      <w:vertAlign w:val="superscript"/>
                    </w:rPr>
                    <w:t>2</w:t>
                  </w:r>
                  <w:r>
                    <w:rPr>
                      <w:rFonts w:hint="default" w:ascii="Times New Roman" w:hAnsi="Times New Roman" w:cs="Times New Roman"/>
                      <w:color w:val="auto"/>
                      <w:spacing w:val="0"/>
                      <w:kern w:val="0"/>
                      <w:szCs w:val="21"/>
                      <w:highlight w:val="none"/>
                    </w:rPr>
                    <w:t>，</w:t>
                  </w:r>
                  <w:r>
                    <w:rPr>
                      <w:rFonts w:hint="eastAsia" w:cs="Times New Roman"/>
                      <w:color w:val="auto"/>
                      <w:spacing w:val="0"/>
                      <w:kern w:val="0"/>
                      <w:szCs w:val="21"/>
                      <w:highlight w:val="none"/>
                      <w:lang w:val="en-US" w:eastAsia="zh-CN"/>
                    </w:rPr>
                    <w:t>地面已做硬化，顶部设置喷雾抑尘装置，装卸物料时设置移动式雾炮机同时抑尘</w:t>
                  </w:r>
                </w:p>
              </w:tc>
              <w:tc>
                <w:tcPr>
                  <w:tcW w:w="524" w:type="pct"/>
                  <w:tcBorders>
                    <w:tl2br w:val="nil"/>
                    <w:tr2bl w:val="nil"/>
                  </w:tcBorders>
                  <w:vAlign w:val="center"/>
                </w:tcPr>
                <w:p w14:paraId="0F0BEC5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改造（构筑物依托现有）</w:t>
                  </w:r>
                </w:p>
              </w:tc>
            </w:tr>
            <w:tr w14:paraId="72ECE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6897B81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829" w:type="pct"/>
                  <w:gridSpan w:val="2"/>
                  <w:tcBorders>
                    <w:tl2br w:val="nil"/>
                    <w:tr2bl w:val="nil"/>
                  </w:tcBorders>
                  <w:vAlign w:val="center"/>
                </w:tcPr>
                <w:p w14:paraId="1453F4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成品堆放区</w:t>
                  </w:r>
                </w:p>
              </w:tc>
              <w:tc>
                <w:tcPr>
                  <w:tcW w:w="3348" w:type="pct"/>
                  <w:gridSpan w:val="2"/>
                  <w:tcBorders>
                    <w:tl2br w:val="nil"/>
                    <w:tr2bl w:val="nil"/>
                  </w:tcBorders>
                  <w:vAlign w:val="center"/>
                </w:tcPr>
                <w:p w14:paraId="295DCE4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位于生产车间内北侧，占地面积约2500</w:t>
                  </w:r>
                  <w:r>
                    <w:rPr>
                      <w:rFonts w:hint="default" w:ascii="Times New Roman" w:hAnsi="Times New Roman" w:cs="Times New Roman"/>
                      <w:color w:val="auto"/>
                      <w:spacing w:val="0"/>
                      <w:szCs w:val="21"/>
                      <w:highlight w:val="none"/>
                    </w:rPr>
                    <w:t>m</w:t>
                  </w:r>
                  <w:r>
                    <w:rPr>
                      <w:rFonts w:hint="default" w:ascii="Times New Roman" w:hAnsi="Times New Roman" w:cs="Times New Roman"/>
                      <w:color w:val="auto"/>
                      <w:spacing w:val="0"/>
                      <w:szCs w:val="21"/>
                      <w:highlight w:val="none"/>
                      <w:vertAlign w:val="superscript"/>
                    </w:rPr>
                    <w:t>2</w:t>
                  </w:r>
                  <w:r>
                    <w:rPr>
                      <w:rFonts w:hint="default" w:ascii="Times New Roman" w:hAnsi="Times New Roman" w:cs="Times New Roman"/>
                      <w:color w:val="auto"/>
                      <w:spacing w:val="0"/>
                      <w:kern w:val="0"/>
                      <w:szCs w:val="21"/>
                      <w:highlight w:val="none"/>
                    </w:rPr>
                    <w:t>，</w:t>
                  </w:r>
                  <w:r>
                    <w:rPr>
                      <w:rFonts w:hint="eastAsia" w:cs="Times New Roman"/>
                      <w:color w:val="auto"/>
                      <w:spacing w:val="0"/>
                      <w:kern w:val="0"/>
                      <w:szCs w:val="21"/>
                      <w:highlight w:val="none"/>
                      <w:lang w:val="en-US" w:eastAsia="zh-CN"/>
                    </w:rPr>
                    <w:t>地面已做硬化，顶部设置喷雾抑尘装置，装卸物料时设置移动式雾炮机同时抑尘</w:t>
                  </w:r>
                </w:p>
              </w:tc>
              <w:tc>
                <w:tcPr>
                  <w:tcW w:w="524" w:type="pct"/>
                  <w:tcBorders>
                    <w:tl2br w:val="nil"/>
                    <w:tr2bl w:val="nil"/>
                  </w:tcBorders>
                  <w:vAlign w:val="center"/>
                </w:tcPr>
                <w:p w14:paraId="1AF580E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改造（构筑物依托现有）</w:t>
                  </w:r>
                </w:p>
              </w:tc>
            </w:tr>
            <w:tr w14:paraId="39BC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restart"/>
                  <w:tcBorders>
                    <w:tl2br w:val="nil"/>
                    <w:tr2bl w:val="nil"/>
                  </w:tcBorders>
                  <w:vAlign w:val="center"/>
                </w:tcPr>
                <w:p w14:paraId="4043428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辅助工程</w:t>
                  </w:r>
                </w:p>
              </w:tc>
              <w:tc>
                <w:tcPr>
                  <w:tcW w:w="829" w:type="pct"/>
                  <w:gridSpan w:val="2"/>
                  <w:tcBorders>
                    <w:tl2br w:val="nil"/>
                    <w:tr2bl w:val="nil"/>
                  </w:tcBorders>
                  <w:vAlign w:val="center"/>
                </w:tcPr>
                <w:p w14:paraId="7B7A6EB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办公区</w:t>
                  </w:r>
                </w:p>
              </w:tc>
              <w:tc>
                <w:tcPr>
                  <w:tcW w:w="3348" w:type="pct"/>
                  <w:gridSpan w:val="2"/>
                  <w:tcBorders>
                    <w:tl2br w:val="nil"/>
                    <w:tr2bl w:val="nil"/>
                  </w:tcBorders>
                  <w:vAlign w:val="center"/>
                </w:tcPr>
                <w:p w14:paraId="46959B5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利用现有厂区东侧办公区（35m×9.5m），砖混结构，占地面积332.5</w:t>
                  </w:r>
                  <w:r>
                    <w:rPr>
                      <w:rFonts w:hint="default" w:ascii="Times New Roman" w:hAnsi="Times New Roman" w:cs="Times New Roman"/>
                      <w:color w:val="auto"/>
                      <w:spacing w:val="0"/>
                      <w:szCs w:val="21"/>
                      <w:highlight w:val="none"/>
                    </w:rPr>
                    <w:t>m</w:t>
                  </w:r>
                  <w:r>
                    <w:rPr>
                      <w:rFonts w:hint="default" w:ascii="Times New Roman" w:hAnsi="Times New Roman" w:cs="Times New Roman"/>
                      <w:color w:val="auto"/>
                      <w:spacing w:val="0"/>
                      <w:szCs w:val="21"/>
                      <w:highlight w:val="none"/>
                      <w:vertAlign w:val="superscript"/>
                    </w:rPr>
                    <w:t>2</w:t>
                  </w:r>
                </w:p>
              </w:tc>
              <w:tc>
                <w:tcPr>
                  <w:tcW w:w="524" w:type="pct"/>
                  <w:tcBorders>
                    <w:tl2br w:val="nil"/>
                    <w:tr2bl w:val="nil"/>
                  </w:tcBorders>
                  <w:vAlign w:val="center"/>
                </w:tcPr>
                <w:p w14:paraId="10B9675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0DD28D6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280A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0FA3182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829" w:type="pct"/>
                  <w:gridSpan w:val="2"/>
                  <w:tcBorders>
                    <w:tl2br w:val="nil"/>
                    <w:tr2bl w:val="nil"/>
                  </w:tcBorders>
                  <w:vAlign w:val="center"/>
                </w:tcPr>
                <w:p w14:paraId="3BAB878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地磅</w:t>
                  </w:r>
                </w:p>
              </w:tc>
              <w:tc>
                <w:tcPr>
                  <w:tcW w:w="3348" w:type="pct"/>
                  <w:gridSpan w:val="2"/>
                  <w:tcBorders>
                    <w:tl2br w:val="nil"/>
                    <w:tr2bl w:val="nil"/>
                  </w:tcBorders>
                  <w:vAlign w:val="center"/>
                </w:tcPr>
                <w:p w14:paraId="3A43519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利用现有厂区东侧出入口的地磅</w:t>
                  </w:r>
                </w:p>
              </w:tc>
              <w:tc>
                <w:tcPr>
                  <w:tcW w:w="524" w:type="pct"/>
                  <w:tcBorders>
                    <w:tl2br w:val="nil"/>
                    <w:tr2bl w:val="nil"/>
                  </w:tcBorders>
                  <w:vAlign w:val="center"/>
                </w:tcPr>
                <w:p w14:paraId="18B72EE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6075B85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7874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72EA873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829" w:type="pct"/>
                  <w:gridSpan w:val="2"/>
                  <w:tcBorders>
                    <w:tl2br w:val="nil"/>
                    <w:tr2bl w:val="nil"/>
                  </w:tcBorders>
                  <w:vAlign w:val="center"/>
                </w:tcPr>
                <w:p w14:paraId="6879F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ascii="Times New Roman" w:hAnsi="Times New Roman" w:eastAsia="宋体" w:cs="Times New Roman"/>
                      <w:color w:val="auto"/>
                      <w:spacing w:val="0"/>
                      <w:sz w:val="21"/>
                      <w:szCs w:val="21"/>
                      <w:highlight w:val="none"/>
                      <w:lang w:val="en-US" w:eastAsia="zh-CN"/>
                    </w:rPr>
                    <w:t>洗车平台</w:t>
                  </w:r>
                </w:p>
              </w:tc>
              <w:tc>
                <w:tcPr>
                  <w:tcW w:w="3348" w:type="pct"/>
                  <w:gridSpan w:val="2"/>
                  <w:tcBorders>
                    <w:tl2br w:val="nil"/>
                    <w:tr2bl w:val="nil"/>
                  </w:tcBorders>
                  <w:vAlign w:val="center"/>
                </w:tcPr>
                <w:p w14:paraId="460316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厂区东侧出入口处现有1座</w:t>
                  </w:r>
                  <w:r>
                    <w:rPr>
                      <w:rFonts w:hint="eastAsia" w:ascii="Times New Roman" w:hAnsi="Times New Roman" w:eastAsia="宋体" w:cs="Times New Roman"/>
                      <w:color w:val="auto"/>
                      <w:spacing w:val="0"/>
                      <w:sz w:val="21"/>
                      <w:szCs w:val="21"/>
                      <w:highlight w:val="none"/>
                      <w:lang w:val="en-US" w:eastAsia="zh-CN"/>
                    </w:rPr>
                    <w:t>洗车平台，</w:t>
                  </w:r>
                  <w:r>
                    <w:rPr>
                      <w:rFonts w:hint="eastAsia" w:cs="Times New Roman"/>
                      <w:color w:val="auto"/>
                      <w:spacing w:val="0"/>
                      <w:sz w:val="21"/>
                      <w:szCs w:val="21"/>
                      <w:highlight w:val="none"/>
                      <w:lang w:val="en-US" w:eastAsia="zh-CN"/>
                    </w:rPr>
                    <w:t>评价要求对现有洗车平台进行拆除，并重新建设1座长20m、宽4m的全自动洗车平台，同时</w:t>
                  </w:r>
                  <w:r>
                    <w:rPr>
                      <w:rFonts w:hint="eastAsia" w:ascii="Times New Roman" w:hAnsi="Times New Roman" w:eastAsia="宋体" w:cs="Times New Roman"/>
                      <w:color w:val="auto"/>
                      <w:spacing w:val="0"/>
                      <w:sz w:val="21"/>
                      <w:szCs w:val="21"/>
                      <w:highlight w:val="none"/>
                      <w:lang w:val="en-US" w:eastAsia="zh-CN"/>
                    </w:rPr>
                    <w:t>具有保温、烘干功能，平台两侧内壁及底部设高压喷淋水喷头，清洗水压高于1.0MPa，单台车辆冲洗时间不低于100s；并配套设置1座容积为</w:t>
                  </w:r>
                  <w:r>
                    <w:rPr>
                      <w:rFonts w:hint="eastAsia" w:cs="Times New Roman"/>
                      <w:color w:val="auto"/>
                      <w:spacing w:val="0"/>
                      <w:sz w:val="21"/>
                      <w:szCs w:val="21"/>
                      <w:highlight w:val="none"/>
                      <w:lang w:val="en-US" w:eastAsia="zh-CN"/>
                    </w:rPr>
                    <w:t>20</w:t>
                  </w:r>
                  <w:r>
                    <w:rPr>
                      <w:rFonts w:hint="eastAsia" w:ascii="Times New Roman" w:hAnsi="Times New Roman" w:eastAsia="宋体" w:cs="Times New Roman"/>
                      <w:color w:val="auto"/>
                      <w:spacing w:val="0"/>
                      <w:sz w:val="21"/>
                      <w:szCs w:val="21"/>
                      <w:highlight w:val="none"/>
                      <w:lang w:val="en-US" w:eastAsia="zh-CN"/>
                    </w:rPr>
                    <w:t>m</w:t>
                  </w:r>
                  <w:r>
                    <w:rPr>
                      <w:rFonts w:hint="eastAsia" w:ascii="Times New Roman" w:hAnsi="Times New Roman" w:eastAsia="宋体" w:cs="Times New Roman"/>
                      <w:color w:val="auto"/>
                      <w:spacing w:val="0"/>
                      <w:sz w:val="21"/>
                      <w:szCs w:val="21"/>
                      <w:highlight w:val="none"/>
                      <w:vertAlign w:val="superscript"/>
                      <w:lang w:val="en-US" w:eastAsia="zh-CN"/>
                    </w:rPr>
                    <w:t>3</w:t>
                  </w:r>
                  <w:r>
                    <w:rPr>
                      <w:rFonts w:hint="eastAsia" w:ascii="Times New Roman" w:hAnsi="Times New Roman" w:eastAsia="宋体" w:cs="Times New Roman"/>
                      <w:color w:val="auto"/>
                      <w:spacing w:val="0"/>
                      <w:sz w:val="21"/>
                      <w:szCs w:val="21"/>
                      <w:highlight w:val="none"/>
                      <w:lang w:val="en-US" w:eastAsia="zh-CN"/>
                    </w:rPr>
                    <w:t>的洗车废水沉淀池</w:t>
                  </w:r>
                  <w:r>
                    <w:rPr>
                      <w:rFonts w:hint="eastAsia"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水池之间有溢流口相连。洗车台前设有抖车台并配套建设有站房设置吹干装置（冬季采用热风，热源为电加热）保证冰冻季节正常使用</w:t>
                  </w:r>
                </w:p>
              </w:tc>
              <w:tc>
                <w:tcPr>
                  <w:tcW w:w="524" w:type="pct"/>
                  <w:tcBorders>
                    <w:tl2br w:val="nil"/>
                    <w:tr2bl w:val="nil"/>
                  </w:tcBorders>
                  <w:vAlign w:val="center"/>
                </w:tcPr>
                <w:p w14:paraId="7DE3AC6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0045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restart"/>
                  <w:tcBorders>
                    <w:tl2br w:val="nil"/>
                    <w:tr2bl w:val="nil"/>
                  </w:tcBorders>
                  <w:vAlign w:val="center"/>
                </w:tcPr>
                <w:p w14:paraId="12D26C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公用</w:t>
                  </w:r>
                </w:p>
                <w:p w14:paraId="381767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rPr>
                    <w:t>工程</w:t>
                  </w:r>
                </w:p>
              </w:tc>
              <w:tc>
                <w:tcPr>
                  <w:tcW w:w="829" w:type="pct"/>
                  <w:gridSpan w:val="2"/>
                  <w:tcBorders>
                    <w:tl2br w:val="nil"/>
                    <w:tr2bl w:val="nil"/>
                  </w:tcBorders>
                  <w:vAlign w:val="center"/>
                </w:tcPr>
                <w:p w14:paraId="0890B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rPr>
                    <w:t>供水</w:t>
                  </w:r>
                </w:p>
              </w:tc>
              <w:tc>
                <w:tcPr>
                  <w:tcW w:w="3348" w:type="pct"/>
                  <w:gridSpan w:val="2"/>
                  <w:tcBorders>
                    <w:tl2br w:val="nil"/>
                    <w:tr2bl w:val="nil"/>
                  </w:tcBorders>
                  <w:vAlign w:val="center"/>
                </w:tcPr>
                <w:p w14:paraId="3223F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由自来水管网提供</w:t>
                  </w:r>
                </w:p>
              </w:tc>
              <w:tc>
                <w:tcPr>
                  <w:tcW w:w="524" w:type="pct"/>
                  <w:tcBorders>
                    <w:tl2br w:val="nil"/>
                    <w:tr2bl w:val="nil"/>
                  </w:tcBorders>
                  <w:vAlign w:val="center"/>
                </w:tcPr>
                <w:p w14:paraId="6E875CF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76FCABB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4106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06496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829" w:type="pct"/>
                  <w:gridSpan w:val="2"/>
                  <w:tcBorders>
                    <w:tl2br w:val="nil"/>
                    <w:tr2bl w:val="nil"/>
                  </w:tcBorders>
                  <w:vAlign w:val="center"/>
                </w:tcPr>
                <w:p w14:paraId="2D7103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rPr>
                    <w:t>供电</w:t>
                  </w:r>
                </w:p>
              </w:tc>
              <w:tc>
                <w:tcPr>
                  <w:tcW w:w="3348" w:type="pct"/>
                  <w:gridSpan w:val="2"/>
                  <w:tcBorders>
                    <w:tl2br w:val="nil"/>
                    <w:tr2bl w:val="nil"/>
                  </w:tcBorders>
                  <w:vAlign w:val="center"/>
                </w:tcPr>
                <w:p w14:paraId="284A3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kern w:val="2"/>
                      <w:sz w:val="21"/>
                      <w:szCs w:val="21"/>
                      <w:highlight w:val="none"/>
                      <w:lang w:val="en-US" w:eastAsia="zh-CN" w:bidi="ar-SA"/>
                    </w:rPr>
                    <w:t>设置</w:t>
                  </w:r>
                  <w:r>
                    <w:rPr>
                      <w:rFonts w:hint="default" w:ascii="Times New Roman" w:hAnsi="Times New Roman" w:eastAsia="宋体" w:cs="Times New Roman"/>
                      <w:color w:val="auto"/>
                      <w:spacing w:val="0"/>
                      <w:kern w:val="2"/>
                      <w:sz w:val="21"/>
                      <w:szCs w:val="21"/>
                      <w:highlight w:val="none"/>
                      <w:lang w:val="en-US" w:eastAsia="zh-CN" w:bidi="ar-SA"/>
                    </w:rPr>
                    <w:t>1台</w:t>
                  </w:r>
                  <w:r>
                    <w:rPr>
                      <w:rFonts w:hint="eastAsia" w:cs="Times New Roman"/>
                      <w:color w:val="auto"/>
                      <w:spacing w:val="0"/>
                      <w:kern w:val="2"/>
                      <w:sz w:val="21"/>
                      <w:szCs w:val="21"/>
                      <w:highlight w:val="none"/>
                      <w:lang w:val="en-US" w:eastAsia="zh-CN" w:bidi="ar-SA"/>
                    </w:rPr>
                    <w:t>10</w:t>
                  </w:r>
                  <w:r>
                    <w:rPr>
                      <w:rFonts w:hint="default" w:ascii="Times New Roman" w:hAnsi="Times New Roman" w:eastAsia="宋体" w:cs="Times New Roman"/>
                      <w:color w:val="auto"/>
                      <w:spacing w:val="0"/>
                      <w:kern w:val="2"/>
                      <w:sz w:val="21"/>
                      <w:szCs w:val="21"/>
                      <w:highlight w:val="none"/>
                      <w:lang w:val="en-US" w:eastAsia="zh-CN" w:bidi="ar-SA"/>
                    </w:rPr>
                    <w:t>00KVA变压器</w:t>
                  </w:r>
                </w:p>
              </w:tc>
              <w:tc>
                <w:tcPr>
                  <w:tcW w:w="524" w:type="pct"/>
                  <w:tcBorders>
                    <w:tl2br w:val="nil"/>
                    <w:tr2bl w:val="nil"/>
                  </w:tcBorders>
                  <w:vAlign w:val="center"/>
                </w:tcPr>
                <w:p w14:paraId="2BA886C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kern w:val="2"/>
                      <w:sz w:val="21"/>
                      <w:szCs w:val="21"/>
                      <w:highlight w:val="none"/>
                      <w:lang w:val="en-US" w:eastAsia="zh-CN" w:bidi="ar-SA"/>
                    </w:rPr>
                    <w:t>新建</w:t>
                  </w:r>
                </w:p>
              </w:tc>
            </w:tr>
            <w:tr w14:paraId="7E1DA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25E6B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829" w:type="pct"/>
                  <w:gridSpan w:val="2"/>
                  <w:tcBorders>
                    <w:tl2br w:val="nil"/>
                    <w:tr2bl w:val="nil"/>
                  </w:tcBorders>
                  <w:vAlign w:val="center"/>
                </w:tcPr>
                <w:p w14:paraId="0C8E3B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lang w:val="en-US" w:eastAsia="zh-CN"/>
                    </w:rPr>
                    <w:t>供</w:t>
                  </w:r>
                  <w:r>
                    <w:rPr>
                      <w:rFonts w:hint="eastAsia" w:cs="Times New Roman"/>
                      <w:color w:val="auto"/>
                      <w:spacing w:val="0"/>
                      <w:sz w:val="21"/>
                      <w:szCs w:val="21"/>
                      <w:highlight w:val="none"/>
                      <w:lang w:val="en-US" w:eastAsia="zh-CN"/>
                    </w:rPr>
                    <w:t>暖</w:t>
                  </w:r>
                </w:p>
              </w:tc>
              <w:tc>
                <w:tcPr>
                  <w:tcW w:w="3348" w:type="pct"/>
                  <w:gridSpan w:val="2"/>
                  <w:tcBorders>
                    <w:tl2br w:val="nil"/>
                    <w:tr2bl w:val="nil"/>
                  </w:tcBorders>
                  <w:vAlign w:val="center"/>
                </w:tcPr>
                <w:p w14:paraId="72AF8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lang w:val="en-US" w:eastAsia="zh-CN"/>
                    </w:rPr>
                    <w:t>生产区冬季不采暖，生活区采暖使用电采暖</w:t>
                  </w:r>
                </w:p>
              </w:tc>
              <w:tc>
                <w:tcPr>
                  <w:tcW w:w="524" w:type="pct"/>
                  <w:tcBorders>
                    <w:tl2br w:val="nil"/>
                    <w:tr2bl w:val="nil"/>
                  </w:tcBorders>
                  <w:vAlign w:val="center"/>
                </w:tcPr>
                <w:p w14:paraId="29CEF46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168148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17DC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restart"/>
                  <w:tcBorders>
                    <w:tl2br w:val="nil"/>
                    <w:tr2bl w:val="nil"/>
                  </w:tcBorders>
                  <w:vAlign w:val="center"/>
                </w:tcPr>
                <w:p w14:paraId="30E3FF5E">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环保工程</w:t>
                  </w:r>
                </w:p>
              </w:tc>
              <w:tc>
                <w:tcPr>
                  <w:tcW w:w="249" w:type="pct"/>
                  <w:vMerge w:val="restart"/>
                  <w:tcBorders>
                    <w:tl2br w:val="nil"/>
                    <w:tr2bl w:val="nil"/>
                  </w:tcBorders>
                  <w:vAlign w:val="center"/>
                </w:tcPr>
                <w:p w14:paraId="445784F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废气</w:t>
                  </w:r>
                </w:p>
              </w:tc>
              <w:tc>
                <w:tcPr>
                  <w:tcW w:w="600" w:type="pct"/>
                  <w:gridSpan w:val="2"/>
                  <w:tcBorders>
                    <w:tl2br w:val="nil"/>
                    <w:tr2bl w:val="nil"/>
                  </w:tcBorders>
                  <w:vAlign w:val="center"/>
                </w:tcPr>
                <w:p w14:paraId="671C563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eastAsia="宋体"/>
                      <w:color w:val="auto"/>
                      <w:sz w:val="21"/>
                      <w:szCs w:val="21"/>
                      <w:highlight w:val="none"/>
                      <w:lang w:val="en-US" w:eastAsia="zh-CN"/>
                    </w:rPr>
                  </w:pPr>
                  <w:r>
                    <w:rPr>
                      <w:rFonts w:hint="eastAsia"/>
                      <w:color w:val="auto"/>
                      <w:sz w:val="21"/>
                      <w:szCs w:val="21"/>
                      <w:highlight w:val="none"/>
                      <w:lang w:val="en-US" w:eastAsia="zh-CN"/>
                    </w:rPr>
                    <w:t>道路</w:t>
                  </w:r>
                  <w:r>
                    <w:rPr>
                      <w:rFonts w:hint="default"/>
                      <w:color w:val="auto"/>
                      <w:sz w:val="21"/>
                      <w:szCs w:val="21"/>
                      <w:highlight w:val="none"/>
                    </w:rPr>
                    <w:t>运输</w:t>
                  </w:r>
                  <w:r>
                    <w:rPr>
                      <w:rFonts w:hint="eastAsia"/>
                      <w:color w:val="auto"/>
                      <w:sz w:val="21"/>
                      <w:szCs w:val="21"/>
                      <w:highlight w:val="none"/>
                      <w:lang w:val="en-US" w:eastAsia="zh-CN"/>
                    </w:rPr>
                    <w:t>扬尘</w:t>
                  </w:r>
                </w:p>
              </w:tc>
              <w:tc>
                <w:tcPr>
                  <w:tcW w:w="3328" w:type="pct"/>
                  <w:tcBorders>
                    <w:tl2br w:val="nil"/>
                    <w:tr2bl w:val="nil"/>
                  </w:tcBorders>
                  <w:vAlign w:val="center"/>
                </w:tcPr>
                <w:p w14:paraId="40A02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eastAsia"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color w:val="auto"/>
                      <w:sz w:val="21"/>
                      <w:szCs w:val="21"/>
                      <w:highlight w:val="none"/>
                    </w:rPr>
                    <w:t>厂区</w:t>
                  </w:r>
                  <w:r>
                    <w:rPr>
                      <w:rFonts w:hint="eastAsia"/>
                      <w:color w:val="auto"/>
                      <w:sz w:val="21"/>
                      <w:szCs w:val="21"/>
                      <w:highlight w:val="none"/>
                      <w:lang w:val="en-US" w:eastAsia="zh-CN"/>
                    </w:rPr>
                    <w:t>东侧</w:t>
                  </w:r>
                  <w:r>
                    <w:rPr>
                      <w:rFonts w:hint="default"/>
                      <w:color w:val="auto"/>
                      <w:sz w:val="21"/>
                      <w:szCs w:val="21"/>
                      <w:highlight w:val="none"/>
                    </w:rPr>
                    <w:t>出入口</w:t>
                  </w:r>
                  <w:r>
                    <w:rPr>
                      <w:rFonts w:hint="eastAsia"/>
                      <w:color w:val="auto"/>
                      <w:spacing w:val="6"/>
                      <w:sz w:val="21"/>
                      <w:szCs w:val="21"/>
                      <w:highlight w:val="none"/>
                      <w:lang w:val="en-US" w:eastAsia="zh-CN"/>
                    </w:rPr>
                    <w:t>新建1座全自动</w:t>
                  </w:r>
                  <w:r>
                    <w:rPr>
                      <w:rFonts w:hint="default"/>
                      <w:color w:val="auto"/>
                      <w:spacing w:val="6"/>
                      <w:sz w:val="21"/>
                      <w:szCs w:val="21"/>
                      <w:highlight w:val="none"/>
                    </w:rPr>
                    <w:t>洗车平台，对进出车辆进行冲洗，路面定时洒水抑尘，定期对道路清理，保持清洁，在运输过程中要求运输车辆采用封闭厢式车运输，</w:t>
                  </w:r>
                  <w:r>
                    <w:rPr>
                      <w:rFonts w:hint="eastAsia"/>
                      <w:color w:val="auto"/>
                      <w:spacing w:val="6"/>
                      <w:sz w:val="21"/>
                      <w:szCs w:val="21"/>
                      <w:highlight w:val="none"/>
                      <w:lang w:val="en-US" w:eastAsia="zh-CN"/>
                    </w:rPr>
                    <w:t>篷布苫盖，</w:t>
                  </w:r>
                  <w:r>
                    <w:rPr>
                      <w:rFonts w:hint="default"/>
                      <w:color w:val="auto"/>
                      <w:spacing w:val="6"/>
                      <w:sz w:val="21"/>
                      <w:szCs w:val="21"/>
                      <w:highlight w:val="none"/>
                    </w:rPr>
                    <w:t>防止物料洒落</w:t>
                  </w:r>
                  <w:r>
                    <w:rPr>
                      <w:rFonts w:hint="eastAsia"/>
                      <w:color w:val="auto"/>
                      <w:spacing w:val="6"/>
                      <w:sz w:val="21"/>
                      <w:szCs w:val="21"/>
                      <w:highlight w:val="none"/>
                      <w:lang w:eastAsia="zh-CN"/>
                    </w:rPr>
                    <w:t>。</w:t>
                  </w:r>
                  <w:r>
                    <w:rPr>
                      <w:rFonts w:hint="eastAsia" w:ascii="Times New Roman" w:hAnsi="Times New Roman" w:eastAsia="宋体" w:cs="Times New Roman"/>
                      <w:color w:val="auto"/>
                      <w:sz w:val="21"/>
                      <w:szCs w:val="21"/>
                      <w:highlight w:val="none"/>
                      <w:shd w:val="clear" w:color="auto" w:fill="auto"/>
                      <w:vertAlign w:val="baseline"/>
                      <w:lang w:val="en-US" w:eastAsia="zh-CN"/>
                    </w:rPr>
                    <w:t>进出厂道路与交通干线连接点上下各2km范围内道路为建设单位卫生责任区，每日开展道路清洗工作，厂区配备新能源喷雾降尘设施以及新能源洗扫吸尘设施</w:t>
                  </w:r>
                </w:p>
              </w:tc>
              <w:tc>
                <w:tcPr>
                  <w:tcW w:w="524" w:type="pct"/>
                  <w:tcBorders>
                    <w:tl2br w:val="nil"/>
                    <w:tr2bl w:val="nil"/>
                  </w:tcBorders>
                  <w:vAlign w:val="center"/>
                </w:tcPr>
                <w:p w14:paraId="3C3CF6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5CC0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7F024D3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7FE2324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47A90D9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color w:val="auto"/>
                      <w:spacing w:val="0"/>
                      <w:kern w:val="28"/>
                      <w:sz w:val="21"/>
                      <w:szCs w:val="21"/>
                      <w:highlight w:val="none"/>
                      <w:lang w:val="en-US" w:eastAsia="zh-CN" w:bidi="ar-SA"/>
                    </w:rPr>
                    <w:t>原料及成品</w:t>
                  </w:r>
                  <w:r>
                    <w:rPr>
                      <w:rFonts w:hint="default"/>
                      <w:color w:val="auto"/>
                      <w:sz w:val="21"/>
                      <w:szCs w:val="21"/>
                      <w:highlight w:val="none"/>
                    </w:rPr>
                    <w:t>堆放、装卸</w:t>
                  </w:r>
                  <w:r>
                    <w:rPr>
                      <w:rFonts w:hint="eastAsia"/>
                      <w:color w:val="auto"/>
                      <w:sz w:val="21"/>
                      <w:szCs w:val="21"/>
                      <w:highlight w:val="none"/>
                      <w:lang w:val="en-US" w:eastAsia="zh-CN"/>
                    </w:rPr>
                    <w:t>粉尘</w:t>
                  </w:r>
                </w:p>
              </w:tc>
              <w:tc>
                <w:tcPr>
                  <w:tcW w:w="3328" w:type="pct"/>
                  <w:tcBorders>
                    <w:tl2br w:val="nil"/>
                    <w:tr2bl w:val="nil"/>
                  </w:tcBorders>
                  <w:vAlign w:val="center"/>
                </w:tcPr>
                <w:p w14:paraId="734FB0CE">
                  <w:pPr>
                    <w:keepNext w:val="0"/>
                    <w:keepLines w:val="0"/>
                    <w:pageBreakBefore w:val="0"/>
                    <w:widowControl w:val="0"/>
                    <w:suppressLineNumbers w:val="0"/>
                    <w:tabs>
                      <w:tab w:val="left" w:pos="720"/>
                    </w:tabs>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olor w:val="auto"/>
                      <w:spacing w:val="4"/>
                      <w:sz w:val="21"/>
                      <w:szCs w:val="21"/>
                      <w:highlight w:val="none"/>
                      <w:lang w:val="en-US" w:eastAsia="zh-CN"/>
                    </w:rPr>
                    <w:t>原料和成品全部堆放在全封闭车间内，车间内</w:t>
                  </w:r>
                  <w:r>
                    <w:rPr>
                      <w:rFonts w:hint="default"/>
                      <w:color w:val="auto"/>
                      <w:spacing w:val="4"/>
                      <w:sz w:val="21"/>
                      <w:szCs w:val="21"/>
                      <w:highlight w:val="none"/>
                    </w:rPr>
                    <w:t>地面</w:t>
                  </w:r>
                  <w:r>
                    <w:rPr>
                      <w:rFonts w:hint="eastAsia"/>
                      <w:color w:val="auto"/>
                      <w:spacing w:val="4"/>
                      <w:sz w:val="21"/>
                      <w:szCs w:val="21"/>
                      <w:highlight w:val="none"/>
                      <w:lang w:val="en-US" w:eastAsia="zh-CN"/>
                    </w:rPr>
                    <w:t>全部</w:t>
                  </w:r>
                  <w:r>
                    <w:rPr>
                      <w:rFonts w:hint="default"/>
                      <w:color w:val="auto"/>
                      <w:spacing w:val="4"/>
                      <w:sz w:val="21"/>
                      <w:szCs w:val="21"/>
                      <w:highlight w:val="none"/>
                    </w:rPr>
                    <w:t>硬化，</w:t>
                  </w:r>
                  <w:r>
                    <w:rPr>
                      <w:rFonts w:hint="eastAsia"/>
                      <w:color w:val="auto"/>
                      <w:spacing w:val="4"/>
                      <w:sz w:val="21"/>
                      <w:szCs w:val="21"/>
                      <w:highlight w:val="none"/>
                      <w:lang w:val="en-US" w:eastAsia="zh-CN"/>
                    </w:rPr>
                    <w:t>原料、成品堆放区顶部均安装</w:t>
                  </w:r>
                  <w:r>
                    <w:rPr>
                      <w:rFonts w:hint="default"/>
                      <w:color w:val="auto"/>
                      <w:spacing w:val="4"/>
                      <w:sz w:val="21"/>
                      <w:szCs w:val="21"/>
                      <w:highlight w:val="none"/>
                    </w:rPr>
                    <w:t>喷雾</w:t>
                  </w:r>
                  <w:r>
                    <w:rPr>
                      <w:rFonts w:hint="eastAsia"/>
                      <w:color w:val="auto"/>
                      <w:spacing w:val="4"/>
                      <w:sz w:val="21"/>
                      <w:szCs w:val="21"/>
                      <w:highlight w:val="none"/>
                      <w:lang w:val="en-US" w:eastAsia="zh-CN"/>
                    </w:rPr>
                    <w:t>洒水抑尘</w:t>
                  </w:r>
                  <w:r>
                    <w:rPr>
                      <w:rFonts w:hint="default"/>
                      <w:color w:val="auto"/>
                      <w:spacing w:val="4"/>
                      <w:sz w:val="21"/>
                      <w:szCs w:val="21"/>
                      <w:highlight w:val="none"/>
                    </w:rPr>
                    <w:t>装置，定时喷洒；装卸时使用</w:t>
                  </w:r>
                  <w:r>
                    <w:rPr>
                      <w:rFonts w:hint="eastAsia"/>
                      <w:color w:val="auto"/>
                      <w:spacing w:val="4"/>
                      <w:sz w:val="21"/>
                      <w:szCs w:val="21"/>
                      <w:highlight w:val="none"/>
                      <w:lang w:val="en-US" w:eastAsia="zh-CN"/>
                    </w:rPr>
                    <w:t>移动</w:t>
                  </w:r>
                  <w:r>
                    <w:rPr>
                      <w:rFonts w:hint="default"/>
                      <w:color w:val="auto"/>
                      <w:spacing w:val="4"/>
                      <w:sz w:val="21"/>
                      <w:szCs w:val="21"/>
                      <w:highlight w:val="none"/>
                    </w:rPr>
                    <w:t>雾炮机进行喷洒抑尘；安装</w:t>
                  </w:r>
                  <w:r>
                    <w:rPr>
                      <w:rFonts w:hint="eastAsia"/>
                      <w:color w:val="auto"/>
                      <w:spacing w:val="4"/>
                      <w:sz w:val="21"/>
                      <w:szCs w:val="21"/>
                      <w:highlight w:val="none"/>
                      <w:lang w:val="en-US" w:eastAsia="zh-CN"/>
                    </w:rPr>
                    <w:t>自动感应</w:t>
                  </w:r>
                  <w:r>
                    <w:rPr>
                      <w:rFonts w:hint="default"/>
                      <w:color w:val="auto"/>
                      <w:spacing w:val="4"/>
                      <w:sz w:val="21"/>
                      <w:szCs w:val="21"/>
                      <w:highlight w:val="none"/>
                    </w:rPr>
                    <w:t>密闭门</w:t>
                  </w:r>
                  <w:r>
                    <w:rPr>
                      <w:rFonts w:hint="eastAsia"/>
                      <w:color w:val="auto"/>
                      <w:spacing w:val="4"/>
                      <w:sz w:val="21"/>
                      <w:szCs w:val="21"/>
                      <w:highlight w:val="none"/>
                      <w:lang w:eastAsia="zh-CN"/>
                    </w:rPr>
                    <w:t>，</w:t>
                  </w:r>
                  <w:r>
                    <w:rPr>
                      <w:rFonts w:hint="eastAsia" w:cs="Times New Roman"/>
                      <w:color w:val="auto"/>
                      <w:spacing w:val="0"/>
                      <w:kern w:val="2"/>
                      <w:sz w:val="21"/>
                      <w:szCs w:val="21"/>
                      <w:highlight w:val="none"/>
                      <w:lang w:val="en-US" w:eastAsia="zh-CN" w:bidi="ar-SA"/>
                    </w:rPr>
                    <w:t>同时加设扬尘在线监测和视频监控设施，并与生态环境部门联网</w:t>
                  </w:r>
                </w:p>
              </w:tc>
              <w:tc>
                <w:tcPr>
                  <w:tcW w:w="524" w:type="pct"/>
                  <w:tcBorders>
                    <w:tl2br w:val="nil"/>
                    <w:tr2bl w:val="nil"/>
                  </w:tcBorders>
                  <w:vAlign w:val="center"/>
                </w:tcPr>
                <w:p w14:paraId="1A31CF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3F70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4350834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0FA0A1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203AF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eastAsia="宋体"/>
                      <w:color w:val="auto"/>
                      <w:sz w:val="21"/>
                      <w:szCs w:val="21"/>
                      <w:highlight w:val="none"/>
                      <w:lang w:val="en-US" w:eastAsia="zh-CN"/>
                    </w:rPr>
                    <w:t>给料、破碎、筛分</w:t>
                  </w:r>
                  <w:r>
                    <w:rPr>
                      <w:rFonts w:hint="eastAsia"/>
                      <w:color w:val="auto"/>
                      <w:sz w:val="21"/>
                      <w:szCs w:val="21"/>
                      <w:highlight w:val="none"/>
                      <w:lang w:val="en-US" w:eastAsia="zh-CN"/>
                    </w:rPr>
                    <w:t>粉尘</w:t>
                  </w:r>
                </w:p>
              </w:tc>
              <w:tc>
                <w:tcPr>
                  <w:tcW w:w="3328" w:type="pct"/>
                  <w:tcBorders>
                    <w:tl2br w:val="nil"/>
                    <w:tr2bl w:val="nil"/>
                  </w:tcBorders>
                  <w:vAlign w:val="center"/>
                </w:tcPr>
                <w:p w14:paraId="4EFFD1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给料机</w:t>
                  </w:r>
                  <w:r>
                    <w:rPr>
                      <w:rFonts w:hint="eastAsia" w:cs="Times New Roman"/>
                      <w:color w:val="auto"/>
                      <w:spacing w:val="0"/>
                      <w:kern w:val="2"/>
                      <w:sz w:val="21"/>
                      <w:szCs w:val="21"/>
                      <w:highlight w:val="none"/>
                      <w:vertAlign w:val="baseline"/>
                      <w:lang w:val="en-US" w:eastAsia="zh-CN" w:bidi="ar-SA"/>
                    </w:rPr>
                    <w:t>上料仓</w:t>
                  </w:r>
                  <w:r>
                    <w:rPr>
                      <w:rFonts w:hint="default" w:ascii="Times New Roman" w:hAnsi="Times New Roman" w:eastAsia="宋体" w:cs="Times New Roman"/>
                      <w:color w:val="auto"/>
                      <w:spacing w:val="0"/>
                      <w:kern w:val="2"/>
                      <w:sz w:val="21"/>
                      <w:szCs w:val="21"/>
                      <w:highlight w:val="none"/>
                      <w:vertAlign w:val="baseline"/>
                      <w:lang w:val="en-US" w:eastAsia="zh-CN" w:bidi="ar-SA"/>
                    </w:rPr>
                    <w:t>上方安装1个</w:t>
                  </w:r>
                  <w:r>
                    <w:rPr>
                      <w:rFonts w:hint="eastAsia" w:cs="Times New Roman"/>
                      <w:color w:val="auto"/>
                      <w:spacing w:val="0"/>
                      <w:kern w:val="2"/>
                      <w:sz w:val="21"/>
                      <w:szCs w:val="21"/>
                      <w:highlight w:val="none"/>
                      <w:vertAlign w:val="baseline"/>
                      <w:lang w:val="en-US" w:eastAsia="zh-CN" w:bidi="ar-SA"/>
                    </w:rPr>
                    <w:t>柜</w:t>
                  </w:r>
                  <w:r>
                    <w:rPr>
                      <w:rFonts w:hint="default" w:ascii="Times New Roman" w:hAnsi="Times New Roman" w:eastAsia="宋体" w:cs="Times New Roman"/>
                      <w:color w:val="auto"/>
                      <w:spacing w:val="0"/>
                      <w:kern w:val="2"/>
                      <w:sz w:val="21"/>
                      <w:szCs w:val="21"/>
                      <w:highlight w:val="none"/>
                      <w:vertAlign w:val="baseline"/>
                      <w:lang w:val="en-US" w:eastAsia="zh-CN" w:bidi="ar-SA"/>
                    </w:rPr>
                    <w:t>式集气罩，</w:t>
                  </w:r>
                  <w:r>
                    <w:rPr>
                      <w:rFonts w:hint="eastAsia" w:cs="Times New Roman"/>
                      <w:color w:val="auto"/>
                      <w:spacing w:val="0"/>
                      <w:kern w:val="2"/>
                      <w:sz w:val="21"/>
                      <w:szCs w:val="21"/>
                      <w:highlight w:val="none"/>
                      <w:vertAlign w:val="baseline"/>
                      <w:lang w:val="en-US" w:eastAsia="zh-CN" w:bidi="ar-SA"/>
                    </w:rPr>
                    <w:t>机出料口连接全封闭式皮带输送机，</w:t>
                  </w:r>
                  <w:r>
                    <w:rPr>
                      <w:rFonts w:hint="default" w:ascii="Times New Roman" w:hAnsi="Times New Roman" w:eastAsia="宋体" w:cs="Times New Roman"/>
                      <w:color w:val="auto"/>
                      <w:spacing w:val="0"/>
                      <w:kern w:val="2"/>
                      <w:sz w:val="21"/>
                      <w:szCs w:val="21"/>
                      <w:highlight w:val="none"/>
                      <w:vertAlign w:val="baseline"/>
                      <w:lang w:val="en-US" w:eastAsia="zh-CN" w:bidi="ar-SA"/>
                    </w:rPr>
                    <w:t>颚式破碎机、1#振动筛和2台细颚式破碎机为全封闭式，上方均设置集气管道，废气经收集后共同引入1台布袋除尘器（TA001）处理后，由1根20m高排气筒（DA001）排放</w:t>
                  </w:r>
                </w:p>
              </w:tc>
              <w:tc>
                <w:tcPr>
                  <w:tcW w:w="524" w:type="pct"/>
                  <w:tcBorders>
                    <w:tl2br w:val="nil"/>
                    <w:tr2bl w:val="nil"/>
                  </w:tcBorders>
                  <w:vAlign w:val="center"/>
                </w:tcPr>
                <w:p w14:paraId="6408B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646B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7246179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2950CD2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4336D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olor w:val="auto"/>
                      <w:sz w:val="21"/>
                      <w:szCs w:val="21"/>
                      <w:highlight w:val="none"/>
                      <w:lang w:val="en-US" w:eastAsia="zh-CN"/>
                    </w:rPr>
                    <w:t>制砂</w:t>
                  </w:r>
                  <w:r>
                    <w:rPr>
                      <w:rFonts w:hint="eastAsia" w:eastAsia="宋体"/>
                      <w:color w:val="auto"/>
                      <w:sz w:val="21"/>
                      <w:szCs w:val="21"/>
                      <w:highlight w:val="none"/>
                      <w:lang w:val="en-US" w:eastAsia="zh-CN"/>
                    </w:rPr>
                    <w:t>、筛分</w:t>
                  </w:r>
                  <w:r>
                    <w:rPr>
                      <w:rFonts w:hint="eastAsia"/>
                      <w:color w:val="auto"/>
                      <w:sz w:val="21"/>
                      <w:szCs w:val="21"/>
                      <w:highlight w:val="none"/>
                      <w:lang w:val="en-US" w:eastAsia="zh-CN"/>
                    </w:rPr>
                    <w:t>粉尘</w:t>
                  </w:r>
                </w:p>
              </w:tc>
              <w:tc>
                <w:tcPr>
                  <w:tcW w:w="3328" w:type="pct"/>
                  <w:tcBorders>
                    <w:tl2br w:val="nil"/>
                    <w:tr2bl w:val="nil"/>
                  </w:tcBorders>
                  <w:vAlign w:val="center"/>
                </w:tcPr>
                <w:p w14:paraId="7946ED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kern w:val="2"/>
                      <w:sz w:val="21"/>
                      <w:szCs w:val="21"/>
                      <w:lang w:val="en-US" w:eastAsia="zh-CN" w:bidi="ar-SA"/>
                    </w:rPr>
                    <w:t>制砂</w:t>
                  </w:r>
                  <w:r>
                    <w:rPr>
                      <w:rFonts w:hint="default" w:ascii="Times New Roman" w:hAnsi="Times New Roman" w:eastAsia="宋体" w:cs="Times New Roman"/>
                      <w:color w:val="auto"/>
                      <w:kern w:val="2"/>
                      <w:sz w:val="21"/>
                      <w:szCs w:val="21"/>
                      <w:lang w:val="en-US" w:eastAsia="zh-CN" w:bidi="ar-SA"/>
                    </w:rPr>
                    <w:t>机</w:t>
                  </w:r>
                  <w:r>
                    <w:rPr>
                      <w:rFonts w:hint="eastAsia"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2</w:t>
                  </w:r>
                  <w:r>
                    <w:rPr>
                      <w:rFonts w:hint="eastAsia"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振动筛均为全封闭式，上方设置集气管道，废气经收集后共同引入1台布袋除尘器（TA002）处理后，由1根20m高排气筒（DA002）排放</w:t>
                  </w:r>
                </w:p>
              </w:tc>
              <w:tc>
                <w:tcPr>
                  <w:tcW w:w="524" w:type="pct"/>
                  <w:tcBorders>
                    <w:tl2br w:val="nil"/>
                    <w:tr2bl w:val="nil"/>
                  </w:tcBorders>
                  <w:vAlign w:val="center"/>
                </w:tcPr>
                <w:p w14:paraId="5D07E3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4EB7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395F78A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087A909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78B069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bCs/>
                      <w:color w:val="auto"/>
                      <w:sz w:val="21"/>
                      <w:szCs w:val="21"/>
                      <w:highlight w:val="none"/>
                    </w:rPr>
                    <w:t>物料</w:t>
                  </w:r>
                  <w:r>
                    <w:rPr>
                      <w:rFonts w:hint="eastAsia"/>
                      <w:bCs/>
                      <w:color w:val="auto"/>
                      <w:sz w:val="21"/>
                      <w:szCs w:val="21"/>
                      <w:highlight w:val="none"/>
                      <w:lang w:val="en-US" w:eastAsia="zh-CN"/>
                    </w:rPr>
                    <w:t>运输</w:t>
                  </w:r>
                  <w:r>
                    <w:rPr>
                      <w:rFonts w:hint="default"/>
                      <w:bCs/>
                      <w:color w:val="auto"/>
                      <w:sz w:val="21"/>
                      <w:szCs w:val="21"/>
                      <w:highlight w:val="none"/>
                    </w:rPr>
                    <w:t>转载粉尘</w:t>
                  </w:r>
                </w:p>
              </w:tc>
              <w:tc>
                <w:tcPr>
                  <w:tcW w:w="3328" w:type="pct"/>
                  <w:tcBorders>
                    <w:tl2br w:val="nil"/>
                    <w:tr2bl w:val="nil"/>
                  </w:tcBorders>
                  <w:vAlign w:val="center"/>
                </w:tcPr>
                <w:p w14:paraId="2895D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ascii="Times New Roman" w:hAnsi="Times New Roman" w:cs="Times New Roman"/>
                      <w:b w:val="0"/>
                      <w:bCs/>
                      <w:color w:val="auto"/>
                      <w:spacing w:val="0"/>
                      <w:kern w:val="2"/>
                      <w:sz w:val="21"/>
                      <w:szCs w:val="21"/>
                      <w:highlight w:val="none"/>
                      <w:lang w:val="en-US" w:eastAsia="zh-CN" w:bidi="ar-SA"/>
                    </w:rPr>
                    <w:t>采用全封</w:t>
                  </w:r>
                  <w:r>
                    <w:rPr>
                      <w:rFonts w:hint="eastAsia" w:ascii="Times New Roman" w:hAnsi="Times New Roman" w:cs="Times New Roman"/>
                      <w:b w:val="0"/>
                      <w:bCs/>
                      <w:color w:val="auto"/>
                      <w:spacing w:val="0"/>
                      <w:kern w:val="2"/>
                      <w:sz w:val="21"/>
                      <w:szCs w:val="21"/>
                      <w:highlight w:val="none"/>
                      <w:lang w:val="en-GB" w:eastAsia="zh-CN" w:bidi="ar-SA"/>
                    </w:rPr>
                    <w:t>闭皮带</w:t>
                  </w:r>
                  <w:r>
                    <w:rPr>
                      <w:rFonts w:hint="eastAsia" w:ascii="Times New Roman" w:hAnsi="Times New Roman" w:cs="Times New Roman"/>
                      <w:b w:val="0"/>
                      <w:bCs/>
                      <w:color w:val="auto"/>
                      <w:spacing w:val="0"/>
                      <w:kern w:val="2"/>
                      <w:sz w:val="21"/>
                      <w:szCs w:val="21"/>
                      <w:highlight w:val="none"/>
                      <w:lang w:val="en-US" w:eastAsia="zh-CN" w:bidi="ar-SA"/>
                    </w:rPr>
                    <w:t>输送，降低落料点高度，在原料堆放处、皮带转运跌落点处设固定式雾化喷头</w:t>
                  </w:r>
                </w:p>
              </w:tc>
              <w:tc>
                <w:tcPr>
                  <w:tcW w:w="524" w:type="pct"/>
                  <w:tcBorders>
                    <w:tl2br w:val="nil"/>
                    <w:tr2bl w:val="nil"/>
                  </w:tcBorders>
                  <w:vAlign w:val="center"/>
                </w:tcPr>
                <w:p w14:paraId="06394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2E28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37B4883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restart"/>
                  <w:tcBorders>
                    <w:tl2br w:val="nil"/>
                    <w:tr2bl w:val="nil"/>
                  </w:tcBorders>
                  <w:vAlign w:val="center"/>
                </w:tcPr>
                <w:p w14:paraId="76229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废水</w:t>
                  </w:r>
                </w:p>
              </w:tc>
              <w:tc>
                <w:tcPr>
                  <w:tcW w:w="600" w:type="pct"/>
                  <w:gridSpan w:val="2"/>
                  <w:tcBorders>
                    <w:tl2br w:val="nil"/>
                    <w:tr2bl w:val="nil"/>
                  </w:tcBorders>
                  <w:vAlign w:val="center"/>
                </w:tcPr>
                <w:p w14:paraId="55419A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生活</w:t>
                  </w:r>
                </w:p>
                <w:p w14:paraId="16290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污水</w:t>
                  </w:r>
                </w:p>
              </w:tc>
              <w:tc>
                <w:tcPr>
                  <w:tcW w:w="3328" w:type="pct"/>
                  <w:tcBorders>
                    <w:tl2br w:val="nil"/>
                    <w:tr2bl w:val="nil"/>
                  </w:tcBorders>
                  <w:vAlign w:val="center"/>
                </w:tcPr>
                <w:p w14:paraId="738532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排入厂区现有旱厕，定时清掏，不外排</w:t>
                  </w:r>
                </w:p>
              </w:tc>
              <w:tc>
                <w:tcPr>
                  <w:tcW w:w="524" w:type="pct"/>
                  <w:tcBorders>
                    <w:tl2br w:val="nil"/>
                    <w:tr2bl w:val="nil"/>
                  </w:tcBorders>
                  <w:vAlign w:val="center"/>
                </w:tcPr>
                <w:p w14:paraId="139D491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4203FB0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40E30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5AD937A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47DDD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7722D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洗车</w:t>
                  </w:r>
                </w:p>
                <w:p w14:paraId="755CA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废水</w:t>
                  </w:r>
                </w:p>
              </w:tc>
              <w:tc>
                <w:tcPr>
                  <w:tcW w:w="3328" w:type="pct"/>
                  <w:tcBorders>
                    <w:tl2br w:val="nil"/>
                    <w:tr2bl w:val="nil"/>
                  </w:tcBorders>
                  <w:vAlign w:val="center"/>
                </w:tcPr>
                <w:p w14:paraId="71FBDB77">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经配套沉淀池沉淀后</w:t>
                  </w:r>
                  <w:r>
                    <w:rPr>
                      <w:rFonts w:hint="default" w:ascii="Times New Roman" w:hAnsi="Times New Roman" w:cs="Times New Roman"/>
                      <w:color w:val="auto"/>
                      <w:spacing w:val="0"/>
                      <w:sz w:val="21"/>
                      <w:szCs w:val="21"/>
                      <w:highlight w:val="none"/>
                    </w:rPr>
                    <w:t>回用</w:t>
                  </w:r>
                  <w:r>
                    <w:rPr>
                      <w:rFonts w:hint="eastAsia" w:cs="Times New Roman"/>
                      <w:color w:val="auto"/>
                      <w:spacing w:val="0"/>
                      <w:sz w:val="21"/>
                      <w:szCs w:val="21"/>
                      <w:highlight w:val="none"/>
                      <w:lang w:val="en-US" w:eastAsia="zh-CN"/>
                    </w:rPr>
                    <w:t>于</w:t>
                  </w:r>
                  <w:r>
                    <w:rPr>
                      <w:rFonts w:hint="default" w:ascii="Times New Roman" w:hAnsi="Times New Roman" w:eastAsia="宋体" w:cs="Times New Roman"/>
                      <w:color w:val="auto"/>
                      <w:spacing w:val="0"/>
                      <w:sz w:val="21"/>
                      <w:szCs w:val="21"/>
                      <w:highlight w:val="none"/>
                      <w:lang w:val="en-US" w:eastAsia="zh-CN"/>
                    </w:rPr>
                    <w:t>洗车</w:t>
                  </w:r>
                  <w:r>
                    <w:rPr>
                      <w:rFonts w:hint="default" w:ascii="Times New Roman" w:hAnsi="Times New Roman" w:cs="Times New Roman"/>
                      <w:color w:val="auto"/>
                      <w:spacing w:val="0"/>
                      <w:sz w:val="21"/>
                      <w:szCs w:val="21"/>
                      <w:highlight w:val="none"/>
                    </w:rPr>
                    <w:t>工序，循环使用不排放</w:t>
                  </w:r>
                </w:p>
              </w:tc>
              <w:tc>
                <w:tcPr>
                  <w:tcW w:w="524" w:type="pct"/>
                  <w:tcBorders>
                    <w:tl2br w:val="nil"/>
                    <w:tr2bl w:val="nil"/>
                  </w:tcBorders>
                  <w:vAlign w:val="center"/>
                </w:tcPr>
                <w:p w14:paraId="6CFF74B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Cs/>
                      <w:color w:val="auto"/>
                      <w:spacing w:val="0"/>
                      <w:sz w:val="21"/>
                      <w:szCs w:val="21"/>
                      <w:highlight w:val="none"/>
                      <w:lang w:val="en-US" w:eastAsia="zh-CN"/>
                    </w:rPr>
                    <w:t>新建</w:t>
                  </w:r>
                </w:p>
              </w:tc>
            </w:tr>
            <w:tr w14:paraId="79D2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7F1DAEE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7E8E3D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241EFA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初期</w:t>
                  </w:r>
                </w:p>
                <w:p w14:paraId="0D850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雨水</w:t>
                  </w:r>
                </w:p>
              </w:tc>
              <w:tc>
                <w:tcPr>
                  <w:tcW w:w="3328" w:type="pct"/>
                  <w:tcBorders>
                    <w:tl2br w:val="nil"/>
                    <w:tr2bl w:val="nil"/>
                  </w:tcBorders>
                  <w:vAlign w:val="center"/>
                </w:tcPr>
                <w:p w14:paraId="640CC455">
                  <w:pPr>
                    <w:pStyle w:val="6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z w:val="21"/>
                      <w:szCs w:val="21"/>
                      <w:highlight w:val="none"/>
                      <w:lang w:val="en-US" w:eastAsia="zh-CN"/>
                    </w:rPr>
                    <w:t>厂区东南侧已设置1座360m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初期雨水池</w:t>
                  </w:r>
                  <w:r>
                    <w:rPr>
                      <w:rFonts w:hint="eastAsia"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雨水经沉淀后</w:t>
                  </w:r>
                  <w:r>
                    <w:rPr>
                      <w:rFonts w:hint="eastAsia" w:ascii="Times New Roman" w:hAnsi="Times New Roman" w:eastAsia="宋体" w:cs="Times New Roman"/>
                      <w:color w:val="auto"/>
                      <w:sz w:val="21"/>
                      <w:szCs w:val="21"/>
                      <w:highlight w:val="none"/>
                      <w:lang w:val="en-US" w:eastAsia="zh-CN"/>
                    </w:rPr>
                    <w:t>用于厂区洒水抑尘</w:t>
                  </w:r>
                </w:p>
              </w:tc>
              <w:tc>
                <w:tcPr>
                  <w:tcW w:w="524" w:type="pct"/>
                  <w:tcBorders>
                    <w:tl2br w:val="nil"/>
                    <w:tr2bl w:val="nil"/>
                  </w:tcBorders>
                  <w:vAlign w:val="center"/>
                </w:tcPr>
                <w:p w14:paraId="2B94C41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依托</w:t>
                  </w:r>
                </w:p>
                <w:p w14:paraId="20C1791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现有</w:t>
                  </w:r>
                </w:p>
              </w:tc>
            </w:tr>
            <w:tr w14:paraId="2E2F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260B52A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restart"/>
                  <w:tcBorders>
                    <w:tl2br w:val="nil"/>
                    <w:tr2bl w:val="nil"/>
                  </w:tcBorders>
                  <w:vAlign w:val="center"/>
                </w:tcPr>
                <w:p w14:paraId="0CCABB3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固体废物</w:t>
                  </w:r>
                </w:p>
              </w:tc>
              <w:tc>
                <w:tcPr>
                  <w:tcW w:w="600" w:type="pct"/>
                  <w:gridSpan w:val="2"/>
                  <w:tcBorders>
                    <w:tl2br w:val="nil"/>
                    <w:tr2bl w:val="nil"/>
                  </w:tcBorders>
                  <w:vAlign w:val="center"/>
                </w:tcPr>
                <w:p w14:paraId="1D09B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rPr>
                  </w:pPr>
                  <w:r>
                    <w:rPr>
                      <w:rFonts w:hint="default" w:ascii="Times New Roman" w:hAnsi="Times New Roman" w:eastAsia="宋体" w:cs="Times New Roman"/>
                      <w:color w:val="auto"/>
                      <w:spacing w:val="0"/>
                      <w:sz w:val="21"/>
                      <w:szCs w:val="21"/>
                      <w:highlight w:val="none"/>
                    </w:rPr>
                    <w:t>生活</w:t>
                  </w:r>
                </w:p>
                <w:p w14:paraId="5490AA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rPr>
                    <w:t>垃圾</w:t>
                  </w:r>
                </w:p>
              </w:tc>
              <w:tc>
                <w:tcPr>
                  <w:tcW w:w="3328" w:type="pct"/>
                  <w:tcBorders>
                    <w:tl2br w:val="nil"/>
                    <w:tr2bl w:val="nil"/>
                  </w:tcBorders>
                  <w:vAlign w:val="center"/>
                </w:tcPr>
                <w:p w14:paraId="373FA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厂区内设置分类垃圾桶，定期送至当地环卫部门指定地点处置</w:t>
                  </w:r>
                </w:p>
              </w:tc>
              <w:tc>
                <w:tcPr>
                  <w:tcW w:w="524" w:type="pct"/>
                  <w:tcBorders>
                    <w:tl2br w:val="nil"/>
                    <w:tr2bl w:val="nil"/>
                  </w:tcBorders>
                  <w:vAlign w:val="center"/>
                </w:tcPr>
                <w:p w14:paraId="4E6526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5896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7C499B6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67F8535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69537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lang w:val="en-US" w:eastAsia="zh-CN"/>
                    </w:rPr>
                    <w:t>除尘灰</w:t>
                  </w:r>
                </w:p>
              </w:tc>
              <w:tc>
                <w:tcPr>
                  <w:tcW w:w="3328" w:type="pct"/>
                  <w:tcBorders>
                    <w:tl2br w:val="nil"/>
                    <w:tr2bl w:val="nil"/>
                  </w:tcBorders>
                  <w:vAlign w:val="center"/>
                </w:tcPr>
                <w:p w14:paraId="4102C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统一收集后作为产品外售</w:t>
                  </w:r>
                </w:p>
              </w:tc>
              <w:tc>
                <w:tcPr>
                  <w:tcW w:w="524" w:type="pct"/>
                  <w:tcBorders>
                    <w:tl2br w:val="nil"/>
                    <w:tr2bl w:val="nil"/>
                  </w:tcBorders>
                  <w:vAlign w:val="center"/>
                </w:tcPr>
                <w:p w14:paraId="1D704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4466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5B86C99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261F82A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6C8BFE8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废布袋</w:t>
                  </w:r>
                </w:p>
              </w:tc>
              <w:tc>
                <w:tcPr>
                  <w:tcW w:w="3328" w:type="pct"/>
                  <w:tcBorders>
                    <w:tl2br w:val="nil"/>
                    <w:tr2bl w:val="nil"/>
                  </w:tcBorders>
                  <w:vAlign w:val="center"/>
                </w:tcPr>
                <w:p w14:paraId="2C778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Cs w:val="21"/>
                      <w:highlight w:val="none"/>
                      <w:lang w:val="en-US" w:eastAsia="zh-CN"/>
                    </w:rPr>
                    <w:t>定期由除尘器厂家回收</w:t>
                  </w:r>
                </w:p>
              </w:tc>
              <w:tc>
                <w:tcPr>
                  <w:tcW w:w="524" w:type="pct"/>
                  <w:tcBorders>
                    <w:tl2br w:val="nil"/>
                    <w:tr2bl w:val="nil"/>
                  </w:tcBorders>
                  <w:vAlign w:val="center"/>
                </w:tcPr>
                <w:p w14:paraId="4EBCC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0783E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6885DCE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7A808CF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483F957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废铁屑</w:t>
                  </w:r>
                </w:p>
              </w:tc>
              <w:tc>
                <w:tcPr>
                  <w:tcW w:w="3328" w:type="pct"/>
                  <w:tcBorders>
                    <w:tl2br w:val="nil"/>
                    <w:tr2bl w:val="nil"/>
                  </w:tcBorders>
                  <w:vAlign w:val="center"/>
                </w:tcPr>
                <w:p w14:paraId="7E3B4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Cs w:val="21"/>
                      <w:highlight w:val="none"/>
                      <w:lang w:val="en-US" w:eastAsia="zh-CN"/>
                    </w:rPr>
                    <w:t>收集后外售废品收购站</w:t>
                  </w:r>
                </w:p>
              </w:tc>
              <w:tc>
                <w:tcPr>
                  <w:tcW w:w="524" w:type="pct"/>
                  <w:tcBorders>
                    <w:tl2br w:val="nil"/>
                    <w:tr2bl w:val="nil"/>
                  </w:tcBorders>
                  <w:vAlign w:val="center"/>
                </w:tcPr>
                <w:p w14:paraId="027E8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3E45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5E6835C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vMerge w:val="continue"/>
                  <w:tcBorders>
                    <w:tl2br w:val="nil"/>
                    <w:tr2bl w:val="nil"/>
                  </w:tcBorders>
                  <w:vAlign w:val="center"/>
                </w:tcPr>
                <w:p w14:paraId="424157E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600" w:type="pct"/>
                  <w:gridSpan w:val="2"/>
                  <w:tcBorders>
                    <w:tl2br w:val="nil"/>
                    <w:tr2bl w:val="nil"/>
                  </w:tcBorders>
                  <w:vAlign w:val="center"/>
                </w:tcPr>
                <w:p w14:paraId="3FA038D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default" w:ascii="Times New Roman" w:hAnsi="Times New Roman" w:eastAsia="宋体" w:cs="Times New Roman"/>
                      <w:color w:val="auto"/>
                      <w:spacing w:val="0"/>
                      <w:sz w:val="21"/>
                      <w:szCs w:val="21"/>
                      <w:highlight w:val="none"/>
                      <w:lang w:val="en-US" w:eastAsia="zh-CN"/>
                    </w:rPr>
                    <w:t>废矿物油</w:t>
                  </w:r>
                  <w:r>
                    <w:rPr>
                      <w:rFonts w:hint="eastAsia" w:ascii="Times New Roman" w:hAnsi="Times New Roman" w:eastAsia="宋体" w:cs="Times New Roman"/>
                      <w:color w:val="auto"/>
                      <w:spacing w:val="0"/>
                      <w:sz w:val="21"/>
                      <w:szCs w:val="21"/>
                      <w:highlight w:val="none"/>
                      <w:lang w:val="en-US" w:eastAsia="zh-CN"/>
                    </w:rPr>
                    <w:t>、废油桶</w:t>
                  </w:r>
                </w:p>
              </w:tc>
              <w:tc>
                <w:tcPr>
                  <w:tcW w:w="3328" w:type="pct"/>
                  <w:tcBorders>
                    <w:tl2br w:val="nil"/>
                    <w:tr2bl w:val="nil"/>
                  </w:tcBorders>
                  <w:vAlign w:val="center"/>
                </w:tcPr>
                <w:p w14:paraId="0653415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both"/>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color w:val="auto"/>
                      <w:spacing w:val="0"/>
                      <w:sz w:val="21"/>
                      <w:szCs w:val="21"/>
                      <w:highlight w:val="none"/>
                      <w:lang w:val="en-US" w:eastAsia="zh-CN"/>
                    </w:rPr>
                    <w:t>在生产车间内东南侧新建1座占地面积约10m</w:t>
                  </w:r>
                  <w:r>
                    <w:rPr>
                      <w:rFonts w:hint="eastAsia" w:cs="Times New Roman"/>
                      <w:color w:val="auto"/>
                      <w:spacing w:val="0"/>
                      <w:sz w:val="21"/>
                      <w:szCs w:val="21"/>
                      <w:highlight w:val="none"/>
                      <w:vertAlign w:val="superscript"/>
                      <w:lang w:val="en-US" w:eastAsia="zh-CN"/>
                    </w:rPr>
                    <w:t>2</w:t>
                  </w:r>
                  <w:r>
                    <w:rPr>
                      <w:rFonts w:hint="eastAsia" w:cs="Times New Roman"/>
                      <w:color w:val="auto"/>
                      <w:spacing w:val="0"/>
                      <w:sz w:val="21"/>
                      <w:szCs w:val="21"/>
                      <w:highlight w:val="none"/>
                      <w:vertAlign w:val="baseline"/>
                      <w:lang w:val="en-US" w:eastAsia="zh-CN"/>
                    </w:rPr>
                    <w:t>的危废贮存点，地面已做防渗处理，废矿物油、废油桶</w:t>
                  </w:r>
                  <w:r>
                    <w:rPr>
                      <w:rFonts w:hint="default" w:ascii="Times New Roman" w:hAnsi="Times New Roman" w:eastAsia="宋体" w:cs="Times New Roman"/>
                      <w:color w:val="auto"/>
                      <w:spacing w:val="0"/>
                      <w:sz w:val="21"/>
                      <w:szCs w:val="21"/>
                      <w:highlight w:val="none"/>
                      <w:lang w:val="en-US" w:eastAsia="zh-CN"/>
                    </w:rPr>
                    <w:t>暂存于</w:t>
                  </w:r>
                  <w:r>
                    <w:rPr>
                      <w:rFonts w:hint="eastAsia" w:ascii="Times New Roman" w:hAnsi="Times New Roman" w:eastAsia="宋体" w:cs="Times New Roman"/>
                      <w:color w:val="auto"/>
                      <w:spacing w:val="0"/>
                      <w:sz w:val="21"/>
                      <w:szCs w:val="21"/>
                      <w:highlight w:val="none"/>
                      <w:lang w:val="en-US" w:eastAsia="zh-CN"/>
                    </w:rPr>
                    <w:t>危废贮存</w:t>
                  </w:r>
                  <w:r>
                    <w:rPr>
                      <w:rFonts w:hint="eastAsia" w:cs="Times New Roman"/>
                      <w:color w:val="auto"/>
                      <w:spacing w:val="0"/>
                      <w:sz w:val="21"/>
                      <w:szCs w:val="21"/>
                      <w:highlight w:val="none"/>
                      <w:vertAlign w:val="baseline"/>
                      <w:lang w:val="en-US" w:eastAsia="zh-CN"/>
                    </w:rPr>
                    <w:t>点</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定期委托有资质单位处置</w:t>
                  </w:r>
                </w:p>
              </w:tc>
              <w:tc>
                <w:tcPr>
                  <w:tcW w:w="524" w:type="pct"/>
                  <w:tcBorders>
                    <w:tl2br w:val="nil"/>
                    <w:tr2bl w:val="nil"/>
                  </w:tcBorders>
                  <w:vAlign w:val="center"/>
                </w:tcPr>
                <w:p w14:paraId="6D5543D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r w14:paraId="6248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97" w:type="pct"/>
                  <w:vMerge w:val="continue"/>
                  <w:tcBorders>
                    <w:tl2br w:val="nil"/>
                    <w:tr2bl w:val="nil"/>
                  </w:tcBorders>
                  <w:vAlign w:val="center"/>
                </w:tcPr>
                <w:p w14:paraId="345D06C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p>
              </w:tc>
              <w:tc>
                <w:tcPr>
                  <w:tcW w:w="249" w:type="pct"/>
                  <w:tcBorders>
                    <w:tl2br w:val="nil"/>
                    <w:tr2bl w:val="nil"/>
                  </w:tcBorders>
                  <w:vAlign w:val="center"/>
                </w:tcPr>
                <w:p w14:paraId="7401074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default" w:ascii="Times New Roman" w:hAnsi="Times New Roman" w:eastAsia="宋体"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噪声</w:t>
                  </w:r>
                </w:p>
              </w:tc>
              <w:tc>
                <w:tcPr>
                  <w:tcW w:w="600" w:type="pct"/>
                  <w:gridSpan w:val="2"/>
                  <w:tcBorders>
                    <w:tl2br w:val="nil"/>
                    <w:tr2bl w:val="nil"/>
                  </w:tcBorders>
                  <w:vAlign w:val="center"/>
                </w:tcPr>
                <w:p w14:paraId="09421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生产</w:t>
                  </w:r>
                </w:p>
                <w:p w14:paraId="7C555C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cs="Times New Roman"/>
                      <w:color w:val="auto"/>
                      <w:spacing w:val="0"/>
                      <w:sz w:val="21"/>
                      <w:szCs w:val="21"/>
                      <w:highlight w:val="none"/>
                    </w:rPr>
                    <w:t>设备</w:t>
                  </w:r>
                </w:p>
              </w:tc>
              <w:tc>
                <w:tcPr>
                  <w:tcW w:w="3328" w:type="pct"/>
                  <w:tcBorders>
                    <w:tl2br w:val="nil"/>
                    <w:tr2bl w:val="nil"/>
                  </w:tcBorders>
                  <w:vAlign w:val="center"/>
                </w:tcPr>
                <w:p w14:paraId="21468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cs="Times New Roman"/>
                      <w:color w:val="auto"/>
                      <w:spacing w:val="0"/>
                      <w:sz w:val="21"/>
                      <w:szCs w:val="21"/>
                      <w:highlight w:val="none"/>
                      <w:lang w:val="en-US" w:eastAsia="zh-CN"/>
                    </w:rPr>
                  </w:pPr>
                  <w:r>
                    <w:rPr>
                      <w:rFonts w:hint="default" w:ascii="Times New Roman" w:hAnsi="Times New Roman" w:cs="Times New Roman"/>
                      <w:bCs/>
                      <w:color w:val="auto"/>
                      <w:spacing w:val="0"/>
                      <w:sz w:val="21"/>
                      <w:szCs w:val="21"/>
                      <w:highlight w:val="none"/>
                    </w:rPr>
                    <w:t>选用低噪声设备，高噪音设备做基础减振、柔性连接，厂房隔声等，保持设备运行良好；车辆限速行驶，减少鸣笛</w:t>
                  </w:r>
                </w:p>
              </w:tc>
              <w:tc>
                <w:tcPr>
                  <w:tcW w:w="524" w:type="pct"/>
                  <w:tcBorders>
                    <w:tl2br w:val="nil"/>
                    <w:tr2bl w:val="nil"/>
                  </w:tcBorders>
                  <w:vAlign w:val="center"/>
                </w:tcPr>
                <w:p w14:paraId="1CC0926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cs="Times New Roman"/>
                      <w:b w:val="0"/>
                      <w:bCs w:val="0"/>
                      <w:iCs/>
                      <w:snapToGrid w:val="0"/>
                      <w:color w:val="auto"/>
                      <w:spacing w:val="0"/>
                      <w:kern w:val="0"/>
                      <w:sz w:val="21"/>
                      <w:szCs w:val="21"/>
                      <w:highlight w:val="none"/>
                      <w:vertAlign w:val="baseline"/>
                      <w:lang w:val="en-US" w:eastAsia="zh-CN" w:bidi="ar-SA"/>
                    </w:rPr>
                  </w:pPr>
                  <w:r>
                    <w:rPr>
                      <w:rFonts w:hint="eastAsia" w:cs="Times New Roman"/>
                      <w:b w:val="0"/>
                      <w:bCs w:val="0"/>
                      <w:iCs/>
                      <w:snapToGrid w:val="0"/>
                      <w:color w:val="auto"/>
                      <w:spacing w:val="0"/>
                      <w:kern w:val="0"/>
                      <w:sz w:val="21"/>
                      <w:szCs w:val="21"/>
                      <w:highlight w:val="none"/>
                      <w:vertAlign w:val="baseline"/>
                      <w:lang w:val="en-US" w:eastAsia="zh-CN" w:bidi="ar-SA"/>
                    </w:rPr>
                    <w:t>新建</w:t>
                  </w:r>
                </w:p>
              </w:tc>
            </w:tr>
          </w:tbl>
          <w:p w14:paraId="7D842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b/>
                <w:bCs/>
                <w:color w:val="auto"/>
                <w:sz w:val="24"/>
              </w:rPr>
            </w:pPr>
            <w:r>
              <w:rPr>
                <w:rFonts w:hint="default"/>
                <w:b/>
                <w:bCs/>
                <w:color w:val="auto"/>
                <w:sz w:val="24"/>
              </w:rPr>
              <w:t>依托工程可行性分析：</w:t>
            </w:r>
          </w:p>
          <w:p w14:paraId="3A4F6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color w:val="auto"/>
                <w:spacing w:val="0"/>
                <w:sz w:val="24"/>
                <w:szCs w:val="20"/>
                <w:highlight w:val="none"/>
                <w:vertAlign w:val="baseline"/>
                <w:lang w:val="en-US" w:eastAsia="zh-CN"/>
              </w:rPr>
            </w:pPr>
            <w:r>
              <w:rPr>
                <w:rFonts w:hint="eastAsia" w:cs="Times New Roman"/>
                <w:b w:val="0"/>
                <w:bCs w:val="0"/>
                <w:color w:val="auto"/>
                <w:spacing w:val="0"/>
                <w:sz w:val="24"/>
                <w:szCs w:val="20"/>
                <w:highlight w:val="none"/>
                <w:lang w:val="en-US" w:eastAsia="zh-CN"/>
              </w:rPr>
              <w:t>本</w:t>
            </w:r>
            <w:r>
              <w:rPr>
                <w:rFonts w:hint="eastAsia" w:cs="Times New Roman"/>
                <w:color w:val="auto"/>
                <w:spacing w:val="0"/>
                <w:sz w:val="24"/>
                <w:szCs w:val="20"/>
                <w:highlight w:val="none"/>
                <w:lang w:val="en-US" w:eastAsia="zh-CN"/>
              </w:rPr>
              <w:t>项目租赁长治市潞常清工贸有限公司北侧占地，租赁1座全封闭钢混厂房，空地及办公区，项目总占地面积为13503.5m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vertAlign w:val="baseline"/>
                <w:lang w:val="en-US" w:eastAsia="zh-CN"/>
              </w:rPr>
              <w:t>。</w:t>
            </w:r>
          </w:p>
          <w:p w14:paraId="3604A2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04" w:firstLineChars="200"/>
              <w:textAlignment w:val="auto"/>
              <w:rPr>
                <w:rFonts w:hint="default" w:ascii="Times New Roman" w:hAnsi="Times New Roman" w:eastAsia="宋体" w:cs="Times New Roman"/>
                <w:bCs/>
                <w:color w:val="auto"/>
                <w:spacing w:val="6"/>
                <w:sz w:val="24"/>
                <w:highlight w:val="none"/>
              </w:rPr>
            </w:pPr>
            <w:r>
              <w:rPr>
                <w:rFonts w:hint="default" w:ascii="Times New Roman" w:hAnsi="Times New Roman" w:eastAsia="宋体" w:cs="Times New Roman"/>
                <w:bCs/>
                <w:color w:val="auto"/>
                <w:spacing w:val="6"/>
                <w:sz w:val="24"/>
                <w:highlight w:val="none"/>
              </w:rPr>
              <w:t>2023年8月，</w:t>
            </w:r>
            <w:r>
              <w:rPr>
                <w:rFonts w:hint="eastAsia" w:cs="Times New Roman"/>
                <w:color w:val="auto"/>
                <w:spacing w:val="0"/>
                <w:sz w:val="24"/>
                <w:szCs w:val="20"/>
                <w:highlight w:val="none"/>
                <w:lang w:val="en-US" w:eastAsia="zh-CN"/>
              </w:rPr>
              <w:t>长治市潞常清工贸有限公司</w:t>
            </w:r>
            <w:r>
              <w:rPr>
                <w:rFonts w:hint="default" w:ascii="Times New Roman" w:hAnsi="Times New Roman" w:eastAsia="宋体" w:cs="Times New Roman"/>
                <w:bCs/>
                <w:color w:val="auto"/>
                <w:spacing w:val="6"/>
                <w:sz w:val="24"/>
                <w:highlight w:val="none"/>
              </w:rPr>
              <w:t>委托</w:t>
            </w:r>
            <w:r>
              <w:rPr>
                <w:rFonts w:hint="eastAsia" w:ascii="Times New Roman" w:hAnsi="Times New Roman" w:eastAsia="宋体" w:cs="Times New Roman"/>
                <w:color w:val="auto"/>
                <w:sz w:val="24"/>
                <w:highlight w:val="none"/>
              </w:rPr>
              <w:t>山西景顺通环境工程有限公司</w:t>
            </w:r>
            <w:r>
              <w:rPr>
                <w:rFonts w:hint="default" w:ascii="Times New Roman" w:hAnsi="Times New Roman" w:eastAsia="宋体" w:cs="Times New Roman"/>
                <w:bCs/>
                <w:color w:val="auto"/>
                <w:spacing w:val="6"/>
                <w:sz w:val="24"/>
                <w:highlight w:val="none"/>
              </w:rPr>
              <w:t>编制了《</w:t>
            </w:r>
            <w:r>
              <w:rPr>
                <w:rFonts w:hint="default" w:ascii="Times New Roman" w:hAnsi="Times New Roman" w:eastAsia="宋体" w:cs="Times New Roman"/>
                <w:color w:val="auto"/>
                <w:sz w:val="24"/>
                <w:highlight w:val="none"/>
              </w:rPr>
              <w:t>长治市潞常清工贸有限公司新建储煤棚项目</w:t>
            </w:r>
            <w:r>
              <w:rPr>
                <w:rFonts w:hint="default" w:ascii="Times New Roman" w:hAnsi="Times New Roman" w:eastAsia="宋体" w:cs="Times New Roman"/>
                <w:bCs/>
                <w:color w:val="auto"/>
                <w:spacing w:val="6"/>
                <w:sz w:val="24"/>
                <w:highlight w:val="none"/>
              </w:rPr>
              <w:t>环境影响报告表》。2023年8月22日，</w:t>
            </w:r>
            <w:r>
              <w:rPr>
                <w:rFonts w:hint="default" w:ascii="Times New Roman" w:hAnsi="Times New Roman" w:eastAsia="宋体" w:cs="Times New Roman"/>
                <w:color w:val="auto"/>
                <w:sz w:val="24"/>
                <w:highlight w:val="none"/>
              </w:rPr>
              <w:t>长治市屯留区行政审批服务管理局</w:t>
            </w:r>
            <w:r>
              <w:rPr>
                <w:rFonts w:hint="default" w:ascii="Times New Roman" w:hAnsi="Times New Roman" w:eastAsia="宋体" w:cs="Times New Roman"/>
                <w:bCs/>
                <w:color w:val="auto"/>
                <w:spacing w:val="6"/>
                <w:sz w:val="24"/>
                <w:highlight w:val="none"/>
              </w:rPr>
              <w:t>以</w:t>
            </w:r>
            <w:r>
              <w:rPr>
                <w:rFonts w:hint="eastAsia" w:ascii="Times New Roman" w:hAnsi="Times New Roman" w:eastAsia="宋体" w:cs="Times New Roman"/>
                <w:bCs/>
                <w:color w:val="auto"/>
                <w:spacing w:val="6"/>
                <w:sz w:val="24"/>
                <w:highlight w:val="none"/>
                <w:lang w:eastAsia="zh-CN"/>
              </w:rPr>
              <w:t>“</w:t>
            </w:r>
            <w:r>
              <w:rPr>
                <w:rFonts w:hint="default" w:ascii="Times New Roman" w:hAnsi="Times New Roman" w:eastAsia="宋体" w:cs="Times New Roman"/>
                <w:bCs/>
                <w:color w:val="auto"/>
                <w:spacing w:val="6"/>
                <w:sz w:val="24"/>
                <w:highlight w:val="none"/>
              </w:rPr>
              <w:t>屯审管建函</w:t>
            </w:r>
            <w:r>
              <w:rPr>
                <w:rFonts w:hint="eastAsia" w:ascii="Times New Roman" w:hAnsi="Times New Roman" w:eastAsia="宋体" w:cs="Times New Roman"/>
                <w:bCs/>
                <w:color w:val="auto"/>
                <w:spacing w:val="6"/>
                <w:sz w:val="24"/>
                <w:highlight w:val="none"/>
                <w:lang w:val="en-US" w:eastAsia="zh-CN"/>
              </w:rPr>
              <w:t>[</w:t>
            </w:r>
            <w:r>
              <w:rPr>
                <w:rFonts w:hint="eastAsia" w:ascii="Times New Roman" w:hAnsi="Times New Roman" w:eastAsia="宋体" w:cs="Times New Roman"/>
                <w:bCs/>
                <w:color w:val="auto"/>
                <w:spacing w:val="6"/>
                <w:sz w:val="24"/>
                <w:highlight w:val="none"/>
              </w:rPr>
              <w:t>202</w:t>
            </w:r>
            <w:r>
              <w:rPr>
                <w:rFonts w:hint="default" w:ascii="Times New Roman" w:hAnsi="Times New Roman" w:eastAsia="宋体" w:cs="Times New Roman"/>
                <w:bCs/>
                <w:color w:val="auto"/>
                <w:spacing w:val="6"/>
                <w:sz w:val="24"/>
                <w:highlight w:val="none"/>
              </w:rPr>
              <w:t>3</w:t>
            </w:r>
            <w:r>
              <w:rPr>
                <w:rFonts w:hint="eastAsia" w:ascii="Times New Roman" w:hAnsi="Times New Roman" w:eastAsia="宋体" w:cs="Times New Roman"/>
                <w:bCs/>
                <w:color w:val="auto"/>
                <w:spacing w:val="6"/>
                <w:sz w:val="24"/>
                <w:highlight w:val="none"/>
                <w:lang w:val="en-US" w:eastAsia="zh-CN"/>
              </w:rPr>
              <w:t>]</w:t>
            </w:r>
            <w:r>
              <w:rPr>
                <w:rFonts w:hint="default" w:ascii="Times New Roman" w:hAnsi="Times New Roman" w:eastAsia="宋体" w:cs="Times New Roman"/>
                <w:bCs/>
                <w:color w:val="auto"/>
                <w:spacing w:val="6"/>
                <w:sz w:val="24"/>
                <w:highlight w:val="none"/>
              </w:rPr>
              <w:t>31</w:t>
            </w:r>
            <w:r>
              <w:rPr>
                <w:rFonts w:hint="eastAsia" w:ascii="Times New Roman" w:hAnsi="Times New Roman" w:eastAsia="宋体" w:cs="Times New Roman"/>
                <w:bCs/>
                <w:color w:val="auto"/>
                <w:spacing w:val="6"/>
                <w:sz w:val="24"/>
                <w:highlight w:val="none"/>
              </w:rPr>
              <w:t>号</w:t>
            </w:r>
            <w:r>
              <w:rPr>
                <w:rFonts w:hint="eastAsia" w:ascii="Times New Roman" w:hAnsi="Times New Roman" w:eastAsia="宋体" w:cs="Times New Roman"/>
                <w:bCs/>
                <w:color w:val="auto"/>
                <w:spacing w:val="6"/>
                <w:sz w:val="24"/>
                <w:highlight w:val="none"/>
                <w:lang w:eastAsia="zh-CN"/>
              </w:rPr>
              <w:t>”</w:t>
            </w:r>
            <w:r>
              <w:rPr>
                <w:rFonts w:hint="eastAsia" w:ascii="Times New Roman" w:hAnsi="Times New Roman" w:eastAsia="宋体" w:cs="Times New Roman"/>
                <w:bCs/>
                <w:color w:val="auto"/>
                <w:spacing w:val="6"/>
                <w:sz w:val="24"/>
                <w:highlight w:val="none"/>
                <w:lang w:val="en-US" w:eastAsia="zh-CN"/>
              </w:rPr>
              <w:t>文</w:t>
            </w:r>
            <w:r>
              <w:rPr>
                <w:rFonts w:hint="default" w:ascii="Times New Roman" w:hAnsi="Times New Roman" w:eastAsia="宋体" w:cs="Times New Roman"/>
                <w:bCs/>
                <w:color w:val="auto"/>
                <w:spacing w:val="6"/>
                <w:sz w:val="24"/>
                <w:highlight w:val="none"/>
              </w:rPr>
              <w:t>对《</w:t>
            </w:r>
            <w:r>
              <w:rPr>
                <w:rFonts w:hint="default" w:ascii="Times New Roman" w:hAnsi="Times New Roman" w:eastAsia="宋体" w:cs="Times New Roman"/>
                <w:color w:val="auto"/>
                <w:sz w:val="24"/>
                <w:highlight w:val="none"/>
              </w:rPr>
              <w:t>长治市潞常清工贸有限公司新建储煤棚项目</w:t>
            </w:r>
            <w:r>
              <w:rPr>
                <w:rFonts w:hint="default" w:ascii="Times New Roman" w:hAnsi="Times New Roman" w:eastAsia="宋体" w:cs="Times New Roman"/>
                <w:bCs/>
                <w:color w:val="auto"/>
                <w:spacing w:val="6"/>
                <w:sz w:val="24"/>
                <w:highlight w:val="none"/>
              </w:rPr>
              <w:t>环境影响报告表》进行了批复。</w:t>
            </w:r>
          </w:p>
          <w:p w14:paraId="0C7FF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2024年4月1日</w:t>
            </w:r>
            <w:r>
              <w:rPr>
                <w:rFonts w:hint="eastAsia" w:ascii="Times New Roman" w:hAnsi="Times New Roman" w:eastAsia="宋体" w:cs="Times New Roman"/>
                <w:color w:val="auto"/>
                <w:sz w:val="24"/>
                <w:highlight w:val="none"/>
                <w:lang w:eastAsia="zh-CN"/>
              </w:rPr>
              <w:t>，</w:t>
            </w:r>
            <w:r>
              <w:rPr>
                <w:rFonts w:hint="eastAsia" w:ascii="Times New Roman" w:hAnsi="宋体" w:eastAsia="宋体" w:cs="Times New Roman"/>
                <w:color w:val="auto"/>
                <w:sz w:val="24"/>
                <w:highlight w:val="none"/>
              </w:rPr>
              <w:t>长治市潞常清工贸有限公司</w:t>
            </w:r>
            <w:r>
              <w:rPr>
                <w:rFonts w:hint="eastAsia" w:ascii="Times New Roman" w:hAnsi="宋体" w:eastAsia="宋体" w:cs="Times New Roman"/>
                <w:color w:val="auto"/>
                <w:sz w:val="24"/>
                <w:highlight w:val="none"/>
                <w:lang w:val="en-US" w:eastAsia="zh-CN"/>
              </w:rPr>
              <w:t>在全国排污许可证管理信息平台</w:t>
            </w:r>
            <w:r>
              <w:rPr>
                <w:rFonts w:hint="default" w:ascii="Times New Roman" w:hAnsi="Times New Roman" w:eastAsia="宋体" w:cs="Times New Roman"/>
                <w:color w:val="auto"/>
                <w:sz w:val="24"/>
                <w:highlight w:val="none"/>
              </w:rPr>
              <w:t>申领了固定污染源排污登记表，登记编号为91140424MAC2R62E1L001X。</w:t>
            </w:r>
          </w:p>
          <w:p w14:paraId="5DBF37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rPr>
              <w:t>2024年7月6日，</w:t>
            </w:r>
            <w:r>
              <w:rPr>
                <w:rFonts w:hint="eastAsia" w:ascii="Times New Roman" w:hAnsi="宋体" w:eastAsia="宋体" w:cs="Times New Roman"/>
                <w:color w:val="auto"/>
                <w:sz w:val="24"/>
                <w:highlight w:val="none"/>
              </w:rPr>
              <w:t>长治市潞常清工贸有限公司</w:t>
            </w:r>
            <w:r>
              <w:rPr>
                <w:rFonts w:hint="eastAsia" w:ascii="Times New Roman" w:hAnsi="宋体" w:eastAsia="宋体" w:cs="Times New Roman"/>
                <w:color w:val="auto"/>
                <w:sz w:val="24"/>
                <w:highlight w:val="none"/>
                <w:lang w:val="en-US" w:eastAsia="zh-CN"/>
              </w:rPr>
              <w:t>组织召开了《</w:t>
            </w:r>
            <w:r>
              <w:rPr>
                <w:rFonts w:hint="default" w:ascii="Times New Roman" w:hAnsi="Times New Roman" w:eastAsia="宋体" w:cs="Times New Roman"/>
                <w:color w:val="auto"/>
                <w:sz w:val="24"/>
                <w:highlight w:val="none"/>
              </w:rPr>
              <w:t>长治市潞常清工贸有限公司新建储煤棚项目</w:t>
            </w:r>
            <w:r>
              <w:rPr>
                <w:rFonts w:hint="eastAsia" w:ascii="Times New Roman" w:hAnsi="Times New Roman" w:eastAsia="宋体" w:cs="Times New Roman"/>
                <w:color w:val="auto"/>
                <w:sz w:val="24"/>
                <w:highlight w:val="none"/>
                <w:lang w:val="en-US" w:eastAsia="zh-CN"/>
              </w:rPr>
              <w:t>竣工环境保护验收会</w:t>
            </w:r>
            <w:r>
              <w:rPr>
                <w:rFonts w:hint="eastAsia" w:ascii="Times New Roman" w:hAnsi="宋体" w:eastAsia="宋体" w:cs="Times New Roman"/>
                <w:color w:val="auto"/>
                <w:sz w:val="24"/>
                <w:highlight w:val="none"/>
                <w:lang w:val="en-US" w:eastAsia="zh-CN"/>
              </w:rPr>
              <w:t>》，并通过了竣工环境保护验收。</w:t>
            </w:r>
          </w:p>
          <w:p w14:paraId="1DB25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bCs/>
                <w:color w:val="auto"/>
                <w:kern w:val="2"/>
                <w:sz w:val="24"/>
                <w:szCs w:val="24"/>
                <w:highlight w:val="none"/>
                <w:lang w:val="en-US" w:eastAsia="zh-CN" w:bidi="ar-SA"/>
              </w:rPr>
            </w:pPr>
            <w:r>
              <w:rPr>
                <w:rFonts w:hint="eastAsia" w:ascii="Times New Roman" w:hAnsi="Times New Roman" w:eastAsia="宋体" w:cs="Times New Roman"/>
                <w:bCs/>
                <w:color w:val="auto"/>
                <w:kern w:val="2"/>
                <w:sz w:val="24"/>
                <w:szCs w:val="24"/>
                <w:highlight w:val="none"/>
                <w:lang w:val="en-US" w:eastAsia="zh-CN" w:bidi="ar-SA"/>
              </w:rPr>
              <w:t>根据现场调查，该项目由于市场原因已停产并且不再投入生产。厂区内现有1座全封闭钢混结构厂房，厂房外东侧为办公区和库房，厂房外西侧为空地，厂房外南侧为库房，再往南为空地。厂区共有2个出入口，其中东侧为主出入口，南侧为员工出入口。东侧主出入口处现有1座洗车平台、1座初期雨水池和</w:t>
            </w:r>
            <w:r>
              <w:rPr>
                <w:rFonts w:hint="eastAsia" w:cs="Times New Roman"/>
                <w:bCs/>
                <w:color w:val="auto"/>
                <w:kern w:val="2"/>
                <w:sz w:val="24"/>
                <w:szCs w:val="24"/>
                <w:highlight w:val="none"/>
                <w:lang w:val="en-US" w:eastAsia="zh-CN" w:bidi="ar-SA"/>
              </w:rPr>
              <w:t>1</w:t>
            </w:r>
            <w:r>
              <w:rPr>
                <w:rFonts w:hint="eastAsia" w:ascii="Times New Roman" w:hAnsi="Times New Roman" w:eastAsia="宋体" w:cs="Times New Roman"/>
                <w:bCs/>
                <w:color w:val="auto"/>
                <w:kern w:val="2"/>
                <w:sz w:val="24"/>
                <w:szCs w:val="24"/>
                <w:highlight w:val="none"/>
                <w:lang w:val="en-US" w:eastAsia="zh-CN" w:bidi="ar-SA"/>
              </w:rPr>
              <w:t>座地磅。</w:t>
            </w:r>
            <w:r>
              <w:rPr>
                <w:rFonts w:hint="eastAsia" w:cs="Times New Roman"/>
                <w:bCs/>
                <w:color w:val="auto"/>
                <w:kern w:val="2"/>
                <w:sz w:val="24"/>
                <w:szCs w:val="24"/>
                <w:highlight w:val="none"/>
                <w:lang w:val="en-US" w:eastAsia="zh-CN" w:bidi="ar-SA"/>
              </w:rPr>
              <w:t>厂区南侧有4座库房。</w:t>
            </w:r>
            <w:r>
              <w:rPr>
                <w:rFonts w:hint="eastAsia" w:ascii="Times New Roman" w:hAnsi="Times New Roman" w:eastAsia="宋体" w:cs="Times New Roman"/>
                <w:bCs/>
                <w:color w:val="auto"/>
                <w:kern w:val="2"/>
                <w:sz w:val="24"/>
                <w:szCs w:val="24"/>
                <w:highlight w:val="none"/>
                <w:lang w:val="en-US" w:eastAsia="zh-CN" w:bidi="ar-SA"/>
              </w:rPr>
              <w:t>经现场踏勘，厂房内地面已做硬化处理，原有生产设备已全部搬离，厂房内地面仅见少量积尘，未发现大量物料残留、设备油污及危险废物遗留。</w:t>
            </w:r>
          </w:p>
          <w:p w14:paraId="7E0A3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 w:val="0"/>
                <w:bCs w:val="0"/>
                <w:color w:val="auto"/>
                <w:sz w:val="24"/>
                <w:lang w:val="en-US" w:eastAsia="zh-CN"/>
              </w:rPr>
            </w:pPr>
            <w:r>
              <w:rPr>
                <w:rFonts w:hint="eastAsia" w:cs="Times New Roman"/>
                <w:color w:val="auto"/>
                <w:spacing w:val="0"/>
                <w:sz w:val="24"/>
                <w:szCs w:val="20"/>
                <w:highlight w:val="none"/>
                <w:lang w:val="en-US" w:eastAsia="zh-CN"/>
              </w:rPr>
              <w:t>本次环评拟利用厂区内现有厂房建设1条年处理30万吨煤矸石生产线，</w:t>
            </w:r>
            <w:r>
              <w:rPr>
                <w:rFonts w:hint="eastAsia"/>
                <w:b w:val="0"/>
                <w:bCs w:val="0"/>
                <w:color w:val="auto"/>
                <w:sz w:val="24"/>
                <w:lang w:val="en-US" w:eastAsia="zh-CN"/>
              </w:rPr>
              <w:t>成品堆放区和原料堆放区均位于全封闭厂房内。依托工程主要涉及全封闭厂房、地磅、办公区及公用工程等。</w:t>
            </w:r>
          </w:p>
          <w:p w14:paraId="2987A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 w:val="0"/>
                <w:bCs w:val="0"/>
                <w:color w:val="auto"/>
                <w:sz w:val="24"/>
                <w:lang w:val="en-US" w:eastAsia="zh-CN"/>
              </w:rPr>
            </w:pPr>
            <w:r>
              <w:rPr>
                <w:rFonts w:hint="eastAsia"/>
                <w:b w:val="0"/>
                <w:bCs w:val="0"/>
                <w:color w:val="auto"/>
                <w:sz w:val="24"/>
                <w:lang w:val="en-US" w:eastAsia="zh-CN"/>
              </w:rPr>
              <w:t>（1）地磅</w:t>
            </w:r>
          </w:p>
          <w:p w14:paraId="24EF3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val="0"/>
                <w:bCs w:val="0"/>
                <w:color w:val="auto"/>
                <w:sz w:val="24"/>
                <w:lang w:val="en-US" w:eastAsia="zh-CN"/>
              </w:rPr>
            </w:pPr>
            <w:r>
              <w:rPr>
                <w:rFonts w:hint="eastAsia" w:cs="Times New Roman"/>
                <w:color w:val="auto"/>
                <w:sz w:val="24"/>
                <w:lang w:val="en-US" w:eastAsia="zh-CN"/>
              </w:rPr>
              <w:t>主出入口位于</w:t>
            </w:r>
            <w:r>
              <w:rPr>
                <w:rFonts w:hint="default" w:ascii="Times New Roman" w:hAnsi="Times New Roman" w:cs="Times New Roman"/>
                <w:color w:val="auto"/>
                <w:sz w:val="24"/>
              </w:rPr>
              <w:t>厂区</w:t>
            </w:r>
            <w:r>
              <w:rPr>
                <w:rFonts w:hint="eastAsia" w:cs="Times New Roman"/>
                <w:color w:val="auto"/>
                <w:sz w:val="24"/>
                <w:lang w:val="en-US" w:eastAsia="zh-CN"/>
              </w:rPr>
              <w:t>东侧，</w:t>
            </w:r>
            <w:r>
              <w:rPr>
                <w:rFonts w:hint="default" w:ascii="Times New Roman" w:hAnsi="Times New Roman" w:cs="Times New Roman"/>
                <w:color w:val="auto"/>
                <w:sz w:val="24"/>
                <w:lang w:val="en-US" w:eastAsia="zh-CN"/>
              </w:rPr>
              <w:t>设有</w:t>
            </w:r>
            <w:r>
              <w:rPr>
                <w:rFonts w:hint="eastAsia" w:ascii="Times New Roman" w:hAnsi="Times New Roman" w:cs="Times New Roman"/>
                <w:color w:val="auto"/>
                <w:sz w:val="24"/>
                <w:lang w:val="en-US" w:eastAsia="zh-CN"/>
              </w:rPr>
              <w:t>1座</w:t>
            </w:r>
            <w:r>
              <w:rPr>
                <w:rFonts w:hint="eastAsia" w:cs="Times New Roman"/>
                <w:color w:val="auto"/>
                <w:sz w:val="24"/>
                <w:lang w:val="en-US" w:eastAsia="zh-CN"/>
              </w:rPr>
              <w:t>地磅</w:t>
            </w:r>
            <w:r>
              <w:rPr>
                <w:rFonts w:hint="default" w:ascii="Times New Roman" w:hAnsi="Times New Roman" w:cs="Times New Roman"/>
                <w:color w:val="auto"/>
                <w:sz w:val="24"/>
              </w:rPr>
              <w:t>，</w:t>
            </w:r>
            <w:r>
              <w:rPr>
                <w:rFonts w:hint="eastAsia" w:cs="Times New Roman"/>
                <w:color w:val="auto"/>
                <w:sz w:val="24"/>
                <w:lang w:val="en-US" w:eastAsia="zh-CN"/>
              </w:rPr>
              <w:t>地磅</w:t>
            </w:r>
            <w:r>
              <w:rPr>
                <w:rFonts w:hint="default" w:ascii="Times New Roman" w:hAnsi="Times New Roman" w:cs="Times New Roman"/>
                <w:color w:val="auto"/>
                <w:sz w:val="24"/>
              </w:rPr>
              <w:t>可满足</w:t>
            </w:r>
            <w:r>
              <w:rPr>
                <w:rFonts w:hint="eastAsia" w:cs="Times New Roman"/>
                <w:color w:val="auto"/>
                <w:sz w:val="24"/>
                <w:lang w:val="en-US" w:eastAsia="zh-CN"/>
              </w:rPr>
              <w:t>本项目的</w:t>
            </w:r>
            <w:r>
              <w:rPr>
                <w:rFonts w:hint="default" w:ascii="Times New Roman" w:hAnsi="Times New Roman" w:cs="Times New Roman"/>
                <w:color w:val="auto"/>
                <w:sz w:val="24"/>
              </w:rPr>
              <w:t>生产需求。</w:t>
            </w:r>
          </w:p>
          <w:p w14:paraId="7C4FC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 w:val="0"/>
                <w:bCs w:val="0"/>
                <w:color w:val="auto"/>
                <w:sz w:val="24"/>
                <w:lang w:val="en-US" w:eastAsia="zh-CN"/>
              </w:rPr>
            </w:pPr>
            <w:r>
              <w:rPr>
                <w:rFonts w:hint="eastAsia"/>
                <w:b w:val="0"/>
                <w:bCs w:val="0"/>
                <w:color w:val="auto"/>
                <w:sz w:val="24"/>
                <w:lang w:val="en-US" w:eastAsia="zh-CN"/>
              </w:rPr>
              <w:t>（2）办公区、供水、供暖</w:t>
            </w:r>
          </w:p>
          <w:p w14:paraId="1AC845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本</w:t>
            </w:r>
            <w:r>
              <w:rPr>
                <w:rFonts w:hint="eastAsia"/>
                <w:color w:val="auto"/>
                <w:sz w:val="24"/>
                <w:lang w:val="en-US" w:eastAsia="zh-CN"/>
              </w:rPr>
              <w:t>项目</w:t>
            </w:r>
            <w:r>
              <w:rPr>
                <w:rFonts w:hint="default"/>
                <w:color w:val="auto"/>
                <w:sz w:val="24"/>
              </w:rPr>
              <w:t>劳动</w:t>
            </w:r>
            <w:r>
              <w:rPr>
                <w:rFonts w:hint="eastAsia"/>
                <w:color w:val="auto"/>
                <w:sz w:val="24"/>
                <w:lang w:val="en-US" w:eastAsia="zh-CN"/>
              </w:rPr>
              <w:t>定员依托现有厂区东侧办公区进行生活办公</w:t>
            </w:r>
            <w:r>
              <w:rPr>
                <w:rFonts w:hint="default"/>
                <w:color w:val="auto"/>
                <w:sz w:val="24"/>
              </w:rPr>
              <w:t>，</w:t>
            </w:r>
            <w:r>
              <w:rPr>
                <w:rFonts w:hint="eastAsia"/>
                <w:color w:val="auto"/>
                <w:sz w:val="24"/>
                <w:lang w:val="en-US" w:eastAsia="zh-CN"/>
              </w:rPr>
              <w:t>用水依托现有自来水管网，生活区供暖采用电采暖，生产车间无需供暖。</w:t>
            </w:r>
            <w:r>
              <w:rPr>
                <w:rFonts w:hint="default"/>
                <w:color w:val="auto"/>
                <w:sz w:val="24"/>
              </w:rPr>
              <w:t>目前办公区</w:t>
            </w:r>
            <w:r>
              <w:rPr>
                <w:rFonts w:hint="eastAsia"/>
                <w:color w:val="auto"/>
                <w:sz w:val="24"/>
                <w:lang w:eastAsia="zh-CN"/>
              </w:rPr>
              <w:t>、</w:t>
            </w:r>
            <w:r>
              <w:rPr>
                <w:rFonts w:hint="eastAsia"/>
                <w:color w:val="auto"/>
                <w:sz w:val="24"/>
                <w:lang w:val="en-US" w:eastAsia="zh-CN"/>
              </w:rPr>
              <w:t>供水、供暖等公用工程均</w:t>
            </w:r>
            <w:r>
              <w:rPr>
                <w:rFonts w:hint="default"/>
                <w:color w:val="auto"/>
                <w:sz w:val="24"/>
              </w:rPr>
              <w:t>可满足</w:t>
            </w:r>
            <w:r>
              <w:rPr>
                <w:rFonts w:hint="eastAsia"/>
                <w:color w:val="auto"/>
                <w:sz w:val="24"/>
                <w:lang w:val="en-US" w:eastAsia="zh-CN"/>
              </w:rPr>
              <w:t>本项目</w:t>
            </w:r>
            <w:r>
              <w:rPr>
                <w:rFonts w:hint="default"/>
                <w:color w:val="auto"/>
                <w:sz w:val="24"/>
              </w:rPr>
              <w:t>职工办公需求，</w:t>
            </w:r>
            <w:r>
              <w:rPr>
                <w:rFonts w:hint="eastAsia"/>
                <w:color w:val="auto"/>
                <w:sz w:val="24"/>
                <w:lang w:val="en-US" w:eastAsia="zh-CN"/>
              </w:rPr>
              <w:t>因此</w:t>
            </w:r>
            <w:r>
              <w:rPr>
                <w:rFonts w:hint="default"/>
                <w:color w:val="auto"/>
                <w:sz w:val="24"/>
              </w:rPr>
              <w:t>依托</w:t>
            </w:r>
            <w:r>
              <w:rPr>
                <w:rFonts w:hint="eastAsia"/>
                <w:color w:val="auto"/>
                <w:sz w:val="24"/>
                <w:lang w:val="en-US" w:eastAsia="zh-CN"/>
              </w:rPr>
              <w:t>现有</w:t>
            </w:r>
            <w:r>
              <w:rPr>
                <w:rFonts w:hint="default"/>
                <w:color w:val="auto"/>
                <w:sz w:val="24"/>
              </w:rPr>
              <w:t>办公区</w:t>
            </w:r>
            <w:r>
              <w:rPr>
                <w:rFonts w:hint="eastAsia"/>
                <w:color w:val="auto"/>
                <w:sz w:val="24"/>
                <w:lang w:eastAsia="zh-CN"/>
              </w:rPr>
              <w:t>、</w:t>
            </w:r>
            <w:r>
              <w:rPr>
                <w:rFonts w:hint="eastAsia"/>
                <w:b w:val="0"/>
                <w:bCs w:val="0"/>
                <w:color w:val="auto"/>
                <w:sz w:val="24"/>
                <w:lang w:val="en-US" w:eastAsia="zh-CN"/>
              </w:rPr>
              <w:t>供水、供暖工程</w:t>
            </w:r>
            <w:r>
              <w:rPr>
                <w:rFonts w:hint="default"/>
                <w:color w:val="auto"/>
                <w:sz w:val="24"/>
              </w:rPr>
              <w:t>可行。</w:t>
            </w:r>
          </w:p>
          <w:p w14:paraId="66DBD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eastAsia="宋体"/>
                <w:color w:val="auto"/>
                <w:sz w:val="24"/>
                <w:highlight w:val="none"/>
                <w:lang w:val="en-US" w:eastAsia="zh-CN"/>
              </w:rPr>
            </w:pPr>
            <w:r>
              <w:rPr>
                <w:rFonts w:hint="eastAsia"/>
                <w:color w:val="auto"/>
                <w:sz w:val="24"/>
                <w:highlight w:val="none"/>
                <w:lang w:eastAsia="zh-CN"/>
              </w:rPr>
              <w:t>（</w:t>
            </w:r>
            <w:r>
              <w:rPr>
                <w:rFonts w:hint="eastAsia"/>
                <w:color w:val="auto"/>
                <w:sz w:val="24"/>
                <w:highlight w:val="none"/>
                <w:lang w:val="en-US" w:eastAsia="zh-CN"/>
              </w:rPr>
              <w:t>3</w:t>
            </w:r>
            <w:r>
              <w:rPr>
                <w:rFonts w:hint="eastAsia"/>
                <w:color w:val="auto"/>
                <w:sz w:val="24"/>
                <w:highlight w:val="none"/>
                <w:lang w:eastAsia="zh-CN"/>
              </w:rPr>
              <w:t>）</w:t>
            </w:r>
            <w:r>
              <w:rPr>
                <w:rFonts w:hint="eastAsia"/>
                <w:color w:val="auto"/>
                <w:sz w:val="24"/>
                <w:highlight w:val="none"/>
                <w:lang w:val="en-US" w:eastAsia="zh-CN"/>
              </w:rPr>
              <w:t>初期雨水池、旱厕</w:t>
            </w:r>
          </w:p>
          <w:p w14:paraId="6F9BC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highlight w:val="none"/>
                <w:lang w:val="en-US" w:eastAsia="zh-CN"/>
              </w:rPr>
            </w:pPr>
            <w:r>
              <w:rPr>
                <w:rFonts w:hint="eastAsia"/>
                <w:color w:val="auto"/>
                <w:sz w:val="24"/>
                <w:highlight w:val="none"/>
                <w:lang w:val="en-US" w:eastAsia="zh-CN"/>
              </w:rPr>
              <w:t>厂区东南侧地势最低处，现有1座容积360m</w:t>
            </w:r>
            <w:r>
              <w:rPr>
                <w:rFonts w:hint="eastAsia"/>
                <w:color w:val="auto"/>
                <w:sz w:val="24"/>
                <w:highlight w:val="none"/>
                <w:vertAlign w:val="superscript"/>
                <w:lang w:val="en-US" w:eastAsia="zh-CN"/>
              </w:rPr>
              <w:t>3</w:t>
            </w:r>
            <w:r>
              <w:rPr>
                <w:rFonts w:hint="eastAsia"/>
                <w:color w:val="auto"/>
                <w:sz w:val="24"/>
                <w:highlight w:val="none"/>
                <w:vertAlign w:val="baseline"/>
                <w:lang w:val="en-US" w:eastAsia="zh-CN"/>
              </w:rPr>
              <w:t>初期雨水收集池</w:t>
            </w:r>
            <w:r>
              <w:rPr>
                <w:rFonts w:hint="eastAsia"/>
                <w:color w:val="auto"/>
                <w:sz w:val="24"/>
                <w:highlight w:val="none"/>
                <w:lang w:val="en-US" w:eastAsia="zh-CN"/>
              </w:rPr>
              <w:t>，池底和四周已做防渗处理；厂区外设有排水沟，</w:t>
            </w:r>
            <w:r>
              <w:rPr>
                <w:rFonts w:hint="eastAsia" w:ascii="Times New Roman" w:eastAsia="宋体"/>
                <w:color w:val="auto"/>
                <w:sz w:val="24"/>
                <w:highlight w:val="none"/>
                <w:lang w:val="en-US" w:eastAsia="zh-CN"/>
              </w:rPr>
              <w:t>后15min雨水可随地势排入排水沟。</w:t>
            </w:r>
            <w:r>
              <w:rPr>
                <w:rFonts w:hint="eastAsia"/>
                <w:color w:val="auto"/>
                <w:sz w:val="24"/>
                <w:highlight w:val="none"/>
                <w:lang w:val="en-US" w:eastAsia="zh-CN"/>
              </w:rPr>
              <w:t>厂区内设置1座旱厕，生活污水排入旱厕，定时清掏，均可满足</w:t>
            </w:r>
            <w:r>
              <w:rPr>
                <w:rFonts w:hint="eastAsia" w:cs="Times New Roman"/>
                <w:color w:val="auto"/>
                <w:sz w:val="24"/>
                <w:highlight w:val="none"/>
                <w:lang w:val="en-US" w:eastAsia="zh-CN"/>
              </w:rPr>
              <w:t>本项目的</w:t>
            </w:r>
            <w:r>
              <w:rPr>
                <w:rFonts w:hint="default" w:ascii="Times New Roman" w:hAnsi="Times New Roman" w:cs="Times New Roman"/>
                <w:color w:val="auto"/>
                <w:sz w:val="24"/>
                <w:highlight w:val="none"/>
              </w:rPr>
              <w:t>生产需求</w:t>
            </w:r>
            <w:r>
              <w:rPr>
                <w:rFonts w:hint="eastAsia" w:ascii="Times New Roman" w:hAnsi="Times New Roman" w:cs="Times New Roman"/>
                <w:color w:val="auto"/>
                <w:sz w:val="24"/>
                <w:highlight w:val="none"/>
                <w:lang w:eastAsia="zh-CN"/>
              </w:rPr>
              <w:t>。</w:t>
            </w:r>
          </w:p>
          <w:p w14:paraId="66C67A0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eastAsia="宋体"/>
                <w:b/>
                <w:bCs/>
                <w:color w:val="auto"/>
                <w:sz w:val="24"/>
                <w:lang w:val="en-US" w:eastAsia="zh-CN"/>
              </w:rPr>
            </w:pPr>
            <w:r>
              <w:rPr>
                <w:rFonts w:hint="default"/>
                <w:color w:val="auto"/>
                <w:sz w:val="24"/>
              </w:rPr>
              <w:t>综上所述</w:t>
            </w:r>
            <w:r>
              <w:rPr>
                <w:rFonts w:hint="eastAsia"/>
                <w:color w:val="auto"/>
                <w:sz w:val="24"/>
                <w:lang w:eastAsia="zh-CN"/>
              </w:rPr>
              <w:t>，</w:t>
            </w:r>
            <w:r>
              <w:rPr>
                <w:rFonts w:hint="eastAsia"/>
                <w:color w:val="auto"/>
                <w:sz w:val="24"/>
                <w:lang w:val="en-US" w:eastAsia="zh-CN"/>
              </w:rPr>
              <w:t>地磅、办公区、供水工程等依托工程</w:t>
            </w:r>
            <w:r>
              <w:rPr>
                <w:rFonts w:hint="default"/>
                <w:color w:val="auto"/>
                <w:sz w:val="24"/>
              </w:rPr>
              <w:t>均</w:t>
            </w:r>
            <w:r>
              <w:rPr>
                <w:rFonts w:hint="eastAsia"/>
                <w:color w:val="auto"/>
                <w:sz w:val="24"/>
                <w:lang w:val="en-US" w:eastAsia="zh-CN"/>
              </w:rPr>
              <w:t>可</w:t>
            </w:r>
            <w:r>
              <w:rPr>
                <w:rFonts w:hint="default"/>
                <w:color w:val="auto"/>
                <w:sz w:val="24"/>
              </w:rPr>
              <w:t>满足</w:t>
            </w:r>
            <w:r>
              <w:rPr>
                <w:rFonts w:hint="eastAsia"/>
                <w:color w:val="auto"/>
                <w:sz w:val="24"/>
                <w:lang w:val="en-US" w:eastAsia="zh-CN"/>
              </w:rPr>
              <w:t>本项目</w:t>
            </w:r>
            <w:r>
              <w:rPr>
                <w:rFonts w:hint="default"/>
                <w:color w:val="auto"/>
                <w:sz w:val="24"/>
              </w:rPr>
              <w:t>生产需求</w:t>
            </w:r>
            <w:r>
              <w:rPr>
                <w:rFonts w:hint="eastAsia"/>
                <w:color w:val="auto"/>
                <w:sz w:val="24"/>
                <w:lang w:eastAsia="zh-CN"/>
              </w:rPr>
              <w:t>。</w:t>
            </w:r>
          </w:p>
          <w:p w14:paraId="30EEF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Regular" w:hAnsi="Times New Roman Regular" w:cs="Times New Roman Regular"/>
                <w:b/>
                <w:bCs/>
                <w:color w:val="auto"/>
                <w:sz w:val="24"/>
                <w:szCs w:val="24"/>
                <w:highlight w:val="none"/>
                <w:vertAlign w:val="baseline"/>
                <w:lang w:val="en-US" w:eastAsia="zh-CN"/>
              </w:rPr>
            </w:pPr>
            <w:r>
              <w:rPr>
                <w:rFonts w:hint="eastAsia"/>
                <w:b/>
                <w:bCs/>
                <w:color w:val="auto"/>
                <w:sz w:val="24"/>
                <w:szCs w:val="24"/>
              </w:rPr>
              <w:t>原料及成品周转能力分析：</w:t>
            </w:r>
          </w:p>
          <w:p w14:paraId="6B5415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Regular" w:hAnsi="Times New Roman Regular" w:cs="Times New Roman Regular"/>
                <w:b w:val="0"/>
                <w:bCs/>
                <w:color w:val="auto"/>
                <w:sz w:val="24"/>
                <w:szCs w:val="24"/>
                <w:highlight w:val="none"/>
                <w:vertAlign w:val="baseline"/>
                <w:lang w:val="en-US" w:eastAsia="zh-CN"/>
              </w:rPr>
            </w:pPr>
            <w:r>
              <w:rPr>
                <w:rFonts w:hint="eastAsia" w:ascii="Times New Roman Regular" w:hAnsi="Times New Roman Regular" w:cs="Times New Roman Regular"/>
                <w:b w:val="0"/>
                <w:bCs/>
                <w:color w:val="auto"/>
                <w:sz w:val="24"/>
                <w:szCs w:val="24"/>
                <w:highlight w:val="none"/>
                <w:vertAlign w:val="baseline"/>
                <w:lang w:val="en-US" w:eastAsia="zh-CN"/>
              </w:rPr>
              <w:t>（1）原料堆放区</w:t>
            </w:r>
          </w:p>
          <w:p w14:paraId="6B827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szCs w:val="24"/>
                <w:lang w:val="en-US" w:eastAsia="zh-CN"/>
              </w:rPr>
            </w:pPr>
            <w:r>
              <w:rPr>
                <w:rFonts w:hint="eastAsia" w:hAnsi="宋体"/>
                <w:color w:val="auto"/>
                <w:sz w:val="24"/>
                <w:szCs w:val="24"/>
                <w:lang w:val="en-US" w:eastAsia="zh-CN"/>
              </w:rPr>
              <w:t>原料堆放区位于生产车间内</w:t>
            </w:r>
            <w:r>
              <w:rPr>
                <w:rFonts w:hint="eastAsia" w:cs="Times New Roman"/>
                <w:b w:val="0"/>
                <w:bCs w:val="0"/>
                <w:iCs/>
                <w:snapToGrid w:val="0"/>
                <w:color w:val="auto"/>
                <w:spacing w:val="0"/>
                <w:kern w:val="0"/>
                <w:sz w:val="24"/>
                <w:szCs w:val="24"/>
                <w:highlight w:val="none"/>
                <w:vertAlign w:val="baseline"/>
                <w:lang w:val="en-US" w:eastAsia="zh-CN" w:bidi="ar-SA"/>
              </w:rPr>
              <w:t>西南</w:t>
            </w:r>
            <w:r>
              <w:rPr>
                <w:rFonts w:hint="eastAsia" w:hAnsi="宋体"/>
                <w:color w:val="auto"/>
                <w:sz w:val="24"/>
                <w:szCs w:val="24"/>
                <w:lang w:val="en-US" w:eastAsia="zh-CN"/>
              </w:rPr>
              <w:t>侧，</w:t>
            </w:r>
            <w:r>
              <w:rPr>
                <w:rFonts w:hint="eastAsia"/>
                <w:bCs/>
                <w:color w:val="auto"/>
                <w:spacing w:val="4"/>
                <w:sz w:val="24"/>
                <w:szCs w:val="24"/>
                <w:highlight w:val="none"/>
              </w:rPr>
              <w:t>占地面积</w:t>
            </w:r>
            <w:r>
              <w:rPr>
                <w:rFonts w:hint="eastAsia"/>
                <w:bCs/>
                <w:color w:val="auto"/>
                <w:spacing w:val="4"/>
                <w:sz w:val="24"/>
                <w:szCs w:val="24"/>
                <w:highlight w:val="none"/>
                <w:lang w:val="en-US" w:eastAsia="zh-CN"/>
              </w:rPr>
              <w:t>约200</w:t>
            </w:r>
            <w:r>
              <w:rPr>
                <w:rFonts w:hint="default"/>
                <w:bCs/>
                <w:color w:val="auto"/>
                <w:spacing w:val="4"/>
                <w:sz w:val="24"/>
                <w:szCs w:val="24"/>
                <w:highlight w:val="none"/>
              </w:rPr>
              <w:t>0</w:t>
            </w:r>
            <w:r>
              <w:rPr>
                <w:rFonts w:hint="eastAsia"/>
                <w:bCs/>
                <w:color w:val="auto"/>
                <w:spacing w:val="4"/>
                <w:sz w:val="24"/>
                <w:szCs w:val="24"/>
                <w:highlight w:val="none"/>
              </w:rPr>
              <w:t>m</w:t>
            </w:r>
            <w:r>
              <w:rPr>
                <w:rFonts w:hint="eastAsia"/>
                <w:bCs/>
                <w:color w:val="auto"/>
                <w:spacing w:val="4"/>
                <w:sz w:val="24"/>
                <w:szCs w:val="24"/>
                <w:highlight w:val="none"/>
                <w:vertAlign w:val="superscript"/>
              </w:rPr>
              <w:t>2</w:t>
            </w:r>
            <w:r>
              <w:rPr>
                <w:rFonts w:hint="eastAsia"/>
                <w:bCs/>
                <w:color w:val="auto"/>
                <w:spacing w:val="4"/>
                <w:sz w:val="24"/>
                <w:szCs w:val="24"/>
                <w:highlight w:val="none"/>
              </w:rPr>
              <w:t>，储存高度约</w:t>
            </w:r>
            <w:r>
              <w:rPr>
                <w:rFonts w:hint="eastAsia"/>
                <w:bCs/>
                <w:color w:val="auto"/>
                <w:spacing w:val="4"/>
                <w:sz w:val="24"/>
                <w:szCs w:val="24"/>
                <w:highlight w:val="none"/>
                <w:lang w:val="en-US" w:eastAsia="zh-CN"/>
              </w:rPr>
              <w:t>5</w:t>
            </w:r>
            <w:r>
              <w:rPr>
                <w:rFonts w:hint="eastAsia"/>
                <w:bCs/>
                <w:color w:val="auto"/>
                <w:spacing w:val="4"/>
                <w:sz w:val="24"/>
                <w:szCs w:val="24"/>
                <w:highlight w:val="none"/>
              </w:rPr>
              <w:t>m，有效堆存面积按分区面积的</w:t>
            </w:r>
            <w:r>
              <w:rPr>
                <w:rFonts w:hint="eastAsia"/>
                <w:bCs/>
                <w:color w:val="auto"/>
                <w:spacing w:val="4"/>
                <w:sz w:val="24"/>
                <w:szCs w:val="24"/>
                <w:highlight w:val="none"/>
                <w:lang w:val="en-US" w:eastAsia="zh-CN"/>
              </w:rPr>
              <w:t>8</w:t>
            </w:r>
            <w:r>
              <w:rPr>
                <w:rFonts w:hint="eastAsia"/>
                <w:bCs/>
                <w:color w:val="auto"/>
                <w:spacing w:val="4"/>
                <w:sz w:val="24"/>
                <w:szCs w:val="24"/>
                <w:highlight w:val="none"/>
              </w:rPr>
              <w:t>0%计算</w:t>
            </w:r>
            <w:r>
              <w:rPr>
                <w:rFonts w:hint="eastAsia"/>
                <w:bCs/>
                <w:color w:val="auto"/>
                <w:spacing w:val="4"/>
                <w:sz w:val="24"/>
                <w:highlight w:val="none"/>
              </w:rPr>
              <w:t>，</w:t>
            </w:r>
            <w:r>
              <w:rPr>
                <w:rFonts w:hint="eastAsia"/>
                <w:bCs/>
                <w:color w:val="auto"/>
                <w:spacing w:val="4"/>
                <w:sz w:val="24"/>
                <w:highlight w:val="none"/>
                <w:lang w:val="en-US" w:eastAsia="zh-CN"/>
              </w:rPr>
              <w:t>则</w:t>
            </w:r>
            <w:r>
              <w:rPr>
                <w:rFonts w:hint="eastAsia"/>
                <w:bCs/>
                <w:color w:val="auto"/>
                <w:spacing w:val="4"/>
                <w:sz w:val="24"/>
                <w:highlight w:val="none"/>
              </w:rPr>
              <w:t>有效储存容积约</w:t>
            </w:r>
            <w:r>
              <w:rPr>
                <w:rFonts w:hint="eastAsia"/>
                <w:bCs/>
                <w:color w:val="auto"/>
                <w:spacing w:val="4"/>
                <w:sz w:val="24"/>
                <w:highlight w:val="none"/>
                <w:lang w:val="en-US" w:eastAsia="zh-CN"/>
              </w:rPr>
              <w:t>800</w:t>
            </w:r>
            <w:r>
              <w:rPr>
                <w:rFonts w:hint="default"/>
                <w:bCs/>
                <w:color w:val="auto"/>
                <w:spacing w:val="4"/>
                <w:sz w:val="24"/>
                <w:highlight w:val="none"/>
              </w:rPr>
              <w:t>0</w:t>
            </w:r>
            <w:r>
              <w:rPr>
                <w:rFonts w:hint="eastAsia"/>
                <w:bCs/>
                <w:color w:val="auto"/>
                <w:spacing w:val="4"/>
                <w:sz w:val="24"/>
                <w:highlight w:val="none"/>
              </w:rPr>
              <w:t>m</w:t>
            </w:r>
            <w:r>
              <w:rPr>
                <w:rFonts w:hint="eastAsia"/>
                <w:bCs/>
                <w:color w:val="auto"/>
                <w:spacing w:val="4"/>
                <w:sz w:val="24"/>
                <w:highlight w:val="none"/>
                <w:vertAlign w:val="superscript"/>
              </w:rPr>
              <w:t>3</w:t>
            </w:r>
            <w:r>
              <w:rPr>
                <w:rFonts w:hint="eastAsia"/>
                <w:bCs/>
                <w:color w:val="auto"/>
                <w:spacing w:val="4"/>
                <w:sz w:val="24"/>
                <w:highlight w:val="none"/>
              </w:rPr>
              <w:t>，</w:t>
            </w:r>
            <w:r>
              <w:rPr>
                <w:rFonts w:hint="eastAsia"/>
                <w:color w:val="auto"/>
                <w:sz w:val="24"/>
                <w:szCs w:val="24"/>
                <w:lang w:val="en-US" w:eastAsia="zh-CN"/>
              </w:rPr>
              <w:t>煤矸石</w:t>
            </w:r>
            <w:r>
              <w:rPr>
                <w:rFonts w:hint="eastAsia"/>
                <w:color w:val="auto"/>
                <w:sz w:val="24"/>
                <w:szCs w:val="24"/>
              </w:rPr>
              <w:t>堆积密度为1.</w:t>
            </w:r>
            <w:r>
              <w:rPr>
                <w:rFonts w:hint="eastAsia"/>
                <w:color w:val="auto"/>
                <w:sz w:val="24"/>
                <w:szCs w:val="24"/>
                <w:lang w:val="en-US" w:eastAsia="zh-CN"/>
              </w:rPr>
              <w:t>7</w:t>
            </w:r>
            <w:r>
              <w:rPr>
                <w:rFonts w:hint="eastAsia"/>
                <w:color w:val="auto"/>
                <w:sz w:val="24"/>
                <w:szCs w:val="24"/>
              </w:rPr>
              <w:t>t/m</w:t>
            </w:r>
            <w:r>
              <w:rPr>
                <w:rFonts w:hint="eastAsia"/>
                <w:color w:val="auto"/>
                <w:sz w:val="24"/>
                <w:szCs w:val="24"/>
                <w:vertAlign w:val="superscript"/>
              </w:rPr>
              <w:t>3</w:t>
            </w:r>
            <w:r>
              <w:rPr>
                <w:rFonts w:hint="eastAsia"/>
                <w:color w:val="auto"/>
                <w:sz w:val="24"/>
                <w:szCs w:val="24"/>
              </w:rPr>
              <w:t>，最大储存量预计</w:t>
            </w:r>
            <w:r>
              <w:rPr>
                <w:rFonts w:hint="eastAsia"/>
                <w:color w:val="auto"/>
                <w:sz w:val="24"/>
                <w:szCs w:val="24"/>
                <w:lang w:val="en-US" w:eastAsia="zh-CN"/>
              </w:rPr>
              <w:t>13600</w:t>
            </w:r>
            <w:r>
              <w:rPr>
                <w:rFonts w:hint="eastAsia"/>
                <w:color w:val="auto"/>
                <w:sz w:val="24"/>
                <w:szCs w:val="24"/>
              </w:rPr>
              <w:t>t，</w:t>
            </w:r>
            <w:r>
              <w:rPr>
                <w:rFonts w:hint="eastAsia"/>
                <w:color w:val="auto"/>
                <w:sz w:val="24"/>
                <w:szCs w:val="24"/>
                <w:lang w:val="en-US" w:eastAsia="zh-CN"/>
              </w:rPr>
              <w:t>年工作330天，煤矸石</w:t>
            </w:r>
            <w:r>
              <w:rPr>
                <w:rFonts w:hint="eastAsia"/>
                <w:color w:val="auto"/>
                <w:sz w:val="24"/>
                <w:szCs w:val="24"/>
              </w:rPr>
              <w:t>年</w:t>
            </w:r>
            <w:r>
              <w:rPr>
                <w:rFonts w:hint="eastAsia"/>
                <w:color w:val="auto"/>
                <w:sz w:val="24"/>
                <w:szCs w:val="24"/>
                <w:lang w:val="en-US" w:eastAsia="zh-CN"/>
              </w:rPr>
              <w:t>处理量为3</w:t>
            </w:r>
            <w:r>
              <w:rPr>
                <w:rFonts w:hint="eastAsia" w:ascii="Times New Roman" w:eastAsia="宋体"/>
                <w:color w:val="auto"/>
                <w:sz w:val="24"/>
                <w:szCs w:val="24"/>
                <w:lang w:val="en-US" w:eastAsia="zh-CN"/>
              </w:rPr>
              <w:t>0</w:t>
            </w:r>
            <w:r>
              <w:rPr>
                <w:rFonts w:hint="eastAsia"/>
                <w:color w:val="auto"/>
                <w:sz w:val="24"/>
                <w:szCs w:val="24"/>
              </w:rPr>
              <w:t>万t，可满足企业</w:t>
            </w:r>
            <w:r>
              <w:rPr>
                <w:rFonts w:hint="eastAsia"/>
                <w:color w:val="auto"/>
                <w:sz w:val="24"/>
                <w:szCs w:val="24"/>
                <w:lang w:val="en-US" w:eastAsia="zh-CN"/>
              </w:rPr>
              <w:t>14-15</w:t>
            </w:r>
            <w:r>
              <w:rPr>
                <w:rFonts w:hint="eastAsia"/>
                <w:color w:val="auto"/>
                <w:sz w:val="24"/>
                <w:szCs w:val="24"/>
              </w:rPr>
              <w:t>天的原料储存量</w:t>
            </w:r>
            <w:r>
              <w:rPr>
                <w:rFonts w:hint="eastAsia"/>
                <w:color w:val="auto"/>
                <w:sz w:val="24"/>
                <w:szCs w:val="24"/>
                <w:lang w:eastAsia="zh-CN"/>
              </w:rPr>
              <w:t>。</w:t>
            </w:r>
          </w:p>
          <w:p w14:paraId="41D32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eastAsia="宋体"/>
                <w:color w:val="auto"/>
                <w:sz w:val="24"/>
                <w:szCs w:val="24"/>
                <w:lang w:val="en-US" w:eastAsia="zh-CN"/>
              </w:rPr>
            </w:pPr>
            <w:r>
              <w:rPr>
                <w:rFonts w:hint="eastAsia"/>
                <w:color w:val="auto"/>
                <w:sz w:val="24"/>
                <w:szCs w:val="24"/>
                <w:lang w:eastAsia="zh-CN"/>
              </w:rPr>
              <w:t>（</w:t>
            </w:r>
            <w:r>
              <w:rPr>
                <w:rFonts w:hint="eastAsia"/>
                <w:color w:val="auto"/>
                <w:sz w:val="24"/>
                <w:szCs w:val="24"/>
                <w:lang w:val="en-US" w:eastAsia="zh-CN"/>
              </w:rPr>
              <w:t>2</w:t>
            </w:r>
            <w:r>
              <w:rPr>
                <w:rFonts w:hint="eastAsia"/>
                <w:color w:val="auto"/>
                <w:sz w:val="24"/>
                <w:szCs w:val="24"/>
                <w:lang w:eastAsia="zh-CN"/>
              </w:rPr>
              <w:t>）</w:t>
            </w:r>
            <w:r>
              <w:rPr>
                <w:rFonts w:hint="eastAsia"/>
                <w:color w:val="auto"/>
                <w:sz w:val="24"/>
                <w:szCs w:val="24"/>
              </w:rPr>
              <w:t>成品</w:t>
            </w:r>
            <w:r>
              <w:rPr>
                <w:rFonts w:hint="eastAsia"/>
                <w:color w:val="auto"/>
                <w:sz w:val="24"/>
                <w:szCs w:val="24"/>
                <w:lang w:val="en-US" w:eastAsia="zh-CN"/>
              </w:rPr>
              <w:t>堆放区</w:t>
            </w:r>
          </w:p>
          <w:p w14:paraId="628DE2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b/>
                <w:bCs w:val="0"/>
                <w:color w:val="auto"/>
                <w:spacing w:val="0"/>
                <w:sz w:val="24"/>
                <w:szCs w:val="24"/>
                <w:highlight w:val="none"/>
                <w:lang w:val="en-US" w:eastAsia="zh-CN"/>
              </w:rPr>
            </w:pPr>
            <w:r>
              <w:rPr>
                <w:rFonts w:hint="eastAsia"/>
                <w:color w:val="auto"/>
                <w:sz w:val="24"/>
                <w:szCs w:val="24"/>
                <w:highlight w:val="none"/>
                <w:lang w:val="en-US" w:eastAsia="zh-CN"/>
              </w:rPr>
              <w:t>成品堆放区位于生产车间内北侧，占地面积约25</w:t>
            </w:r>
            <w:r>
              <w:rPr>
                <w:rFonts w:hint="eastAsia" w:ascii="Times New Roman" w:eastAsia="宋体"/>
                <w:color w:val="auto"/>
                <w:sz w:val="24"/>
                <w:szCs w:val="24"/>
                <w:highlight w:val="none"/>
                <w:lang w:val="en-US" w:eastAsia="zh-CN"/>
              </w:rPr>
              <w:t>0</w:t>
            </w:r>
            <w:r>
              <w:rPr>
                <w:rFonts w:hint="default"/>
                <w:color w:val="auto"/>
                <w:sz w:val="24"/>
                <w:szCs w:val="24"/>
                <w:highlight w:val="none"/>
              </w:rPr>
              <w:t>0m</w:t>
            </w:r>
            <w:r>
              <w:rPr>
                <w:rFonts w:hint="default"/>
                <w:color w:val="auto"/>
                <w:sz w:val="24"/>
                <w:szCs w:val="24"/>
                <w:highlight w:val="none"/>
                <w:vertAlign w:val="superscript"/>
              </w:rPr>
              <w:t>2</w:t>
            </w:r>
            <w:r>
              <w:rPr>
                <w:rFonts w:hint="eastAsia"/>
                <w:color w:val="auto"/>
                <w:sz w:val="24"/>
                <w:szCs w:val="24"/>
                <w:highlight w:val="none"/>
              </w:rPr>
              <w:t>，成品</w:t>
            </w:r>
            <w:r>
              <w:rPr>
                <w:rFonts w:hint="eastAsia" w:ascii="Times New Roman" w:eastAsia="宋体"/>
                <w:color w:val="auto"/>
                <w:sz w:val="24"/>
                <w:szCs w:val="24"/>
                <w:highlight w:val="none"/>
                <w:lang w:val="en-US" w:eastAsia="zh-CN"/>
              </w:rPr>
              <w:t>堆放</w:t>
            </w:r>
            <w:r>
              <w:rPr>
                <w:rFonts w:hint="eastAsia"/>
                <w:color w:val="auto"/>
                <w:sz w:val="24"/>
                <w:szCs w:val="24"/>
                <w:highlight w:val="none"/>
              </w:rPr>
              <w:t>物料平均堆高</w:t>
            </w:r>
            <w:r>
              <w:rPr>
                <w:rFonts w:hint="eastAsia"/>
                <w:color w:val="auto"/>
                <w:sz w:val="24"/>
                <w:szCs w:val="24"/>
                <w:highlight w:val="none"/>
                <w:lang w:val="en-US" w:eastAsia="zh-CN"/>
              </w:rPr>
              <w:t>5</w:t>
            </w:r>
            <w:r>
              <w:rPr>
                <w:rFonts w:hint="default"/>
                <w:color w:val="auto"/>
                <w:sz w:val="24"/>
                <w:szCs w:val="24"/>
                <w:highlight w:val="none"/>
              </w:rPr>
              <w:t>m</w:t>
            </w:r>
            <w:r>
              <w:rPr>
                <w:rFonts w:hint="eastAsia"/>
                <w:color w:val="auto"/>
                <w:sz w:val="24"/>
                <w:szCs w:val="24"/>
                <w:highlight w:val="none"/>
              </w:rPr>
              <w:t>，</w:t>
            </w:r>
            <w:r>
              <w:rPr>
                <w:rFonts w:hint="eastAsia"/>
                <w:bCs/>
                <w:color w:val="auto"/>
                <w:spacing w:val="4"/>
                <w:sz w:val="24"/>
                <w:highlight w:val="none"/>
              </w:rPr>
              <w:t>有效堆存面积按分区面积的</w:t>
            </w:r>
            <w:r>
              <w:rPr>
                <w:rFonts w:hint="eastAsia"/>
                <w:bCs/>
                <w:color w:val="auto"/>
                <w:spacing w:val="4"/>
                <w:sz w:val="24"/>
                <w:highlight w:val="none"/>
                <w:lang w:val="en-US" w:eastAsia="zh-CN"/>
              </w:rPr>
              <w:t>8</w:t>
            </w:r>
            <w:r>
              <w:rPr>
                <w:rFonts w:hint="eastAsia"/>
                <w:bCs/>
                <w:color w:val="auto"/>
                <w:spacing w:val="4"/>
                <w:sz w:val="24"/>
                <w:highlight w:val="none"/>
              </w:rPr>
              <w:t>0%计算，</w:t>
            </w:r>
            <w:r>
              <w:rPr>
                <w:rFonts w:hint="eastAsia"/>
                <w:bCs/>
                <w:color w:val="auto"/>
                <w:spacing w:val="4"/>
                <w:sz w:val="24"/>
                <w:highlight w:val="none"/>
                <w:lang w:val="en-US" w:eastAsia="zh-CN"/>
              </w:rPr>
              <w:t>则</w:t>
            </w:r>
            <w:r>
              <w:rPr>
                <w:rFonts w:hint="eastAsia"/>
                <w:color w:val="auto"/>
                <w:sz w:val="24"/>
                <w:szCs w:val="24"/>
                <w:highlight w:val="none"/>
              </w:rPr>
              <w:t>有效堆存面积</w:t>
            </w:r>
            <w:r>
              <w:rPr>
                <w:rFonts w:hint="eastAsia"/>
                <w:color w:val="auto"/>
                <w:sz w:val="24"/>
                <w:szCs w:val="24"/>
                <w:highlight w:val="none"/>
                <w:lang w:val="en-US" w:eastAsia="zh-CN"/>
              </w:rPr>
              <w:t>约10000</w:t>
            </w:r>
            <w:r>
              <w:rPr>
                <w:rFonts w:hint="default"/>
                <w:color w:val="auto"/>
                <w:sz w:val="24"/>
                <w:szCs w:val="24"/>
                <w:highlight w:val="none"/>
              </w:rPr>
              <w:t>m</w:t>
            </w:r>
            <w:r>
              <w:rPr>
                <w:rFonts w:hint="default"/>
                <w:color w:val="auto"/>
                <w:sz w:val="24"/>
                <w:szCs w:val="24"/>
                <w:highlight w:val="none"/>
                <w:vertAlign w:val="superscript"/>
              </w:rPr>
              <w:t>2</w:t>
            </w:r>
            <w:r>
              <w:rPr>
                <w:rFonts w:hint="eastAsia"/>
                <w:color w:val="auto"/>
                <w:spacing w:val="-1"/>
                <w:sz w:val="24"/>
                <w:szCs w:val="24"/>
                <w:highlight w:val="none"/>
              </w:rPr>
              <w:t>，</w:t>
            </w:r>
            <w:r>
              <w:rPr>
                <w:rFonts w:hint="eastAsia"/>
                <w:color w:val="auto"/>
                <w:sz w:val="24"/>
                <w:szCs w:val="24"/>
                <w:highlight w:val="none"/>
              </w:rPr>
              <w:t>堆积密度为1.</w:t>
            </w:r>
            <w:r>
              <w:rPr>
                <w:rFonts w:hint="eastAsia"/>
                <w:color w:val="auto"/>
                <w:sz w:val="24"/>
                <w:szCs w:val="24"/>
                <w:highlight w:val="none"/>
                <w:lang w:val="en-US" w:eastAsia="zh-CN"/>
              </w:rPr>
              <w:t>75</w:t>
            </w:r>
            <w:r>
              <w:rPr>
                <w:rFonts w:hint="eastAsia"/>
                <w:color w:val="auto"/>
                <w:sz w:val="24"/>
                <w:szCs w:val="24"/>
                <w:highlight w:val="none"/>
              </w:rPr>
              <w:t>t</w:t>
            </w:r>
            <w:r>
              <w:rPr>
                <w:rFonts w:hint="default"/>
                <w:color w:val="auto"/>
                <w:sz w:val="24"/>
                <w:szCs w:val="24"/>
                <w:highlight w:val="none"/>
              </w:rPr>
              <w:t>/m</w:t>
            </w:r>
            <w:r>
              <w:rPr>
                <w:rFonts w:hint="default"/>
                <w:color w:val="auto"/>
                <w:sz w:val="24"/>
                <w:szCs w:val="24"/>
                <w:highlight w:val="none"/>
                <w:vertAlign w:val="superscript"/>
              </w:rPr>
              <w:t>3</w:t>
            </w:r>
            <w:r>
              <w:rPr>
                <w:rFonts w:hint="eastAsia"/>
                <w:color w:val="auto"/>
                <w:sz w:val="24"/>
                <w:szCs w:val="24"/>
                <w:highlight w:val="none"/>
              </w:rPr>
              <w:t>，最大储存量预计</w:t>
            </w:r>
            <w:r>
              <w:rPr>
                <w:rFonts w:hint="eastAsia"/>
                <w:color w:val="auto"/>
                <w:sz w:val="24"/>
                <w:szCs w:val="24"/>
                <w:highlight w:val="none"/>
                <w:lang w:val="en-US" w:eastAsia="zh-CN"/>
              </w:rPr>
              <w:t>17500</w:t>
            </w:r>
            <w:r>
              <w:rPr>
                <w:rFonts w:hint="eastAsia" w:ascii="Times New Roman" w:eastAsia="宋体"/>
                <w:color w:val="auto"/>
                <w:sz w:val="24"/>
                <w:szCs w:val="24"/>
                <w:highlight w:val="none"/>
                <w:lang w:val="en-US" w:eastAsia="zh-CN"/>
              </w:rPr>
              <w:t>t</w:t>
            </w:r>
            <w:r>
              <w:rPr>
                <w:rFonts w:hint="eastAsia"/>
                <w:color w:val="auto"/>
                <w:sz w:val="24"/>
                <w:szCs w:val="24"/>
              </w:rPr>
              <w:t>，</w:t>
            </w:r>
            <w:r>
              <w:rPr>
                <w:rFonts w:hint="eastAsia"/>
                <w:color w:val="auto"/>
                <w:sz w:val="24"/>
                <w:szCs w:val="24"/>
                <w:lang w:val="en-US" w:eastAsia="zh-CN"/>
              </w:rPr>
              <w:t>年工作330天，成品机制砂石</w:t>
            </w:r>
            <w:r>
              <w:rPr>
                <w:rFonts w:hint="eastAsia"/>
                <w:color w:val="auto"/>
                <w:sz w:val="24"/>
                <w:szCs w:val="24"/>
              </w:rPr>
              <w:t>年堆存量约</w:t>
            </w:r>
            <w:r>
              <w:rPr>
                <w:rFonts w:hint="eastAsia"/>
                <w:color w:val="auto"/>
                <w:sz w:val="24"/>
                <w:szCs w:val="24"/>
                <w:lang w:val="en-US" w:eastAsia="zh-CN"/>
              </w:rPr>
              <w:t>3</w:t>
            </w:r>
            <w:r>
              <w:rPr>
                <w:rFonts w:hint="eastAsia" w:ascii="Times New Roman" w:eastAsia="宋体"/>
                <w:color w:val="auto"/>
                <w:sz w:val="24"/>
                <w:szCs w:val="24"/>
                <w:lang w:val="en-US" w:eastAsia="zh-CN"/>
              </w:rPr>
              <w:t>0万</w:t>
            </w:r>
            <w:r>
              <w:rPr>
                <w:rFonts w:hint="default"/>
                <w:color w:val="auto"/>
                <w:sz w:val="24"/>
                <w:szCs w:val="24"/>
              </w:rPr>
              <w:t>t</w:t>
            </w:r>
            <w:r>
              <w:rPr>
                <w:rFonts w:hint="eastAsia"/>
                <w:color w:val="auto"/>
                <w:sz w:val="24"/>
                <w:szCs w:val="24"/>
              </w:rPr>
              <w:t>，可满足企业</w:t>
            </w:r>
            <w:r>
              <w:rPr>
                <w:rFonts w:hint="eastAsia"/>
                <w:color w:val="auto"/>
                <w:sz w:val="24"/>
                <w:szCs w:val="24"/>
                <w:lang w:val="en-US" w:eastAsia="zh-CN"/>
              </w:rPr>
              <w:t>19-20</w:t>
            </w:r>
            <w:r>
              <w:rPr>
                <w:rFonts w:hint="eastAsia"/>
                <w:color w:val="auto"/>
                <w:sz w:val="24"/>
                <w:szCs w:val="24"/>
              </w:rPr>
              <w:t>天的成品储存量。</w:t>
            </w:r>
          </w:p>
          <w:p w14:paraId="140E66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2.2</w:t>
            </w:r>
            <w:r>
              <w:rPr>
                <w:rFonts w:hint="eastAsia" w:ascii="Times New Roman" w:hAnsi="Times New Roman" w:eastAsia="宋体" w:cs="Times New Roman"/>
                <w:b/>
                <w:bCs w:val="0"/>
                <w:color w:val="auto"/>
                <w:spacing w:val="0"/>
                <w:sz w:val="24"/>
                <w:szCs w:val="24"/>
                <w:highlight w:val="none"/>
                <w:lang w:val="en-US" w:eastAsia="zh-CN"/>
              </w:rPr>
              <w:t>主要</w:t>
            </w:r>
            <w:r>
              <w:rPr>
                <w:rFonts w:hint="default" w:ascii="Times New Roman" w:hAnsi="Times New Roman" w:eastAsia="宋体" w:cs="Times New Roman"/>
                <w:b/>
                <w:bCs w:val="0"/>
                <w:color w:val="auto"/>
                <w:spacing w:val="0"/>
                <w:sz w:val="24"/>
                <w:szCs w:val="24"/>
                <w:highlight w:val="none"/>
                <w:lang w:val="en-US" w:eastAsia="zh-CN"/>
              </w:rPr>
              <w:t>产品方案</w:t>
            </w:r>
            <w:r>
              <w:rPr>
                <w:rFonts w:hint="eastAsia" w:ascii="Times New Roman" w:hAnsi="Times New Roman" w:eastAsia="宋体" w:cs="Times New Roman"/>
                <w:b/>
                <w:bCs w:val="0"/>
                <w:color w:val="auto"/>
                <w:spacing w:val="0"/>
                <w:sz w:val="24"/>
                <w:szCs w:val="24"/>
                <w:highlight w:val="none"/>
                <w:lang w:val="en-US" w:eastAsia="zh-CN"/>
              </w:rPr>
              <w:t>及产能</w:t>
            </w:r>
          </w:p>
          <w:p w14:paraId="2574E22A">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w:t>
            </w:r>
            <w:r>
              <w:rPr>
                <w:rFonts w:hint="eastAsia" w:ascii="Times New Roman" w:hAnsi="Times New Roman" w:eastAsia="宋体" w:cs="Times New Roman"/>
                <w:bCs/>
                <w:color w:val="auto"/>
                <w:spacing w:val="0"/>
                <w:sz w:val="24"/>
                <w:szCs w:val="24"/>
                <w:highlight w:val="none"/>
                <w:lang w:val="en-US" w:eastAsia="zh-CN"/>
              </w:rPr>
              <w:t>产品方案见表2</w:t>
            </w:r>
            <w:r>
              <w:rPr>
                <w:rFonts w:hint="eastAsia" w:cs="Times New Roman"/>
                <w:bCs/>
                <w:color w:val="auto"/>
                <w:spacing w:val="0"/>
                <w:sz w:val="24"/>
                <w:szCs w:val="24"/>
                <w:highlight w:val="none"/>
                <w:lang w:val="en-US" w:eastAsia="zh-CN"/>
              </w:rPr>
              <w:t>.2-1</w:t>
            </w:r>
            <w:r>
              <w:rPr>
                <w:rFonts w:hint="eastAsia" w:ascii="Times New Roman" w:hAnsi="Times New Roman" w:eastAsia="宋体" w:cs="Times New Roman"/>
                <w:bCs/>
                <w:color w:val="auto"/>
                <w:spacing w:val="0"/>
                <w:sz w:val="24"/>
                <w:szCs w:val="24"/>
                <w:highlight w:val="none"/>
                <w:lang w:val="en-US" w:eastAsia="zh-CN"/>
              </w:rPr>
              <w:t>。</w:t>
            </w:r>
          </w:p>
          <w:p w14:paraId="50134F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iCs/>
                <w:snapToGrid w:val="0"/>
                <w:color w:val="auto"/>
                <w:spacing w:val="0"/>
                <w:kern w:val="0"/>
                <w:sz w:val="21"/>
                <w:szCs w:val="20"/>
                <w:highlight w:val="none"/>
                <w:lang w:val="en-US" w:eastAsia="zh-CN" w:bidi="ar-SA"/>
              </w:rPr>
            </w:pPr>
            <w:r>
              <w:rPr>
                <w:rFonts w:hint="default" w:ascii="Times New Roman" w:hAnsi="Times New Roman" w:eastAsia="宋体" w:cs="Times New Roman"/>
                <w:b/>
                <w:bCs/>
                <w:iCs/>
                <w:snapToGrid w:val="0"/>
                <w:color w:val="auto"/>
                <w:spacing w:val="0"/>
                <w:kern w:val="0"/>
                <w:sz w:val="21"/>
                <w:szCs w:val="20"/>
                <w:highlight w:val="none"/>
                <w:lang w:val="en-US" w:eastAsia="zh-CN" w:bidi="ar-SA"/>
              </w:rPr>
              <w:t>表2</w:t>
            </w:r>
            <w:r>
              <w:rPr>
                <w:rFonts w:hint="eastAsia" w:cs="Times New Roman"/>
                <w:b/>
                <w:bCs/>
                <w:iCs/>
                <w:snapToGrid w:val="0"/>
                <w:color w:val="auto"/>
                <w:spacing w:val="0"/>
                <w:kern w:val="0"/>
                <w:sz w:val="21"/>
                <w:szCs w:val="20"/>
                <w:highlight w:val="none"/>
                <w:lang w:val="en-US" w:eastAsia="zh-CN" w:bidi="ar-SA"/>
              </w:rPr>
              <w:t>.2-1</w:t>
            </w:r>
            <w:r>
              <w:rPr>
                <w:rFonts w:hint="default" w:ascii="Times New Roman" w:hAnsi="Times New Roman" w:eastAsia="宋体" w:cs="Times New Roman"/>
                <w:b/>
                <w:bCs/>
                <w:iCs/>
                <w:snapToGrid w:val="0"/>
                <w:color w:val="auto"/>
                <w:spacing w:val="0"/>
                <w:kern w:val="0"/>
                <w:sz w:val="21"/>
                <w:szCs w:val="20"/>
                <w:highlight w:val="none"/>
                <w:lang w:val="en-US" w:eastAsia="zh-CN" w:bidi="ar-SA"/>
              </w:rPr>
              <w:t xml:space="preserve">  产品方案表</w:t>
            </w:r>
          </w:p>
          <w:tbl>
            <w:tblPr>
              <w:tblStyle w:val="27"/>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530"/>
              <w:gridCol w:w="1659"/>
              <w:gridCol w:w="1842"/>
              <w:gridCol w:w="1033"/>
              <w:gridCol w:w="1800"/>
            </w:tblGrid>
            <w:tr w14:paraId="457C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10" w:type="pct"/>
                  <w:tcBorders>
                    <w:tl2br w:val="nil"/>
                    <w:tr2bl w:val="nil"/>
                  </w:tcBorders>
                  <w:vAlign w:val="center"/>
                </w:tcPr>
                <w:p w14:paraId="01C8F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rPr>
                  </w:pPr>
                  <w:r>
                    <w:rPr>
                      <w:rFonts w:hint="default" w:ascii="Times New Roman" w:hAnsi="Times New Roman" w:eastAsia="宋体" w:cs="Times New Roman"/>
                      <w:b/>
                      <w:bCs/>
                      <w:color w:val="auto"/>
                      <w:spacing w:val="0"/>
                      <w:w w:val="100"/>
                      <w:kern w:val="0"/>
                      <w:sz w:val="21"/>
                      <w:szCs w:val="21"/>
                      <w:highlight w:val="none"/>
                    </w:rPr>
                    <w:t>序号</w:t>
                  </w:r>
                </w:p>
              </w:tc>
              <w:tc>
                <w:tcPr>
                  <w:tcW w:w="893" w:type="pct"/>
                  <w:tcBorders>
                    <w:tl2br w:val="nil"/>
                    <w:tr2bl w:val="nil"/>
                  </w:tcBorders>
                  <w:vAlign w:val="center"/>
                </w:tcPr>
                <w:p w14:paraId="0AB3FF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pacing w:val="0"/>
                      <w:w w:val="100"/>
                      <w:kern w:val="0"/>
                      <w:sz w:val="21"/>
                      <w:szCs w:val="21"/>
                      <w:highlight w:val="none"/>
                      <w:lang w:val="en-US" w:eastAsia="zh-CN"/>
                    </w:rPr>
                  </w:pPr>
                  <w:r>
                    <w:rPr>
                      <w:rFonts w:hint="eastAsia" w:ascii="Times New Roman" w:hAnsi="Times New Roman" w:eastAsia="宋体" w:cs="Times New Roman"/>
                      <w:b/>
                      <w:bCs/>
                      <w:color w:val="auto"/>
                      <w:spacing w:val="0"/>
                      <w:w w:val="100"/>
                      <w:kern w:val="0"/>
                      <w:sz w:val="21"/>
                      <w:szCs w:val="21"/>
                      <w:highlight w:val="none"/>
                      <w:lang w:val="en-US" w:eastAsia="zh-CN"/>
                    </w:rPr>
                    <w:t>产品</w:t>
                  </w:r>
                  <w:r>
                    <w:rPr>
                      <w:rFonts w:hint="default" w:ascii="Times New Roman" w:hAnsi="Times New Roman" w:eastAsia="宋体" w:cs="Times New Roman"/>
                      <w:b/>
                      <w:bCs/>
                      <w:color w:val="auto"/>
                      <w:spacing w:val="0"/>
                      <w:w w:val="100"/>
                      <w:kern w:val="0"/>
                      <w:sz w:val="21"/>
                      <w:szCs w:val="21"/>
                      <w:highlight w:val="none"/>
                    </w:rPr>
                    <w:t>名称</w:t>
                  </w:r>
                </w:p>
              </w:tc>
              <w:tc>
                <w:tcPr>
                  <w:tcW w:w="968" w:type="pct"/>
                  <w:tcBorders>
                    <w:tl2br w:val="nil"/>
                    <w:tr2bl w:val="nil"/>
                  </w:tcBorders>
                  <w:vAlign w:val="center"/>
                </w:tcPr>
                <w:p w14:paraId="5DDDA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lang w:val="en-US" w:eastAsia="zh-CN"/>
                    </w:rPr>
                  </w:pPr>
                  <w:r>
                    <w:rPr>
                      <w:rFonts w:hint="eastAsia" w:cs="Times New Roman"/>
                      <w:b/>
                      <w:bCs/>
                      <w:color w:val="auto"/>
                      <w:spacing w:val="0"/>
                      <w:w w:val="100"/>
                      <w:kern w:val="0"/>
                      <w:sz w:val="21"/>
                      <w:szCs w:val="21"/>
                      <w:highlight w:val="none"/>
                      <w:lang w:val="en-US" w:eastAsia="zh-CN"/>
                    </w:rPr>
                    <w:t>规格</w:t>
                  </w:r>
                </w:p>
              </w:tc>
              <w:tc>
                <w:tcPr>
                  <w:tcW w:w="1075" w:type="pct"/>
                  <w:tcBorders>
                    <w:tl2br w:val="nil"/>
                    <w:tr2bl w:val="nil"/>
                  </w:tcBorders>
                  <w:vAlign w:val="center"/>
                </w:tcPr>
                <w:p w14:paraId="2CFB7F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eastAsia" w:ascii="Times New Roman" w:hAnsi="Times New Roman" w:eastAsia="宋体" w:cs="Times New Roman"/>
                      <w:b/>
                      <w:bCs/>
                      <w:color w:val="auto"/>
                      <w:spacing w:val="0"/>
                      <w:w w:val="100"/>
                      <w:kern w:val="0"/>
                      <w:sz w:val="21"/>
                      <w:szCs w:val="21"/>
                      <w:highlight w:val="yellow"/>
                      <w:lang w:val="en-US" w:eastAsia="zh-CN"/>
                    </w:rPr>
                  </w:pPr>
                  <w:r>
                    <w:rPr>
                      <w:rFonts w:hint="default"/>
                      <w:b/>
                      <w:bCs/>
                      <w:color w:val="auto"/>
                      <w:highlight w:val="none"/>
                    </w:rPr>
                    <w:t>产量</w:t>
                  </w:r>
                </w:p>
              </w:tc>
              <w:tc>
                <w:tcPr>
                  <w:tcW w:w="602" w:type="pct"/>
                  <w:tcBorders>
                    <w:tl2br w:val="nil"/>
                    <w:tr2bl w:val="nil"/>
                  </w:tcBorders>
                  <w:vAlign w:val="center"/>
                </w:tcPr>
                <w:p w14:paraId="1A76A1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eastAsia" w:ascii="Times New Roman" w:hAnsi="Times New Roman" w:eastAsia="宋体" w:cs="Times New Roman"/>
                      <w:b/>
                      <w:bCs/>
                      <w:color w:val="auto"/>
                      <w:spacing w:val="0"/>
                      <w:w w:val="100"/>
                      <w:kern w:val="0"/>
                      <w:sz w:val="21"/>
                      <w:szCs w:val="21"/>
                      <w:highlight w:val="none"/>
                      <w:lang w:val="en-US" w:eastAsia="zh-CN"/>
                    </w:rPr>
                  </w:pPr>
                  <w:r>
                    <w:rPr>
                      <w:rFonts w:hint="eastAsia"/>
                      <w:b/>
                      <w:bCs/>
                      <w:color w:val="auto"/>
                      <w:lang w:val="en-US" w:eastAsia="zh-CN"/>
                    </w:rPr>
                    <w:t>单位</w:t>
                  </w:r>
                </w:p>
              </w:tc>
              <w:tc>
                <w:tcPr>
                  <w:tcW w:w="1050" w:type="pct"/>
                  <w:tcBorders>
                    <w:tl2br w:val="nil"/>
                    <w:tr2bl w:val="nil"/>
                  </w:tcBorders>
                  <w:vAlign w:val="center"/>
                </w:tcPr>
                <w:p w14:paraId="561007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b/>
                      <w:bCs/>
                      <w:color w:val="auto"/>
                      <w:highlight w:val="none"/>
                      <w:lang w:val="en-US" w:eastAsia="zh-CN"/>
                    </w:rPr>
                  </w:pPr>
                  <w:r>
                    <w:rPr>
                      <w:rFonts w:hint="eastAsia"/>
                      <w:b/>
                      <w:bCs/>
                      <w:color w:val="auto"/>
                      <w:highlight w:val="none"/>
                      <w:lang w:val="en-US" w:eastAsia="zh-CN"/>
                    </w:rPr>
                    <w:t>备注</w:t>
                  </w:r>
                </w:p>
              </w:tc>
            </w:tr>
            <w:tr w14:paraId="5E2A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10" w:type="pct"/>
                  <w:tcBorders>
                    <w:tl2br w:val="nil"/>
                    <w:tr2bl w:val="nil"/>
                  </w:tcBorders>
                  <w:vAlign w:val="center"/>
                </w:tcPr>
                <w:p w14:paraId="189034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rPr>
                  </w:pPr>
                  <w:r>
                    <w:rPr>
                      <w:rFonts w:hint="eastAsia" w:ascii="Times New Roman" w:hAnsi="Times New Roman" w:eastAsia="宋体" w:cs="Times New Roman"/>
                      <w:color w:val="auto"/>
                      <w:spacing w:val="0"/>
                      <w:w w:val="100"/>
                      <w:kern w:val="0"/>
                      <w:sz w:val="21"/>
                      <w:szCs w:val="21"/>
                      <w:highlight w:val="none"/>
                      <w:lang w:val="en-US" w:eastAsia="zh-CN"/>
                    </w:rPr>
                    <w:t>1</w:t>
                  </w:r>
                </w:p>
              </w:tc>
              <w:tc>
                <w:tcPr>
                  <w:tcW w:w="893" w:type="pct"/>
                  <w:vMerge w:val="restart"/>
                  <w:tcBorders>
                    <w:tl2br w:val="nil"/>
                    <w:tr2bl w:val="nil"/>
                  </w:tcBorders>
                  <w:vAlign w:val="center"/>
                </w:tcPr>
                <w:p w14:paraId="53EA8F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rPr>
                  </w:pPr>
                  <w:r>
                    <w:rPr>
                      <w:rFonts w:hint="eastAsia" w:cs="Times New Roman"/>
                      <w:color w:val="auto"/>
                      <w:spacing w:val="0"/>
                      <w:w w:val="100"/>
                      <w:kern w:val="0"/>
                      <w:sz w:val="21"/>
                      <w:szCs w:val="21"/>
                      <w:highlight w:val="none"/>
                      <w:lang w:val="en-US" w:eastAsia="zh-CN"/>
                    </w:rPr>
                    <w:t>石子</w:t>
                  </w:r>
                </w:p>
              </w:tc>
              <w:tc>
                <w:tcPr>
                  <w:tcW w:w="968" w:type="pct"/>
                  <w:tcBorders>
                    <w:tl2br w:val="nil"/>
                    <w:tr2bl w:val="nil"/>
                  </w:tcBorders>
                  <w:vAlign w:val="center"/>
                </w:tcPr>
                <w:p w14:paraId="6A7CAF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rPr>
                  </w:pPr>
                  <w:r>
                    <w:rPr>
                      <w:rFonts w:hint="default" w:ascii="Times New Roman" w:hAnsi="Times New Roman" w:eastAsia="宋体" w:cs="Times New Roman"/>
                      <w:color w:val="auto"/>
                      <w:spacing w:val="0"/>
                      <w:w w:val="100"/>
                      <w:kern w:val="0"/>
                      <w:sz w:val="21"/>
                      <w:szCs w:val="21"/>
                      <w:highlight w:val="none"/>
                      <w:lang w:val="en-US" w:eastAsia="zh-CN"/>
                    </w:rPr>
                    <w:t>25-40</w:t>
                  </w:r>
                  <w:r>
                    <w:rPr>
                      <w:rFonts w:hint="eastAsia"/>
                      <w:b w:val="0"/>
                      <w:bCs w:val="0"/>
                      <w:color w:val="auto"/>
                      <w:szCs w:val="21"/>
                      <w:highlight w:val="none"/>
                      <w:lang w:val="en-US" w:eastAsia="zh-CN"/>
                    </w:rPr>
                    <w:t>mm</w:t>
                  </w:r>
                </w:p>
              </w:tc>
              <w:tc>
                <w:tcPr>
                  <w:tcW w:w="1842" w:type="dxa"/>
                  <w:tcBorders>
                    <w:tl2br w:val="nil"/>
                    <w:tr2bl w:val="nil"/>
                  </w:tcBorders>
                  <w:vAlign w:val="center"/>
                </w:tcPr>
                <w:p w14:paraId="64231D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w w:val="100"/>
                      <w:kern w:val="0"/>
                      <w:sz w:val="21"/>
                      <w:szCs w:val="21"/>
                      <w:highlight w:val="yellow"/>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63645.544</w:t>
                  </w:r>
                </w:p>
              </w:tc>
              <w:tc>
                <w:tcPr>
                  <w:tcW w:w="602" w:type="pct"/>
                  <w:tcBorders>
                    <w:tl2br w:val="nil"/>
                    <w:tr2bl w:val="nil"/>
                  </w:tcBorders>
                  <w:vAlign w:val="center"/>
                </w:tcPr>
                <w:p w14:paraId="31D3D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b w:val="0"/>
                      <w:bCs w:val="0"/>
                      <w:color w:val="auto"/>
                      <w:highlight w:val="none"/>
                      <w:lang w:val="en-US" w:eastAsia="zh-CN"/>
                    </w:rPr>
                    <w:t>t/a</w:t>
                  </w:r>
                </w:p>
              </w:tc>
              <w:tc>
                <w:tcPr>
                  <w:tcW w:w="1050" w:type="pct"/>
                  <w:vMerge w:val="restart"/>
                  <w:tcBorders>
                    <w:tl2br w:val="nil"/>
                    <w:tr2bl w:val="nil"/>
                  </w:tcBorders>
                  <w:vAlign w:val="center"/>
                </w:tcPr>
                <w:p w14:paraId="754BE2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b w:val="0"/>
                      <w:bCs w:val="0"/>
                      <w:color w:val="auto"/>
                      <w:highlight w:val="none"/>
                      <w:lang w:val="en-US" w:eastAsia="zh-CN"/>
                    </w:rPr>
                  </w:pPr>
                  <w:r>
                    <w:rPr>
                      <w:rFonts w:hint="eastAsia"/>
                      <w:b w:val="0"/>
                      <w:bCs w:val="0"/>
                      <w:color w:val="auto"/>
                      <w:highlight w:val="none"/>
                      <w:lang w:val="en-US" w:eastAsia="zh-CN"/>
                    </w:rPr>
                    <w:t>散装，由封闭式厢式车运输外售</w:t>
                  </w:r>
                  <w:r>
                    <w:rPr>
                      <w:rFonts w:hint="eastAsia"/>
                      <w:bCs/>
                      <w:color w:val="auto"/>
                      <w:sz w:val="21"/>
                      <w:szCs w:val="21"/>
                      <w:highlight w:val="none"/>
                      <w:lang w:val="en-US" w:eastAsia="zh-CN" w:bidi="ar"/>
                    </w:rPr>
                    <w:t>用于周边修路、铺路</w:t>
                  </w:r>
                </w:p>
              </w:tc>
            </w:tr>
            <w:tr w14:paraId="1504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10" w:type="pct"/>
                  <w:tcBorders>
                    <w:tl2br w:val="nil"/>
                    <w:tr2bl w:val="nil"/>
                  </w:tcBorders>
                  <w:vAlign w:val="center"/>
                </w:tcPr>
                <w:p w14:paraId="09B0B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rPr>
                  </w:pPr>
                  <w:r>
                    <w:rPr>
                      <w:rFonts w:hint="eastAsia" w:cs="Times New Roman"/>
                      <w:color w:val="auto"/>
                      <w:spacing w:val="0"/>
                      <w:w w:val="100"/>
                      <w:kern w:val="0"/>
                      <w:sz w:val="21"/>
                      <w:szCs w:val="21"/>
                      <w:highlight w:val="none"/>
                      <w:lang w:val="en-US" w:eastAsia="zh-CN"/>
                    </w:rPr>
                    <w:t>2</w:t>
                  </w:r>
                </w:p>
              </w:tc>
              <w:tc>
                <w:tcPr>
                  <w:tcW w:w="893" w:type="pct"/>
                  <w:vMerge w:val="continue"/>
                  <w:tcBorders>
                    <w:tl2br w:val="nil"/>
                    <w:tr2bl w:val="nil"/>
                  </w:tcBorders>
                  <w:vAlign w:val="center"/>
                </w:tcPr>
                <w:p w14:paraId="045191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w w:val="100"/>
                      <w:kern w:val="0"/>
                      <w:sz w:val="21"/>
                      <w:szCs w:val="21"/>
                      <w:highlight w:val="none"/>
                      <w:lang w:val="en-US" w:eastAsia="zh-CN"/>
                    </w:rPr>
                  </w:pPr>
                </w:p>
              </w:tc>
              <w:tc>
                <w:tcPr>
                  <w:tcW w:w="968" w:type="pct"/>
                  <w:tcBorders>
                    <w:tl2br w:val="nil"/>
                    <w:tr2bl w:val="nil"/>
                  </w:tcBorders>
                  <w:vAlign w:val="center"/>
                </w:tcPr>
                <w:p w14:paraId="2852D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szCs w:val="21"/>
                      <w:highlight w:val="none"/>
                      <w:lang w:val="en-US" w:eastAsia="zh-CN"/>
                    </w:rPr>
                  </w:pPr>
                  <w:r>
                    <w:rPr>
                      <w:rFonts w:hint="eastAsia"/>
                      <w:b w:val="0"/>
                      <w:bCs w:val="0"/>
                      <w:color w:val="auto"/>
                      <w:szCs w:val="21"/>
                      <w:highlight w:val="none"/>
                      <w:lang w:val="en-US" w:eastAsia="zh-CN"/>
                    </w:rPr>
                    <w:t>10-25mm</w:t>
                  </w:r>
                </w:p>
              </w:tc>
              <w:tc>
                <w:tcPr>
                  <w:tcW w:w="1842" w:type="dxa"/>
                  <w:tcBorders>
                    <w:tl2br w:val="nil"/>
                    <w:tr2bl w:val="nil"/>
                  </w:tcBorders>
                  <w:vAlign w:val="center"/>
                </w:tcPr>
                <w:p w14:paraId="4EEA7D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75499.871</w:t>
                  </w:r>
                </w:p>
              </w:tc>
              <w:tc>
                <w:tcPr>
                  <w:tcW w:w="602" w:type="pct"/>
                  <w:tcBorders>
                    <w:tl2br w:val="nil"/>
                    <w:tr2bl w:val="nil"/>
                  </w:tcBorders>
                  <w:vAlign w:val="center"/>
                </w:tcPr>
                <w:p w14:paraId="2889A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r>
                    <w:rPr>
                      <w:rFonts w:hint="eastAsia"/>
                      <w:b w:val="0"/>
                      <w:bCs w:val="0"/>
                      <w:color w:val="auto"/>
                      <w:highlight w:val="none"/>
                      <w:lang w:val="en-US" w:eastAsia="zh-CN"/>
                    </w:rPr>
                    <w:t>t/a</w:t>
                  </w:r>
                </w:p>
              </w:tc>
              <w:tc>
                <w:tcPr>
                  <w:tcW w:w="1050" w:type="pct"/>
                  <w:vMerge w:val="continue"/>
                  <w:tcBorders>
                    <w:tl2br w:val="nil"/>
                    <w:tr2bl w:val="nil"/>
                  </w:tcBorders>
                  <w:vAlign w:val="center"/>
                </w:tcPr>
                <w:p w14:paraId="2062C2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p>
              </w:tc>
            </w:tr>
            <w:tr w14:paraId="6CFC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10" w:type="pct"/>
                  <w:tcBorders>
                    <w:tl2br w:val="nil"/>
                    <w:tr2bl w:val="nil"/>
                  </w:tcBorders>
                  <w:vAlign w:val="center"/>
                </w:tcPr>
                <w:p w14:paraId="2B342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rPr>
                  </w:pPr>
                  <w:r>
                    <w:rPr>
                      <w:rFonts w:hint="eastAsia" w:cs="Times New Roman"/>
                      <w:color w:val="auto"/>
                      <w:spacing w:val="0"/>
                      <w:w w:val="100"/>
                      <w:kern w:val="0"/>
                      <w:sz w:val="21"/>
                      <w:szCs w:val="21"/>
                      <w:highlight w:val="none"/>
                      <w:lang w:val="en-US" w:eastAsia="zh-CN"/>
                    </w:rPr>
                    <w:t>3</w:t>
                  </w:r>
                </w:p>
              </w:tc>
              <w:tc>
                <w:tcPr>
                  <w:tcW w:w="893" w:type="pct"/>
                  <w:vMerge w:val="continue"/>
                  <w:tcBorders>
                    <w:tl2br w:val="nil"/>
                    <w:tr2bl w:val="nil"/>
                  </w:tcBorders>
                  <w:vAlign w:val="center"/>
                </w:tcPr>
                <w:p w14:paraId="28E92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w w:val="100"/>
                      <w:kern w:val="0"/>
                      <w:sz w:val="21"/>
                      <w:szCs w:val="21"/>
                      <w:highlight w:val="none"/>
                      <w:lang w:val="en-US" w:eastAsia="zh-CN"/>
                    </w:rPr>
                  </w:pPr>
                </w:p>
              </w:tc>
              <w:tc>
                <w:tcPr>
                  <w:tcW w:w="968" w:type="pct"/>
                  <w:tcBorders>
                    <w:tl2br w:val="nil"/>
                    <w:tr2bl w:val="nil"/>
                  </w:tcBorders>
                  <w:vAlign w:val="center"/>
                </w:tcPr>
                <w:p w14:paraId="1FEF2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 w:val="0"/>
                      <w:bCs w:val="0"/>
                      <w:color w:val="auto"/>
                      <w:szCs w:val="21"/>
                      <w:highlight w:val="none"/>
                      <w:lang w:val="en-US" w:eastAsia="zh-CN"/>
                    </w:rPr>
                  </w:pPr>
                  <w:r>
                    <w:rPr>
                      <w:rFonts w:hint="eastAsia"/>
                      <w:b w:val="0"/>
                      <w:bCs w:val="0"/>
                      <w:color w:val="auto"/>
                      <w:szCs w:val="21"/>
                      <w:highlight w:val="none"/>
                      <w:lang w:val="en-US" w:eastAsia="zh-CN"/>
                    </w:rPr>
                    <w:t>5-10mm</w:t>
                  </w:r>
                </w:p>
              </w:tc>
              <w:tc>
                <w:tcPr>
                  <w:tcW w:w="1842" w:type="dxa"/>
                  <w:tcBorders>
                    <w:tl2br w:val="nil"/>
                    <w:tr2bl w:val="nil"/>
                  </w:tcBorders>
                  <w:vAlign w:val="center"/>
                </w:tcPr>
                <w:p w14:paraId="586E2D0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40502.617</w:t>
                  </w:r>
                </w:p>
              </w:tc>
              <w:tc>
                <w:tcPr>
                  <w:tcW w:w="602" w:type="pct"/>
                  <w:tcBorders>
                    <w:tl2br w:val="nil"/>
                    <w:tr2bl w:val="nil"/>
                  </w:tcBorders>
                  <w:vAlign w:val="center"/>
                </w:tcPr>
                <w:p w14:paraId="765C4F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r>
                    <w:rPr>
                      <w:rFonts w:hint="eastAsia"/>
                      <w:b w:val="0"/>
                      <w:bCs w:val="0"/>
                      <w:color w:val="auto"/>
                      <w:highlight w:val="none"/>
                      <w:lang w:val="en-US" w:eastAsia="zh-CN"/>
                    </w:rPr>
                    <w:t>t/a</w:t>
                  </w:r>
                </w:p>
              </w:tc>
              <w:tc>
                <w:tcPr>
                  <w:tcW w:w="1050" w:type="pct"/>
                  <w:vMerge w:val="continue"/>
                  <w:tcBorders>
                    <w:tl2br w:val="nil"/>
                    <w:tr2bl w:val="nil"/>
                  </w:tcBorders>
                  <w:vAlign w:val="center"/>
                </w:tcPr>
                <w:p w14:paraId="5B4C8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p>
              </w:tc>
            </w:tr>
            <w:tr w14:paraId="27AB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410" w:type="pct"/>
                  <w:tcBorders>
                    <w:tl2br w:val="nil"/>
                    <w:tr2bl w:val="nil"/>
                  </w:tcBorders>
                  <w:vAlign w:val="center"/>
                </w:tcPr>
                <w:p w14:paraId="295663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rPr>
                  </w:pPr>
                  <w:r>
                    <w:rPr>
                      <w:rFonts w:hint="eastAsia" w:cs="Times New Roman"/>
                      <w:color w:val="auto"/>
                      <w:spacing w:val="0"/>
                      <w:w w:val="100"/>
                      <w:kern w:val="0"/>
                      <w:sz w:val="21"/>
                      <w:szCs w:val="21"/>
                      <w:highlight w:val="none"/>
                      <w:lang w:val="en-US" w:eastAsia="zh-CN"/>
                    </w:rPr>
                    <w:t>4</w:t>
                  </w:r>
                </w:p>
              </w:tc>
              <w:tc>
                <w:tcPr>
                  <w:tcW w:w="893" w:type="pct"/>
                  <w:tcBorders>
                    <w:tl2br w:val="nil"/>
                    <w:tr2bl w:val="nil"/>
                  </w:tcBorders>
                  <w:vAlign w:val="center"/>
                </w:tcPr>
                <w:p w14:paraId="069EC4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w w:val="100"/>
                      <w:kern w:val="0"/>
                      <w:sz w:val="21"/>
                      <w:szCs w:val="21"/>
                      <w:highlight w:val="none"/>
                      <w:lang w:val="en-US" w:eastAsia="zh-CN"/>
                    </w:rPr>
                  </w:pPr>
                  <w:r>
                    <w:rPr>
                      <w:rFonts w:hint="eastAsia" w:cs="Times New Roman"/>
                      <w:color w:val="auto"/>
                      <w:spacing w:val="0"/>
                      <w:w w:val="100"/>
                      <w:kern w:val="0"/>
                      <w:sz w:val="21"/>
                      <w:szCs w:val="21"/>
                      <w:highlight w:val="none"/>
                      <w:lang w:val="en-US" w:eastAsia="zh-CN"/>
                    </w:rPr>
                    <w:t>机制砂</w:t>
                  </w:r>
                </w:p>
              </w:tc>
              <w:tc>
                <w:tcPr>
                  <w:tcW w:w="968" w:type="pct"/>
                  <w:tcBorders>
                    <w:tl2br w:val="nil"/>
                    <w:tr2bl w:val="nil"/>
                  </w:tcBorders>
                  <w:vAlign w:val="center"/>
                </w:tcPr>
                <w:p w14:paraId="36BE25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szCs w:val="21"/>
                      <w:highlight w:val="none"/>
                      <w:lang w:val="en-US" w:eastAsia="zh-CN"/>
                    </w:rPr>
                  </w:pPr>
                  <w:r>
                    <w:rPr>
                      <w:rFonts w:hint="eastAsia"/>
                      <w:b w:val="0"/>
                      <w:bCs w:val="0"/>
                      <w:color w:val="auto"/>
                      <w:szCs w:val="21"/>
                      <w:highlight w:val="none"/>
                      <w:lang w:val="en-US" w:eastAsia="zh-CN"/>
                    </w:rPr>
                    <w:t>0-5mm</w:t>
                  </w:r>
                </w:p>
              </w:tc>
              <w:tc>
                <w:tcPr>
                  <w:tcW w:w="1842" w:type="dxa"/>
                  <w:tcBorders>
                    <w:tl2br w:val="nil"/>
                    <w:tr2bl w:val="nil"/>
                  </w:tcBorders>
                  <w:vAlign w:val="center"/>
                </w:tcPr>
                <w:p w14:paraId="07461A9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kern w:val="0"/>
                      <w:szCs w:val="21"/>
                      <w:highlight w:val="yellow"/>
                      <w:lang w:val="en-US" w:eastAsia="zh-CN"/>
                    </w:rPr>
                  </w:pPr>
                  <w:r>
                    <w:rPr>
                      <w:rFonts w:hint="default" w:ascii="Times New Roman" w:hAnsi="Times New Roman" w:eastAsia="宋体" w:cs="Times New Roman"/>
                      <w:i w:val="0"/>
                      <w:iCs w:val="0"/>
                      <w:color w:val="auto"/>
                      <w:kern w:val="0"/>
                      <w:sz w:val="21"/>
                      <w:szCs w:val="21"/>
                      <w:u w:val="none"/>
                      <w:lang w:val="en-US" w:eastAsia="zh-CN" w:bidi="ar"/>
                    </w:rPr>
                    <w:t>119998.631</w:t>
                  </w:r>
                </w:p>
              </w:tc>
              <w:tc>
                <w:tcPr>
                  <w:tcW w:w="602" w:type="pct"/>
                  <w:tcBorders>
                    <w:tl2br w:val="nil"/>
                    <w:tr2bl w:val="nil"/>
                  </w:tcBorders>
                  <w:vAlign w:val="center"/>
                </w:tcPr>
                <w:p w14:paraId="13F6C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r>
                    <w:rPr>
                      <w:rFonts w:hint="eastAsia"/>
                      <w:b w:val="0"/>
                      <w:bCs w:val="0"/>
                      <w:color w:val="auto"/>
                      <w:highlight w:val="none"/>
                      <w:lang w:val="en-US" w:eastAsia="zh-CN"/>
                    </w:rPr>
                    <w:t>t/a</w:t>
                  </w:r>
                </w:p>
              </w:tc>
              <w:tc>
                <w:tcPr>
                  <w:tcW w:w="1050" w:type="pct"/>
                  <w:vMerge w:val="continue"/>
                  <w:tcBorders>
                    <w:tl2br w:val="nil"/>
                    <w:tr2bl w:val="nil"/>
                  </w:tcBorders>
                  <w:vAlign w:val="center"/>
                </w:tcPr>
                <w:p w14:paraId="235A55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p>
              </w:tc>
            </w:tr>
            <w:tr w14:paraId="6F6D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271" w:type="pct"/>
                  <w:gridSpan w:val="3"/>
                  <w:tcBorders>
                    <w:tl2br w:val="nil"/>
                    <w:tr2bl w:val="nil"/>
                  </w:tcBorders>
                  <w:vAlign w:val="center"/>
                </w:tcPr>
                <w:p w14:paraId="748836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 w:val="0"/>
                      <w:bCs w:val="0"/>
                      <w:color w:val="auto"/>
                      <w:szCs w:val="21"/>
                      <w:highlight w:val="none"/>
                      <w:lang w:val="en-US" w:eastAsia="zh-CN"/>
                    </w:rPr>
                  </w:pPr>
                  <w:r>
                    <w:rPr>
                      <w:rFonts w:hint="eastAsia"/>
                      <w:b w:val="0"/>
                      <w:bCs w:val="0"/>
                      <w:color w:val="auto"/>
                      <w:szCs w:val="21"/>
                      <w:highlight w:val="none"/>
                      <w:lang w:val="en-US" w:eastAsia="zh-CN"/>
                    </w:rPr>
                    <w:t>共计</w:t>
                  </w:r>
                </w:p>
              </w:tc>
              <w:tc>
                <w:tcPr>
                  <w:tcW w:w="1075" w:type="pct"/>
                  <w:tcBorders>
                    <w:tl2br w:val="nil"/>
                    <w:tr2bl w:val="nil"/>
                  </w:tcBorders>
                  <w:vAlign w:val="center"/>
                </w:tcPr>
                <w:p w14:paraId="7286A6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cs="Times New Roman"/>
                      <w:color w:val="auto"/>
                      <w:kern w:val="0"/>
                      <w:szCs w:val="21"/>
                      <w:highlight w:val="yellow"/>
                      <w:lang w:val="en-US" w:eastAsia="zh-CN"/>
                    </w:rPr>
                  </w:pPr>
                  <w:r>
                    <w:rPr>
                      <w:rFonts w:hint="eastAsia" w:cs="Times New Roman"/>
                      <w:color w:val="auto"/>
                      <w:kern w:val="0"/>
                      <w:szCs w:val="21"/>
                      <w:highlight w:val="none"/>
                      <w:lang w:val="en-US" w:eastAsia="zh-CN"/>
                    </w:rPr>
                    <w:t>299646.663</w:t>
                  </w:r>
                </w:p>
              </w:tc>
              <w:tc>
                <w:tcPr>
                  <w:tcW w:w="602" w:type="pct"/>
                  <w:tcBorders>
                    <w:tl2br w:val="nil"/>
                    <w:tr2bl w:val="nil"/>
                  </w:tcBorders>
                  <w:vAlign w:val="center"/>
                </w:tcPr>
                <w:p w14:paraId="5CD7F4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 w:val="0"/>
                      <w:bCs w:val="0"/>
                      <w:color w:val="auto"/>
                      <w:highlight w:val="none"/>
                      <w:lang w:val="en-US" w:eastAsia="zh-CN"/>
                    </w:rPr>
                  </w:pPr>
                  <w:r>
                    <w:rPr>
                      <w:rFonts w:hint="eastAsia"/>
                      <w:b w:val="0"/>
                      <w:bCs w:val="0"/>
                      <w:color w:val="auto"/>
                      <w:highlight w:val="none"/>
                      <w:lang w:val="en-US" w:eastAsia="zh-CN"/>
                    </w:rPr>
                    <w:t>t/a</w:t>
                  </w:r>
                </w:p>
              </w:tc>
              <w:tc>
                <w:tcPr>
                  <w:tcW w:w="1050" w:type="pct"/>
                  <w:vMerge w:val="continue"/>
                  <w:tcBorders>
                    <w:tl2br w:val="nil"/>
                    <w:tr2bl w:val="nil"/>
                  </w:tcBorders>
                  <w:vAlign w:val="center"/>
                </w:tcPr>
                <w:p w14:paraId="4799DD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 w:val="0"/>
                      <w:bCs w:val="0"/>
                      <w:color w:val="auto"/>
                      <w:highlight w:val="none"/>
                      <w:lang w:val="en-US" w:eastAsia="zh-CN"/>
                    </w:rPr>
                  </w:pPr>
                </w:p>
              </w:tc>
            </w:tr>
          </w:tbl>
          <w:p w14:paraId="6445709E">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2.3</w:t>
            </w:r>
            <w:r>
              <w:rPr>
                <w:rFonts w:hint="default" w:ascii="Times New Roman" w:hAnsi="Times New Roman" w:eastAsia="宋体" w:cs="Times New Roman"/>
                <w:b/>
                <w:bCs w:val="0"/>
                <w:color w:val="auto"/>
                <w:spacing w:val="0"/>
                <w:sz w:val="24"/>
                <w:szCs w:val="24"/>
                <w:highlight w:val="none"/>
                <w:lang w:val="en-US" w:eastAsia="zh-CN"/>
              </w:rPr>
              <w:t>生产设备</w:t>
            </w:r>
          </w:p>
          <w:p w14:paraId="476AB6F9">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本项目主要设备见表2</w:t>
            </w:r>
            <w:r>
              <w:rPr>
                <w:rFonts w:hint="eastAsia" w:cs="Times New Roman"/>
                <w:bCs/>
                <w:color w:val="auto"/>
                <w:spacing w:val="0"/>
                <w:sz w:val="24"/>
                <w:szCs w:val="24"/>
                <w:highlight w:val="none"/>
                <w:lang w:val="en-US" w:eastAsia="zh-CN"/>
              </w:rPr>
              <w:t>.3-1</w:t>
            </w:r>
            <w:r>
              <w:rPr>
                <w:rFonts w:hint="default" w:ascii="Times New Roman" w:hAnsi="Times New Roman" w:eastAsia="宋体" w:cs="Times New Roman"/>
                <w:bCs/>
                <w:color w:val="auto"/>
                <w:spacing w:val="0"/>
                <w:sz w:val="24"/>
                <w:szCs w:val="24"/>
                <w:highlight w:val="none"/>
                <w:lang w:val="en-US" w:eastAsia="zh-CN"/>
              </w:rPr>
              <w:t>。</w:t>
            </w:r>
          </w:p>
          <w:p w14:paraId="33A257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iCs/>
                <w:snapToGrid w:val="0"/>
                <w:color w:val="auto"/>
                <w:spacing w:val="0"/>
                <w:kern w:val="0"/>
                <w:sz w:val="21"/>
                <w:szCs w:val="20"/>
                <w:highlight w:val="none"/>
                <w:lang w:val="en-US" w:eastAsia="zh-CN" w:bidi="ar-SA"/>
              </w:rPr>
            </w:pPr>
            <w:r>
              <w:rPr>
                <w:rFonts w:hint="default" w:ascii="Times New Roman" w:hAnsi="Times New Roman" w:eastAsia="宋体" w:cs="Times New Roman"/>
                <w:b/>
                <w:bCs/>
                <w:iCs/>
                <w:snapToGrid w:val="0"/>
                <w:color w:val="auto"/>
                <w:spacing w:val="0"/>
                <w:kern w:val="0"/>
                <w:sz w:val="21"/>
                <w:szCs w:val="20"/>
                <w:highlight w:val="none"/>
                <w:lang w:val="en-US" w:eastAsia="zh-CN" w:bidi="ar-SA"/>
              </w:rPr>
              <w:t>表2</w:t>
            </w:r>
            <w:r>
              <w:rPr>
                <w:rFonts w:hint="eastAsia" w:cs="Times New Roman"/>
                <w:b/>
                <w:bCs/>
                <w:iCs/>
                <w:snapToGrid w:val="0"/>
                <w:color w:val="auto"/>
                <w:spacing w:val="0"/>
                <w:kern w:val="0"/>
                <w:sz w:val="21"/>
                <w:szCs w:val="20"/>
                <w:highlight w:val="none"/>
                <w:lang w:val="en-US" w:eastAsia="zh-CN" w:bidi="ar-SA"/>
              </w:rPr>
              <w:t>.3-1</w:t>
            </w:r>
            <w:r>
              <w:rPr>
                <w:rFonts w:hint="default" w:ascii="Times New Roman" w:hAnsi="Times New Roman" w:eastAsia="宋体" w:cs="Times New Roman"/>
                <w:b/>
                <w:bCs/>
                <w:iCs/>
                <w:snapToGrid w:val="0"/>
                <w:color w:val="auto"/>
                <w:spacing w:val="0"/>
                <w:kern w:val="0"/>
                <w:sz w:val="21"/>
                <w:szCs w:val="20"/>
                <w:highlight w:val="none"/>
                <w:lang w:val="en-US" w:eastAsia="zh-CN" w:bidi="ar-SA"/>
              </w:rPr>
              <w:t xml:space="preserve">  主要设备表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630"/>
              <w:gridCol w:w="2030"/>
              <w:gridCol w:w="1207"/>
              <w:gridCol w:w="2079"/>
              <w:gridCol w:w="959"/>
            </w:tblGrid>
            <w:tr w14:paraId="075B6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060A9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rPr>
                  </w:pPr>
                  <w:r>
                    <w:rPr>
                      <w:rFonts w:hint="default" w:ascii="Times New Roman" w:hAnsi="Times New Roman" w:eastAsia="宋体" w:cs="Times New Roman"/>
                      <w:b/>
                      <w:bCs/>
                      <w:color w:val="auto"/>
                      <w:spacing w:val="0"/>
                      <w:w w:val="100"/>
                      <w:kern w:val="0"/>
                      <w:sz w:val="21"/>
                      <w:szCs w:val="21"/>
                      <w:highlight w:val="none"/>
                    </w:rPr>
                    <w:t>序号</w:t>
                  </w:r>
                </w:p>
              </w:tc>
              <w:tc>
                <w:tcPr>
                  <w:tcW w:w="950" w:type="pct"/>
                  <w:tcBorders>
                    <w:tl2br w:val="nil"/>
                    <w:tr2bl w:val="nil"/>
                  </w:tcBorders>
                  <w:vAlign w:val="center"/>
                </w:tcPr>
                <w:p w14:paraId="1E0CB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rPr>
                  </w:pPr>
                  <w:r>
                    <w:rPr>
                      <w:rFonts w:hint="default" w:ascii="Times New Roman" w:hAnsi="Times New Roman" w:eastAsia="宋体" w:cs="Times New Roman"/>
                      <w:b/>
                      <w:bCs/>
                      <w:color w:val="auto"/>
                      <w:spacing w:val="0"/>
                      <w:w w:val="100"/>
                      <w:kern w:val="0"/>
                      <w:sz w:val="21"/>
                      <w:szCs w:val="21"/>
                      <w:highlight w:val="none"/>
                    </w:rPr>
                    <w:t>设备名称</w:t>
                  </w:r>
                </w:p>
              </w:tc>
              <w:tc>
                <w:tcPr>
                  <w:tcW w:w="1184" w:type="pct"/>
                  <w:tcBorders>
                    <w:tl2br w:val="nil"/>
                    <w:tr2bl w:val="nil"/>
                  </w:tcBorders>
                  <w:vAlign w:val="center"/>
                </w:tcPr>
                <w:p w14:paraId="73F91B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rPr>
                  </w:pPr>
                  <w:r>
                    <w:rPr>
                      <w:rFonts w:hint="default" w:ascii="Times New Roman" w:hAnsi="Times New Roman" w:eastAsia="宋体" w:cs="Times New Roman"/>
                      <w:b/>
                      <w:bCs/>
                      <w:color w:val="auto"/>
                      <w:spacing w:val="0"/>
                      <w:w w:val="100"/>
                      <w:kern w:val="0"/>
                      <w:sz w:val="21"/>
                      <w:szCs w:val="21"/>
                      <w:highlight w:val="none"/>
                    </w:rPr>
                    <w:t>规格型号</w:t>
                  </w:r>
                </w:p>
              </w:tc>
              <w:tc>
                <w:tcPr>
                  <w:tcW w:w="704" w:type="pct"/>
                  <w:tcBorders>
                    <w:tl2br w:val="nil"/>
                    <w:tr2bl w:val="nil"/>
                  </w:tcBorders>
                  <w:vAlign w:val="center"/>
                </w:tcPr>
                <w:p w14:paraId="265A69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pacing w:val="0"/>
                      <w:w w:val="100"/>
                      <w:kern w:val="0"/>
                      <w:sz w:val="21"/>
                      <w:szCs w:val="21"/>
                      <w:highlight w:val="none"/>
                      <w:lang w:val="en-US" w:eastAsia="zh-CN"/>
                    </w:rPr>
                  </w:pPr>
                  <w:r>
                    <w:rPr>
                      <w:rFonts w:hint="default" w:ascii="Times New Roman" w:hAnsi="Times New Roman" w:eastAsia="宋体" w:cs="Times New Roman"/>
                      <w:b/>
                      <w:bCs/>
                      <w:color w:val="auto"/>
                      <w:spacing w:val="0"/>
                      <w:w w:val="100"/>
                      <w:kern w:val="0"/>
                      <w:sz w:val="21"/>
                      <w:szCs w:val="21"/>
                      <w:highlight w:val="none"/>
                      <w:lang w:eastAsia="zh-CN"/>
                    </w:rPr>
                    <w:t>数量</w:t>
                  </w:r>
                  <w:r>
                    <w:rPr>
                      <w:rFonts w:hint="eastAsia" w:ascii="Times New Roman" w:hAnsi="Times New Roman" w:eastAsia="宋体" w:cs="Times New Roman"/>
                      <w:b/>
                      <w:bCs/>
                      <w:color w:val="auto"/>
                      <w:spacing w:val="0"/>
                      <w:w w:val="100"/>
                      <w:kern w:val="0"/>
                      <w:sz w:val="21"/>
                      <w:szCs w:val="21"/>
                      <w:highlight w:val="none"/>
                      <w:lang w:eastAsia="zh-CN"/>
                    </w:rPr>
                    <w:t>（</w:t>
                  </w:r>
                  <w:r>
                    <w:rPr>
                      <w:rFonts w:hint="eastAsia" w:ascii="Times New Roman" w:hAnsi="Times New Roman" w:eastAsia="宋体" w:cs="Times New Roman"/>
                      <w:b/>
                      <w:bCs/>
                      <w:color w:val="auto"/>
                      <w:spacing w:val="0"/>
                      <w:w w:val="100"/>
                      <w:kern w:val="0"/>
                      <w:sz w:val="21"/>
                      <w:szCs w:val="21"/>
                      <w:highlight w:val="none"/>
                      <w:lang w:val="en-US" w:eastAsia="zh-CN"/>
                    </w:rPr>
                    <w:t>台</w:t>
                  </w:r>
                  <w:r>
                    <w:rPr>
                      <w:rFonts w:hint="eastAsia" w:ascii="Times New Roman" w:hAnsi="Times New Roman" w:eastAsia="宋体" w:cs="Times New Roman"/>
                      <w:b/>
                      <w:bCs/>
                      <w:color w:val="auto"/>
                      <w:spacing w:val="0"/>
                      <w:w w:val="100"/>
                      <w:kern w:val="0"/>
                      <w:sz w:val="21"/>
                      <w:szCs w:val="21"/>
                      <w:highlight w:val="none"/>
                      <w:lang w:eastAsia="zh-CN"/>
                    </w:rPr>
                    <w:t>）</w:t>
                  </w:r>
                </w:p>
              </w:tc>
              <w:tc>
                <w:tcPr>
                  <w:tcW w:w="1212" w:type="pct"/>
                  <w:tcBorders>
                    <w:tl2br w:val="nil"/>
                    <w:tr2bl w:val="nil"/>
                  </w:tcBorders>
                  <w:vAlign w:val="center"/>
                </w:tcPr>
                <w:p w14:paraId="0651CF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bCs/>
                      <w:color w:val="auto"/>
                      <w:spacing w:val="0"/>
                      <w:w w:val="100"/>
                      <w:kern w:val="0"/>
                      <w:sz w:val="21"/>
                      <w:szCs w:val="21"/>
                      <w:highlight w:val="none"/>
                      <w:lang w:eastAsia="zh-CN"/>
                    </w:rPr>
                  </w:pPr>
                  <w:r>
                    <w:rPr>
                      <w:rFonts w:hint="eastAsia" w:cs="Times New Roman"/>
                      <w:b/>
                      <w:bCs/>
                      <w:color w:val="auto"/>
                      <w:spacing w:val="0"/>
                      <w:w w:val="100"/>
                      <w:kern w:val="0"/>
                      <w:sz w:val="21"/>
                      <w:szCs w:val="21"/>
                      <w:highlight w:val="none"/>
                      <w:lang w:val="en-US" w:eastAsia="zh-CN"/>
                    </w:rPr>
                    <w:t>单台生产能力（</w:t>
                  </w:r>
                  <w:r>
                    <w:rPr>
                      <w:rFonts w:hint="eastAsia" w:ascii="Times New Roman" w:hAnsi="Times New Roman" w:cs="Times New Roman"/>
                      <w:b/>
                      <w:bCs/>
                      <w:color w:val="auto"/>
                      <w:sz w:val="21"/>
                      <w:szCs w:val="21"/>
                      <w:lang w:val="en-US" w:eastAsia="zh-CN"/>
                    </w:rPr>
                    <w:t>t/h</w:t>
                  </w:r>
                  <w:r>
                    <w:rPr>
                      <w:rFonts w:hint="eastAsia" w:cs="Times New Roman"/>
                      <w:b/>
                      <w:bCs/>
                      <w:color w:val="auto"/>
                      <w:spacing w:val="0"/>
                      <w:w w:val="100"/>
                      <w:kern w:val="0"/>
                      <w:sz w:val="21"/>
                      <w:szCs w:val="21"/>
                      <w:highlight w:val="none"/>
                      <w:lang w:val="en-US" w:eastAsia="zh-CN"/>
                    </w:rPr>
                    <w:t>）</w:t>
                  </w:r>
                </w:p>
              </w:tc>
              <w:tc>
                <w:tcPr>
                  <w:tcW w:w="559" w:type="pct"/>
                  <w:tcBorders>
                    <w:tl2br w:val="nil"/>
                    <w:tr2bl w:val="nil"/>
                  </w:tcBorders>
                  <w:vAlign w:val="center"/>
                </w:tcPr>
                <w:p w14:paraId="4C031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bCs/>
                      <w:color w:val="auto"/>
                      <w:spacing w:val="0"/>
                      <w:w w:val="100"/>
                      <w:kern w:val="0"/>
                      <w:sz w:val="21"/>
                      <w:szCs w:val="21"/>
                      <w:highlight w:val="none"/>
                      <w:lang w:val="en-US" w:eastAsia="zh-CN"/>
                    </w:rPr>
                  </w:pPr>
                  <w:r>
                    <w:rPr>
                      <w:rFonts w:hint="eastAsia" w:cs="Times New Roman"/>
                      <w:b/>
                      <w:bCs/>
                      <w:color w:val="auto"/>
                      <w:spacing w:val="0"/>
                      <w:w w:val="100"/>
                      <w:kern w:val="0"/>
                      <w:sz w:val="21"/>
                      <w:szCs w:val="21"/>
                      <w:highlight w:val="none"/>
                      <w:lang w:val="en-US" w:eastAsia="zh-CN"/>
                    </w:rPr>
                    <w:t>工作</w:t>
                  </w:r>
                </w:p>
                <w:p w14:paraId="10BF4C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bCs/>
                      <w:color w:val="auto"/>
                      <w:spacing w:val="0"/>
                      <w:w w:val="100"/>
                      <w:kern w:val="0"/>
                      <w:sz w:val="21"/>
                      <w:szCs w:val="21"/>
                      <w:highlight w:val="none"/>
                      <w:lang w:val="en-US" w:eastAsia="zh-CN"/>
                    </w:rPr>
                  </w:pPr>
                  <w:r>
                    <w:rPr>
                      <w:rFonts w:hint="eastAsia" w:cs="Times New Roman"/>
                      <w:b/>
                      <w:bCs/>
                      <w:color w:val="auto"/>
                      <w:spacing w:val="0"/>
                      <w:w w:val="100"/>
                      <w:kern w:val="0"/>
                      <w:sz w:val="21"/>
                      <w:szCs w:val="21"/>
                      <w:highlight w:val="none"/>
                      <w:lang w:val="en-US" w:eastAsia="zh-CN"/>
                    </w:rPr>
                    <w:t>制度</w:t>
                  </w:r>
                </w:p>
              </w:tc>
            </w:tr>
            <w:tr w14:paraId="3BC8C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6F85A2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default" w:ascii="Times New Roman" w:hAnsi="Times New Roman" w:eastAsia="宋体" w:cs="Times New Roman"/>
                      <w:color w:val="auto"/>
                      <w:spacing w:val="0"/>
                      <w:w w:val="100"/>
                      <w:kern w:val="0"/>
                      <w:sz w:val="21"/>
                      <w:szCs w:val="21"/>
                      <w:highlight w:val="none"/>
                      <w:lang w:val="en-US" w:eastAsia="zh-CN" w:bidi="ar-SA"/>
                    </w:rPr>
                    <w:t>1</w:t>
                  </w:r>
                </w:p>
              </w:tc>
              <w:tc>
                <w:tcPr>
                  <w:tcW w:w="950" w:type="pct"/>
                  <w:tcBorders>
                    <w:tl2br w:val="nil"/>
                    <w:tr2bl w:val="nil"/>
                  </w:tcBorders>
                  <w:vAlign w:val="center"/>
                </w:tcPr>
                <w:p w14:paraId="769DE91E">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default"/>
                      <w:bCs/>
                      <w:color w:val="auto"/>
                      <w:sz w:val="21"/>
                      <w:szCs w:val="21"/>
                    </w:rPr>
                    <w:t>给料机</w:t>
                  </w:r>
                </w:p>
              </w:tc>
              <w:tc>
                <w:tcPr>
                  <w:tcW w:w="1184" w:type="pct"/>
                  <w:tcBorders>
                    <w:tl2br w:val="nil"/>
                    <w:tr2bl w:val="nil"/>
                  </w:tcBorders>
                  <w:vAlign w:val="center"/>
                </w:tcPr>
                <w:p w14:paraId="7B7B2604">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b w:val="0"/>
                      <w:bCs w:val="0"/>
                      <w:color w:val="auto"/>
                      <w:spacing w:val="0"/>
                      <w:w w:val="100"/>
                      <w:kern w:val="0"/>
                      <w:sz w:val="21"/>
                      <w:szCs w:val="21"/>
                      <w:highlight w:val="none"/>
                      <w:lang w:val="en-US" w:eastAsia="zh-CN" w:bidi="zh-CN"/>
                    </w:rPr>
                  </w:pPr>
                  <w:r>
                    <w:rPr>
                      <w:rFonts w:hint="default" w:ascii="Times New Roman" w:hAnsi="Times New Roman" w:eastAsia="宋体" w:cs="Times New Roman"/>
                      <w:b w:val="0"/>
                      <w:bCs w:val="0"/>
                      <w:color w:val="auto"/>
                      <w:spacing w:val="0"/>
                      <w:w w:val="100"/>
                      <w:kern w:val="0"/>
                      <w:sz w:val="21"/>
                      <w:szCs w:val="21"/>
                      <w:highlight w:val="none"/>
                      <w:lang w:val="en-US" w:eastAsia="zh-CN" w:bidi="zh-CN"/>
                    </w:rPr>
                    <w:t>GZ</w:t>
                  </w:r>
                  <w:r>
                    <w:rPr>
                      <w:rFonts w:hint="eastAsia" w:cs="Times New Roman"/>
                      <w:b w:val="0"/>
                      <w:bCs w:val="0"/>
                      <w:color w:val="auto"/>
                      <w:spacing w:val="0"/>
                      <w:w w:val="100"/>
                      <w:kern w:val="0"/>
                      <w:sz w:val="21"/>
                      <w:szCs w:val="21"/>
                      <w:highlight w:val="none"/>
                      <w:lang w:val="en-US" w:eastAsia="zh-CN" w:bidi="zh-CN"/>
                    </w:rPr>
                    <w:t>T</w:t>
                  </w:r>
                  <w:r>
                    <w:rPr>
                      <w:rFonts w:hint="default" w:ascii="Times New Roman" w:hAnsi="Times New Roman" w:eastAsia="宋体" w:cs="Times New Roman"/>
                      <w:b w:val="0"/>
                      <w:bCs w:val="0"/>
                      <w:color w:val="auto"/>
                      <w:spacing w:val="0"/>
                      <w:w w:val="100"/>
                      <w:kern w:val="0"/>
                      <w:sz w:val="21"/>
                      <w:szCs w:val="21"/>
                      <w:highlight w:val="none"/>
                      <w:lang w:val="en-US" w:eastAsia="zh-CN" w:bidi="zh-CN"/>
                    </w:rPr>
                    <w:t>-</w:t>
                  </w:r>
                  <w:r>
                    <w:rPr>
                      <w:rFonts w:hint="eastAsia" w:cs="Times New Roman"/>
                      <w:b w:val="0"/>
                      <w:bCs w:val="0"/>
                      <w:color w:val="auto"/>
                      <w:spacing w:val="0"/>
                      <w:w w:val="100"/>
                      <w:kern w:val="0"/>
                      <w:sz w:val="21"/>
                      <w:szCs w:val="21"/>
                      <w:highlight w:val="none"/>
                      <w:lang w:val="en-US" w:eastAsia="zh-CN" w:bidi="zh-CN"/>
                    </w:rPr>
                    <w:t>1148</w:t>
                  </w:r>
                </w:p>
              </w:tc>
              <w:tc>
                <w:tcPr>
                  <w:tcW w:w="704" w:type="pct"/>
                  <w:tcBorders>
                    <w:tl2br w:val="nil"/>
                    <w:tr2bl w:val="nil"/>
                  </w:tcBorders>
                  <w:vAlign w:val="center"/>
                </w:tcPr>
                <w:p w14:paraId="57F28F73">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1</w:t>
                  </w:r>
                </w:p>
              </w:tc>
              <w:tc>
                <w:tcPr>
                  <w:tcW w:w="1212" w:type="pct"/>
                  <w:tcBorders>
                    <w:tl2br w:val="nil"/>
                    <w:tr2bl w:val="nil"/>
                  </w:tcBorders>
                  <w:vAlign w:val="center"/>
                </w:tcPr>
                <w:p w14:paraId="747796B1">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90-100</w:t>
                  </w:r>
                </w:p>
              </w:tc>
              <w:tc>
                <w:tcPr>
                  <w:tcW w:w="559" w:type="pct"/>
                  <w:vMerge w:val="restart"/>
                  <w:tcBorders>
                    <w:tl2br w:val="nil"/>
                    <w:tr2bl w:val="nil"/>
                  </w:tcBorders>
                  <w:vAlign w:val="center"/>
                </w:tcPr>
                <w:p w14:paraId="4460A3F3">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3300h/a</w:t>
                  </w:r>
                </w:p>
              </w:tc>
            </w:tr>
            <w:tr w14:paraId="6F83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16C79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ar-SA"/>
                    </w:rPr>
                    <w:t>2</w:t>
                  </w:r>
                </w:p>
              </w:tc>
              <w:tc>
                <w:tcPr>
                  <w:tcW w:w="950" w:type="pct"/>
                  <w:tcBorders>
                    <w:tl2br w:val="nil"/>
                    <w:tr2bl w:val="nil"/>
                  </w:tcBorders>
                  <w:vAlign w:val="center"/>
                </w:tcPr>
                <w:p w14:paraId="3B011B1B">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颚式破碎机</w:t>
                  </w:r>
                </w:p>
              </w:tc>
              <w:tc>
                <w:tcPr>
                  <w:tcW w:w="1184" w:type="pct"/>
                  <w:tcBorders>
                    <w:tl2br w:val="nil"/>
                    <w:tr2bl w:val="nil"/>
                  </w:tcBorders>
                  <w:vAlign w:val="center"/>
                </w:tcPr>
                <w:p w14:paraId="47922776">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w w:val="100"/>
                      <w:kern w:val="0"/>
                      <w:sz w:val="21"/>
                      <w:szCs w:val="21"/>
                      <w:highlight w:val="none"/>
                      <w:lang w:val="en-US" w:eastAsia="zh-CN" w:bidi="zh-CN"/>
                    </w:rPr>
                  </w:pPr>
                  <w:r>
                    <w:rPr>
                      <w:rFonts w:hint="eastAsia" w:cs="Times New Roman"/>
                      <w:b w:val="0"/>
                      <w:bCs w:val="0"/>
                      <w:color w:val="auto"/>
                      <w:spacing w:val="0"/>
                      <w:w w:val="100"/>
                      <w:kern w:val="0"/>
                      <w:sz w:val="21"/>
                      <w:szCs w:val="21"/>
                      <w:highlight w:val="none"/>
                      <w:lang w:val="en-US" w:eastAsia="zh-CN" w:bidi="zh-CN"/>
                    </w:rPr>
                    <w:t>PE-750×1060</w:t>
                  </w:r>
                </w:p>
              </w:tc>
              <w:tc>
                <w:tcPr>
                  <w:tcW w:w="704" w:type="pct"/>
                  <w:tcBorders>
                    <w:tl2br w:val="nil"/>
                    <w:tr2bl w:val="nil"/>
                  </w:tcBorders>
                  <w:vAlign w:val="center"/>
                </w:tcPr>
                <w:p w14:paraId="3BE50106">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1</w:t>
                  </w:r>
                </w:p>
              </w:tc>
              <w:tc>
                <w:tcPr>
                  <w:tcW w:w="1212" w:type="pct"/>
                  <w:tcBorders>
                    <w:tl2br w:val="nil"/>
                    <w:tr2bl w:val="nil"/>
                  </w:tcBorders>
                  <w:vAlign w:val="center"/>
                </w:tcPr>
                <w:p w14:paraId="3A1B2D69">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90-95</w:t>
                  </w:r>
                </w:p>
              </w:tc>
              <w:tc>
                <w:tcPr>
                  <w:tcW w:w="559" w:type="pct"/>
                  <w:vMerge w:val="continue"/>
                  <w:tcBorders>
                    <w:tl2br w:val="nil"/>
                    <w:tr2bl w:val="nil"/>
                  </w:tcBorders>
                  <w:vAlign w:val="center"/>
                </w:tcPr>
                <w:p w14:paraId="3BDBE559">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lang w:val="en-US" w:eastAsia="zh-CN"/>
                    </w:rPr>
                  </w:pPr>
                </w:p>
              </w:tc>
            </w:tr>
            <w:tr w14:paraId="2276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1DFF0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ar-SA"/>
                    </w:rPr>
                    <w:t>3</w:t>
                  </w:r>
                </w:p>
              </w:tc>
              <w:tc>
                <w:tcPr>
                  <w:tcW w:w="950" w:type="pct"/>
                  <w:tcBorders>
                    <w:tl2br w:val="nil"/>
                    <w:tr2bl w:val="nil"/>
                  </w:tcBorders>
                  <w:vAlign w:val="center"/>
                </w:tcPr>
                <w:p w14:paraId="6CE655AF">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细鄂式破碎机</w:t>
                  </w:r>
                </w:p>
              </w:tc>
              <w:tc>
                <w:tcPr>
                  <w:tcW w:w="1184" w:type="pct"/>
                  <w:tcBorders>
                    <w:tl2br w:val="nil"/>
                    <w:tr2bl w:val="nil"/>
                  </w:tcBorders>
                  <w:vAlign w:val="center"/>
                </w:tcPr>
                <w:p w14:paraId="7D5ABBA6">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w w:val="100"/>
                      <w:kern w:val="0"/>
                      <w:sz w:val="21"/>
                      <w:szCs w:val="21"/>
                      <w:highlight w:val="none"/>
                      <w:lang w:val="en-US" w:eastAsia="zh-CN" w:bidi="zh-CN"/>
                    </w:rPr>
                  </w:pPr>
                  <w:r>
                    <w:rPr>
                      <w:rFonts w:hint="default" w:ascii="Times New Roman" w:hAnsi="Times New Roman" w:eastAsia="宋体" w:cs="Times New Roman"/>
                      <w:b w:val="0"/>
                      <w:bCs w:val="0"/>
                      <w:color w:val="auto"/>
                      <w:spacing w:val="0"/>
                      <w:w w:val="100"/>
                      <w:kern w:val="0"/>
                      <w:sz w:val="21"/>
                      <w:szCs w:val="21"/>
                      <w:highlight w:val="none"/>
                      <w:lang w:val="en-US" w:eastAsia="zh-CN" w:bidi="zh-CN"/>
                    </w:rPr>
                    <w:t>PEX-300×1300</w:t>
                  </w:r>
                </w:p>
              </w:tc>
              <w:tc>
                <w:tcPr>
                  <w:tcW w:w="704" w:type="pct"/>
                  <w:tcBorders>
                    <w:tl2br w:val="nil"/>
                    <w:tr2bl w:val="nil"/>
                  </w:tcBorders>
                  <w:vAlign w:val="center"/>
                </w:tcPr>
                <w:p w14:paraId="03297FE7">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2</w:t>
                  </w:r>
                </w:p>
              </w:tc>
              <w:tc>
                <w:tcPr>
                  <w:tcW w:w="1212" w:type="pct"/>
                  <w:tcBorders>
                    <w:tl2br w:val="nil"/>
                    <w:tr2bl w:val="nil"/>
                  </w:tcBorders>
                  <w:vAlign w:val="center"/>
                </w:tcPr>
                <w:p w14:paraId="78D62D83">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45-50</w:t>
                  </w:r>
                </w:p>
              </w:tc>
              <w:tc>
                <w:tcPr>
                  <w:tcW w:w="559" w:type="pct"/>
                  <w:vMerge w:val="continue"/>
                  <w:tcBorders>
                    <w:tl2br w:val="nil"/>
                    <w:tr2bl w:val="nil"/>
                  </w:tcBorders>
                  <w:vAlign w:val="center"/>
                </w:tcPr>
                <w:p w14:paraId="5063AAC2">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lang w:val="en-US" w:eastAsia="zh-CN"/>
                    </w:rPr>
                  </w:pPr>
                </w:p>
              </w:tc>
            </w:tr>
            <w:tr w14:paraId="04C0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5A7550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ar-SA"/>
                    </w:rPr>
                    <w:t>4</w:t>
                  </w:r>
                </w:p>
              </w:tc>
              <w:tc>
                <w:tcPr>
                  <w:tcW w:w="950" w:type="pct"/>
                  <w:tcBorders>
                    <w:tl2br w:val="nil"/>
                    <w:tr2bl w:val="nil"/>
                  </w:tcBorders>
                  <w:vAlign w:val="center"/>
                </w:tcPr>
                <w:p w14:paraId="52740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1#振动筛</w:t>
                  </w:r>
                </w:p>
              </w:tc>
              <w:tc>
                <w:tcPr>
                  <w:tcW w:w="1184" w:type="pct"/>
                  <w:tcBorders>
                    <w:tl2br w:val="nil"/>
                    <w:tr2bl w:val="nil"/>
                  </w:tcBorders>
                  <w:vAlign w:val="center"/>
                </w:tcPr>
                <w:p w14:paraId="2B2B9E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olor w:val="auto"/>
                      <w:lang w:val="en-US" w:eastAsia="zh-CN"/>
                    </w:rPr>
                  </w:pPr>
                  <w:r>
                    <w:rPr>
                      <w:rFonts w:hint="eastAsia" w:cs="Times New Roman"/>
                      <w:b w:val="0"/>
                      <w:bCs w:val="0"/>
                      <w:color w:val="auto"/>
                      <w:spacing w:val="0"/>
                      <w:w w:val="100"/>
                      <w:kern w:val="0"/>
                      <w:sz w:val="21"/>
                      <w:szCs w:val="21"/>
                      <w:highlight w:val="none"/>
                      <w:lang w:val="en-US" w:eastAsia="zh-CN" w:bidi="zh-CN"/>
                    </w:rPr>
                    <w:t>2YKH-2160（</w:t>
                  </w:r>
                  <w:r>
                    <w:rPr>
                      <w:rFonts w:hint="eastAsia" w:cs="Times New Roman"/>
                      <w:color w:val="auto"/>
                      <w:sz w:val="21"/>
                      <w:szCs w:val="21"/>
                      <w:lang w:val="en-US" w:eastAsia="zh-CN"/>
                    </w:rPr>
                    <w:t>2层筛</w:t>
                  </w:r>
                  <w:r>
                    <w:rPr>
                      <w:rFonts w:hint="eastAsia" w:cs="Times New Roman"/>
                      <w:b w:val="0"/>
                      <w:bCs w:val="0"/>
                      <w:color w:val="auto"/>
                      <w:spacing w:val="0"/>
                      <w:w w:val="100"/>
                      <w:kern w:val="0"/>
                      <w:sz w:val="21"/>
                      <w:szCs w:val="21"/>
                      <w:highlight w:val="none"/>
                      <w:lang w:val="en-US" w:eastAsia="zh-CN" w:bidi="zh-CN"/>
                    </w:rPr>
                    <w:t>）</w:t>
                  </w:r>
                </w:p>
              </w:tc>
              <w:tc>
                <w:tcPr>
                  <w:tcW w:w="704" w:type="pct"/>
                  <w:tcBorders>
                    <w:tl2br w:val="nil"/>
                    <w:tr2bl w:val="nil"/>
                  </w:tcBorders>
                  <w:vAlign w:val="center"/>
                </w:tcPr>
                <w:p w14:paraId="3DF54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bCs/>
                      <w:color w:val="auto"/>
                      <w:sz w:val="21"/>
                      <w:szCs w:val="21"/>
                      <w:lang w:val="en-US" w:eastAsia="zh-CN"/>
                    </w:rPr>
                    <w:t>1</w:t>
                  </w:r>
                </w:p>
              </w:tc>
              <w:tc>
                <w:tcPr>
                  <w:tcW w:w="1212" w:type="pct"/>
                  <w:tcBorders>
                    <w:tl2br w:val="nil"/>
                    <w:tr2bl w:val="nil"/>
                  </w:tcBorders>
                  <w:vAlign w:val="center"/>
                </w:tcPr>
                <w:p w14:paraId="36284FE0">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90-100</w:t>
                  </w:r>
                </w:p>
              </w:tc>
              <w:tc>
                <w:tcPr>
                  <w:tcW w:w="559" w:type="pct"/>
                  <w:vMerge w:val="continue"/>
                  <w:tcBorders>
                    <w:tl2br w:val="nil"/>
                    <w:tr2bl w:val="nil"/>
                  </w:tcBorders>
                  <w:vAlign w:val="center"/>
                </w:tcPr>
                <w:p w14:paraId="5AF2363A">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r w14:paraId="3241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4F407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cs="Times New Roman"/>
                      <w:color w:val="auto"/>
                      <w:spacing w:val="0"/>
                      <w:w w:val="100"/>
                      <w:kern w:val="0"/>
                      <w:sz w:val="21"/>
                      <w:szCs w:val="21"/>
                      <w:highlight w:val="none"/>
                      <w:lang w:val="en-US" w:eastAsia="zh-CN" w:bidi="ar-SA"/>
                    </w:rPr>
                    <w:t>5</w:t>
                  </w:r>
                </w:p>
              </w:tc>
              <w:tc>
                <w:tcPr>
                  <w:tcW w:w="950" w:type="pct"/>
                  <w:tcBorders>
                    <w:tl2br w:val="nil"/>
                    <w:tr2bl w:val="nil"/>
                  </w:tcBorders>
                  <w:vAlign w:val="center"/>
                </w:tcPr>
                <w:p w14:paraId="361A0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2#振动筛</w:t>
                  </w:r>
                </w:p>
              </w:tc>
              <w:tc>
                <w:tcPr>
                  <w:tcW w:w="1184" w:type="pct"/>
                  <w:tcBorders>
                    <w:tl2br w:val="nil"/>
                    <w:tr2bl w:val="nil"/>
                  </w:tcBorders>
                  <w:vAlign w:val="center"/>
                </w:tcPr>
                <w:p w14:paraId="17B0B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sz w:val="21"/>
                      <w:szCs w:val="21"/>
                      <w:lang w:val="en-US" w:eastAsia="zh-CN"/>
                    </w:rPr>
                  </w:pPr>
                  <w:r>
                    <w:rPr>
                      <w:rFonts w:hint="eastAsia" w:cs="Times New Roman"/>
                      <w:b w:val="0"/>
                      <w:bCs w:val="0"/>
                      <w:color w:val="auto"/>
                      <w:spacing w:val="0"/>
                      <w:w w:val="100"/>
                      <w:kern w:val="0"/>
                      <w:sz w:val="21"/>
                      <w:szCs w:val="21"/>
                      <w:highlight w:val="none"/>
                      <w:lang w:val="en-US" w:eastAsia="zh-CN" w:bidi="zh-CN"/>
                    </w:rPr>
                    <w:t>3YKH-2160（</w:t>
                  </w:r>
                  <w:r>
                    <w:rPr>
                      <w:rFonts w:hint="eastAsia" w:cs="Times New Roman"/>
                      <w:color w:val="auto"/>
                      <w:sz w:val="21"/>
                      <w:szCs w:val="21"/>
                      <w:lang w:val="en-US" w:eastAsia="zh-CN"/>
                    </w:rPr>
                    <w:t>3层筛</w:t>
                  </w:r>
                  <w:r>
                    <w:rPr>
                      <w:rFonts w:hint="eastAsia" w:cs="Times New Roman"/>
                      <w:b w:val="0"/>
                      <w:bCs w:val="0"/>
                      <w:color w:val="auto"/>
                      <w:spacing w:val="0"/>
                      <w:w w:val="100"/>
                      <w:kern w:val="0"/>
                      <w:sz w:val="21"/>
                      <w:szCs w:val="21"/>
                      <w:highlight w:val="none"/>
                      <w:lang w:val="en-US" w:eastAsia="zh-CN" w:bidi="zh-CN"/>
                    </w:rPr>
                    <w:t>）</w:t>
                  </w:r>
                </w:p>
              </w:tc>
              <w:tc>
                <w:tcPr>
                  <w:tcW w:w="704" w:type="pct"/>
                  <w:tcBorders>
                    <w:tl2br w:val="nil"/>
                    <w:tr2bl w:val="nil"/>
                  </w:tcBorders>
                  <w:vAlign w:val="center"/>
                </w:tcPr>
                <w:p w14:paraId="262A57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Cs/>
                      <w:color w:val="auto"/>
                      <w:sz w:val="21"/>
                      <w:szCs w:val="21"/>
                      <w:lang w:val="en-US" w:eastAsia="zh-CN"/>
                    </w:rPr>
                  </w:pPr>
                  <w:r>
                    <w:rPr>
                      <w:rFonts w:hint="eastAsia"/>
                      <w:bCs/>
                      <w:color w:val="auto"/>
                      <w:sz w:val="21"/>
                      <w:szCs w:val="21"/>
                      <w:lang w:val="en-US" w:eastAsia="zh-CN"/>
                    </w:rPr>
                    <w:t>1</w:t>
                  </w:r>
                </w:p>
              </w:tc>
              <w:tc>
                <w:tcPr>
                  <w:tcW w:w="1212" w:type="pct"/>
                  <w:tcBorders>
                    <w:tl2br w:val="nil"/>
                    <w:tr2bl w:val="nil"/>
                  </w:tcBorders>
                  <w:vAlign w:val="center"/>
                </w:tcPr>
                <w:p w14:paraId="70CC7943">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90-100</w:t>
                  </w:r>
                </w:p>
              </w:tc>
              <w:tc>
                <w:tcPr>
                  <w:tcW w:w="559" w:type="pct"/>
                  <w:vMerge w:val="continue"/>
                  <w:tcBorders>
                    <w:tl2br w:val="nil"/>
                    <w:tr2bl w:val="nil"/>
                  </w:tcBorders>
                  <w:vAlign w:val="center"/>
                </w:tcPr>
                <w:p w14:paraId="7DF78569">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r w14:paraId="6FB60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79AA2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cs="Times New Roman"/>
                      <w:color w:val="auto"/>
                      <w:spacing w:val="0"/>
                      <w:w w:val="100"/>
                      <w:kern w:val="0"/>
                      <w:sz w:val="21"/>
                      <w:szCs w:val="21"/>
                      <w:highlight w:val="none"/>
                      <w:lang w:val="en-US" w:eastAsia="zh-CN" w:bidi="ar-SA"/>
                    </w:rPr>
                    <w:t>6</w:t>
                  </w:r>
                </w:p>
              </w:tc>
              <w:tc>
                <w:tcPr>
                  <w:tcW w:w="950" w:type="pct"/>
                  <w:tcBorders>
                    <w:tl2br w:val="nil"/>
                    <w:tr2bl w:val="nil"/>
                  </w:tcBorders>
                  <w:vAlign w:val="center"/>
                </w:tcPr>
                <w:p w14:paraId="2F68E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制砂机</w:t>
                  </w:r>
                </w:p>
              </w:tc>
              <w:tc>
                <w:tcPr>
                  <w:tcW w:w="1184" w:type="pct"/>
                  <w:tcBorders>
                    <w:tl2br w:val="nil"/>
                    <w:tr2bl w:val="nil"/>
                  </w:tcBorders>
                  <w:vAlign w:val="center"/>
                </w:tcPr>
                <w:p w14:paraId="4B9D338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XZP-5000</w:t>
                  </w:r>
                </w:p>
              </w:tc>
              <w:tc>
                <w:tcPr>
                  <w:tcW w:w="704" w:type="pct"/>
                  <w:tcBorders>
                    <w:tl2br w:val="nil"/>
                    <w:tr2bl w:val="nil"/>
                  </w:tcBorders>
                  <w:vAlign w:val="center"/>
                </w:tcPr>
                <w:p w14:paraId="2C9B2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bCs/>
                      <w:color w:val="auto"/>
                      <w:sz w:val="21"/>
                      <w:szCs w:val="21"/>
                      <w:lang w:val="en-US" w:eastAsia="zh-CN"/>
                    </w:rPr>
                  </w:pPr>
                  <w:r>
                    <w:rPr>
                      <w:rFonts w:hint="eastAsia"/>
                      <w:bCs/>
                      <w:color w:val="auto"/>
                      <w:sz w:val="21"/>
                      <w:szCs w:val="21"/>
                      <w:lang w:val="en-US" w:eastAsia="zh-CN"/>
                    </w:rPr>
                    <w:t>1</w:t>
                  </w:r>
                </w:p>
              </w:tc>
              <w:tc>
                <w:tcPr>
                  <w:tcW w:w="1212" w:type="pct"/>
                  <w:tcBorders>
                    <w:tl2br w:val="nil"/>
                    <w:tr2bl w:val="nil"/>
                  </w:tcBorders>
                  <w:vAlign w:val="center"/>
                </w:tcPr>
                <w:p w14:paraId="47FCFE66">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90-95</w:t>
                  </w:r>
                </w:p>
              </w:tc>
              <w:tc>
                <w:tcPr>
                  <w:tcW w:w="559" w:type="pct"/>
                  <w:vMerge w:val="continue"/>
                  <w:tcBorders>
                    <w:tl2br w:val="nil"/>
                    <w:tr2bl w:val="nil"/>
                  </w:tcBorders>
                  <w:vAlign w:val="center"/>
                </w:tcPr>
                <w:p w14:paraId="3AB1CBB3">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r w14:paraId="796A1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6915B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ar-SA"/>
                    </w:rPr>
                  </w:pPr>
                  <w:r>
                    <w:rPr>
                      <w:rFonts w:hint="eastAsia" w:cs="Times New Roman"/>
                      <w:color w:val="auto"/>
                      <w:spacing w:val="0"/>
                      <w:w w:val="100"/>
                      <w:kern w:val="0"/>
                      <w:sz w:val="21"/>
                      <w:szCs w:val="21"/>
                      <w:highlight w:val="none"/>
                      <w:lang w:val="en-US" w:eastAsia="zh-CN" w:bidi="ar-SA"/>
                    </w:rPr>
                    <w:t>7</w:t>
                  </w:r>
                </w:p>
              </w:tc>
              <w:tc>
                <w:tcPr>
                  <w:tcW w:w="950" w:type="pct"/>
                  <w:tcBorders>
                    <w:tl2br w:val="nil"/>
                    <w:tr2bl w:val="nil"/>
                  </w:tcBorders>
                  <w:vAlign w:val="center"/>
                </w:tcPr>
                <w:p w14:paraId="70157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bCs/>
                      <w:color w:val="auto"/>
                      <w:sz w:val="21"/>
                      <w:szCs w:val="21"/>
                      <w:lang w:val="en-US" w:eastAsia="zh-CN"/>
                    </w:rPr>
                    <w:t>皮带输送机</w:t>
                  </w:r>
                </w:p>
              </w:tc>
              <w:tc>
                <w:tcPr>
                  <w:tcW w:w="1184" w:type="pct"/>
                  <w:tcBorders>
                    <w:tl2br w:val="nil"/>
                    <w:tr2bl w:val="nil"/>
                  </w:tcBorders>
                  <w:vAlign w:val="center"/>
                </w:tcPr>
                <w:p w14:paraId="39FDE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spacing w:val="0"/>
                      <w:w w:val="100"/>
                      <w:kern w:val="0"/>
                      <w:sz w:val="21"/>
                      <w:szCs w:val="21"/>
                      <w:highlight w:val="none"/>
                      <w:lang w:val="en-US" w:eastAsia="zh-CN" w:bidi="zh-CN"/>
                    </w:rPr>
                  </w:pPr>
                  <w:r>
                    <w:rPr>
                      <w:rFonts w:hint="default"/>
                      <w:color w:val="auto"/>
                      <w:sz w:val="21"/>
                      <w:szCs w:val="21"/>
                      <w:highlight w:val="none"/>
                    </w:rPr>
                    <w:t>B</w:t>
                  </w:r>
                  <w:r>
                    <w:rPr>
                      <w:rFonts w:hint="eastAsia"/>
                      <w:color w:val="auto"/>
                      <w:sz w:val="21"/>
                      <w:szCs w:val="21"/>
                      <w:highlight w:val="none"/>
                      <w:lang w:val="en-US" w:eastAsia="zh-CN"/>
                    </w:rPr>
                    <w:t>800</w:t>
                  </w:r>
                </w:p>
              </w:tc>
              <w:tc>
                <w:tcPr>
                  <w:tcW w:w="704" w:type="pct"/>
                  <w:tcBorders>
                    <w:tl2br w:val="nil"/>
                    <w:tr2bl w:val="nil"/>
                  </w:tcBorders>
                  <w:vAlign w:val="center"/>
                </w:tcPr>
                <w:p w14:paraId="3A094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13</w:t>
                  </w:r>
                </w:p>
              </w:tc>
              <w:tc>
                <w:tcPr>
                  <w:tcW w:w="1212" w:type="pct"/>
                  <w:tcBorders>
                    <w:tl2br w:val="nil"/>
                    <w:tr2bl w:val="nil"/>
                  </w:tcBorders>
                  <w:vAlign w:val="center"/>
                </w:tcPr>
                <w:p w14:paraId="6B3B3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w w:val="100"/>
                      <w:kern w:val="0"/>
                      <w:sz w:val="21"/>
                      <w:szCs w:val="21"/>
                      <w:highlight w:val="none"/>
                      <w:lang w:val="en-US" w:eastAsia="zh-CN" w:bidi="zh-CN"/>
                    </w:rPr>
                  </w:pPr>
                  <w:r>
                    <w:rPr>
                      <w:rFonts w:hint="eastAsia" w:cs="Times New Roman"/>
                      <w:color w:val="auto"/>
                      <w:sz w:val="21"/>
                      <w:szCs w:val="21"/>
                      <w:lang w:val="en-US" w:eastAsia="zh-CN"/>
                    </w:rPr>
                    <w:t>1.25-2m/s</w:t>
                  </w:r>
                </w:p>
              </w:tc>
              <w:tc>
                <w:tcPr>
                  <w:tcW w:w="559" w:type="pct"/>
                  <w:vMerge w:val="continue"/>
                  <w:tcBorders>
                    <w:tl2br w:val="nil"/>
                    <w:tr2bl w:val="nil"/>
                  </w:tcBorders>
                  <w:vAlign w:val="center"/>
                </w:tcPr>
                <w:p w14:paraId="08929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r w14:paraId="3534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tcBorders>
                    <w:tl2br w:val="nil"/>
                    <w:tr2bl w:val="nil"/>
                  </w:tcBorders>
                  <w:vAlign w:val="center"/>
                </w:tcPr>
                <w:p w14:paraId="2D159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pacing w:val="0"/>
                      <w:w w:val="100"/>
                      <w:kern w:val="0"/>
                      <w:sz w:val="21"/>
                      <w:szCs w:val="21"/>
                      <w:highlight w:val="none"/>
                      <w:lang w:val="en-US" w:eastAsia="zh-CN" w:bidi="ar-SA"/>
                    </w:rPr>
                  </w:pPr>
                  <w:r>
                    <w:rPr>
                      <w:rFonts w:hint="eastAsia" w:cs="Times New Roman"/>
                      <w:color w:val="auto"/>
                      <w:spacing w:val="0"/>
                      <w:w w:val="100"/>
                      <w:kern w:val="0"/>
                      <w:sz w:val="21"/>
                      <w:szCs w:val="21"/>
                      <w:highlight w:val="none"/>
                      <w:lang w:val="en-US" w:eastAsia="zh-CN" w:bidi="ar-SA"/>
                    </w:rPr>
                    <w:t>8</w:t>
                  </w:r>
                </w:p>
              </w:tc>
              <w:tc>
                <w:tcPr>
                  <w:tcW w:w="950" w:type="pct"/>
                  <w:tcBorders>
                    <w:tl2br w:val="nil"/>
                    <w:tr2bl w:val="nil"/>
                  </w:tcBorders>
                  <w:vAlign w:val="center"/>
                </w:tcPr>
                <w:p w14:paraId="4A90E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bCs/>
                      <w:color w:val="auto"/>
                      <w:sz w:val="21"/>
                      <w:szCs w:val="21"/>
                      <w:lang w:val="en-US" w:eastAsia="zh-CN"/>
                    </w:rPr>
                  </w:pPr>
                  <w:r>
                    <w:rPr>
                      <w:rFonts w:hint="eastAsia"/>
                      <w:bCs/>
                      <w:color w:val="auto"/>
                      <w:sz w:val="21"/>
                      <w:szCs w:val="21"/>
                      <w:lang w:val="en-US" w:eastAsia="zh-CN"/>
                    </w:rPr>
                    <w:t>除铁器</w:t>
                  </w:r>
                </w:p>
              </w:tc>
              <w:tc>
                <w:tcPr>
                  <w:tcW w:w="1184" w:type="pct"/>
                  <w:tcBorders>
                    <w:tl2br w:val="nil"/>
                    <w:tr2bl w:val="nil"/>
                  </w:tcBorders>
                  <w:vAlign w:val="center"/>
                </w:tcPr>
                <w:p w14:paraId="58CE2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eastAsia="宋体"/>
                      <w:color w:val="auto"/>
                      <w:sz w:val="21"/>
                      <w:szCs w:val="21"/>
                      <w:highlight w:val="none"/>
                      <w:lang w:val="en-US" w:eastAsia="zh-CN"/>
                    </w:rPr>
                  </w:pPr>
                  <w:r>
                    <w:rPr>
                      <w:rFonts w:hint="eastAsia"/>
                      <w:color w:val="auto"/>
                      <w:sz w:val="21"/>
                      <w:szCs w:val="21"/>
                      <w:highlight w:val="none"/>
                      <w:lang w:val="en-US" w:eastAsia="zh-CN"/>
                    </w:rPr>
                    <w:t>RCYD-8</w:t>
                  </w:r>
                </w:p>
              </w:tc>
              <w:tc>
                <w:tcPr>
                  <w:tcW w:w="704" w:type="pct"/>
                  <w:tcBorders>
                    <w:tl2br w:val="nil"/>
                    <w:tr2bl w:val="nil"/>
                  </w:tcBorders>
                  <w:vAlign w:val="center"/>
                </w:tcPr>
                <w:p w14:paraId="15DD34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pacing w:val="0"/>
                      <w:w w:val="100"/>
                      <w:kern w:val="0"/>
                      <w:sz w:val="21"/>
                      <w:szCs w:val="21"/>
                      <w:highlight w:val="none"/>
                      <w:lang w:val="en-US" w:eastAsia="zh-CN" w:bidi="zh-CN"/>
                    </w:rPr>
                  </w:pPr>
                  <w:r>
                    <w:rPr>
                      <w:rFonts w:hint="eastAsia" w:cs="Times New Roman"/>
                      <w:color w:val="auto"/>
                      <w:spacing w:val="0"/>
                      <w:w w:val="100"/>
                      <w:kern w:val="0"/>
                      <w:sz w:val="21"/>
                      <w:szCs w:val="21"/>
                      <w:highlight w:val="none"/>
                      <w:lang w:val="en-US" w:eastAsia="zh-CN" w:bidi="zh-CN"/>
                    </w:rPr>
                    <w:t>1</w:t>
                  </w:r>
                </w:p>
              </w:tc>
              <w:tc>
                <w:tcPr>
                  <w:tcW w:w="1212" w:type="pct"/>
                  <w:tcBorders>
                    <w:tl2br w:val="nil"/>
                    <w:tr2bl w:val="nil"/>
                  </w:tcBorders>
                  <w:vAlign w:val="center"/>
                </w:tcPr>
                <w:p w14:paraId="1E1E35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w:t>
                  </w:r>
                </w:p>
              </w:tc>
              <w:tc>
                <w:tcPr>
                  <w:tcW w:w="559" w:type="pct"/>
                  <w:vMerge w:val="continue"/>
                  <w:tcBorders>
                    <w:tl2br w:val="nil"/>
                    <w:tr2bl w:val="nil"/>
                  </w:tcBorders>
                  <w:vAlign w:val="center"/>
                </w:tcPr>
                <w:p w14:paraId="076B09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color w:val="auto"/>
                      <w:sz w:val="21"/>
                      <w:szCs w:val="21"/>
                      <w:lang w:val="en-US" w:eastAsia="zh-CN"/>
                    </w:rPr>
                  </w:pPr>
                </w:p>
              </w:tc>
            </w:tr>
          </w:tbl>
          <w:p w14:paraId="6E5FED26">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eastAsia"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主要生产设备配置与设计生产能力匹配性分析：</w:t>
            </w:r>
          </w:p>
          <w:p w14:paraId="671CF4F5">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根据上述生产能力及设计工作制度，主要生产设备为颚式破碎机、细颚式破碎机、1#振动筛、2#振动筛和制砂机，颚式破碎机</w:t>
            </w:r>
            <w:r>
              <w:rPr>
                <w:rFonts w:hint="eastAsia" w:ascii="Times New Roman" w:hAnsi="Times New Roman" w:cs="Times New Roman"/>
                <w:color w:val="auto"/>
                <w:sz w:val="24"/>
                <w:szCs w:val="24"/>
                <w:lang w:val="en-US" w:eastAsia="zh-CN"/>
              </w:rPr>
              <w:t>年处理能力为</w:t>
            </w:r>
            <w:r>
              <w:rPr>
                <w:rFonts w:hint="eastAsia" w:cs="Times New Roman"/>
                <w:color w:val="auto"/>
                <w:sz w:val="24"/>
                <w:szCs w:val="24"/>
                <w:lang w:val="en-US" w:eastAsia="zh-CN"/>
              </w:rPr>
              <w:t>29.7~31.35</w:t>
            </w:r>
            <w:r>
              <w:rPr>
                <w:rFonts w:hint="eastAsia" w:cs="Times New Roman"/>
                <w:b w:val="0"/>
                <w:bCs/>
                <w:color w:val="auto"/>
                <w:spacing w:val="0"/>
                <w:sz w:val="24"/>
                <w:szCs w:val="24"/>
                <w:highlight w:val="none"/>
                <w:lang w:val="en-US" w:eastAsia="zh-CN"/>
              </w:rPr>
              <w:t>万t/a；2台细颚式破碎机</w:t>
            </w:r>
            <w:r>
              <w:rPr>
                <w:rFonts w:hint="eastAsia" w:ascii="Times New Roman" w:hAnsi="Times New Roman" w:cs="Times New Roman"/>
                <w:color w:val="auto"/>
                <w:sz w:val="24"/>
                <w:szCs w:val="24"/>
                <w:lang w:val="en-US" w:eastAsia="zh-CN"/>
              </w:rPr>
              <w:t>年处理能力为</w:t>
            </w:r>
            <w:r>
              <w:rPr>
                <w:rFonts w:hint="eastAsia" w:cs="Times New Roman"/>
                <w:color w:val="auto"/>
                <w:sz w:val="24"/>
                <w:szCs w:val="24"/>
                <w:lang w:val="en-US" w:eastAsia="zh-CN"/>
              </w:rPr>
              <w:t>29.7~33</w:t>
            </w:r>
            <w:r>
              <w:rPr>
                <w:rFonts w:hint="eastAsia" w:cs="Times New Roman"/>
                <w:b w:val="0"/>
                <w:bCs/>
                <w:color w:val="auto"/>
                <w:spacing w:val="0"/>
                <w:sz w:val="24"/>
                <w:szCs w:val="24"/>
                <w:highlight w:val="none"/>
                <w:lang w:val="en-US" w:eastAsia="zh-CN"/>
              </w:rPr>
              <w:t>万t/a；1#振动筛</w:t>
            </w:r>
            <w:r>
              <w:rPr>
                <w:rFonts w:hint="eastAsia" w:ascii="Times New Roman" w:hAnsi="Times New Roman" w:cs="Times New Roman"/>
                <w:color w:val="auto"/>
                <w:sz w:val="24"/>
                <w:szCs w:val="24"/>
                <w:lang w:val="en-US" w:eastAsia="zh-CN"/>
              </w:rPr>
              <w:t>年处理能力为</w:t>
            </w:r>
            <w:r>
              <w:rPr>
                <w:rFonts w:hint="eastAsia" w:cs="Times New Roman"/>
                <w:color w:val="auto"/>
                <w:sz w:val="24"/>
                <w:szCs w:val="24"/>
                <w:lang w:val="en-US" w:eastAsia="zh-CN"/>
              </w:rPr>
              <w:t>29.7~33</w:t>
            </w:r>
            <w:r>
              <w:rPr>
                <w:rFonts w:hint="eastAsia" w:cs="Times New Roman"/>
                <w:b w:val="0"/>
                <w:bCs/>
                <w:color w:val="auto"/>
                <w:spacing w:val="0"/>
                <w:sz w:val="24"/>
                <w:szCs w:val="24"/>
                <w:highlight w:val="none"/>
                <w:lang w:val="en-US" w:eastAsia="zh-CN"/>
              </w:rPr>
              <w:t>万t/a；2#振动筛</w:t>
            </w:r>
            <w:r>
              <w:rPr>
                <w:rFonts w:hint="eastAsia" w:ascii="Times New Roman" w:hAnsi="Times New Roman" w:cs="Times New Roman"/>
                <w:color w:val="auto"/>
                <w:sz w:val="24"/>
                <w:szCs w:val="24"/>
                <w:lang w:val="en-US" w:eastAsia="zh-CN"/>
              </w:rPr>
              <w:t>年处理能力为</w:t>
            </w:r>
            <w:r>
              <w:rPr>
                <w:rFonts w:hint="eastAsia" w:cs="Times New Roman"/>
                <w:color w:val="auto"/>
                <w:sz w:val="24"/>
                <w:szCs w:val="24"/>
                <w:lang w:val="en-US" w:eastAsia="zh-CN"/>
              </w:rPr>
              <w:t>29.7~33</w:t>
            </w:r>
            <w:r>
              <w:rPr>
                <w:rFonts w:hint="eastAsia" w:cs="Times New Roman"/>
                <w:b w:val="0"/>
                <w:bCs/>
                <w:color w:val="auto"/>
                <w:spacing w:val="0"/>
                <w:sz w:val="24"/>
                <w:szCs w:val="24"/>
                <w:highlight w:val="none"/>
                <w:lang w:val="en-US" w:eastAsia="zh-CN"/>
              </w:rPr>
              <w:t>万；制砂机</w:t>
            </w:r>
            <w:r>
              <w:rPr>
                <w:rFonts w:hint="eastAsia" w:ascii="Times New Roman" w:hAnsi="Times New Roman" w:cs="Times New Roman"/>
                <w:color w:val="auto"/>
                <w:sz w:val="24"/>
                <w:szCs w:val="24"/>
                <w:lang w:val="en-US" w:eastAsia="zh-CN"/>
              </w:rPr>
              <w:t>年处理能力为</w:t>
            </w:r>
            <w:r>
              <w:rPr>
                <w:rFonts w:hint="eastAsia" w:cs="Times New Roman"/>
                <w:color w:val="auto"/>
                <w:sz w:val="24"/>
                <w:szCs w:val="24"/>
                <w:lang w:val="en-US" w:eastAsia="zh-CN"/>
              </w:rPr>
              <w:t>29.7~31.35</w:t>
            </w:r>
            <w:r>
              <w:rPr>
                <w:rFonts w:hint="eastAsia" w:cs="Times New Roman"/>
                <w:b w:val="0"/>
                <w:bCs/>
                <w:color w:val="auto"/>
                <w:spacing w:val="0"/>
                <w:sz w:val="24"/>
                <w:szCs w:val="24"/>
                <w:highlight w:val="none"/>
                <w:lang w:val="en-US" w:eastAsia="zh-CN"/>
              </w:rPr>
              <w:t>万t/a，主要生产设备均满足本项目年处理30万吨煤矸石的设计产能。</w:t>
            </w:r>
          </w:p>
          <w:p w14:paraId="04B8CC5E">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2.4</w:t>
            </w:r>
            <w:r>
              <w:rPr>
                <w:rFonts w:hint="default" w:ascii="Times New Roman" w:hAnsi="Times New Roman" w:eastAsia="宋体" w:cs="Times New Roman"/>
                <w:b/>
                <w:bCs w:val="0"/>
                <w:color w:val="auto"/>
                <w:spacing w:val="0"/>
                <w:sz w:val="24"/>
                <w:szCs w:val="24"/>
                <w:highlight w:val="none"/>
                <w:lang w:val="en-US" w:eastAsia="zh-CN"/>
              </w:rPr>
              <w:t>原辅材料及能源消耗</w:t>
            </w:r>
          </w:p>
          <w:p w14:paraId="362AA889">
            <w:pPr>
              <w:keepNext w:val="0"/>
              <w:keepLines w:val="0"/>
              <w:suppressLineNumbers w:val="0"/>
              <w:adjustRightInd w:val="0"/>
              <w:snapToGrid w:val="0"/>
              <w:spacing w:before="0" w:beforeAutospacing="0" w:after="0" w:afterAutospacing="0" w:line="480" w:lineRule="exact"/>
              <w:ind w:left="0" w:right="0" w:firstLine="480" w:firstLineChars="200"/>
              <w:rPr>
                <w:rFonts w:hint="default" w:ascii="Times New Roman" w:hAnsi="Times New Roman" w:eastAsia="宋体"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本项目原料为煤矸石，</w:t>
            </w:r>
            <w:r>
              <w:rPr>
                <w:rFonts w:hint="eastAsia"/>
                <w:color w:val="auto"/>
                <w:sz w:val="24"/>
              </w:rPr>
              <w:t>外购于</w:t>
            </w:r>
            <w:r>
              <w:rPr>
                <w:rStyle w:val="33"/>
                <w:rFonts w:hint="eastAsia" w:ascii="Times New Roman" w:hAnsi="Times New Roman" w:eastAsia="宋体" w:cs="Times New Roman"/>
                <w:color w:val="auto"/>
                <w:sz w:val="24"/>
              </w:rPr>
              <w:t>屯留当地的煤矿以及洗煤厂</w:t>
            </w:r>
            <w:r>
              <w:rPr>
                <w:rStyle w:val="33"/>
                <w:rFonts w:hint="eastAsia" w:ascii="Times New Roman" w:hAnsi="Times New Roman" w:eastAsia="宋体" w:cs="Times New Roman"/>
                <w:color w:val="auto"/>
                <w:sz w:val="24"/>
                <w:lang w:eastAsia="zh-CN"/>
              </w:rPr>
              <w:t>（</w:t>
            </w:r>
            <w:r>
              <w:rPr>
                <w:rStyle w:val="33"/>
                <w:rFonts w:hint="eastAsia" w:ascii="Times New Roman" w:hAnsi="Times New Roman" w:eastAsia="宋体" w:cs="Times New Roman"/>
                <w:color w:val="auto"/>
                <w:sz w:val="24"/>
                <w:lang w:val="en-US" w:eastAsia="zh-CN"/>
              </w:rPr>
              <w:t>如常村煤矿、古城煤矿等</w:t>
            </w:r>
            <w:r>
              <w:rPr>
                <w:rStyle w:val="33"/>
                <w:rFonts w:hint="eastAsia" w:ascii="Times New Roman" w:hAnsi="Times New Roman" w:eastAsia="宋体" w:cs="Times New Roman"/>
                <w:color w:val="auto"/>
                <w:sz w:val="24"/>
                <w:lang w:eastAsia="zh-CN"/>
              </w:rPr>
              <w:t>），</w:t>
            </w:r>
            <w:r>
              <w:rPr>
                <w:rStyle w:val="33"/>
                <w:rFonts w:hint="eastAsia" w:ascii="Times New Roman" w:hAnsi="Times New Roman" w:eastAsia="宋体" w:cs="Times New Roman"/>
                <w:color w:val="auto"/>
                <w:sz w:val="24"/>
              </w:rPr>
              <w:t>原</w:t>
            </w:r>
            <w:r>
              <w:rPr>
                <w:rStyle w:val="33"/>
                <w:rFonts w:hint="eastAsia" w:ascii="Times New Roman" w:hAnsi="Times New Roman" w:eastAsia="宋体" w:cs="Times New Roman"/>
                <w:color w:val="auto"/>
                <w:sz w:val="24"/>
                <w:lang w:val="en-US" w:eastAsia="zh-CN"/>
              </w:rPr>
              <w:t>煤矸石</w:t>
            </w:r>
            <w:r>
              <w:rPr>
                <w:rStyle w:val="33"/>
                <w:rFonts w:hint="eastAsia" w:ascii="Times New Roman" w:hAnsi="Times New Roman" w:eastAsia="宋体" w:cs="Times New Roman"/>
                <w:color w:val="auto"/>
                <w:sz w:val="24"/>
              </w:rPr>
              <w:t>处置方式为填埋</w:t>
            </w:r>
            <w:r>
              <w:rPr>
                <w:rStyle w:val="33"/>
                <w:rFonts w:hint="default" w:ascii="Times New Roman" w:hAnsi="Times New Roman" w:eastAsia="宋体" w:cs="Times New Roman"/>
                <w:color w:val="auto"/>
                <w:sz w:val="24"/>
              </w:rPr>
              <w:t>。</w:t>
            </w:r>
            <w:r>
              <w:rPr>
                <w:rStyle w:val="33"/>
                <w:rFonts w:hint="eastAsia" w:ascii="Times New Roman" w:hAnsi="Times New Roman" w:eastAsia="宋体" w:cs="Times New Roman"/>
                <w:color w:val="auto"/>
                <w:sz w:val="24"/>
              </w:rPr>
              <w:t>经调查屯留区每年煤矸石储量约600万吨，可满足本项目生产需求。</w:t>
            </w:r>
            <w:r>
              <w:rPr>
                <w:rFonts w:hint="eastAsia" w:ascii="Times New Roman" w:hAnsi="Times New Roman" w:eastAsia="宋体" w:cs="Times New Roman"/>
                <w:b w:val="0"/>
                <w:bCs/>
                <w:color w:val="auto"/>
                <w:sz w:val="24"/>
                <w:szCs w:val="21"/>
                <w:highlight w:val="none"/>
                <w:lang w:val="en-US" w:eastAsia="zh-CN"/>
              </w:rPr>
              <w:t>煤矸石其</w:t>
            </w:r>
            <w:r>
              <w:rPr>
                <w:rFonts w:hint="eastAsia" w:ascii="Times New Roman" w:hAnsi="Times New Roman" w:eastAsia="宋体" w:cs="Times New Roman"/>
                <w:color w:val="auto"/>
                <w:sz w:val="24"/>
                <w:szCs w:val="24"/>
                <w:highlight w:val="none"/>
                <w:lang w:val="en-US" w:eastAsia="zh-CN"/>
              </w:rPr>
              <w:t>主要成分为</w:t>
            </w:r>
            <w:r>
              <w:rPr>
                <w:rFonts w:hint="default" w:ascii="Times New Roman" w:hAnsi="Times New Roman" w:eastAsia="宋体" w:cs="Times New Roman"/>
                <w:color w:val="auto"/>
                <w:sz w:val="24"/>
                <w:szCs w:val="24"/>
                <w:highlight w:val="none"/>
              </w:rPr>
              <w:t>SiO</w:t>
            </w:r>
            <w:r>
              <w:rPr>
                <w:rFonts w:hint="default" w:ascii="Times New Roman" w:hAnsi="Times New Roman" w:eastAsia="宋体" w:cs="Times New Roman"/>
                <w:color w:val="auto"/>
                <w:sz w:val="24"/>
                <w:szCs w:val="24"/>
                <w:highlight w:val="none"/>
                <w:vertAlign w:val="subscript"/>
              </w:rPr>
              <w:t>2</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AI</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K</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Fe</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default" w:ascii="Times New Roman" w:hAnsi="Times New Roman" w:eastAsia="宋体" w:cs="Times New Roman"/>
                <w:color w:val="auto"/>
                <w:sz w:val="24"/>
                <w:szCs w:val="24"/>
                <w:highlight w:val="none"/>
                <w:vertAlign w:val="subscript"/>
              </w:rPr>
              <w:t>3</w:t>
            </w:r>
            <w:r>
              <w:rPr>
                <w:rFonts w:hint="eastAsia" w:ascii="Times New Roman" w:hAnsi="Times New Roman" w:eastAsia="宋体" w:cs="Times New Roman"/>
                <w:color w:val="auto"/>
                <w:sz w:val="24"/>
                <w:szCs w:val="24"/>
                <w:highlight w:val="none"/>
                <w:vertAlign w:val="baseline"/>
                <w:lang w:eastAsia="zh-CN"/>
              </w:rPr>
              <w:t>、</w:t>
            </w:r>
            <w:r>
              <w:rPr>
                <w:rFonts w:hint="eastAsia" w:ascii="Times New Roman" w:hAnsi="Times New Roman" w:eastAsia="宋体" w:cs="Times New Roman"/>
                <w:color w:val="auto"/>
                <w:sz w:val="24"/>
                <w:szCs w:val="24"/>
                <w:highlight w:val="none"/>
                <w:lang w:val="en-US" w:eastAsia="zh-CN"/>
              </w:rPr>
              <w:t>TiO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vertAlign w:val="baseline"/>
                <w:lang w:eastAsia="zh-CN"/>
              </w:rPr>
              <w:t>、</w:t>
            </w:r>
            <w:r>
              <w:rPr>
                <w:rFonts w:hint="eastAsia" w:ascii="Times New Roman" w:hAnsi="Times New Roman" w:eastAsia="宋体" w:cs="Times New Roman"/>
                <w:color w:val="auto"/>
                <w:sz w:val="24"/>
                <w:szCs w:val="24"/>
                <w:highlight w:val="none"/>
                <w:lang w:val="en-US" w:eastAsia="zh-CN"/>
              </w:rPr>
              <w:t>MgO、</w:t>
            </w:r>
            <w:r>
              <w:rPr>
                <w:rFonts w:hint="default" w:ascii="Times New Roman" w:hAnsi="Times New Roman" w:eastAsia="宋体" w:cs="Times New Roman"/>
                <w:color w:val="auto"/>
                <w:sz w:val="24"/>
                <w:szCs w:val="24"/>
                <w:highlight w:val="none"/>
              </w:rPr>
              <w:t>CaO</w:t>
            </w:r>
            <w:r>
              <w:rPr>
                <w:rFonts w:hint="eastAsia" w:ascii="Times New Roman" w:hAnsi="Times New Roman" w:eastAsia="宋体" w:cs="Times New Roman"/>
                <w:color w:val="auto"/>
                <w:sz w:val="24"/>
                <w:szCs w:val="24"/>
                <w:highlight w:val="none"/>
                <w:vertAlign w:val="baseline"/>
                <w:lang w:eastAsia="zh-CN"/>
              </w:rPr>
              <w:t>、</w:t>
            </w:r>
            <w:r>
              <w:rPr>
                <w:rFonts w:hint="default" w:ascii="Times New Roman" w:hAnsi="Times New Roman" w:eastAsia="宋体" w:cs="Times New Roman"/>
                <w:color w:val="auto"/>
                <w:sz w:val="24"/>
                <w:szCs w:val="24"/>
                <w:highlight w:val="none"/>
              </w:rPr>
              <w:t>Na</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O</w:t>
            </w:r>
            <w:r>
              <w:rPr>
                <w:rFonts w:hint="eastAsia" w:ascii="Times New Roman" w:hAnsi="Times New Roman" w:eastAsia="宋体" w:cs="Times New Roman"/>
                <w:color w:val="auto"/>
                <w:sz w:val="24"/>
                <w:szCs w:val="24"/>
                <w:highlight w:val="none"/>
                <w:vertAlign w:val="baseline"/>
                <w:lang w:eastAsia="zh-CN"/>
              </w:rPr>
              <w:t>、</w:t>
            </w:r>
            <w:r>
              <w:rPr>
                <w:rFonts w:hint="eastAsia" w:ascii="Times New Roman" w:hAnsi="Times New Roman" w:eastAsia="宋体" w:cs="Times New Roman"/>
                <w:color w:val="auto"/>
                <w:sz w:val="24"/>
                <w:szCs w:val="24"/>
                <w:highlight w:val="none"/>
                <w:lang w:val="en-US" w:eastAsia="zh-CN"/>
              </w:rPr>
              <w:t>P</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O</w:t>
            </w:r>
            <w:r>
              <w:rPr>
                <w:rFonts w:hint="eastAsia" w:ascii="Times New Roman" w:hAnsi="Times New Roman" w:eastAsia="宋体" w:cs="Times New Roman"/>
                <w:color w:val="auto"/>
                <w:sz w:val="24"/>
                <w:szCs w:val="24"/>
                <w:highlight w:val="none"/>
                <w:vertAlign w:val="subscript"/>
                <w:lang w:val="en-US" w:eastAsia="zh-CN"/>
              </w:rPr>
              <w:t>5</w:t>
            </w:r>
            <w:r>
              <w:rPr>
                <w:rFonts w:hint="eastAsia" w:ascii="Times New Roman" w:hAnsi="Times New Roman" w:eastAsia="宋体" w:cs="Times New Roman"/>
                <w:color w:val="auto"/>
                <w:sz w:val="24"/>
                <w:szCs w:val="24"/>
                <w:highlight w:val="none"/>
                <w:vertAlign w:val="baseline"/>
                <w:lang w:val="en-US" w:eastAsia="zh-CN"/>
              </w:rPr>
              <w:t>等</w:t>
            </w:r>
            <w:r>
              <w:rPr>
                <w:rFonts w:hint="eastAsia" w:ascii="Times New Roman" w:hAnsi="Times New Roman" w:eastAsia="宋体" w:cs="Times New Roman"/>
                <w:b w:val="0"/>
                <w:bCs/>
                <w:color w:val="auto"/>
                <w:sz w:val="24"/>
                <w:szCs w:val="24"/>
                <w:highlight w:val="none"/>
                <w:lang w:val="en-US" w:eastAsia="zh-CN"/>
              </w:rPr>
              <w:t>。</w:t>
            </w:r>
            <w:r>
              <w:rPr>
                <w:rFonts w:hint="eastAsia" w:cs="Times New Roman"/>
                <w:b w:val="0"/>
                <w:bCs/>
                <w:color w:val="auto"/>
                <w:sz w:val="24"/>
                <w:szCs w:val="24"/>
                <w:highlight w:val="none"/>
                <w:lang w:val="en-US" w:eastAsia="zh-CN"/>
              </w:rPr>
              <w:t>本项目原料</w:t>
            </w:r>
            <w:r>
              <w:rPr>
                <w:rFonts w:hint="eastAsia"/>
                <w:color w:val="auto"/>
                <w:sz w:val="24"/>
              </w:rPr>
              <w:t>煤矸石由</w:t>
            </w:r>
            <w:r>
              <w:rPr>
                <w:rFonts w:hint="eastAsia"/>
                <w:color w:val="auto"/>
                <w:sz w:val="24"/>
                <w:lang w:val="en-US" w:eastAsia="zh-CN"/>
              </w:rPr>
              <w:t>厢式车</w:t>
            </w:r>
            <w:r>
              <w:rPr>
                <w:rFonts w:hint="eastAsia"/>
                <w:color w:val="auto"/>
                <w:sz w:val="24"/>
              </w:rPr>
              <w:t>运输运至厂区</w:t>
            </w:r>
            <w:r>
              <w:rPr>
                <w:rFonts w:hint="eastAsia"/>
                <w:color w:val="auto"/>
                <w:sz w:val="24"/>
                <w:lang w:val="en-US" w:eastAsia="zh-CN"/>
              </w:rPr>
              <w:t>原料堆放区</w:t>
            </w:r>
            <w:r>
              <w:rPr>
                <w:rFonts w:hint="eastAsia"/>
                <w:color w:val="auto"/>
                <w:sz w:val="24"/>
              </w:rPr>
              <w:t>，</w:t>
            </w:r>
            <w:r>
              <w:rPr>
                <w:rFonts w:hint="default" w:ascii="Times New Roman" w:hAnsi="Times New Roman" w:eastAsia="宋体" w:cs="Times New Roman"/>
                <w:bCs/>
                <w:color w:val="auto"/>
                <w:spacing w:val="0"/>
                <w:sz w:val="24"/>
                <w:szCs w:val="24"/>
                <w:highlight w:val="none"/>
                <w:lang w:val="en-US" w:eastAsia="zh-CN"/>
              </w:rPr>
              <w:t>原辅材料及</w:t>
            </w:r>
            <w:r>
              <w:rPr>
                <w:rFonts w:hint="eastAsia" w:ascii="Times New Roman" w:hAnsi="Times New Roman" w:eastAsia="宋体" w:cs="Times New Roman"/>
                <w:bCs/>
                <w:color w:val="auto"/>
                <w:spacing w:val="0"/>
                <w:sz w:val="24"/>
                <w:szCs w:val="24"/>
                <w:highlight w:val="none"/>
                <w:lang w:val="en-US" w:eastAsia="zh-CN"/>
              </w:rPr>
              <w:t>能源消耗</w:t>
            </w:r>
            <w:r>
              <w:rPr>
                <w:rFonts w:hint="default" w:ascii="Times New Roman" w:hAnsi="Times New Roman" w:eastAsia="宋体" w:cs="Times New Roman"/>
                <w:bCs/>
                <w:color w:val="auto"/>
                <w:spacing w:val="0"/>
                <w:sz w:val="24"/>
                <w:szCs w:val="24"/>
                <w:highlight w:val="none"/>
                <w:lang w:val="en-US" w:eastAsia="zh-CN"/>
              </w:rPr>
              <w:t>情况见2</w:t>
            </w:r>
            <w:r>
              <w:rPr>
                <w:rFonts w:hint="eastAsia" w:cs="Times New Roman"/>
                <w:bCs/>
                <w:color w:val="auto"/>
                <w:spacing w:val="0"/>
                <w:sz w:val="24"/>
                <w:szCs w:val="24"/>
                <w:highlight w:val="none"/>
                <w:lang w:val="en-US" w:eastAsia="zh-CN"/>
              </w:rPr>
              <w:t>.4-1</w:t>
            </w:r>
            <w:r>
              <w:rPr>
                <w:rFonts w:hint="default" w:ascii="Times New Roman" w:hAnsi="Times New Roman" w:eastAsia="宋体" w:cs="Times New Roman"/>
                <w:bCs/>
                <w:color w:val="auto"/>
                <w:spacing w:val="0"/>
                <w:sz w:val="24"/>
                <w:szCs w:val="24"/>
                <w:highlight w:val="none"/>
                <w:lang w:val="en-US" w:eastAsia="zh-CN"/>
              </w:rPr>
              <w:t>。</w:t>
            </w:r>
          </w:p>
          <w:p w14:paraId="1B68B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baseline"/>
              <w:rPr>
                <w:rFonts w:hint="default" w:ascii="Times New Roman" w:hAnsi="Times New Roman" w:eastAsia="宋体" w:cs="Times New Roman"/>
                <w:b/>
                <w:bCs/>
                <w:color w:val="auto"/>
                <w:spacing w:val="0"/>
                <w:sz w:val="24"/>
                <w:highlight w:val="none"/>
                <w:lang w:val="en-US" w:eastAsia="zh-CN"/>
              </w:rPr>
            </w:pPr>
            <w:r>
              <w:rPr>
                <w:rFonts w:hint="default" w:ascii="Times New Roman" w:hAnsi="Times New Roman" w:eastAsia="宋体" w:cs="Times New Roman"/>
                <w:b/>
                <w:bCs/>
                <w:iCs/>
                <w:snapToGrid w:val="0"/>
                <w:color w:val="auto"/>
                <w:spacing w:val="0"/>
                <w:kern w:val="0"/>
                <w:sz w:val="21"/>
                <w:szCs w:val="20"/>
                <w:highlight w:val="none"/>
                <w:lang w:val="en-US" w:eastAsia="zh-CN" w:bidi="ar-SA"/>
              </w:rPr>
              <w:t>表2</w:t>
            </w:r>
            <w:r>
              <w:rPr>
                <w:rFonts w:hint="eastAsia" w:cs="Times New Roman"/>
                <w:b/>
                <w:bCs/>
                <w:iCs/>
                <w:snapToGrid w:val="0"/>
                <w:color w:val="auto"/>
                <w:spacing w:val="0"/>
                <w:kern w:val="0"/>
                <w:sz w:val="21"/>
                <w:szCs w:val="20"/>
                <w:highlight w:val="none"/>
                <w:lang w:val="en-US" w:eastAsia="zh-CN" w:bidi="ar-SA"/>
              </w:rPr>
              <w:t>.4-1</w:t>
            </w:r>
            <w:r>
              <w:rPr>
                <w:rFonts w:hint="default" w:ascii="Times New Roman" w:hAnsi="Times New Roman" w:eastAsia="宋体" w:cs="Times New Roman"/>
                <w:b/>
                <w:bCs/>
                <w:iCs/>
                <w:snapToGrid w:val="0"/>
                <w:color w:val="auto"/>
                <w:spacing w:val="0"/>
                <w:kern w:val="0"/>
                <w:sz w:val="21"/>
                <w:szCs w:val="20"/>
                <w:highlight w:val="none"/>
                <w:lang w:val="en-US" w:eastAsia="zh-CN" w:bidi="ar-SA"/>
              </w:rPr>
              <w:t xml:space="preserve">  原辅料及能源消耗一览表</w:t>
            </w: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261"/>
              <w:gridCol w:w="1088"/>
              <w:gridCol w:w="1360"/>
              <w:gridCol w:w="1397"/>
              <w:gridCol w:w="2786"/>
            </w:tblGrid>
            <w:tr w14:paraId="3F8A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3" w:type="pct"/>
                  <w:tcBorders>
                    <w:tl2br w:val="nil"/>
                    <w:tr2bl w:val="nil"/>
                  </w:tcBorders>
                  <w:vAlign w:val="center"/>
                </w:tcPr>
                <w:p w14:paraId="78CC1F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eastAsia="宋体" w:cs="Times New Roman"/>
                      <w:b/>
                      <w:bCs/>
                      <w:color w:val="auto"/>
                      <w:spacing w:val="0"/>
                      <w:sz w:val="21"/>
                      <w:szCs w:val="21"/>
                      <w:highlight w:val="none"/>
                      <w:vertAlign w:val="baseline"/>
                      <w:lang w:val="en-US" w:eastAsia="zh-CN"/>
                    </w:rPr>
                    <w:t>序号</w:t>
                  </w:r>
                </w:p>
              </w:tc>
              <w:tc>
                <w:tcPr>
                  <w:tcW w:w="736" w:type="pct"/>
                  <w:tcBorders>
                    <w:tl2br w:val="nil"/>
                    <w:tr2bl w:val="nil"/>
                  </w:tcBorders>
                  <w:vAlign w:val="center"/>
                </w:tcPr>
                <w:p w14:paraId="4A3FBFA3">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cs="Times New Roman"/>
                      <w:b/>
                      <w:bCs/>
                      <w:color w:val="auto"/>
                      <w:szCs w:val="21"/>
                    </w:rPr>
                    <w:t>原材料</w:t>
                  </w:r>
                </w:p>
              </w:tc>
              <w:tc>
                <w:tcPr>
                  <w:tcW w:w="634" w:type="pct"/>
                  <w:tcBorders>
                    <w:tl2br w:val="nil"/>
                    <w:tr2bl w:val="nil"/>
                  </w:tcBorders>
                  <w:vAlign w:val="center"/>
                </w:tcPr>
                <w:p w14:paraId="737E03A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cs="Times New Roman"/>
                      <w:b/>
                      <w:bCs/>
                      <w:color w:val="auto"/>
                      <w:szCs w:val="21"/>
                    </w:rPr>
                    <w:t>单位</w:t>
                  </w:r>
                </w:p>
              </w:tc>
              <w:tc>
                <w:tcPr>
                  <w:tcW w:w="793" w:type="pct"/>
                  <w:tcBorders>
                    <w:tl2br w:val="nil"/>
                    <w:tr2bl w:val="nil"/>
                  </w:tcBorders>
                  <w:vAlign w:val="center"/>
                </w:tcPr>
                <w:p w14:paraId="57091616">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cs="Times New Roman"/>
                      <w:b/>
                      <w:bCs/>
                      <w:color w:val="auto"/>
                      <w:szCs w:val="21"/>
                    </w:rPr>
                    <w:t>消耗量</w:t>
                  </w:r>
                </w:p>
              </w:tc>
              <w:tc>
                <w:tcPr>
                  <w:tcW w:w="815" w:type="pct"/>
                  <w:tcBorders>
                    <w:tl2br w:val="nil"/>
                    <w:tr2bl w:val="nil"/>
                  </w:tcBorders>
                  <w:vAlign w:val="center"/>
                </w:tcPr>
                <w:p w14:paraId="4613BDD4">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Cs w:val="21"/>
                      <w:lang w:val="en-US" w:eastAsia="zh-CN"/>
                    </w:rPr>
                  </w:pPr>
                  <w:r>
                    <w:rPr>
                      <w:rFonts w:hint="eastAsia" w:cs="Times New Roman"/>
                      <w:b/>
                      <w:bCs/>
                      <w:color w:val="auto"/>
                      <w:szCs w:val="21"/>
                      <w:lang w:val="en-US" w:eastAsia="zh-CN"/>
                    </w:rPr>
                    <w:t>粒径</w:t>
                  </w:r>
                </w:p>
              </w:tc>
              <w:tc>
                <w:tcPr>
                  <w:tcW w:w="1626" w:type="pct"/>
                  <w:tcBorders>
                    <w:tl2br w:val="nil"/>
                    <w:tr2bl w:val="nil"/>
                  </w:tcBorders>
                  <w:vAlign w:val="center"/>
                </w:tcPr>
                <w:p w14:paraId="5C1577D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vertAlign w:val="baseline"/>
                      <w:lang w:val="en-US" w:eastAsia="zh-CN"/>
                    </w:rPr>
                  </w:pPr>
                  <w:r>
                    <w:rPr>
                      <w:rFonts w:hint="default" w:ascii="Times New Roman" w:hAnsi="Times New Roman" w:cs="Times New Roman"/>
                      <w:b/>
                      <w:bCs/>
                      <w:color w:val="auto"/>
                      <w:szCs w:val="21"/>
                    </w:rPr>
                    <w:t>备注</w:t>
                  </w:r>
                </w:p>
              </w:tc>
            </w:tr>
            <w:tr w14:paraId="3E02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3" w:type="pct"/>
                  <w:tcBorders>
                    <w:tl2br w:val="nil"/>
                    <w:tr2bl w:val="nil"/>
                  </w:tcBorders>
                  <w:vAlign w:val="center"/>
                </w:tcPr>
                <w:p w14:paraId="087F4E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default" w:ascii="Times New Roman" w:hAnsi="Times New Roman" w:eastAsia="宋体" w:cs="Times New Roman"/>
                      <w:color w:val="auto"/>
                      <w:spacing w:val="0"/>
                      <w:sz w:val="21"/>
                      <w:szCs w:val="21"/>
                      <w:highlight w:val="none"/>
                      <w:vertAlign w:val="baseline"/>
                      <w:lang w:val="en-US" w:eastAsia="zh-CN"/>
                    </w:rPr>
                    <w:t>1</w:t>
                  </w:r>
                </w:p>
              </w:tc>
              <w:tc>
                <w:tcPr>
                  <w:tcW w:w="736" w:type="pct"/>
                  <w:tcBorders>
                    <w:tl2br w:val="nil"/>
                    <w:tr2bl w:val="nil"/>
                  </w:tcBorders>
                  <w:vAlign w:val="center"/>
                </w:tcPr>
                <w:p w14:paraId="5B79E44F">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olor w:val="auto"/>
                      <w:lang w:val="en-US" w:eastAsia="zh-CN"/>
                    </w:rPr>
                    <w:t>煤矸石</w:t>
                  </w:r>
                </w:p>
              </w:tc>
              <w:tc>
                <w:tcPr>
                  <w:tcW w:w="634" w:type="pct"/>
                  <w:tcBorders>
                    <w:tl2br w:val="nil"/>
                    <w:tr2bl w:val="nil"/>
                  </w:tcBorders>
                  <w:vAlign w:val="center"/>
                </w:tcPr>
                <w:p w14:paraId="2633C11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kern w:val="0"/>
                      <w:szCs w:val="21"/>
                      <w:lang w:val="en-US" w:eastAsia="zh-CN" w:bidi="ar"/>
                    </w:rPr>
                    <w:t>万</w:t>
                  </w:r>
                  <w:r>
                    <w:rPr>
                      <w:rFonts w:hint="default"/>
                      <w:bCs/>
                      <w:color w:val="auto"/>
                      <w:szCs w:val="21"/>
                    </w:rPr>
                    <w:t>t/a</w:t>
                  </w:r>
                </w:p>
              </w:tc>
              <w:tc>
                <w:tcPr>
                  <w:tcW w:w="793" w:type="pct"/>
                  <w:tcBorders>
                    <w:tl2br w:val="nil"/>
                    <w:tr2bl w:val="nil"/>
                  </w:tcBorders>
                  <w:vAlign w:val="center"/>
                </w:tcPr>
                <w:p w14:paraId="51A2824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s="Times New Roman"/>
                      <w:color w:val="auto"/>
                      <w:spacing w:val="0"/>
                      <w:kern w:val="2"/>
                      <w:sz w:val="21"/>
                      <w:szCs w:val="21"/>
                      <w:highlight w:val="none"/>
                      <w:lang w:val="en-US" w:eastAsia="zh-CN" w:bidi="ar-SA"/>
                    </w:rPr>
                  </w:pPr>
                  <w:r>
                    <w:rPr>
                      <w:rFonts w:hint="eastAsia" w:cs="Times New Roman"/>
                      <w:color w:val="auto"/>
                      <w:kern w:val="0"/>
                      <w:szCs w:val="21"/>
                      <w:highlight w:val="none"/>
                      <w:lang w:val="en-US" w:eastAsia="zh-CN" w:bidi="ar"/>
                    </w:rPr>
                    <w:t>30</w:t>
                  </w:r>
                </w:p>
              </w:tc>
              <w:tc>
                <w:tcPr>
                  <w:tcW w:w="815" w:type="pct"/>
                  <w:tcBorders>
                    <w:tl2br w:val="nil"/>
                    <w:tr2bl w:val="nil"/>
                  </w:tcBorders>
                  <w:vAlign w:val="center"/>
                </w:tcPr>
                <w:p w14:paraId="0900F821">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s="Times New Roman"/>
                      <w:color w:val="auto"/>
                      <w:kern w:val="0"/>
                      <w:szCs w:val="21"/>
                      <w:highlight w:val="none"/>
                      <w:lang w:val="en-US" w:eastAsia="zh-CN" w:bidi="ar"/>
                    </w:rPr>
                  </w:pPr>
                  <w:r>
                    <w:rPr>
                      <w:rFonts w:hint="eastAsia" w:cs="Times New Roman"/>
                      <w:color w:val="auto"/>
                      <w:kern w:val="0"/>
                      <w:szCs w:val="21"/>
                      <w:highlight w:val="none"/>
                      <w:lang w:val="en-US" w:eastAsia="zh-CN" w:bidi="ar"/>
                    </w:rPr>
                    <w:t>＜300mm</w:t>
                  </w:r>
                </w:p>
              </w:tc>
              <w:tc>
                <w:tcPr>
                  <w:tcW w:w="1626" w:type="pct"/>
                  <w:tcBorders>
                    <w:tl2br w:val="nil"/>
                    <w:tr2bl w:val="nil"/>
                  </w:tcBorders>
                  <w:vAlign w:val="center"/>
                </w:tcPr>
                <w:p w14:paraId="109D03EB">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kern w:val="0"/>
                      <w:szCs w:val="21"/>
                      <w:highlight w:val="none"/>
                      <w:lang w:val="en-US" w:eastAsia="zh-CN" w:bidi="ar"/>
                    </w:rPr>
                    <w:t>全封闭厢式车密闭运输</w:t>
                  </w:r>
                </w:p>
              </w:tc>
            </w:tr>
            <w:tr w14:paraId="192C7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3" w:type="pct"/>
                  <w:tcBorders>
                    <w:tl2br w:val="nil"/>
                    <w:tr2bl w:val="nil"/>
                  </w:tcBorders>
                  <w:vAlign w:val="center"/>
                </w:tcPr>
                <w:p w14:paraId="348BD5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2</w:t>
                  </w:r>
                </w:p>
              </w:tc>
              <w:tc>
                <w:tcPr>
                  <w:tcW w:w="736" w:type="pct"/>
                  <w:tcBorders>
                    <w:tl2br w:val="nil"/>
                    <w:tr2bl w:val="nil"/>
                  </w:tcBorders>
                  <w:vAlign w:val="center"/>
                </w:tcPr>
                <w:p w14:paraId="7535673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color w:val="auto"/>
                      <w:spacing w:val="6"/>
                      <w:szCs w:val="21"/>
                      <w:highlight w:val="none"/>
                    </w:rPr>
                    <w:t>水</w:t>
                  </w:r>
                </w:p>
              </w:tc>
              <w:tc>
                <w:tcPr>
                  <w:tcW w:w="634" w:type="pct"/>
                  <w:tcBorders>
                    <w:tl2br w:val="nil"/>
                    <w:tr2bl w:val="nil"/>
                  </w:tcBorders>
                  <w:vAlign w:val="center"/>
                </w:tcPr>
                <w:p w14:paraId="0D2E949C">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eastAsia" w:cs="Times New Roman"/>
                      <w:color w:val="auto"/>
                      <w:spacing w:val="0"/>
                      <w:kern w:val="2"/>
                      <w:sz w:val="21"/>
                      <w:szCs w:val="21"/>
                      <w:highlight w:val="none"/>
                      <w:lang w:val="en-US" w:eastAsia="zh-CN" w:bidi="ar-SA"/>
                    </w:rPr>
                  </w:pPr>
                  <w:r>
                    <w:rPr>
                      <w:rFonts w:hint="default"/>
                      <w:color w:val="auto"/>
                      <w:spacing w:val="6"/>
                      <w:szCs w:val="21"/>
                      <w:highlight w:val="none"/>
                    </w:rPr>
                    <w:t>m</w:t>
                  </w:r>
                  <w:r>
                    <w:rPr>
                      <w:rFonts w:hint="default"/>
                      <w:color w:val="auto"/>
                      <w:spacing w:val="6"/>
                      <w:szCs w:val="21"/>
                      <w:highlight w:val="none"/>
                      <w:vertAlign w:val="superscript"/>
                    </w:rPr>
                    <w:t>3</w:t>
                  </w:r>
                  <w:r>
                    <w:rPr>
                      <w:rFonts w:hint="default"/>
                      <w:color w:val="auto"/>
                      <w:spacing w:val="6"/>
                      <w:szCs w:val="21"/>
                      <w:highlight w:val="none"/>
                    </w:rPr>
                    <w:t>/a</w:t>
                  </w:r>
                </w:p>
              </w:tc>
              <w:tc>
                <w:tcPr>
                  <w:tcW w:w="793" w:type="pct"/>
                  <w:tcBorders>
                    <w:tl2br w:val="nil"/>
                    <w:tr2bl w:val="nil"/>
                  </w:tcBorders>
                  <w:vAlign w:val="center"/>
                </w:tcPr>
                <w:p w14:paraId="7B2D76DA">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2339.7</w:t>
                  </w:r>
                </w:p>
              </w:tc>
              <w:tc>
                <w:tcPr>
                  <w:tcW w:w="815" w:type="pct"/>
                  <w:tcBorders>
                    <w:tl2br w:val="nil"/>
                    <w:tr2bl w:val="nil"/>
                  </w:tcBorders>
                  <w:vAlign w:val="center"/>
                </w:tcPr>
                <w:p w14:paraId="169B9922">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w:t>
                  </w:r>
                </w:p>
              </w:tc>
              <w:tc>
                <w:tcPr>
                  <w:tcW w:w="1626" w:type="pct"/>
                  <w:tcBorders>
                    <w:tl2br w:val="nil"/>
                    <w:tr2bl w:val="nil"/>
                  </w:tcBorders>
                  <w:vAlign w:val="center"/>
                </w:tcPr>
                <w:p w14:paraId="5B8FE044">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color w:val="auto"/>
                      <w:szCs w:val="21"/>
                      <w:lang w:val="en-US" w:eastAsia="zh-CN"/>
                    </w:rPr>
                    <w:t>依托现有自来水管网</w:t>
                  </w:r>
                </w:p>
              </w:tc>
            </w:tr>
            <w:tr w14:paraId="2AC25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3" w:type="pct"/>
                  <w:tcBorders>
                    <w:tl2br w:val="nil"/>
                    <w:tr2bl w:val="nil"/>
                  </w:tcBorders>
                  <w:vAlign w:val="center"/>
                </w:tcPr>
                <w:p w14:paraId="6A3499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spacing w:val="0"/>
                      <w:sz w:val="21"/>
                      <w:szCs w:val="21"/>
                      <w:highlight w:val="none"/>
                      <w:vertAlign w:val="baseline"/>
                      <w:lang w:val="en-US" w:eastAsia="zh-CN"/>
                    </w:rPr>
                  </w:pPr>
                  <w:r>
                    <w:rPr>
                      <w:rFonts w:hint="eastAsia" w:cs="Times New Roman"/>
                      <w:color w:val="auto"/>
                      <w:spacing w:val="0"/>
                      <w:sz w:val="21"/>
                      <w:szCs w:val="21"/>
                      <w:highlight w:val="none"/>
                      <w:vertAlign w:val="baseline"/>
                      <w:lang w:val="en-US" w:eastAsia="zh-CN"/>
                    </w:rPr>
                    <w:t>3</w:t>
                  </w:r>
                </w:p>
              </w:tc>
              <w:tc>
                <w:tcPr>
                  <w:tcW w:w="736" w:type="pct"/>
                  <w:tcBorders>
                    <w:tl2br w:val="nil"/>
                    <w:tr2bl w:val="nil"/>
                  </w:tcBorders>
                  <w:vAlign w:val="center"/>
                </w:tcPr>
                <w:p w14:paraId="66651BAB">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vertAlign w:val="baseline"/>
                      <w:lang w:val="en-US" w:eastAsia="zh-CN"/>
                    </w:rPr>
                  </w:pPr>
                  <w:r>
                    <w:rPr>
                      <w:rFonts w:hint="default"/>
                      <w:color w:val="auto"/>
                      <w:spacing w:val="6"/>
                      <w:szCs w:val="21"/>
                      <w:highlight w:val="none"/>
                    </w:rPr>
                    <w:t>电</w:t>
                  </w:r>
                </w:p>
              </w:tc>
              <w:tc>
                <w:tcPr>
                  <w:tcW w:w="634" w:type="pct"/>
                  <w:tcBorders>
                    <w:tl2br w:val="nil"/>
                    <w:tr2bl w:val="nil"/>
                  </w:tcBorders>
                  <w:vAlign w:val="center"/>
                </w:tcPr>
                <w:p w14:paraId="35642E95">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eastAsia" w:cs="Times New Roman"/>
                      <w:color w:val="auto"/>
                      <w:spacing w:val="0"/>
                      <w:kern w:val="2"/>
                      <w:sz w:val="21"/>
                      <w:szCs w:val="21"/>
                      <w:highlight w:val="none"/>
                      <w:lang w:val="en-US" w:eastAsia="zh-CN" w:bidi="ar-SA"/>
                    </w:rPr>
                  </w:pPr>
                  <w:r>
                    <w:rPr>
                      <w:rFonts w:hint="default"/>
                      <w:color w:val="auto"/>
                      <w:spacing w:val="6"/>
                      <w:szCs w:val="21"/>
                      <w:highlight w:val="none"/>
                    </w:rPr>
                    <w:t>万kWh/a</w:t>
                  </w:r>
                </w:p>
              </w:tc>
              <w:tc>
                <w:tcPr>
                  <w:tcW w:w="793" w:type="pct"/>
                  <w:tcBorders>
                    <w:tl2br w:val="nil"/>
                    <w:tr2bl w:val="nil"/>
                  </w:tcBorders>
                  <w:vAlign w:val="center"/>
                </w:tcPr>
                <w:p w14:paraId="0504EEE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180</w:t>
                  </w:r>
                </w:p>
              </w:tc>
              <w:tc>
                <w:tcPr>
                  <w:tcW w:w="815" w:type="pct"/>
                  <w:tcBorders>
                    <w:tl2br w:val="nil"/>
                    <w:tr2bl w:val="nil"/>
                  </w:tcBorders>
                  <w:vAlign w:val="center"/>
                </w:tcPr>
                <w:p w14:paraId="194BE690">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color w:val="auto"/>
                      <w:spacing w:val="6"/>
                      <w:szCs w:val="21"/>
                      <w:highlight w:val="none"/>
                      <w:lang w:val="en-US" w:eastAsia="zh-CN"/>
                    </w:rPr>
                  </w:pPr>
                  <w:r>
                    <w:rPr>
                      <w:rFonts w:hint="eastAsia"/>
                      <w:color w:val="auto"/>
                      <w:spacing w:val="6"/>
                      <w:szCs w:val="21"/>
                      <w:highlight w:val="none"/>
                      <w:lang w:val="en-US" w:eastAsia="zh-CN"/>
                    </w:rPr>
                    <w:t>/</w:t>
                  </w:r>
                </w:p>
              </w:tc>
              <w:tc>
                <w:tcPr>
                  <w:tcW w:w="1626" w:type="pct"/>
                  <w:tcBorders>
                    <w:tl2br w:val="nil"/>
                    <w:tr2bl w:val="nil"/>
                  </w:tcBorders>
                  <w:vAlign w:val="center"/>
                </w:tcPr>
                <w:p w14:paraId="018875E6">
                  <w:pPr>
                    <w:keepNext w:val="0"/>
                    <w:keepLines w:val="0"/>
                    <w:pageBreakBefore w:val="0"/>
                    <w:suppressLineNumbers w:val="0"/>
                    <w:kinsoku/>
                    <w:wordWrap/>
                    <w:overflowPunct/>
                    <w:topLinePunct w:val="0"/>
                    <w:autoSpaceDE/>
                    <w:autoSpaceDN/>
                    <w:bidi w:val="0"/>
                    <w:adjustRightInd/>
                    <w:spacing w:before="0" w:beforeAutospacing="0" w:after="0" w:afterAutospacing="0" w:line="240" w:lineRule="auto"/>
                    <w:ind w:left="0" w:right="0"/>
                    <w:jc w:val="center"/>
                    <w:rPr>
                      <w:rFonts w:hint="default" w:ascii="Times New Roman" w:hAnsi="Times New Roman" w:eastAsia="宋体" w:cs="Times New Roman"/>
                      <w:color w:val="auto"/>
                      <w:spacing w:val="0"/>
                      <w:sz w:val="21"/>
                      <w:szCs w:val="21"/>
                      <w:highlight w:val="none"/>
                      <w:lang w:val="en-US" w:eastAsia="zh-CN"/>
                    </w:rPr>
                  </w:pPr>
                  <w:r>
                    <w:rPr>
                      <w:rFonts w:hint="eastAsia"/>
                      <w:color w:val="auto"/>
                      <w:szCs w:val="21"/>
                      <w:lang w:val="en-US" w:eastAsia="zh-CN"/>
                    </w:rPr>
                    <w:t>新建1座1000KVA变压器</w:t>
                  </w:r>
                </w:p>
              </w:tc>
            </w:tr>
          </w:tbl>
          <w:p w14:paraId="7441E339">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cs="Times New Roman"/>
                <w:b/>
                <w:bCs/>
                <w:color w:val="auto"/>
                <w:spacing w:val="0"/>
                <w:kern w:val="2"/>
                <w:sz w:val="24"/>
                <w:szCs w:val="24"/>
                <w:highlight w:val="none"/>
                <w:lang w:val="en-US" w:eastAsia="zh-CN" w:bidi="ar-SA"/>
              </w:rPr>
            </w:pPr>
            <w:r>
              <w:rPr>
                <w:rFonts w:hint="eastAsia" w:cs="Times New Roman"/>
                <w:b/>
                <w:bCs/>
                <w:color w:val="auto"/>
                <w:spacing w:val="0"/>
                <w:kern w:val="2"/>
                <w:sz w:val="24"/>
                <w:szCs w:val="24"/>
                <w:highlight w:val="none"/>
                <w:lang w:val="en-US" w:eastAsia="zh-CN" w:bidi="ar-SA"/>
              </w:rPr>
              <w:t>2.5物料平衡</w:t>
            </w:r>
          </w:p>
          <w:p w14:paraId="4F62F1C2">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本项目物料平衡见表2</w:t>
            </w:r>
            <w:r>
              <w:rPr>
                <w:rFonts w:hint="eastAsia" w:cs="Times New Roman"/>
                <w:color w:val="auto"/>
                <w:spacing w:val="0"/>
                <w:sz w:val="24"/>
                <w:highlight w:val="none"/>
                <w:lang w:val="en-US" w:eastAsia="zh-CN"/>
              </w:rPr>
              <w:t>.5-1</w:t>
            </w:r>
            <w:r>
              <w:rPr>
                <w:rFonts w:hint="eastAsia" w:ascii="Times New Roman" w:hAnsi="Times New Roman" w:eastAsia="宋体" w:cs="Times New Roman"/>
                <w:color w:val="auto"/>
                <w:spacing w:val="0"/>
                <w:sz w:val="24"/>
                <w:highlight w:val="none"/>
                <w:lang w:val="en-US" w:eastAsia="zh-CN"/>
              </w:rPr>
              <w:t>。</w:t>
            </w:r>
          </w:p>
          <w:tbl>
            <w:tblPr>
              <w:tblStyle w:val="27"/>
              <w:tblpPr w:leftFromText="180" w:rightFromText="180" w:vertAnchor="text" w:horzAnchor="page" w:tblpX="104" w:tblpY="480"/>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1884"/>
              <w:gridCol w:w="3067"/>
              <w:gridCol w:w="2207"/>
            </w:tblGrid>
            <w:tr w14:paraId="7ABF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1924" w:type="pct"/>
                  <w:gridSpan w:val="2"/>
                  <w:tcBorders>
                    <w:tl2br w:val="nil"/>
                    <w:tr2bl w:val="nil"/>
                  </w:tcBorders>
                  <w:vAlign w:val="center"/>
                </w:tcPr>
                <w:p w14:paraId="33DE8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kern w:val="0"/>
                      <w:szCs w:val="21"/>
                      <w:highlight w:val="none"/>
                      <w:lang w:eastAsia="zh-CN"/>
                    </w:rPr>
                  </w:pPr>
                  <w:r>
                    <w:rPr>
                      <w:rFonts w:hint="eastAsia" w:cs="Times New Roman"/>
                      <w:b/>
                      <w:bCs/>
                      <w:color w:val="auto"/>
                      <w:kern w:val="0"/>
                      <w:szCs w:val="21"/>
                      <w:highlight w:val="none"/>
                      <w:lang w:val="en-US" w:eastAsia="zh-CN"/>
                    </w:rPr>
                    <w:t>进料（t/a）</w:t>
                  </w:r>
                </w:p>
              </w:tc>
              <w:tc>
                <w:tcPr>
                  <w:tcW w:w="3075" w:type="pct"/>
                  <w:gridSpan w:val="2"/>
                  <w:tcBorders>
                    <w:tl2br w:val="nil"/>
                    <w:tr2bl w:val="nil"/>
                  </w:tcBorders>
                  <w:vAlign w:val="center"/>
                </w:tcPr>
                <w:p w14:paraId="7789F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Cs w:val="21"/>
                      <w:highlight w:val="yellow"/>
                      <w:lang w:val="en-US" w:eastAsia="zh-CN"/>
                    </w:rPr>
                  </w:pPr>
                  <w:r>
                    <w:rPr>
                      <w:rFonts w:hint="eastAsia" w:cs="Times New Roman"/>
                      <w:b/>
                      <w:bCs/>
                      <w:color w:val="auto"/>
                      <w:kern w:val="0"/>
                      <w:szCs w:val="21"/>
                      <w:highlight w:val="none"/>
                      <w:lang w:val="en-US" w:eastAsia="zh-CN"/>
                    </w:rPr>
                    <w:t>出料（t/a）</w:t>
                  </w:r>
                </w:p>
              </w:tc>
            </w:tr>
            <w:tr w14:paraId="6BF4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vMerge w:val="restart"/>
                  <w:tcBorders>
                    <w:tl2br w:val="nil"/>
                    <w:tr2bl w:val="nil"/>
                  </w:tcBorders>
                  <w:vAlign w:val="center"/>
                </w:tcPr>
                <w:p w14:paraId="304EB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煤矸石</w:t>
                  </w:r>
                </w:p>
              </w:tc>
              <w:tc>
                <w:tcPr>
                  <w:tcW w:w="1098" w:type="pct"/>
                  <w:vMerge w:val="restart"/>
                  <w:tcBorders>
                    <w:tl2br w:val="nil"/>
                    <w:tr2bl w:val="nil"/>
                  </w:tcBorders>
                  <w:vAlign w:val="center"/>
                </w:tcPr>
                <w:p w14:paraId="1A01A61E">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kern w:val="0"/>
                      <w:szCs w:val="21"/>
                      <w:highlight w:val="none"/>
                      <w:lang w:val="en-US"/>
                    </w:rPr>
                  </w:pPr>
                  <w:r>
                    <w:rPr>
                      <w:rFonts w:hint="eastAsia"/>
                      <w:color w:val="auto"/>
                      <w:sz w:val="21"/>
                      <w:szCs w:val="21"/>
                      <w:highlight w:val="none"/>
                      <w:vertAlign w:val="baseline"/>
                      <w:lang w:val="en-US" w:eastAsia="zh-CN"/>
                    </w:rPr>
                    <w:t>300000</w:t>
                  </w:r>
                </w:p>
              </w:tc>
              <w:tc>
                <w:tcPr>
                  <w:tcW w:w="1788" w:type="pct"/>
                  <w:tcBorders>
                    <w:tl2br w:val="nil"/>
                    <w:tr2bl w:val="nil"/>
                  </w:tcBorders>
                  <w:vAlign w:val="center"/>
                </w:tcPr>
                <w:p w14:paraId="4D6987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产品</w:t>
                  </w:r>
                </w:p>
              </w:tc>
              <w:tc>
                <w:tcPr>
                  <w:tcW w:w="1287" w:type="pct"/>
                  <w:tcBorders>
                    <w:tl2br w:val="nil"/>
                    <w:tr2bl w:val="nil"/>
                  </w:tcBorders>
                  <w:vAlign w:val="center"/>
                </w:tcPr>
                <w:p w14:paraId="5B6F76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299646.663</w:t>
                  </w:r>
                </w:p>
              </w:tc>
            </w:tr>
            <w:tr w14:paraId="3E5A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vMerge w:val="continue"/>
                  <w:tcBorders>
                    <w:tl2br w:val="nil"/>
                    <w:tr2bl w:val="nil"/>
                  </w:tcBorders>
                  <w:vAlign w:val="center"/>
                </w:tcPr>
                <w:p w14:paraId="718F43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kern w:val="0"/>
                      <w:szCs w:val="21"/>
                      <w:highlight w:val="none"/>
                    </w:rPr>
                  </w:pPr>
                </w:p>
              </w:tc>
              <w:tc>
                <w:tcPr>
                  <w:tcW w:w="1098" w:type="pct"/>
                  <w:vMerge w:val="continue"/>
                  <w:tcBorders>
                    <w:tl2br w:val="nil"/>
                    <w:tr2bl w:val="nil"/>
                  </w:tcBorders>
                  <w:vAlign w:val="center"/>
                </w:tcPr>
                <w:p w14:paraId="18485417">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kern w:val="0"/>
                      <w:szCs w:val="21"/>
                      <w:highlight w:val="none"/>
                      <w:lang w:val="en-US"/>
                    </w:rPr>
                  </w:pPr>
                </w:p>
              </w:tc>
              <w:tc>
                <w:tcPr>
                  <w:tcW w:w="1788" w:type="pct"/>
                  <w:tcBorders>
                    <w:tl2br w:val="nil"/>
                    <w:tr2bl w:val="nil"/>
                  </w:tcBorders>
                  <w:vAlign w:val="center"/>
                </w:tcPr>
                <w:p w14:paraId="1DEA4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无组织颗粒物</w:t>
                  </w:r>
                </w:p>
              </w:tc>
              <w:tc>
                <w:tcPr>
                  <w:tcW w:w="1287" w:type="pct"/>
                  <w:tcBorders>
                    <w:tl2br w:val="nil"/>
                    <w:tr2bl w:val="nil"/>
                  </w:tcBorders>
                  <w:vAlign w:val="center"/>
                </w:tcPr>
                <w:p w14:paraId="7FFD41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0.315</w:t>
                  </w:r>
                </w:p>
              </w:tc>
            </w:tr>
            <w:tr w14:paraId="4782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vMerge w:val="continue"/>
                  <w:tcBorders>
                    <w:tl2br w:val="nil"/>
                    <w:tr2bl w:val="nil"/>
                  </w:tcBorders>
                  <w:vAlign w:val="center"/>
                </w:tcPr>
                <w:p w14:paraId="06FB2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cs="Times New Roman"/>
                      <w:color w:val="auto"/>
                      <w:kern w:val="0"/>
                      <w:szCs w:val="21"/>
                      <w:highlight w:val="none"/>
                    </w:rPr>
                  </w:pPr>
                </w:p>
              </w:tc>
              <w:tc>
                <w:tcPr>
                  <w:tcW w:w="1098" w:type="pct"/>
                  <w:vMerge w:val="continue"/>
                  <w:tcBorders>
                    <w:tl2br w:val="nil"/>
                    <w:tr2bl w:val="nil"/>
                  </w:tcBorders>
                  <w:vAlign w:val="center"/>
                </w:tcPr>
                <w:p w14:paraId="7B66A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Cs w:val="21"/>
                      <w:highlight w:val="none"/>
                      <w:lang w:val="en-US" w:eastAsia="zh-CN"/>
                    </w:rPr>
                  </w:pPr>
                </w:p>
              </w:tc>
              <w:tc>
                <w:tcPr>
                  <w:tcW w:w="1788" w:type="pct"/>
                  <w:tcBorders>
                    <w:tl2br w:val="nil"/>
                    <w:tr2bl w:val="nil"/>
                  </w:tcBorders>
                  <w:vAlign w:val="center"/>
                </w:tcPr>
                <w:p w14:paraId="79FFF8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有组织颗粒物</w:t>
                  </w:r>
                </w:p>
              </w:tc>
              <w:tc>
                <w:tcPr>
                  <w:tcW w:w="1287" w:type="pct"/>
                  <w:tcBorders>
                    <w:tl2br w:val="nil"/>
                    <w:tr2bl w:val="nil"/>
                  </w:tcBorders>
                  <w:vAlign w:val="center"/>
                </w:tcPr>
                <w:p w14:paraId="51FF3B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1.682</w:t>
                  </w:r>
                </w:p>
              </w:tc>
            </w:tr>
            <w:tr w14:paraId="0071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vMerge w:val="continue"/>
                  <w:tcBorders>
                    <w:tl2br w:val="nil"/>
                    <w:tr2bl w:val="nil"/>
                  </w:tcBorders>
                  <w:vAlign w:val="center"/>
                </w:tcPr>
                <w:p w14:paraId="640839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eastAsia="宋体"/>
                      <w:color w:val="auto"/>
                      <w:sz w:val="21"/>
                      <w:szCs w:val="21"/>
                      <w:highlight w:val="none"/>
                      <w:lang w:val="en-US" w:eastAsia="zh-CN"/>
                    </w:rPr>
                  </w:pPr>
                </w:p>
              </w:tc>
              <w:tc>
                <w:tcPr>
                  <w:tcW w:w="1098" w:type="pct"/>
                  <w:vMerge w:val="continue"/>
                  <w:tcBorders>
                    <w:tl2br w:val="nil"/>
                    <w:tr2bl w:val="nil"/>
                  </w:tcBorders>
                  <w:vAlign w:val="center"/>
                </w:tcPr>
                <w:p w14:paraId="74708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788" w:type="pct"/>
                  <w:tcBorders>
                    <w:tl2br w:val="nil"/>
                    <w:tr2bl w:val="nil"/>
                  </w:tcBorders>
                  <w:vAlign w:val="center"/>
                </w:tcPr>
                <w:p w14:paraId="04AC4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除尘灰</w:t>
                  </w:r>
                </w:p>
              </w:tc>
              <w:tc>
                <w:tcPr>
                  <w:tcW w:w="1287" w:type="pct"/>
                  <w:tcBorders>
                    <w:tl2br w:val="nil"/>
                    <w:tr2bl w:val="nil"/>
                  </w:tcBorders>
                  <w:vAlign w:val="center"/>
                </w:tcPr>
                <w:p w14:paraId="2E74F2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349.34</w:t>
                  </w:r>
                </w:p>
              </w:tc>
            </w:tr>
            <w:tr w14:paraId="533D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vMerge w:val="continue"/>
                  <w:tcBorders>
                    <w:tl2br w:val="nil"/>
                    <w:tr2bl w:val="nil"/>
                  </w:tcBorders>
                  <w:vAlign w:val="center"/>
                </w:tcPr>
                <w:p w14:paraId="2BB27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eastAsia="宋体"/>
                      <w:color w:val="auto"/>
                      <w:sz w:val="21"/>
                      <w:szCs w:val="21"/>
                      <w:highlight w:val="none"/>
                      <w:lang w:val="en-US" w:eastAsia="zh-CN"/>
                    </w:rPr>
                  </w:pPr>
                </w:p>
              </w:tc>
              <w:tc>
                <w:tcPr>
                  <w:tcW w:w="1098" w:type="pct"/>
                  <w:vMerge w:val="continue"/>
                  <w:tcBorders>
                    <w:tl2br w:val="nil"/>
                    <w:tr2bl w:val="nil"/>
                  </w:tcBorders>
                  <w:vAlign w:val="center"/>
                </w:tcPr>
                <w:p w14:paraId="513E8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788" w:type="pct"/>
                  <w:tcBorders>
                    <w:tl2br w:val="nil"/>
                    <w:tr2bl w:val="nil"/>
                  </w:tcBorders>
                  <w:vAlign w:val="center"/>
                </w:tcPr>
                <w:p w14:paraId="70029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废铁屑</w:t>
                  </w:r>
                </w:p>
              </w:tc>
              <w:tc>
                <w:tcPr>
                  <w:tcW w:w="1287" w:type="pct"/>
                  <w:tcBorders>
                    <w:tl2br w:val="nil"/>
                    <w:tr2bl w:val="nil"/>
                  </w:tcBorders>
                  <w:vAlign w:val="center"/>
                </w:tcPr>
                <w:p w14:paraId="5C73C8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w:t>
                  </w:r>
                </w:p>
              </w:tc>
            </w:tr>
            <w:tr w14:paraId="4E45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825" w:type="pct"/>
                  <w:tcBorders>
                    <w:tl2br w:val="nil"/>
                    <w:tr2bl w:val="nil"/>
                  </w:tcBorders>
                  <w:vAlign w:val="center"/>
                </w:tcPr>
                <w:p w14:paraId="0883D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合计</w:t>
                  </w:r>
                </w:p>
              </w:tc>
              <w:tc>
                <w:tcPr>
                  <w:tcW w:w="1098" w:type="pct"/>
                  <w:tcBorders>
                    <w:tl2br w:val="nil"/>
                    <w:tr2bl w:val="nil"/>
                  </w:tcBorders>
                  <w:vAlign w:val="center"/>
                </w:tcPr>
                <w:p w14:paraId="00C1AB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300000</w:t>
                  </w:r>
                </w:p>
              </w:tc>
              <w:tc>
                <w:tcPr>
                  <w:tcW w:w="1788" w:type="pct"/>
                  <w:tcBorders>
                    <w:tl2br w:val="nil"/>
                    <w:tr2bl w:val="nil"/>
                  </w:tcBorders>
                  <w:vAlign w:val="center"/>
                </w:tcPr>
                <w:p w14:paraId="4C96E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合计</w:t>
                  </w:r>
                </w:p>
              </w:tc>
              <w:tc>
                <w:tcPr>
                  <w:tcW w:w="1287" w:type="pct"/>
                  <w:tcBorders>
                    <w:tl2br w:val="nil"/>
                    <w:tr2bl w:val="nil"/>
                  </w:tcBorders>
                  <w:vAlign w:val="center"/>
                </w:tcPr>
                <w:p w14:paraId="6A98A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300000</w:t>
                  </w:r>
                </w:p>
              </w:tc>
            </w:tr>
          </w:tbl>
          <w:p w14:paraId="0BA6A0A3">
            <w:pPr>
              <w:keepNext w:val="0"/>
              <w:keepLines w:val="0"/>
              <w:suppressLineNumbers w:val="0"/>
              <w:spacing w:before="0" w:beforeAutospacing="0" w:after="0" w:afterAutospacing="0" w:line="480" w:lineRule="exact"/>
              <w:ind w:left="0"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表2</w:t>
            </w:r>
            <w:r>
              <w:rPr>
                <w:rFonts w:hint="eastAsia" w:cs="Times New Roman"/>
                <w:b/>
                <w:bCs/>
                <w:color w:val="auto"/>
                <w:sz w:val="21"/>
                <w:szCs w:val="21"/>
                <w:highlight w:val="none"/>
                <w:lang w:val="en-US" w:eastAsia="zh-CN"/>
              </w:rPr>
              <w:t xml:space="preserve">.5-1 </w:t>
            </w:r>
            <w:r>
              <w:rPr>
                <w:rFonts w:hint="eastAsia" w:ascii="Times New Roman" w:hAnsi="Times New Roman" w:eastAsia="宋体" w:cs="Times New Roman"/>
                <w:b/>
                <w:bCs/>
                <w:color w:val="auto"/>
                <w:sz w:val="21"/>
                <w:szCs w:val="21"/>
                <w:highlight w:val="none"/>
                <w:lang w:val="en-US" w:eastAsia="zh-CN"/>
              </w:rPr>
              <w:t xml:space="preserve"> </w:t>
            </w:r>
            <w:r>
              <w:rPr>
                <w:rFonts w:hint="eastAsia" w:cs="Times New Roman"/>
                <w:b/>
                <w:bCs/>
                <w:color w:val="auto"/>
                <w:sz w:val="21"/>
                <w:szCs w:val="21"/>
                <w:highlight w:val="none"/>
                <w:lang w:val="en-US" w:eastAsia="zh-CN"/>
              </w:rPr>
              <w:t>本项目</w:t>
            </w:r>
            <w:r>
              <w:rPr>
                <w:rFonts w:hint="eastAsia" w:ascii="Times New Roman" w:hAnsi="Times New Roman" w:eastAsia="宋体" w:cs="Times New Roman"/>
                <w:b/>
                <w:bCs/>
                <w:color w:val="auto"/>
                <w:sz w:val="21"/>
                <w:szCs w:val="21"/>
                <w:highlight w:val="none"/>
                <w:lang w:val="en-US" w:eastAsia="zh-CN"/>
              </w:rPr>
              <w:t>物料平衡</w:t>
            </w:r>
            <w:r>
              <w:rPr>
                <w:rFonts w:hint="default" w:ascii="Times New Roman" w:hAnsi="Times New Roman" w:eastAsia="宋体" w:cs="Times New Roman"/>
                <w:b/>
                <w:bCs/>
                <w:color w:val="auto"/>
                <w:sz w:val="21"/>
                <w:szCs w:val="21"/>
                <w:highlight w:val="none"/>
                <w:lang w:val="en-US" w:eastAsia="zh-CN"/>
              </w:rPr>
              <w:t>表</w:t>
            </w:r>
          </w:p>
          <w:p w14:paraId="0909320A">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color w:val="auto"/>
                <w:spacing w:val="0"/>
                <w:kern w:val="2"/>
                <w:sz w:val="24"/>
                <w:szCs w:val="24"/>
                <w:highlight w:val="none"/>
                <w:lang w:val="en-US" w:eastAsia="zh-CN" w:bidi="ar-SA"/>
              </w:rPr>
              <w:t>2.6</w:t>
            </w:r>
            <w:r>
              <w:rPr>
                <w:rFonts w:hint="default" w:ascii="Times New Roman" w:hAnsi="Times New Roman" w:eastAsia="宋体" w:cs="Times New Roman"/>
                <w:b/>
                <w:bCs w:val="0"/>
                <w:color w:val="auto"/>
                <w:spacing w:val="0"/>
                <w:sz w:val="24"/>
                <w:szCs w:val="24"/>
                <w:highlight w:val="none"/>
                <w:lang w:val="en-US" w:eastAsia="zh-CN"/>
              </w:rPr>
              <w:t>劳动定员及工作制度</w:t>
            </w:r>
          </w:p>
          <w:p w14:paraId="0BAD01FC">
            <w:pPr>
              <w:keepNext w:val="0"/>
              <w:keepLines w:val="0"/>
              <w:suppressLineNumbers w:val="0"/>
              <w:autoSpaceDE w:val="0"/>
              <w:autoSpaceDN w:val="0"/>
              <w:adjustRightInd w:val="0"/>
              <w:spacing w:before="0" w:beforeAutospacing="0" w:after="0" w:afterAutospacing="0" w:line="480" w:lineRule="exact"/>
              <w:ind w:left="0" w:right="0" w:firstLine="480" w:firstLineChars="200"/>
              <w:rPr>
                <w:rFonts w:hint="eastAsia" w:hAnsi="宋体"/>
                <w:color w:val="auto"/>
                <w:kern w:val="0"/>
                <w:sz w:val="24"/>
              </w:rPr>
            </w:pPr>
            <w:r>
              <w:rPr>
                <w:rFonts w:hint="eastAsia" w:hAnsi="宋体"/>
                <w:color w:val="auto"/>
                <w:kern w:val="0"/>
                <w:sz w:val="24"/>
                <w:lang w:val="en-US" w:eastAsia="zh-CN"/>
              </w:rPr>
              <w:t>本项目劳动定员12人，</w:t>
            </w:r>
            <w:r>
              <w:rPr>
                <w:rFonts w:hint="eastAsia" w:hAnsi="宋体"/>
                <w:color w:val="auto"/>
                <w:kern w:val="0"/>
                <w:sz w:val="24"/>
              </w:rPr>
              <w:t>其中管理人员</w:t>
            </w:r>
            <w:r>
              <w:rPr>
                <w:rFonts w:hint="eastAsia" w:hAnsi="宋体"/>
                <w:color w:val="auto"/>
                <w:kern w:val="0"/>
                <w:sz w:val="24"/>
                <w:lang w:val="en-US" w:eastAsia="zh-CN"/>
              </w:rPr>
              <w:t>2</w:t>
            </w:r>
            <w:r>
              <w:rPr>
                <w:rFonts w:hint="eastAsia" w:hAnsi="宋体"/>
                <w:color w:val="auto"/>
                <w:kern w:val="0"/>
                <w:sz w:val="24"/>
              </w:rPr>
              <w:t>人，生产员工</w:t>
            </w:r>
            <w:r>
              <w:rPr>
                <w:rFonts w:hint="eastAsia" w:hAnsi="宋体"/>
                <w:color w:val="auto"/>
                <w:kern w:val="0"/>
                <w:sz w:val="24"/>
                <w:lang w:val="en-US" w:eastAsia="zh-CN"/>
              </w:rPr>
              <w:t>10</w:t>
            </w:r>
            <w:r>
              <w:rPr>
                <w:rFonts w:hint="eastAsia" w:hAnsi="宋体"/>
                <w:color w:val="auto"/>
                <w:kern w:val="0"/>
                <w:sz w:val="24"/>
              </w:rPr>
              <w:t>人，均不在厂内食宿。</w:t>
            </w:r>
          </w:p>
          <w:p w14:paraId="43D2DD87">
            <w:pPr>
              <w:keepNext w:val="0"/>
              <w:keepLines w:val="0"/>
              <w:suppressLineNumbers w:val="0"/>
              <w:autoSpaceDE w:val="0"/>
              <w:autoSpaceDN w:val="0"/>
              <w:adjustRightInd w:val="0"/>
              <w:spacing w:before="0" w:beforeAutospacing="0" w:after="0" w:afterAutospacing="0" w:line="480" w:lineRule="exact"/>
              <w:ind w:left="0" w:right="0" w:firstLine="480" w:firstLineChars="200"/>
              <w:rPr>
                <w:rFonts w:hint="eastAsia" w:eastAsia="宋体"/>
                <w:snapToGrid w:val="0"/>
                <w:color w:val="auto"/>
                <w:kern w:val="0"/>
                <w:sz w:val="24"/>
                <w:lang w:val="en-US" w:eastAsia="zh-CN"/>
              </w:rPr>
            </w:pPr>
            <w:r>
              <w:rPr>
                <w:rFonts w:hint="eastAsia" w:hAnsi="宋体"/>
                <w:color w:val="auto"/>
                <w:kern w:val="0"/>
                <w:sz w:val="24"/>
                <w:lang w:val="en-US" w:eastAsia="zh-CN"/>
              </w:rPr>
              <w:t>年</w:t>
            </w:r>
            <w:r>
              <w:rPr>
                <w:rFonts w:hint="eastAsia" w:ascii="Times New Roman" w:hAnsi="Times New Roman" w:cs="Times New Roman"/>
                <w:color w:val="auto"/>
                <w:kern w:val="0"/>
                <w:sz w:val="24"/>
                <w:lang w:val="en-US" w:eastAsia="zh-CN"/>
              </w:rPr>
              <w:t>工作时间为3</w:t>
            </w:r>
            <w:r>
              <w:rPr>
                <w:rFonts w:hint="eastAsia" w:cs="Times New Roman"/>
                <w:color w:val="auto"/>
                <w:kern w:val="0"/>
                <w:sz w:val="24"/>
                <w:lang w:val="en-US" w:eastAsia="zh-CN"/>
              </w:rPr>
              <w:t>3</w:t>
            </w:r>
            <w:r>
              <w:rPr>
                <w:rFonts w:hint="eastAsia" w:ascii="Times New Roman" w:hAnsi="Times New Roman" w:cs="Times New Roman"/>
                <w:color w:val="auto"/>
                <w:kern w:val="0"/>
                <w:sz w:val="24"/>
                <w:lang w:val="en-US" w:eastAsia="zh-CN"/>
              </w:rPr>
              <w:t>0天，</w:t>
            </w:r>
            <w:r>
              <w:rPr>
                <w:rFonts w:hint="default" w:ascii="Times New Roman" w:hAnsi="Times New Roman" w:cs="Times New Roman"/>
                <w:color w:val="auto"/>
                <w:kern w:val="0"/>
                <w:sz w:val="24"/>
                <w:lang w:val="en-US" w:eastAsia="zh-CN"/>
              </w:rPr>
              <w:t>采用</w:t>
            </w:r>
            <w:r>
              <w:rPr>
                <w:rFonts w:hint="eastAsia" w:cs="Times New Roman"/>
                <w:color w:val="auto"/>
                <w:kern w:val="0"/>
                <w:sz w:val="24"/>
                <w:lang w:val="en-US" w:eastAsia="zh-CN"/>
              </w:rPr>
              <w:t>1</w:t>
            </w:r>
            <w:r>
              <w:rPr>
                <w:rFonts w:hint="default" w:ascii="Times New Roman" w:hAnsi="Times New Roman" w:cs="Times New Roman"/>
                <w:color w:val="auto"/>
                <w:kern w:val="0"/>
                <w:sz w:val="24"/>
                <w:lang w:val="en-US" w:eastAsia="zh-CN"/>
              </w:rPr>
              <w:t>班工作制，每班</w:t>
            </w:r>
            <w:r>
              <w:rPr>
                <w:rFonts w:hint="eastAsia" w:cs="Times New Roman"/>
                <w:color w:val="auto"/>
                <w:kern w:val="0"/>
                <w:sz w:val="24"/>
                <w:lang w:val="en-US" w:eastAsia="zh-CN"/>
              </w:rPr>
              <w:t>10</w:t>
            </w:r>
            <w:r>
              <w:rPr>
                <w:rFonts w:hint="default" w:ascii="Times New Roman" w:hAnsi="Times New Roman" w:cs="Times New Roman"/>
                <w:color w:val="auto"/>
                <w:kern w:val="0"/>
                <w:sz w:val="24"/>
                <w:lang w:val="en-US" w:eastAsia="zh-CN"/>
              </w:rPr>
              <w:t>小时</w:t>
            </w:r>
            <w:r>
              <w:rPr>
                <w:rFonts w:hint="eastAsia" w:cs="Times New Roman"/>
                <w:color w:val="auto"/>
                <w:kern w:val="0"/>
                <w:sz w:val="24"/>
                <w:lang w:val="en-US" w:eastAsia="zh-CN"/>
              </w:rPr>
              <w:t>（早8点-晚18点），本项目仅昼间生产，年工作时间3300h/a</w:t>
            </w:r>
            <w:r>
              <w:rPr>
                <w:rFonts w:hint="eastAsia" w:ascii="Times New Roman" w:hAnsi="Times New Roman" w:cs="Times New Roman"/>
                <w:color w:val="auto"/>
                <w:kern w:val="0"/>
                <w:sz w:val="24"/>
                <w:lang w:val="en-US" w:eastAsia="zh-CN"/>
              </w:rPr>
              <w:t>。</w:t>
            </w:r>
          </w:p>
          <w:p w14:paraId="6EFAE52B">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2.7建设地点</w:t>
            </w:r>
          </w:p>
          <w:p w14:paraId="49DE724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s="Times New Roman"/>
                <w:b w:val="0"/>
                <w:bCs/>
                <w:color w:val="auto"/>
                <w:spacing w:val="0"/>
                <w:sz w:val="24"/>
                <w:szCs w:val="24"/>
                <w:highlight w:val="none"/>
                <w:vertAlign w:val="baseline"/>
                <w:lang w:val="en-US" w:eastAsia="zh-CN"/>
              </w:rPr>
            </w:pPr>
            <w:r>
              <w:rPr>
                <w:rFonts w:hint="eastAsia" w:cs="Times New Roman"/>
                <w:color w:val="auto"/>
                <w:spacing w:val="0"/>
                <w:sz w:val="24"/>
                <w:szCs w:val="20"/>
                <w:highlight w:val="none"/>
                <w:lang w:val="en-US" w:eastAsia="zh-CN"/>
              </w:rPr>
              <w:t>本项目租赁</w:t>
            </w:r>
            <w:r>
              <w:rPr>
                <w:rFonts w:hint="eastAsia" w:hAnsi="宋体"/>
                <w:color w:val="auto"/>
                <w:sz w:val="24"/>
              </w:rPr>
              <w:t>长治市潞常清工贸有限公司</w:t>
            </w:r>
            <w:r>
              <w:rPr>
                <w:rFonts w:hint="eastAsia" w:hAnsi="宋体"/>
                <w:color w:val="auto"/>
                <w:sz w:val="24"/>
                <w:lang w:val="en-US" w:eastAsia="zh-CN"/>
              </w:rPr>
              <w:t>厂区</w:t>
            </w:r>
            <w:r>
              <w:rPr>
                <w:rFonts w:hint="eastAsia" w:cs="Times New Roman"/>
                <w:color w:val="auto"/>
                <w:spacing w:val="0"/>
                <w:sz w:val="24"/>
                <w:szCs w:val="20"/>
                <w:highlight w:val="none"/>
                <w:lang w:val="en-US" w:eastAsia="zh-CN"/>
              </w:rPr>
              <w:t>北侧占地，其中包括1座全封闭钢混结构厂房（占地面积7546m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lang w:val="en-US" w:eastAsia="zh-CN"/>
              </w:rPr>
              <w:t>），厂房西侧空地（占地面积5625m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lang w:val="en-US" w:eastAsia="zh-CN"/>
              </w:rPr>
              <w:t>）和厂区东侧办公区（占地面积332.5m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lang w:val="en-US" w:eastAsia="zh-CN"/>
              </w:rPr>
              <w:t>），本项目总占地面积为13503.5m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vertAlign w:val="baseline"/>
                <w:lang w:val="en-US" w:eastAsia="zh-CN"/>
              </w:rPr>
              <w:t>，</w:t>
            </w:r>
            <w:r>
              <w:rPr>
                <w:rFonts w:hint="eastAsia" w:cs="Times New Roman"/>
                <w:b w:val="0"/>
                <w:bCs/>
                <w:color w:val="auto"/>
                <w:spacing w:val="0"/>
                <w:sz w:val="24"/>
                <w:szCs w:val="24"/>
                <w:highlight w:val="none"/>
                <w:vertAlign w:val="baseline"/>
                <w:lang w:val="en-US" w:eastAsia="zh-CN"/>
              </w:rPr>
              <w:t>占地类型为工业用地。</w:t>
            </w:r>
            <w:r>
              <w:rPr>
                <w:rFonts w:hint="eastAsia" w:cs="Times New Roman"/>
                <w:color w:val="auto"/>
                <w:spacing w:val="0"/>
                <w:sz w:val="24"/>
                <w:szCs w:val="20"/>
                <w:highlight w:val="none"/>
                <w:lang w:val="en-US" w:eastAsia="zh-CN"/>
              </w:rPr>
              <w:t>本次环评拟利用厂区内现有全封闭厂房建设1条年处理30万吨煤矸石生产线，以及车间内生产设备、配套设施的安装</w:t>
            </w:r>
            <w:r>
              <w:rPr>
                <w:rFonts w:hint="eastAsia" w:cs="Times New Roman"/>
                <w:color w:val="auto"/>
                <w:spacing w:val="0"/>
                <w:sz w:val="24"/>
                <w:szCs w:val="20"/>
                <w:highlight w:val="none"/>
                <w:vertAlign w:val="baseline"/>
                <w:lang w:val="en-US" w:eastAsia="zh-CN"/>
              </w:rPr>
              <w:t>。</w:t>
            </w:r>
            <w:r>
              <w:rPr>
                <w:rFonts w:hint="eastAsia" w:cs="Times New Roman"/>
                <w:b w:val="0"/>
                <w:bCs/>
                <w:color w:val="auto"/>
                <w:spacing w:val="0"/>
                <w:sz w:val="24"/>
                <w:szCs w:val="24"/>
                <w:highlight w:val="none"/>
                <w:vertAlign w:val="baseline"/>
                <w:lang w:val="en-US" w:eastAsia="zh-CN"/>
              </w:rPr>
              <w:t>土地手续见附件3，租赁合同见附件4。</w:t>
            </w:r>
          </w:p>
          <w:p w14:paraId="31528DD9">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auto"/>
                <w:spacing w:val="0"/>
                <w:kern w:val="2"/>
                <w:sz w:val="24"/>
                <w:szCs w:val="20"/>
                <w:highlight w:val="none"/>
                <w:lang w:val="en-US" w:eastAsia="zh-CN" w:bidi="ar-SA"/>
              </w:rPr>
            </w:pPr>
            <w:r>
              <w:rPr>
                <w:rFonts w:hint="eastAsia" w:cs="Times New Roman"/>
                <w:color w:val="auto"/>
                <w:spacing w:val="0"/>
                <w:kern w:val="2"/>
                <w:sz w:val="24"/>
                <w:szCs w:val="20"/>
                <w:highlight w:val="none"/>
                <w:lang w:val="en-US" w:eastAsia="zh-CN" w:bidi="ar-SA"/>
              </w:rPr>
              <w:t>本项目厂区</w:t>
            </w:r>
            <w:r>
              <w:rPr>
                <w:rFonts w:hint="eastAsia" w:ascii="Times New Roman" w:hAnsi="Times New Roman" w:eastAsia="宋体" w:cs="Times New Roman"/>
                <w:color w:val="auto"/>
                <w:spacing w:val="0"/>
                <w:kern w:val="2"/>
                <w:sz w:val="24"/>
                <w:szCs w:val="20"/>
                <w:highlight w:val="none"/>
                <w:lang w:val="en-US" w:eastAsia="zh-CN" w:bidi="ar-SA"/>
              </w:rPr>
              <w:t>北侧为耕地，西侧</w:t>
            </w:r>
            <w:r>
              <w:rPr>
                <w:rFonts w:hint="eastAsia" w:cs="Times New Roman"/>
                <w:color w:val="auto"/>
                <w:spacing w:val="0"/>
                <w:kern w:val="2"/>
                <w:sz w:val="24"/>
                <w:szCs w:val="20"/>
                <w:highlight w:val="none"/>
                <w:lang w:val="en-US" w:eastAsia="zh-CN" w:bidi="ar-SA"/>
              </w:rPr>
              <w:t>紧邻</w:t>
            </w:r>
            <w:r>
              <w:rPr>
                <w:rFonts w:hint="eastAsia" w:ascii="Times New Roman" w:hAnsi="Times New Roman" w:eastAsia="宋体" w:cs="Times New Roman"/>
                <w:color w:val="auto"/>
                <w:spacing w:val="0"/>
                <w:kern w:val="2"/>
                <w:sz w:val="24"/>
                <w:szCs w:val="20"/>
                <w:highlight w:val="none"/>
                <w:lang w:val="en-US" w:eastAsia="zh-CN" w:bidi="ar-SA"/>
              </w:rPr>
              <w:t>恒盛煤业，</w:t>
            </w:r>
            <w:r>
              <w:rPr>
                <w:rFonts w:hint="eastAsia" w:cs="Times New Roman"/>
                <w:color w:val="auto"/>
                <w:spacing w:val="0"/>
                <w:kern w:val="2"/>
                <w:sz w:val="24"/>
                <w:szCs w:val="20"/>
                <w:highlight w:val="none"/>
                <w:lang w:val="en-US" w:eastAsia="zh-CN" w:bidi="ar-SA"/>
              </w:rPr>
              <w:t>东侧和南侧隔道路外为耕地</w:t>
            </w:r>
            <w:r>
              <w:rPr>
                <w:rFonts w:hint="eastAsia" w:ascii="Times New Roman" w:hAnsi="Times New Roman" w:eastAsia="宋体" w:cs="Times New Roman"/>
                <w:color w:val="auto"/>
                <w:spacing w:val="0"/>
                <w:kern w:val="2"/>
                <w:sz w:val="24"/>
                <w:szCs w:val="20"/>
                <w:highlight w:val="none"/>
                <w:lang w:val="en-US" w:eastAsia="zh-CN" w:bidi="ar-SA"/>
              </w:rPr>
              <w:t>。</w:t>
            </w:r>
          </w:p>
          <w:p w14:paraId="2EEE43B2">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本项目地理位置图见附图</w:t>
            </w:r>
            <w:r>
              <w:rPr>
                <w:rFonts w:hint="eastAsia"/>
                <w:color w:val="auto"/>
                <w:sz w:val="24"/>
              </w:rPr>
              <w:t>1，项目四邻关系</w:t>
            </w:r>
            <w:r>
              <w:rPr>
                <w:rFonts w:hint="eastAsia"/>
                <w:color w:val="auto"/>
                <w:sz w:val="24"/>
                <w:lang w:val="en-US" w:eastAsia="zh-CN"/>
              </w:rPr>
              <w:t>图见附图2</w:t>
            </w:r>
            <w:r>
              <w:rPr>
                <w:rFonts w:hint="eastAsia"/>
                <w:color w:val="auto"/>
                <w:sz w:val="24"/>
              </w:rPr>
              <w:t>。</w:t>
            </w:r>
          </w:p>
          <w:p w14:paraId="7FBA1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2.8厂区</w:t>
            </w:r>
            <w:r>
              <w:rPr>
                <w:rFonts w:hint="default" w:ascii="Times New Roman" w:hAnsi="Times New Roman" w:eastAsia="宋体" w:cs="Times New Roman"/>
                <w:b/>
                <w:bCs w:val="0"/>
                <w:color w:val="auto"/>
                <w:spacing w:val="0"/>
                <w:sz w:val="24"/>
                <w:szCs w:val="24"/>
                <w:highlight w:val="none"/>
                <w:lang w:val="en-US" w:eastAsia="zh-CN"/>
              </w:rPr>
              <w:t>平面布置</w:t>
            </w:r>
          </w:p>
          <w:p w14:paraId="7AA7D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s="Times New Roman"/>
                <w:color w:val="auto"/>
                <w:spacing w:val="0"/>
                <w:sz w:val="24"/>
                <w:szCs w:val="20"/>
                <w:highlight w:val="none"/>
                <w:lang w:val="en-US" w:eastAsia="zh-CN"/>
              </w:rPr>
            </w:pPr>
            <w:r>
              <w:rPr>
                <w:rFonts w:hint="default" w:hAnsi="宋体"/>
                <w:b w:val="0"/>
                <w:bCs/>
                <w:color w:val="auto"/>
                <w:kern w:val="0"/>
                <w:sz w:val="24"/>
                <w:highlight w:val="none"/>
              </w:rPr>
              <w:t>本</w:t>
            </w:r>
            <w:r>
              <w:rPr>
                <w:rFonts w:hint="eastAsia" w:hAnsi="宋体"/>
                <w:b w:val="0"/>
                <w:bCs/>
                <w:color w:val="auto"/>
                <w:kern w:val="0"/>
                <w:sz w:val="24"/>
                <w:highlight w:val="none"/>
              </w:rPr>
              <w:t>项目</w:t>
            </w:r>
            <w:r>
              <w:rPr>
                <w:rFonts w:hint="eastAsia"/>
                <w:b w:val="0"/>
                <w:bCs/>
                <w:color w:val="auto"/>
                <w:sz w:val="24"/>
                <w:highlight w:val="none"/>
              </w:rPr>
              <w:t>位于</w:t>
            </w:r>
            <w:r>
              <w:rPr>
                <w:rFonts w:hint="default" w:ascii="Times New Roman" w:hAnsi="Times New Roman" w:eastAsia="宋体" w:cs="Times New Roman"/>
                <w:color w:val="auto"/>
                <w:sz w:val="24"/>
                <w:szCs w:val="24"/>
                <w:highlight w:val="none"/>
                <w:lang w:val="en-US" w:eastAsia="zh-CN"/>
              </w:rPr>
              <w:t>山西省长治市屯留区路村乡常西村西</w:t>
            </w:r>
            <w:r>
              <w:rPr>
                <w:rFonts w:hint="eastAsia" w:cs="Times New Roman"/>
                <w:color w:val="auto"/>
                <w:sz w:val="24"/>
                <w:szCs w:val="24"/>
                <w:highlight w:val="none"/>
                <w:lang w:val="en-US" w:eastAsia="zh-CN"/>
              </w:rPr>
              <w:t>，租赁</w:t>
            </w:r>
            <w:r>
              <w:rPr>
                <w:rFonts w:hint="eastAsia" w:hAnsi="宋体"/>
                <w:color w:val="auto"/>
                <w:sz w:val="24"/>
              </w:rPr>
              <w:t>长治市潞常清工贸有限公司</w:t>
            </w:r>
            <w:r>
              <w:rPr>
                <w:rFonts w:hint="eastAsia" w:hAnsi="宋体"/>
                <w:color w:val="auto"/>
                <w:sz w:val="24"/>
                <w:lang w:val="en-US" w:eastAsia="zh-CN"/>
              </w:rPr>
              <w:t>厂区北侧占地</w:t>
            </w:r>
            <w:r>
              <w:rPr>
                <w:rFonts w:hint="eastAsia" w:cs="Times New Roman"/>
                <w:b w:val="0"/>
                <w:bCs/>
                <w:color w:val="auto"/>
                <w:spacing w:val="0"/>
                <w:sz w:val="24"/>
                <w:szCs w:val="24"/>
                <w:highlight w:val="none"/>
                <w:lang w:val="en-US" w:eastAsia="zh-CN"/>
              </w:rPr>
              <w:t>，项目占地自西向东依次为空地、生产车间、办公区，生产车间北侧、南侧及东南侧为</w:t>
            </w:r>
            <w:r>
              <w:rPr>
                <w:rFonts w:hint="default" w:ascii="Times New Roman" w:hAnsi="Times New Roman" w:eastAsia="宋体" w:cs="Times New Roman"/>
                <w:color w:val="auto"/>
                <w:sz w:val="24"/>
                <w:szCs w:val="24"/>
                <w:highlight w:val="none"/>
                <w:lang w:val="en-US" w:eastAsia="zh-CN"/>
              </w:rPr>
              <w:t>长治市</w:t>
            </w:r>
            <w:r>
              <w:rPr>
                <w:rFonts w:hint="eastAsia" w:hAnsi="宋体"/>
                <w:color w:val="auto"/>
                <w:sz w:val="24"/>
              </w:rPr>
              <w:t>潞常清工贸有限公司</w:t>
            </w:r>
            <w:r>
              <w:rPr>
                <w:rFonts w:hint="eastAsia" w:hAnsi="宋体"/>
                <w:color w:val="auto"/>
                <w:sz w:val="24"/>
                <w:lang w:val="en-US" w:eastAsia="zh-CN"/>
              </w:rPr>
              <w:t>自用库房</w:t>
            </w:r>
            <w:r>
              <w:rPr>
                <w:rFonts w:hint="eastAsia" w:cs="Times New Roman"/>
                <w:b w:val="0"/>
                <w:bCs/>
                <w:color w:val="auto"/>
                <w:spacing w:val="0"/>
                <w:sz w:val="24"/>
                <w:szCs w:val="24"/>
                <w:highlight w:val="none"/>
                <w:lang w:val="en-US" w:eastAsia="zh-CN"/>
              </w:rPr>
              <w:t>。厂区设有2个出入口（东侧和南侧），主出入口位于厂区东侧，该出入口现</w:t>
            </w:r>
            <w:r>
              <w:rPr>
                <w:rFonts w:hint="eastAsia" w:cs="Times New Roman"/>
                <w:color w:val="auto"/>
                <w:spacing w:val="0"/>
                <w:sz w:val="24"/>
                <w:szCs w:val="20"/>
                <w:highlight w:val="none"/>
                <w:lang w:val="en-US" w:eastAsia="zh-CN"/>
              </w:rPr>
              <w:t>有1座地磅和1座初期雨水收集池，并新建1座长20m、宽4m的全自动洗车平台。</w:t>
            </w:r>
          </w:p>
          <w:p w14:paraId="6EF8C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sz w:val="24"/>
                <w:highlight w:val="none"/>
                <w:lang w:val="en-US" w:eastAsia="zh-CN"/>
              </w:rPr>
            </w:pPr>
            <w:r>
              <w:rPr>
                <w:rFonts w:hint="eastAsia" w:cs="Times New Roman"/>
                <w:color w:val="auto"/>
                <w:spacing w:val="0"/>
                <w:sz w:val="24"/>
                <w:szCs w:val="20"/>
                <w:highlight w:val="none"/>
                <w:lang w:val="en-US" w:eastAsia="zh-CN"/>
              </w:rPr>
              <w:t>本项目原料堆放区位于生产车间内南侧，成品堆放区位于生产车间内北侧，并在生产车间内东南侧新建1座占地约10m</w:t>
            </w:r>
            <w:r>
              <w:rPr>
                <w:rFonts w:hint="eastAsia" w:cs="Times New Roman"/>
                <w:color w:val="auto"/>
                <w:spacing w:val="0"/>
                <w:sz w:val="24"/>
                <w:szCs w:val="20"/>
                <w:highlight w:val="none"/>
                <w:vertAlign w:val="superscript"/>
                <w:lang w:val="en-US" w:eastAsia="zh-CN"/>
              </w:rPr>
              <w:t>2</w:t>
            </w:r>
            <w:r>
              <w:rPr>
                <w:rFonts w:hint="eastAsia" w:cs="Times New Roman"/>
                <w:color w:val="auto"/>
                <w:spacing w:val="0"/>
                <w:sz w:val="24"/>
                <w:szCs w:val="20"/>
                <w:highlight w:val="none"/>
                <w:lang w:val="en-US" w:eastAsia="zh-CN"/>
              </w:rPr>
              <w:t>的危废贮存点。</w:t>
            </w:r>
            <w:r>
              <w:rPr>
                <w:rFonts w:hint="eastAsia" w:cs="Times New Roman"/>
                <w:color w:val="auto"/>
                <w:spacing w:val="0"/>
                <w:sz w:val="24"/>
                <w:highlight w:val="none"/>
                <w:lang w:val="en-US" w:eastAsia="zh-CN"/>
              </w:rPr>
              <w:t>本项目平面布置见附图3。</w:t>
            </w:r>
          </w:p>
          <w:p w14:paraId="09FCE7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pacing w:val="0"/>
                <w:sz w:val="24"/>
                <w:szCs w:val="24"/>
                <w:highlight w:val="none"/>
                <w:lang w:val="en-US" w:eastAsia="zh-CN"/>
              </w:rPr>
            </w:pPr>
            <w:r>
              <w:rPr>
                <w:rFonts w:hint="eastAsia" w:cs="Times New Roman"/>
                <w:b/>
                <w:bCs/>
                <w:color w:val="auto"/>
                <w:spacing w:val="0"/>
                <w:sz w:val="24"/>
                <w:szCs w:val="24"/>
                <w:highlight w:val="none"/>
                <w:lang w:val="en-US" w:eastAsia="zh-CN"/>
              </w:rPr>
              <w:t>2.9</w:t>
            </w:r>
            <w:r>
              <w:rPr>
                <w:rFonts w:hint="default" w:ascii="Times New Roman" w:hAnsi="Times New Roman" w:eastAsia="宋体" w:cs="Times New Roman"/>
                <w:b/>
                <w:bCs/>
                <w:color w:val="auto"/>
                <w:spacing w:val="0"/>
                <w:sz w:val="24"/>
                <w:szCs w:val="24"/>
                <w:highlight w:val="none"/>
                <w:lang w:val="en-US" w:eastAsia="zh-CN"/>
              </w:rPr>
              <w:t>公用工程</w:t>
            </w:r>
          </w:p>
          <w:p w14:paraId="7ABE06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2.9.1</w:t>
            </w:r>
            <w:r>
              <w:rPr>
                <w:rFonts w:hint="default" w:ascii="Times New Roman" w:hAnsi="Times New Roman" w:eastAsia="宋体" w:cs="Times New Roman"/>
                <w:b/>
                <w:bCs w:val="0"/>
                <w:color w:val="auto"/>
                <w:spacing w:val="0"/>
                <w:sz w:val="24"/>
                <w:szCs w:val="24"/>
                <w:highlight w:val="none"/>
                <w:lang w:val="en-US" w:eastAsia="zh-CN"/>
              </w:rPr>
              <w:t>给排水</w:t>
            </w:r>
          </w:p>
          <w:p w14:paraId="2FFE093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ascii="Times New Roman" w:hAnsi="Times New Roman" w:cs="Times New Roman"/>
                <w:b w:val="0"/>
                <w:bCs/>
                <w:color w:val="auto"/>
                <w:sz w:val="24"/>
                <w:szCs w:val="24"/>
                <w:lang w:val="en-US" w:eastAsia="zh-CN"/>
              </w:rPr>
            </w:pPr>
            <w:r>
              <w:rPr>
                <w:rFonts w:hint="default" w:ascii="Times New Roman" w:hAnsi="Times New Roman" w:eastAsia="宋体" w:cs="Times New Roman"/>
                <w:b w:val="0"/>
                <w:bCs/>
                <w:color w:val="auto"/>
                <w:kern w:val="2"/>
                <w:sz w:val="24"/>
                <w:szCs w:val="24"/>
                <w:lang w:val="en-US" w:eastAsia="zh-CN" w:bidi="ar-SA"/>
              </w:rPr>
              <w:t>（1）</w:t>
            </w:r>
            <w:r>
              <w:rPr>
                <w:rFonts w:hint="default" w:ascii="Times New Roman" w:hAnsi="Times New Roman" w:cs="Times New Roman"/>
                <w:b w:val="0"/>
                <w:bCs/>
                <w:color w:val="auto"/>
                <w:sz w:val="24"/>
                <w:szCs w:val="24"/>
                <w:lang w:val="en-US" w:eastAsia="zh-CN"/>
              </w:rPr>
              <w:t>给水</w:t>
            </w:r>
          </w:p>
          <w:p w14:paraId="6B6693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ascii="Times New Roman" w:hAnsi="Times New Roman" w:cs="Times New Roman"/>
                <w:color w:val="auto"/>
                <w:sz w:val="24"/>
                <w:szCs w:val="24"/>
              </w:rPr>
            </w:pPr>
            <w:r>
              <w:rPr>
                <w:rFonts w:hint="eastAsia" w:hAnsi="宋体"/>
                <w:color w:val="auto"/>
                <w:kern w:val="0"/>
                <w:sz w:val="24"/>
                <w:lang w:val="en-US" w:eastAsia="zh-CN"/>
              </w:rPr>
              <w:t>供水水源</w:t>
            </w:r>
            <w:r>
              <w:rPr>
                <w:rFonts w:hint="eastAsia" w:cs="Times New Roman"/>
                <w:bCs/>
                <w:color w:val="auto"/>
                <w:spacing w:val="0"/>
                <w:sz w:val="24"/>
                <w:szCs w:val="24"/>
                <w:highlight w:val="none"/>
                <w:lang w:val="en-US" w:eastAsia="zh-CN"/>
              </w:rPr>
              <w:t>依托现有自来水管网</w:t>
            </w:r>
            <w:r>
              <w:rPr>
                <w:rFonts w:hint="default" w:ascii="Times New Roman" w:hAnsi="Times New Roman" w:cs="Times New Roman"/>
                <w:color w:val="auto"/>
                <w:sz w:val="24"/>
                <w:szCs w:val="24"/>
              </w:rPr>
              <w:t>，能满足项目正常生产、生活需要。</w:t>
            </w:r>
          </w:p>
          <w:p w14:paraId="5AB13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rPr>
              <w:t>①</w:t>
            </w:r>
            <w:r>
              <w:rPr>
                <w:rFonts w:hint="eastAsia" w:cs="Times New Roman"/>
                <w:color w:val="auto"/>
                <w:sz w:val="24"/>
                <w:szCs w:val="24"/>
                <w:lang w:val="en-US" w:eastAsia="zh-CN"/>
              </w:rPr>
              <w:t>生活用水</w:t>
            </w:r>
          </w:p>
          <w:p w14:paraId="0DECD690">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color w:val="auto"/>
                <w:sz w:val="24"/>
                <w:szCs w:val="24"/>
              </w:rPr>
            </w:pPr>
            <w:r>
              <w:rPr>
                <w:rFonts w:hint="eastAsia" w:hAnsi="宋体"/>
                <w:color w:val="auto"/>
                <w:kern w:val="0"/>
                <w:sz w:val="24"/>
              </w:rPr>
              <w:t>本项目</w:t>
            </w:r>
            <w:r>
              <w:rPr>
                <w:rFonts w:hint="eastAsia" w:hAnsi="宋体"/>
                <w:color w:val="auto"/>
                <w:kern w:val="0"/>
                <w:sz w:val="24"/>
                <w:lang w:val="en-US" w:eastAsia="zh-CN"/>
              </w:rPr>
              <w:t>劳动定员12人，员工为周围村民，不设食堂、洗浴，</w:t>
            </w:r>
            <w:r>
              <w:rPr>
                <w:rFonts w:hint="default" w:ascii="Times New Roman" w:hAnsi="Times New Roman" w:cs="Times New Roman"/>
                <w:color w:val="auto"/>
                <w:sz w:val="24"/>
                <w:szCs w:val="24"/>
              </w:rPr>
              <w:t>因此本项目生活用水主要为职工的少量洗漱用水。</w:t>
            </w:r>
            <w:r>
              <w:rPr>
                <w:rFonts w:hint="default" w:ascii="Times New Roman" w:hAnsi="Times New Roman" w:cs="Times New Roman"/>
                <w:bCs/>
                <w:color w:val="auto"/>
                <w:sz w:val="24"/>
                <w:szCs w:val="24"/>
              </w:rPr>
              <w:t>职工生活用水</w:t>
            </w:r>
            <w:r>
              <w:rPr>
                <w:rFonts w:hint="eastAsia" w:ascii="Times New Roman" w:hAnsi="Times New Roman" w:cs="Times New Roman"/>
                <w:bCs/>
                <w:color w:val="auto"/>
                <w:sz w:val="24"/>
                <w:szCs w:val="24"/>
                <w:lang w:val="en-US" w:eastAsia="zh-CN"/>
              </w:rPr>
              <w:t>参照《山西省用水定额第4部分:居民生活用水定额》（DB 14/T 1049.4-202</w:t>
            </w:r>
            <w:r>
              <w:rPr>
                <w:rFonts w:hint="eastAsia" w:cs="Times New Roman"/>
                <w:bCs/>
                <w:color w:val="auto"/>
                <w:sz w:val="24"/>
                <w:szCs w:val="24"/>
                <w:lang w:val="en-US" w:eastAsia="zh-CN"/>
              </w:rPr>
              <w:t>5</w:t>
            </w:r>
            <w:r>
              <w:rPr>
                <w:rFonts w:hint="eastAsia" w:ascii="Times New Roman" w:hAnsi="Times New Roman" w:cs="Times New Roman"/>
                <w:bCs/>
                <w:color w:val="auto"/>
                <w:sz w:val="24"/>
                <w:szCs w:val="24"/>
                <w:lang w:val="en-US" w:eastAsia="zh-CN"/>
              </w:rPr>
              <w:t>）--“农村分散式供水”，</w:t>
            </w:r>
            <w:r>
              <w:rPr>
                <w:rFonts w:hint="default" w:ascii="Times New Roman" w:hAnsi="Times New Roman" w:cs="Times New Roman"/>
                <w:bCs/>
                <w:color w:val="auto"/>
                <w:sz w:val="24"/>
                <w:szCs w:val="24"/>
                <w:highlight w:val="none"/>
              </w:rPr>
              <w:t>用水量按</w:t>
            </w:r>
            <w:r>
              <w:rPr>
                <w:rFonts w:hint="eastAsia" w:cs="Times New Roman"/>
                <w:bCs/>
                <w:color w:val="auto"/>
                <w:sz w:val="24"/>
                <w:szCs w:val="24"/>
                <w:highlight w:val="none"/>
                <w:lang w:val="en-US" w:eastAsia="zh-CN"/>
              </w:rPr>
              <w:t>8</w:t>
            </w:r>
            <w:r>
              <w:rPr>
                <w:rFonts w:hint="default" w:ascii="Times New Roman" w:hAnsi="Times New Roman" w:cs="Times New Roman"/>
                <w:bCs/>
                <w:color w:val="auto"/>
                <w:sz w:val="24"/>
                <w:szCs w:val="24"/>
                <w:highlight w:val="none"/>
              </w:rPr>
              <w:t>0L/人·d计，</w:t>
            </w:r>
            <w:r>
              <w:rPr>
                <w:rFonts w:hint="eastAsia" w:cs="Times New Roman"/>
                <w:bCs/>
                <w:color w:val="auto"/>
                <w:sz w:val="24"/>
                <w:szCs w:val="24"/>
                <w:highlight w:val="none"/>
                <w:lang w:val="en-US" w:eastAsia="zh-CN"/>
              </w:rPr>
              <w:t>年工作330天，</w:t>
            </w:r>
            <w:r>
              <w:rPr>
                <w:rFonts w:hint="default" w:ascii="Times New Roman" w:hAnsi="Times New Roman" w:cs="Times New Roman"/>
                <w:bCs/>
                <w:color w:val="auto"/>
                <w:sz w:val="24"/>
                <w:szCs w:val="24"/>
                <w:highlight w:val="none"/>
              </w:rPr>
              <w:t>则</w:t>
            </w:r>
            <w:r>
              <w:rPr>
                <w:rFonts w:hint="default" w:ascii="Times New Roman" w:hAnsi="Times New Roman" w:cs="Times New Roman"/>
                <w:bCs/>
                <w:color w:val="auto"/>
                <w:sz w:val="24"/>
                <w:szCs w:val="24"/>
              </w:rPr>
              <w:t>本项目职工生活</w:t>
            </w:r>
            <w:r>
              <w:rPr>
                <w:rFonts w:hint="default" w:ascii="Times New Roman" w:hAnsi="Times New Roman" w:cs="Times New Roman"/>
                <w:color w:val="auto"/>
                <w:sz w:val="24"/>
                <w:szCs w:val="24"/>
              </w:rPr>
              <w:t>用水量为</w:t>
            </w:r>
            <w:r>
              <w:rPr>
                <w:rFonts w:hint="eastAsia" w:cs="Times New Roman"/>
                <w:color w:val="auto"/>
                <w:sz w:val="24"/>
                <w:szCs w:val="24"/>
                <w:lang w:val="en-US" w:eastAsia="zh-CN"/>
              </w:rPr>
              <w:t>0.96</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eastAsia" w:cs="Times New Roman"/>
                <w:color w:val="auto"/>
                <w:sz w:val="24"/>
                <w:szCs w:val="24"/>
                <w:lang w:val="en-US" w:eastAsia="zh-CN"/>
              </w:rPr>
              <w:t>316.8</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default" w:ascii="Times New Roman" w:hAnsi="Times New Roman" w:cs="Times New Roman"/>
                <w:color w:val="auto"/>
                <w:sz w:val="24"/>
                <w:szCs w:val="24"/>
                <w:lang w:eastAsia="zh-CN"/>
              </w:rPr>
              <w:t>。</w:t>
            </w:r>
          </w:p>
          <w:p w14:paraId="206F16A0">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cs="Times New Roman"/>
                <w:color w:val="auto"/>
                <w:sz w:val="24"/>
                <w:szCs w:val="24"/>
              </w:rPr>
              <w:t>②</w:t>
            </w:r>
            <w:r>
              <w:rPr>
                <w:rFonts w:hint="default" w:ascii="Times New Roman" w:hAnsi="Times New Roman" w:cs="Times New Roman"/>
                <w:color w:val="auto"/>
                <w:sz w:val="24"/>
                <w:szCs w:val="24"/>
                <w:lang w:val="en-US" w:eastAsia="zh-CN"/>
              </w:rPr>
              <w:t>生产用水</w:t>
            </w:r>
          </w:p>
          <w:p w14:paraId="0ABC3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1）洗车</w:t>
            </w:r>
            <w:r>
              <w:rPr>
                <w:rFonts w:hint="eastAsia" w:cs="Times New Roman"/>
                <w:color w:val="auto"/>
                <w:sz w:val="24"/>
                <w:szCs w:val="24"/>
                <w:lang w:val="en-US" w:eastAsia="zh-CN"/>
              </w:rPr>
              <w:t>平台补</w:t>
            </w:r>
            <w:r>
              <w:rPr>
                <w:rFonts w:hint="eastAsia" w:ascii="Times New Roman" w:hAnsi="Times New Roman" w:cs="Times New Roman"/>
                <w:color w:val="auto"/>
                <w:sz w:val="24"/>
                <w:szCs w:val="24"/>
                <w:lang w:val="en-US" w:eastAsia="zh-CN"/>
              </w:rPr>
              <w:t>水</w:t>
            </w:r>
          </w:p>
          <w:p w14:paraId="52589259">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right="0" w:firstLine="480" w:firstLineChars="200"/>
              <w:textAlignment w:val="auto"/>
              <w:rPr>
                <w:rFonts w:hint="eastAsia" w:eastAsia="宋体"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车辆冲洗用水参照《山西省用水定额》（DB14/T1049-2021），载重汽车循环用水冲洗用水量按40L/（辆</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次）计算。本项目</w:t>
            </w:r>
            <w:r>
              <w:rPr>
                <w:rFonts w:hint="eastAsia" w:cs="Times New Roman"/>
                <w:color w:val="auto"/>
                <w:sz w:val="24"/>
                <w:highlight w:val="none"/>
                <w:lang w:val="en-US" w:eastAsia="zh-CN"/>
              </w:rPr>
              <w:t>年生产330天，</w:t>
            </w:r>
            <w:r>
              <w:rPr>
                <w:rFonts w:hint="eastAsia" w:ascii="Times New Roman" w:hAnsi="Times New Roman" w:cs="Times New Roman"/>
                <w:color w:val="auto"/>
                <w:sz w:val="24"/>
                <w:highlight w:val="none"/>
                <w:lang w:val="en-US" w:eastAsia="zh-CN"/>
              </w:rPr>
              <w:t>汽车载重量按</w:t>
            </w:r>
            <w:r>
              <w:rPr>
                <w:rFonts w:hint="eastAsia" w:cs="Times New Roman"/>
                <w:color w:val="auto"/>
                <w:sz w:val="24"/>
                <w:highlight w:val="none"/>
                <w:lang w:val="en-US" w:eastAsia="zh-CN"/>
              </w:rPr>
              <w:t>30</w:t>
            </w:r>
            <w:r>
              <w:rPr>
                <w:rFonts w:hint="eastAsia" w:ascii="Times New Roman" w:hAnsi="Times New Roman" w:cs="Times New Roman"/>
                <w:color w:val="auto"/>
                <w:sz w:val="24"/>
                <w:highlight w:val="none"/>
                <w:lang w:val="en-US" w:eastAsia="zh-CN"/>
              </w:rPr>
              <w:t>吨计算，</w:t>
            </w:r>
            <w:r>
              <w:rPr>
                <w:rFonts w:hint="eastAsia" w:cs="Times New Roman"/>
                <w:color w:val="auto"/>
                <w:sz w:val="24"/>
                <w:highlight w:val="none"/>
                <w:lang w:val="en-US" w:eastAsia="zh-CN"/>
              </w:rPr>
              <w:t>年运输量约60万吨，每天进出车辆约60辆，</w:t>
            </w:r>
            <w:r>
              <w:rPr>
                <w:rFonts w:hint="eastAsia" w:ascii="Times New Roman" w:hAnsi="Times New Roman" w:cs="Times New Roman"/>
                <w:color w:val="auto"/>
                <w:sz w:val="24"/>
                <w:highlight w:val="none"/>
                <w:lang w:val="en-US" w:eastAsia="zh-CN"/>
              </w:rPr>
              <w:t>则本项目洗车</w:t>
            </w:r>
            <w:r>
              <w:rPr>
                <w:rFonts w:hint="eastAsia" w:cs="Times New Roman"/>
                <w:color w:val="auto"/>
                <w:sz w:val="24"/>
                <w:highlight w:val="none"/>
                <w:lang w:val="en-US" w:eastAsia="zh-CN"/>
              </w:rPr>
              <w:t>平台</w:t>
            </w:r>
            <w:r>
              <w:rPr>
                <w:rFonts w:hint="eastAsia" w:ascii="Times New Roman" w:hAnsi="Times New Roman" w:cs="Times New Roman"/>
                <w:color w:val="auto"/>
                <w:sz w:val="24"/>
                <w:highlight w:val="none"/>
                <w:lang w:val="en-US" w:eastAsia="zh-CN"/>
              </w:rPr>
              <w:t>用水量</w:t>
            </w:r>
            <w:r>
              <w:rPr>
                <w:rFonts w:hint="eastAsia" w:cs="Times New Roman"/>
                <w:color w:val="auto"/>
                <w:sz w:val="24"/>
                <w:highlight w:val="none"/>
                <w:lang w:val="en-US" w:eastAsia="zh-CN"/>
              </w:rPr>
              <w:t>为2.4</w:t>
            </w:r>
            <w:r>
              <w:rPr>
                <w:rFonts w:hint="eastAsia"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792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color w:val="auto"/>
                <w:sz w:val="24"/>
                <w:highlight w:val="none"/>
              </w:rPr>
              <w:t>。</w:t>
            </w:r>
            <w:r>
              <w:rPr>
                <w:rFonts w:hint="default" w:ascii="Times New Roman" w:hAnsi="Times New Roman" w:eastAsia="宋体" w:cs="Times New Roman"/>
                <w:b w:val="0"/>
                <w:bCs/>
                <w:color w:val="auto"/>
                <w:kern w:val="2"/>
                <w:sz w:val="24"/>
                <w:szCs w:val="20"/>
                <w:lang w:val="en-US" w:eastAsia="zh-CN" w:bidi="ar-SA"/>
              </w:rPr>
              <w:t>废水产生量按80%计，</w:t>
            </w:r>
            <w:r>
              <w:rPr>
                <w:rFonts w:hint="eastAsia" w:ascii="Times New Roman" w:hAnsi="Times New Roman" w:eastAsia="宋体" w:cs="Times New Roman"/>
                <w:b w:val="0"/>
                <w:bCs/>
                <w:color w:val="auto"/>
                <w:kern w:val="2"/>
                <w:sz w:val="24"/>
                <w:szCs w:val="20"/>
                <w:lang w:val="en-US" w:eastAsia="zh-CN" w:bidi="ar-SA"/>
              </w:rPr>
              <w:t>则本项目洗车废水产生量为1.92</w:t>
            </w:r>
            <w:r>
              <w:rPr>
                <w:rFonts w:hint="eastAsia" w:ascii="Times New Roman" w:hAnsi="Times New Roman" w:cs="Times New Roman"/>
                <w:color w:val="auto"/>
                <w:sz w:val="24"/>
                <w:highlight w:val="none"/>
                <w:lang w:val="en-US" w:eastAsia="zh-CN"/>
              </w:rPr>
              <w:t>m</w:t>
            </w:r>
            <w:r>
              <w:rPr>
                <w:rFonts w:hint="eastAsia" w:ascii="Times New Roman" w:hAnsi="Times New Roman" w:cs="Times New Roman"/>
                <w:color w:val="auto"/>
                <w:sz w:val="24"/>
                <w:highlight w:val="none"/>
                <w:vertAlign w:val="superscript"/>
                <w:lang w:val="en-US" w:eastAsia="zh-CN"/>
              </w:rPr>
              <w:t>3</w:t>
            </w:r>
            <w:r>
              <w:rPr>
                <w:rFonts w:hint="eastAsia" w:ascii="Times New Roman" w:hAnsi="Times New Roman" w:cs="Times New Roman"/>
                <w:color w:val="auto"/>
                <w:sz w:val="24"/>
                <w:highlight w:val="none"/>
                <w:lang w:val="en-US" w:eastAsia="zh-CN"/>
              </w:rPr>
              <w:t>/d</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633.6</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b w:val="0"/>
                <w:bCs/>
                <w:color w:val="auto"/>
                <w:kern w:val="2"/>
                <w:sz w:val="24"/>
                <w:szCs w:val="20"/>
                <w:lang w:val="en-US" w:eastAsia="zh-CN" w:bidi="ar-SA"/>
              </w:rPr>
              <w:t>补充新鲜水量为</w:t>
            </w:r>
            <w:r>
              <w:rPr>
                <w:rFonts w:hint="eastAsia" w:ascii="Times New Roman" w:hAnsi="Times New Roman" w:eastAsia="宋体" w:cs="Times New Roman"/>
                <w:b w:val="0"/>
                <w:bCs/>
                <w:color w:val="auto"/>
                <w:kern w:val="2"/>
                <w:sz w:val="24"/>
                <w:szCs w:val="20"/>
                <w:lang w:val="en-US" w:eastAsia="zh-CN" w:bidi="ar-SA"/>
              </w:rPr>
              <w:t>0.48</w:t>
            </w:r>
            <w:r>
              <w:rPr>
                <w:rFonts w:hint="default" w:ascii="Times New Roman" w:hAnsi="Times New Roman" w:eastAsia="宋体" w:cs="Times New Roman"/>
                <w:b w:val="0"/>
                <w:bCs/>
                <w:color w:val="auto"/>
                <w:kern w:val="2"/>
                <w:sz w:val="24"/>
                <w:szCs w:val="20"/>
                <w:lang w:val="en-US" w:eastAsia="zh-CN" w:bidi="ar-SA"/>
              </w:rPr>
              <w:t>m</w:t>
            </w:r>
            <w:r>
              <w:rPr>
                <w:rFonts w:hint="default" w:ascii="Times New Roman" w:hAnsi="Times New Roman" w:eastAsia="宋体" w:cs="Times New Roman"/>
                <w:b w:val="0"/>
                <w:bCs/>
                <w:color w:val="auto"/>
                <w:kern w:val="2"/>
                <w:sz w:val="24"/>
                <w:szCs w:val="20"/>
                <w:vertAlign w:val="superscript"/>
                <w:lang w:val="en-US" w:eastAsia="zh-CN" w:bidi="ar-SA"/>
              </w:rPr>
              <w:t>3</w:t>
            </w:r>
            <w:r>
              <w:rPr>
                <w:rFonts w:hint="default" w:ascii="Times New Roman" w:hAnsi="Times New Roman" w:eastAsia="宋体" w:cs="Times New Roman"/>
                <w:b w:val="0"/>
                <w:bCs/>
                <w:color w:val="auto"/>
                <w:kern w:val="2"/>
                <w:sz w:val="24"/>
                <w:szCs w:val="20"/>
                <w:lang w:val="en-US" w:eastAsia="zh-CN" w:bidi="ar-SA"/>
              </w:rPr>
              <w:t>/d（</w:t>
            </w:r>
            <w:r>
              <w:rPr>
                <w:rFonts w:hint="eastAsia" w:ascii="Times New Roman" w:hAnsi="Times New Roman" w:eastAsia="宋体" w:cs="Times New Roman"/>
                <w:b w:val="0"/>
                <w:bCs/>
                <w:color w:val="auto"/>
                <w:kern w:val="2"/>
                <w:sz w:val="24"/>
                <w:szCs w:val="20"/>
                <w:lang w:val="en-US" w:eastAsia="zh-CN" w:bidi="ar-SA"/>
              </w:rPr>
              <w:t>158.4</w:t>
            </w:r>
            <w:r>
              <w:rPr>
                <w:rFonts w:hint="default" w:ascii="Times New Roman" w:hAnsi="Times New Roman" w:eastAsia="宋体" w:cs="Times New Roman"/>
                <w:b w:val="0"/>
                <w:bCs/>
                <w:color w:val="auto"/>
                <w:kern w:val="2"/>
                <w:sz w:val="24"/>
                <w:szCs w:val="20"/>
                <w:lang w:val="en-US" w:eastAsia="zh-CN" w:bidi="ar-SA"/>
              </w:rPr>
              <w:t>m</w:t>
            </w:r>
            <w:r>
              <w:rPr>
                <w:rFonts w:hint="default" w:ascii="Times New Roman" w:hAnsi="Times New Roman" w:eastAsia="宋体" w:cs="Times New Roman"/>
                <w:b w:val="0"/>
                <w:bCs/>
                <w:color w:val="auto"/>
                <w:kern w:val="2"/>
                <w:sz w:val="24"/>
                <w:szCs w:val="20"/>
                <w:vertAlign w:val="superscript"/>
                <w:lang w:val="en-US" w:eastAsia="zh-CN" w:bidi="ar-SA"/>
              </w:rPr>
              <w:t>3</w:t>
            </w:r>
            <w:r>
              <w:rPr>
                <w:rFonts w:hint="default" w:ascii="Times New Roman" w:hAnsi="Times New Roman" w:eastAsia="宋体" w:cs="Times New Roman"/>
                <w:b w:val="0"/>
                <w:bCs/>
                <w:color w:val="auto"/>
                <w:kern w:val="2"/>
                <w:sz w:val="24"/>
                <w:szCs w:val="20"/>
                <w:lang w:val="en-US" w:eastAsia="zh-CN" w:bidi="ar-SA"/>
              </w:rPr>
              <w:t>/a），车辆冲洗废水经</w:t>
            </w:r>
            <w:r>
              <w:rPr>
                <w:rFonts w:hint="eastAsia" w:ascii="Times New Roman" w:hAnsi="Times New Roman" w:eastAsia="宋体" w:cs="Times New Roman"/>
                <w:b w:val="0"/>
                <w:bCs/>
                <w:color w:val="auto"/>
                <w:kern w:val="2"/>
                <w:sz w:val="24"/>
                <w:szCs w:val="20"/>
                <w:lang w:val="en-US" w:eastAsia="zh-CN" w:bidi="ar-SA"/>
              </w:rPr>
              <w:t>1</w:t>
            </w:r>
            <w:r>
              <w:rPr>
                <w:rFonts w:hint="default" w:ascii="Times New Roman" w:hAnsi="Times New Roman" w:eastAsia="宋体" w:cs="Times New Roman"/>
                <w:b w:val="0"/>
                <w:bCs/>
                <w:color w:val="auto"/>
                <w:kern w:val="2"/>
                <w:sz w:val="24"/>
                <w:szCs w:val="20"/>
                <w:lang w:val="en-US" w:eastAsia="zh-CN" w:bidi="ar-SA"/>
              </w:rPr>
              <w:t>座</w:t>
            </w:r>
            <w:r>
              <w:rPr>
                <w:rFonts w:hint="eastAsia" w:ascii="Times New Roman" w:hAnsi="Times New Roman" w:eastAsia="宋体" w:cs="Times New Roman"/>
                <w:b w:val="0"/>
                <w:bCs/>
                <w:color w:val="auto"/>
                <w:kern w:val="2"/>
                <w:sz w:val="24"/>
                <w:szCs w:val="20"/>
                <w:lang w:val="en-US" w:eastAsia="zh-CN" w:bidi="ar-SA"/>
              </w:rPr>
              <w:t>容积为20</w:t>
            </w:r>
            <w:r>
              <w:rPr>
                <w:rFonts w:hint="default" w:ascii="Times New Roman" w:hAnsi="Times New Roman" w:eastAsia="宋体" w:cs="Times New Roman"/>
                <w:b w:val="0"/>
                <w:bCs/>
                <w:color w:val="auto"/>
                <w:kern w:val="2"/>
                <w:sz w:val="24"/>
                <w:szCs w:val="20"/>
                <w:lang w:val="en-US" w:eastAsia="zh-CN" w:bidi="ar-SA"/>
              </w:rPr>
              <w:t>m</w:t>
            </w:r>
            <w:r>
              <w:rPr>
                <w:rFonts w:hint="default" w:ascii="Times New Roman" w:hAnsi="Times New Roman" w:eastAsia="宋体" w:cs="Times New Roman"/>
                <w:b w:val="0"/>
                <w:bCs/>
                <w:color w:val="auto"/>
                <w:kern w:val="2"/>
                <w:sz w:val="24"/>
                <w:szCs w:val="20"/>
                <w:vertAlign w:val="superscript"/>
                <w:lang w:val="en-US" w:eastAsia="zh-CN" w:bidi="ar-SA"/>
              </w:rPr>
              <w:t>3</w:t>
            </w:r>
            <w:r>
              <w:rPr>
                <w:rFonts w:hint="default" w:ascii="Times New Roman" w:hAnsi="Times New Roman" w:eastAsia="宋体" w:cs="Times New Roman"/>
                <w:b w:val="0"/>
                <w:bCs/>
                <w:color w:val="auto"/>
                <w:kern w:val="2"/>
                <w:sz w:val="24"/>
                <w:szCs w:val="20"/>
                <w:lang w:val="en-US" w:eastAsia="zh-CN" w:bidi="ar-SA"/>
              </w:rPr>
              <w:t>沉淀池沉淀后循环使用不外排。</w:t>
            </w:r>
          </w:p>
          <w:p w14:paraId="5F143C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bCs/>
                <w:color w:val="auto"/>
                <w:sz w:val="24"/>
              </w:rPr>
            </w:pPr>
            <w:r>
              <w:rPr>
                <w:rFonts w:hint="default" w:ascii="Times New Roman" w:hAnsi="Times New Roman" w:eastAsia="宋体" w:cs="Times New Roman"/>
                <w:bCs/>
                <w:color w:val="auto"/>
                <w:kern w:val="2"/>
                <w:sz w:val="24"/>
                <w:szCs w:val="24"/>
                <w:lang w:val="en-US" w:eastAsia="zh-CN" w:bidi="ar-SA"/>
              </w:rPr>
              <w:t>2）</w:t>
            </w:r>
            <w:r>
              <w:rPr>
                <w:rFonts w:hint="eastAsia"/>
                <w:color w:val="auto"/>
                <w:sz w:val="24"/>
                <w:lang w:val="en-US" w:eastAsia="zh-CN"/>
              </w:rPr>
              <w:t>喷雾</w:t>
            </w:r>
            <w:r>
              <w:rPr>
                <w:rFonts w:hint="default"/>
                <w:color w:val="auto"/>
                <w:sz w:val="24"/>
              </w:rPr>
              <w:t>洒水</w:t>
            </w:r>
          </w:p>
          <w:p w14:paraId="7F48DF9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为减少</w:t>
            </w:r>
            <w:r>
              <w:rPr>
                <w:rFonts w:hint="eastAsia"/>
                <w:color w:val="auto"/>
                <w:sz w:val="24"/>
              </w:rPr>
              <w:t>物料</w:t>
            </w:r>
            <w:r>
              <w:rPr>
                <w:rFonts w:hint="default"/>
                <w:color w:val="auto"/>
                <w:sz w:val="24"/>
              </w:rPr>
              <w:t>在生产过程中粉尘的产生，</w:t>
            </w:r>
            <w:r>
              <w:rPr>
                <w:rFonts w:hint="eastAsia"/>
                <w:color w:val="auto"/>
                <w:sz w:val="24"/>
              </w:rPr>
              <w:t>生产</w:t>
            </w:r>
            <w:r>
              <w:rPr>
                <w:rFonts w:hint="default"/>
                <w:color w:val="auto"/>
                <w:sz w:val="24"/>
              </w:rPr>
              <w:t>车间内部采用</w:t>
            </w:r>
            <w:r>
              <w:rPr>
                <w:rFonts w:hint="eastAsia"/>
                <w:color w:val="auto"/>
                <w:sz w:val="24"/>
                <w:lang w:val="en-US" w:eastAsia="zh-CN"/>
              </w:rPr>
              <w:t>喷雾</w:t>
            </w:r>
            <w:r>
              <w:rPr>
                <w:rFonts w:hint="default"/>
                <w:color w:val="auto"/>
                <w:sz w:val="24"/>
              </w:rPr>
              <w:t>洒水抑尘措施，面积按</w:t>
            </w:r>
            <w:r>
              <w:rPr>
                <w:rFonts w:hint="eastAsia"/>
                <w:color w:val="auto"/>
                <w:sz w:val="24"/>
                <w:lang w:val="en-US" w:eastAsia="zh-CN"/>
              </w:rPr>
              <w:t>4500</w:t>
            </w:r>
            <w:r>
              <w:rPr>
                <w:rFonts w:hint="default"/>
                <w:color w:val="auto"/>
                <w:sz w:val="24"/>
              </w:rPr>
              <w:t>m</w:t>
            </w:r>
            <w:r>
              <w:rPr>
                <w:rFonts w:hint="default"/>
                <w:color w:val="auto"/>
                <w:sz w:val="24"/>
                <w:vertAlign w:val="superscript"/>
              </w:rPr>
              <w:t>2</w:t>
            </w:r>
            <w:r>
              <w:rPr>
                <w:rFonts w:hint="default"/>
                <w:color w:val="auto"/>
                <w:sz w:val="24"/>
              </w:rPr>
              <w:t>计，喷雾指标</w:t>
            </w:r>
            <w:r>
              <w:rPr>
                <w:rFonts w:hint="eastAsia"/>
                <w:color w:val="auto"/>
                <w:sz w:val="24"/>
                <w:lang w:val="en-US" w:eastAsia="zh-CN"/>
              </w:rPr>
              <w:t>类比同类型项目</w:t>
            </w:r>
            <w:r>
              <w:rPr>
                <w:rFonts w:hint="default"/>
                <w:color w:val="auto"/>
                <w:sz w:val="24"/>
              </w:rPr>
              <w:t>按1.0L/m</w:t>
            </w:r>
            <w:r>
              <w:rPr>
                <w:rFonts w:hint="default"/>
                <w:color w:val="auto"/>
                <w:sz w:val="24"/>
                <w:vertAlign w:val="superscript"/>
              </w:rPr>
              <w:t>2</w:t>
            </w:r>
            <w:r>
              <w:rPr>
                <w:rFonts w:hint="default"/>
                <w:color w:val="auto"/>
                <w:sz w:val="24"/>
              </w:rPr>
              <w:t>·</w:t>
            </w:r>
            <w:r>
              <w:rPr>
                <w:rFonts w:hint="eastAsia"/>
                <w:color w:val="auto"/>
                <w:sz w:val="24"/>
                <w:lang w:val="en-US" w:eastAsia="zh-CN"/>
              </w:rPr>
              <w:t>d</w:t>
            </w:r>
            <w:r>
              <w:rPr>
                <w:rFonts w:hint="default"/>
                <w:color w:val="auto"/>
                <w:sz w:val="24"/>
              </w:rPr>
              <w:t>次计，</w:t>
            </w:r>
            <w:r>
              <w:rPr>
                <w:rFonts w:hint="eastAsia"/>
                <w:color w:val="auto"/>
                <w:sz w:val="24"/>
                <w:lang w:val="en-US" w:eastAsia="zh-CN"/>
              </w:rPr>
              <w:t>喷雾洒水</w:t>
            </w:r>
            <w:r>
              <w:rPr>
                <w:rFonts w:hint="default"/>
                <w:bCs/>
                <w:color w:val="auto"/>
                <w:sz w:val="24"/>
              </w:rPr>
              <w:t>量为</w:t>
            </w:r>
            <w:r>
              <w:rPr>
                <w:rFonts w:hint="eastAsia"/>
                <w:bCs/>
                <w:color w:val="auto"/>
                <w:sz w:val="24"/>
                <w:lang w:val="en-US" w:eastAsia="zh-CN"/>
              </w:rPr>
              <w:t>4.5</w:t>
            </w:r>
            <w:r>
              <w:rPr>
                <w:rFonts w:hint="default"/>
                <w:bCs/>
                <w:color w:val="auto"/>
                <w:sz w:val="24"/>
              </w:rPr>
              <w:t>m</w:t>
            </w:r>
            <w:r>
              <w:rPr>
                <w:rFonts w:hint="default"/>
                <w:bCs/>
                <w:color w:val="auto"/>
                <w:sz w:val="24"/>
                <w:vertAlign w:val="superscript"/>
              </w:rPr>
              <w:t>3</w:t>
            </w:r>
            <w:r>
              <w:rPr>
                <w:rFonts w:hint="eastAsia"/>
                <w:bCs/>
                <w:color w:val="auto"/>
                <w:sz w:val="24"/>
                <w:vertAlign w:val="baseline"/>
                <w:lang w:val="en-US" w:eastAsia="zh-CN"/>
              </w:rPr>
              <w:t>/d</w:t>
            </w:r>
            <w:r>
              <w:rPr>
                <w:rFonts w:hint="default" w:ascii="Times New Roman" w:hAnsi="Times New Roman" w:cs="Times New Roman"/>
                <w:color w:val="auto"/>
                <w:sz w:val="24"/>
                <w:szCs w:val="24"/>
              </w:rPr>
              <w:t>（</w:t>
            </w:r>
            <w:r>
              <w:rPr>
                <w:rFonts w:hint="eastAsia" w:cs="Times New Roman"/>
                <w:color w:val="auto"/>
                <w:sz w:val="24"/>
                <w:szCs w:val="24"/>
                <w:lang w:val="en-US" w:eastAsia="zh-CN"/>
              </w:rPr>
              <w:t>1485</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eastAsia" w:ascii="Times New Roman" w:hAnsi="Times New Roman" w:cs="Times New Roman"/>
                <w:color w:val="auto"/>
                <w:sz w:val="24"/>
                <w:szCs w:val="24"/>
                <w:lang w:eastAsia="zh-CN"/>
              </w:rPr>
              <w:t>，</w:t>
            </w:r>
            <w:r>
              <w:rPr>
                <w:rFonts w:hint="eastAsia"/>
                <w:bCs/>
                <w:color w:val="auto"/>
                <w:sz w:val="24"/>
                <w:szCs w:val="20"/>
                <w:lang w:val="en-US" w:eastAsia="zh-CN"/>
              </w:rPr>
              <w:t>自动喷</w:t>
            </w:r>
            <w:r>
              <w:rPr>
                <w:rFonts w:hint="eastAsia"/>
                <w:color w:val="auto"/>
                <w:sz w:val="24"/>
                <w:lang w:val="en-US" w:eastAsia="zh-CN"/>
              </w:rPr>
              <w:t>雾</w:t>
            </w:r>
            <w:r>
              <w:rPr>
                <w:rFonts w:hint="eastAsia"/>
                <w:bCs/>
                <w:color w:val="auto"/>
                <w:sz w:val="24"/>
                <w:szCs w:val="20"/>
                <w:lang w:val="en-US" w:eastAsia="zh-CN"/>
              </w:rPr>
              <w:t>抑尘系统洒水全部蒸发损耗</w:t>
            </w:r>
            <w:r>
              <w:rPr>
                <w:rFonts w:hint="default"/>
                <w:color w:val="auto"/>
                <w:sz w:val="24"/>
              </w:rPr>
              <w:t>。</w:t>
            </w:r>
          </w:p>
          <w:p w14:paraId="0A669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eastAsia"/>
                <w:bCs/>
                <w:color w:val="auto"/>
                <w:sz w:val="24"/>
              </w:rPr>
              <w:t>企业拟采用2台远程雾炮机在装卸、生产过程中运行，每台用水定额0.1m</w:t>
            </w:r>
            <w:r>
              <w:rPr>
                <w:rFonts w:hint="eastAsia"/>
                <w:bCs/>
                <w:color w:val="auto"/>
                <w:sz w:val="24"/>
                <w:vertAlign w:val="superscript"/>
              </w:rPr>
              <w:t>3</w:t>
            </w:r>
            <w:r>
              <w:rPr>
                <w:rFonts w:hint="eastAsia"/>
                <w:bCs/>
                <w:color w:val="auto"/>
                <w:sz w:val="24"/>
              </w:rPr>
              <w:t>/h</w:t>
            </w:r>
            <w:r>
              <w:rPr>
                <w:rFonts w:hint="eastAsia"/>
                <w:bCs/>
                <w:color w:val="auto"/>
                <w:sz w:val="24"/>
                <w:highlight w:val="none"/>
              </w:rPr>
              <w:t>，每日运行约</w:t>
            </w:r>
            <w:r>
              <w:rPr>
                <w:rFonts w:hint="eastAsia"/>
                <w:bCs/>
                <w:color w:val="auto"/>
                <w:sz w:val="24"/>
                <w:highlight w:val="none"/>
                <w:lang w:val="en-US" w:eastAsia="zh-CN"/>
              </w:rPr>
              <w:t>5</w:t>
            </w:r>
            <w:r>
              <w:rPr>
                <w:rFonts w:hint="eastAsia"/>
                <w:bCs/>
                <w:color w:val="auto"/>
                <w:sz w:val="24"/>
                <w:highlight w:val="none"/>
              </w:rPr>
              <w:t>h</w:t>
            </w:r>
            <w:r>
              <w:rPr>
                <w:rFonts w:hint="eastAsia"/>
                <w:bCs/>
                <w:color w:val="auto"/>
                <w:sz w:val="24"/>
              </w:rPr>
              <w:t>，则雾炮机用水量为</w:t>
            </w:r>
            <w:r>
              <w:rPr>
                <w:rFonts w:hint="eastAsia"/>
                <w:bCs/>
                <w:color w:val="auto"/>
                <w:sz w:val="24"/>
                <w:lang w:val="en-US" w:eastAsia="zh-CN"/>
              </w:rPr>
              <w:t>1</w:t>
            </w:r>
            <w:r>
              <w:rPr>
                <w:rFonts w:hint="eastAsia"/>
                <w:bCs/>
                <w:color w:val="auto"/>
                <w:sz w:val="24"/>
              </w:rPr>
              <w:t>m</w:t>
            </w:r>
            <w:r>
              <w:rPr>
                <w:rFonts w:hint="eastAsia"/>
                <w:bCs/>
                <w:color w:val="auto"/>
                <w:sz w:val="24"/>
                <w:vertAlign w:val="superscript"/>
              </w:rPr>
              <w:t>3</w:t>
            </w:r>
            <w:r>
              <w:rPr>
                <w:rFonts w:hint="eastAsia"/>
                <w:bCs/>
                <w:color w:val="auto"/>
                <w:sz w:val="24"/>
              </w:rPr>
              <w:t>/d</w:t>
            </w:r>
            <w:r>
              <w:rPr>
                <w:rFonts w:hint="default" w:ascii="Times New Roman" w:hAnsi="Times New Roman" w:cs="Times New Roman"/>
                <w:color w:val="auto"/>
                <w:sz w:val="24"/>
                <w:szCs w:val="24"/>
              </w:rPr>
              <w:t>（</w:t>
            </w:r>
            <w:r>
              <w:rPr>
                <w:rFonts w:hint="eastAsia" w:cs="Times New Roman"/>
                <w:color w:val="auto"/>
                <w:sz w:val="24"/>
                <w:szCs w:val="24"/>
                <w:lang w:val="en-US" w:eastAsia="zh-CN"/>
              </w:rPr>
              <w:t>330</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eastAsia" w:ascii="Times New Roman" w:hAnsi="Times New Roman" w:cs="Times New Roman"/>
                <w:color w:val="auto"/>
                <w:sz w:val="24"/>
                <w:szCs w:val="24"/>
                <w:lang w:eastAsia="zh-CN"/>
              </w:rPr>
              <w:t>，</w:t>
            </w:r>
            <w:r>
              <w:rPr>
                <w:rFonts w:hint="eastAsia"/>
                <w:color w:val="auto"/>
                <w:sz w:val="24"/>
                <w:lang w:val="en-US" w:eastAsia="zh-CN"/>
              </w:rPr>
              <w:t>雾炮</w:t>
            </w:r>
            <w:r>
              <w:rPr>
                <w:rFonts w:hint="eastAsia"/>
                <w:bCs/>
                <w:color w:val="auto"/>
                <w:sz w:val="24"/>
                <w:szCs w:val="20"/>
                <w:lang w:val="en-US" w:eastAsia="zh-CN"/>
              </w:rPr>
              <w:t>抑尘用水全部蒸发损耗</w:t>
            </w:r>
            <w:r>
              <w:rPr>
                <w:rFonts w:hint="eastAsia"/>
                <w:bCs/>
                <w:color w:val="auto"/>
                <w:sz w:val="24"/>
              </w:rPr>
              <w:t>。</w:t>
            </w:r>
          </w:p>
          <w:p w14:paraId="105C9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3）道路</w:t>
            </w:r>
            <w:r>
              <w:rPr>
                <w:rFonts w:hint="eastAsia" w:cs="Times New Roman"/>
                <w:color w:val="auto"/>
                <w:sz w:val="24"/>
                <w:szCs w:val="24"/>
                <w:lang w:val="en-US" w:eastAsia="zh-CN"/>
              </w:rPr>
              <w:t>洒</w:t>
            </w:r>
            <w:r>
              <w:rPr>
                <w:rFonts w:hint="eastAsia" w:ascii="Times New Roman" w:hAnsi="Times New Roman" w:cs="Times New Roman"/>
                <w:color w:val="auto"/>
                <w:sz w:val="24"/>
                <w:szCs w:val="24"/>
                <w:lang w:val="en-US" w:eastAsia="zh-CN"/>
              </w:rPr>
              <w:t>水</w:t>
            </w:r>
          </w:p>
          <w:p w14:paraId="4BF218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厂区道路面积约为</w:t>
            </w:r>
            <w:r>
              <w:rPr>
                <w:rFonts w:hint="eastAsia" w:cs="Times New Roman"/>
                <w:color w:val="auto"/>
                <w:sz w:val="24"/>
                <w:szCs w:val="24"/>
                <w:lang w:val="en-US" w:eastAsia="zh-CN"/>
              </w:rPr>
              <w:t>1</w:t>
            </w:r>
            <w:r>
              <w:rPr>
                <w:rFonts w:hint="eastAsia" w:ascii="Times New Roman" w:hAnsi="Times New Roman" w:cs="Times New Roman"/>
                <w:color w:val="auto"/>
                <w:sz w:val="24"/>
                <w:szCs w:val="24"/>
                <w:lang w:val="en-US" w:eastAsia="zh-CN"/>
              </w:rPr>
              <w:t>00m</w:t>
            </w:r>
            <w:r>
              <w:rPr>
                <w:rFonts w:hint="eastAsia" w:ascii="Times New Roman" w:hAnsi="Times New Roman" w:cs="Times New Roman"/>
                <w:color w:val="auto"/>
                <w:sz w:val="24"/>
                <w:szCs w:val="24"/>
                <w:vertAlign w:val="superscript"/>
                <w:lang w:val="en-US" w:eastAsia="zh-CN"/>
              </w:rPr>
              <w:t>2</w:t>
            </w:r>
            <w:r>
              <w:rPr>
                <w:rFonts w:hint="eastAsia" w:ascii="Times New Roman" w:hAnsi="Times New Roman" w:cs="Times New Roman"/>
                <w:color w:val="auto"/>
                <w:sz w:val="24"/>
                <w:szCs w:val="24"/>
                <w:lang w:val="en-US" w:eastAsia="zh-CN"/>
              </w:rPr>
              <w:t>，根据《山西省用水定额 第3部分：服务业用水定额》（DB141049.3-2021），道路洒水按</w:t>
            </w:r>
            <w:r>
              <w:rPr>
                <w:rFonts w:hint="eastAsia" w:cs="Times New Roman"/>
                <w:color w:val="auto"/>
                <w:sz w:val="24"/>
                <w:szCs w:val="24"/>
                <w:lang w:val="en-US" w:eastAsia="zh-CN"/>
              </w:rPr>
              <w:t>1.</w:t>
            </w:r>
            <w:r>
              <w:rPr>
                <w:rFonts w:hint="eastAsia" w:ascii="Times New Roman" w:hAnsi="Times New Roman" w:cs="Times New Roman"/>
                <w:color w:val="auto"/>
                <w:sz w:val="24"/>
                <w:szCs w:val="24"/>
                <w:lang w:val="en-US" w:eastAsia="zh-CN"/>
              </w:rPr>
              <w:t>5L/m</w:t>
            </w:r>
            <w:r>
              <w:rPr>
                <w:rFonts w:hint="eastAsia" w:ascii="Times New Roman" w:hAnsi="Times New Roman" w:cs="Times New Roman"/>
                <w:color w:val="auto"/>
                <w:sz w:val="24"/>
                <w:szCs w:val="24"/>
                <w:vertAlign w:val="superscript"/>
                <w:lang w:val="en-US" w:eastAsia="zh-CN"/>
              </w:rPr>
              <w:t>2</w:t>
            </w:r>
            <w:r>
              <w:rPr>
                <w:rFonts w:hint="default"/>
                <w:color w:val="auto"/>
                <w:sz w:val="24"/>
              </w:rPr>
              <w:t>·</w:t>
            </w:r>
            <w:r>
              <w:rPr>
                <w:rFonts w:hint="eastAsia"/>
                <w:color w:val="auto"/>
                <w:sz w:val="24"/>
                <w:lang w:val="en-US" w:eastAsia="zh-CN"/>
              </w:rPr>
              <w:t>d</w:t>
            </w:r>
            <w:r>
              <w:rPr>
                <w:rFonts w:hint="eastAsia" w:ascii="Times New Roman" w:hAnsi="Times New Roman" w:cs="Times New Roman"/>
                <w:color w:val="auto"/>
                <w:sz w:val="24"/>
                <w:szCs w:val="24"/>
                <w:lang w:val="en-US" w:eastAsia="zh-CN"/>
              </w:rPr>
              <w:t>，则道路洒水量为</w:t>
            </w:r>
            <w:r>
              <w:rPr>
                <w:rFonts w:hint="eastAsia" w:cs="Times New Roman"/>
                <w:color w:val="auto"/>
                <w:sz w:val="24"/>
                <w:szCs w:val="24"/>
                <w:lang w:val="en-US" w:eastAsia="zh-CN"/>
              </w:rPr>
              <w:t>0.15</w:t>
            </w:r>
            <w:r>
              <w:rPr>
                <w:rFonts w:hint="eastAsia" w:ascii="Times New Roman" w:hAnsi="Times New Roman" w:cs="Times New Roman"/>
                <w:color w:val="auto"/>
                <w:sz w:val="24"/>
                <w:szCs w:val="24"/>
                <w:lang w:val="en-US" w:eastAsia="zh-CN"/>
              </w:rPr>
              <w:t>m</w:t>
            </w:r>
            <w:r>
              <w:rPr>
                <w:rFonts w:hint="eastAsia" w:ascii="Times New Roman" w:hAnsi="Times New Roman" w:cs="Times New Roman"/>
                <w:color w:val="auto"/>
                <w:sz w:val="24"/>
                <w:szCs w:val="24"/>
                <w:vertAlign w:val="superscript"/>
                <w:lang w:val="en-US" w:eastAsia="zh-CN"/>
              </w:rPr>
              <w:t>3</w:t>
            </w:r>
            <w:r>
              <w:rPr>
                <w:rFonts w:hint="eastAsia" w:ascii="Times New Roman" w:hAnsi="Times New Roman" w:cs="Times New Roman"/>
                <w:color w:val="auto"/>
                <w:sz w:val="24"/>
                <w:szCs w:val="24"/>
                <w:lang w:val="en-US" w:eastAsia="zh-CN"/>
              </w:rPr>
              <w:t>/d</w:t>
            </w:r>
            <w:r>
              <w:rPr>
                <w:rFonts w:hint="default" w:ascii="Times New Roman" w:hAnsi="Times New Roman" w:cs="Times New Roman"/>
                <w:color w:val="auto"/>
                <w:sz w:val="24"/>
                <w:szCs w:val="24"/>
              </w:rPr>
              <w:t>（</w:t>
            </w:r>
            <w:r>
              <w:rPr>
                <w:rFonts w:hint="eastAsia" w:cs="Times New Roman"/>
                <w:color w:val="auto"/>
                <w:sz w:val="24"/>
                <w:szCs w:val="24"/>
                <w:lang w:val="en-US" w:eastAsia="zh-CN"/>
              </w:rPr>
              <w:t>31.5</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default"/>
                <w:bCs/>
                <w:color w:val="auto"/>
                <w:sz w:val="24"/>
                <w:highlight w:val="none"/>
              </w:rPr>
              <w:t>（</w:t>
            </w:r>
            <w:r>
              <w:rPr>
                <w:rFonts w:hint="eastAsia"/>
                <w:bCs/>
                <w:color w:val="auto"/>
                <w:sz w:val="24"/>
                <w:highlight w:val="none"/>
              </w:rPr>
              <w:t>210d计</w:t>
            </w:r>
            <w:r>
              <w:rPr>
                <w:rFonts w:hint="default"/>
                <w:bCs/>
                <w:color w:val="auto"/>
                <w:sz w:val="24"/>
                <w:highlight w:val="none"/>
              </w:rPr>
              <w:t>）</w:t>
            </w:r>
            <w:r>
              <w:rPr>
                <w:rFonts w:hint="default"/>
                <w:color w:val="auto"/>
                <w:sz w:val="24"/>
              </w:rPr>
              <w:t>。</w:t>
            </w:r>
          </w:p>
          <w:p w14:paraId="3BE0642F">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cs="Times New Roman"/>
                <w:b w:val="0"/>
                <w:bCs w:val="0"/>
                <w:color w:val="auto"/>
                <w:sz w:val="24"/>
                <w:szCs w:val="24"/>
              </w:rPr>
            </w:pPr>
            <w:r>
              <w:rPr>
                <w:rFonts w:hint="default" w:ascii="Times New Roman" w:hAnsi="Times New Roman" w:eastAsia="宋体" w:cs="Times New Roman"/>
                <w:b w:val="0"/>
                <w:bCs w:val="0"/>
                <w:color w:val="auto"/>
                <w:kern w:val="2"/>
                <w:sz w:val="24"/>
                <w:szCs w:val="24"/>
                <w:lang w:val="en-US" w:eastAsia="zh-CN" w:bidi="ar-SA"/>
              </w:rPr>
              <w:t>（2）</w:t>
            </w:r>
            <w:r>
              <w:rPr>
                <w:rFonts w:hint="default" w:ascii="Times New Roman" w:hAnsi="Times New Roman" w:cs="Times New Roman"/>
                <w:b w:val="0"/>
                <w:bCs w:val="0"/>
                <w:color w:val="auto"/>
                <w:sz w:val="24"/>
                <w:szCs w:val="24"/>
              </w:rPr>
              <w:t>排水</w:t>
            </w:r>
          </w:p>
          <w:p w14:paraId="3E4CAD32">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rightChars="0" w:firstLine="480" w:firstLineChars="200"/>
              <w:jc w:val="both"/>
              <w:textAlignment w:val="auto"/>
              <w:rPr>
                <w:rFonts w:hint="eastAsia" w:ascii="Times New Roman" w:hAnsi="Times New Roman" w:eastAsia="宋体" w:cs="Times New Roman"/>
                <w:b w:val="0"/>
                <w:bCs/>
                <w:color w:val="auto"/>
                <w:sz w:val="24"/>
                <w:szCs w:val="24"/>
                <w:lang w:val="en-US" w:eastAsia="zh-CN"/>
              </w:rPr>
            </w:pPr>
            <w:r>
              <w:rPr>
                <w:rFonts w:hint="default" w:ascii="Times New Roman" w:hAnsi="Times New Roman" w:cs="Times New Roman"/>
                <w:color w:val="auto"/>
                <w:sz w:val="24"/>
                <w:szCs w:val="24"/>
                <w:lang w:val="en-US" w:eastAsia="zh-CN"/>
              </w:rPr>
              <w:t>厂区实行雨污分流</w:t>
            </w:r>
            <w:r>
              <w:rPr>
                <w:rFonts w:hint="eastAsia" w:ascii="Times New Roman" w:hAnsi="Times New Roman" w:cs="Times New Roman"/>
                <w:color w:val="auto"/>
                <w:sz w:val="24"/>
                <w:szCs w:val="24"/>
                <w:lang w:val="en-US" w:eastAsia="zh-CN"/>
              </w:rPr>
              <w:t>，初期雨水随地势流入初期雨水收集池，后期雨水随</w:t>
            </w:r>
            <w:r>
              <w:rPr>
                <w:rFonts w:hint="eastAsia" w:cs="Times New Roman"/>
                <w:color w:val="auto"/>
                <w:sz w:val="24"/>
                <w:szCs w:val="24"/>
                <w:lang w:val="en-US" w:eastAsia="zh-CN"/>
              </w:rPr>
              <w:t>厂区</w:t>
            </w:r>
            <w:r>
              <w:rPr>
                <w:rFonts w:hint="eastAsia" w:ascii="Times New Roman" w:hAnsi="Times New Roman" w:cs="Times New Roman"/>
                <w:color w:val="auto"/>
                <w:sz w:val="24"/>
                <w:szCs w:val="24"/>
                <w:lang w:val="en-US" w:eastAsia="zh-CN"/>
              </w:rPr>
              <w:t>地势流入厂外排水沟</w:t>
            </w:r>
            <w:r>
              <w:rPr>
                <w:rFonts w:hint="eastAsia" w:cs="Times New Roman"/>
                <w:color w:val="auto"/>
                <w:sz w:val="24"/>
                <w:szCs w:val="24"/>
                <w:lang w:val="en-US" w:eastAsia="zh-CN"/>
              </w:rPr>
              <w:t>。</w:t>
            </w:r>
            <w:r>
              <w:rPr>
                <w:rFonts w:hint="default" w:ascii="Times New Roman" w:hAnsi="Times New Roman" w:cs="Times New Roman"/>
                <w:color w:val="auto"/>
                <w:sz w:val="24"/>
                <w:szCs w:val="24"/>
              </w:rPr>
              <w:t>生活污水排放量按照用水量的80%计，则生活污水排放量为</w:t>
            </w:r>
            <w:r>
              <w:rPr>
                <w:rFonts w:hint="eastAsia" w:cs="Times New Roman"/>
                <w:color w:val="auto"/>
                <w:sz w:val="24"/>
                <w:szCs w:val="24"/>
                <w:lang w:val="en-US" w:eastAsia="zh-CN"/>
              </w:rPr>
              <w:t>0.768</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eastAsia" w:cs="Times New Roman"/>
                <w:color w:val="auto"/>
                <w:sz w:val="24"/>
                <w:szCs w:val="24"/>
                <w:lang w:val="en-US" w:eastAsia="zh-CN"/>
              </w:rPr>
              <w:t>253.44</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eastAsia" w:cs="Times New Roman"/>
                <w:color w:val="auto"/>
                <w:sz w:val="24"/>
                <w:szCs w:val="24"/>
                <w:lang w:val="en-US" w:eastAsia="zh-CN"/>
              </w:rPr>
              <w:t>生活污水排入旱厕，定时清掏，不外排。</w:t>
            </w:r>
            <w:r>
              <w:rPr>
                <w:rFonts w:hint="default" w:ascii="Times New Roman" w:hAnsi="Times New Roman" w:eastAsia="宋体" w:cs="Times New Roman"/>
                <w:b w:val="0"/>
                <w:bCs/>
                <w:color w:val="auto"/>
                <w:sz w:val="24"/>
                <w:szCs w:val="24"/>
              </w:rPr>
              <w:t>洗车废水</w:t>
            </w:r>
            <w:r>
              <w:rPr>
                <w:rFonts w:hint="eastAsia" w:cs="Times New Roman"/>
                <w:b w:val="0"/>
                <w:bCs/>
                <w:color w:val="auto"/>
                <w:sz w:val="24"/>
                <w:szCs w:val="24"/>
                <w:lang w:val="en-US" w:eastAsia="zh-CN"/>
              </w:rPr>
              <w:t>经</w:t>
            </w:r>
            <w:r>
              <w:rPr>
                <w:rFonts w:hint="default" w:ascii="Times New Roman" w:hAnsi="Times New Roman" w:eastAsia="宋体" w:cs="Times New Roman"/>
                <w:b w:val="0"/>
                <w:bCs/>
                <w:color w:val="auto"/>
                <w:sz w:val="24"/>
                <w:szCs w:val="24"/>
              </w:rPr>
              <w:t>沉淀处理后循环使用，不外排</w:t>
            </w:r>
            <w:r>
              <w:rPr>
                <w:rFonts w:hint="default" w:ascii="Times New Roman" w:hAnsi="Times New Roman" w:cs="Times New Roman"/>
                <w:color w:val="auto"/>
                <w:sz w:val="24"/>
                <w:szCs w:val="24"/>
              </w:rPr>
              <w:t>。</w:t>
            </w:r>
            <w:r>
              <w:rPr>
                <w:rFonts w:hint="eastAsia" w:ascii="Times New Roman" w:hAnsi="Times New Roman" w:eastAsia="宋体" w:cs="Times New Roman"/>
                <w:b w:val="0"/>
                <w:bCs/>
                <w:color w:val="auto"/>
                <w:sz w:val="24"/>
                <w:szCs w:val="24"/>
                <w:lang w:val="en-US" w:eastAsia="zh-CN"/>
              </w:rPr>
              <w:t>本项目用水量及废水产生量见下表。</w:t>
            </w:r>
          </w:p>
          <w:p w14:paraId="14524E14">
            <w:pPr>
              <w:keepNext w:val="0"/>
              <w:keepLines w:val="0"/>
              <w:suppressLineNumbers w:val="0"/>
              <w:spacing w:before="0" w:beforeAutospacing="0" w:after="0" w:afterAutospacing="0" w:line="480" w:lineRule="exact"/>
              <w:ind w:left="0" w:right="0"/>
              <w:jc w:val="center"/>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表</w:t>
            </w:r>
            <w:r>
              <w:rPr>
                <w:rFonts w:hint="default" w:ascii="Times New Roman" w:hAnsi="Times New Roman" w:eastAsia="宋体" w:cs="Times New Roman"/>
                <w:b/>
                <w:bCs/>
                <w:color w:val="auto"/>
                <w:sz w:val="21"/>
                <w:szCs w:val="21"/>
                <w:lang w:val="en-US" w:eastAsia="zh-CN"/>
              </w:rPr>
              <w:t>2</w:t>
            </w:r>
            <w:r>
              <w:rPr>
                <w:rFonts w:hint="eastAsia" w:cs="Times New Roman"/>
                <w:b/>
                <w:bCs/>
                <w:color w:val="auto"/>
                <w:sz w:val="21"/>
                <w:szCs w:val="21"/>
                <w:lang w:val="en-US" w:eastAsia="zh-CN"/>
              </w:rPr>
              <w:t>.9-1</w:t>
            </w:r>
            <w:r>
              <w:rPr>
                <w:rFonts w:hint="eastAsia" w:ascii="Times New Roman" w:hAnsi="Times New Roman" w:eastAsia="宋体" w:cs="Times New Roman"/>
                <w:b/>
                <w:bCs/>
                <w:color w:val="auto"/>
                <w:sz w:val="21"/>
                <w:szCs w:val="21"/>
                <w:lang w:val="en-US" w:eastAsia="zh-CN"/>
              </w:rPr>
              <w:t xml:space="preserve">  </w:t>
            </w:r>
            <w:r>
              <w:rPr>
                <w:rFonts w:hint="eastAsia" w:cs="Times New Roman"/>
                <w:b/>
                <w:bCs/>
                <w:color w:val="auto"/>
                <w:sz w:val="21"/>
                <w:szCs w:val="21"/>
                <w:lang w:val="en-US" w:eastAsia="zh-CN"/>
              </w:rPr>
              <w:t>本项目</w:t>
            </w:r>
            <w:r>
              <w:rPr>
                <w:rFonts w:hint="eastAsia" w:ascii="Times New Roman" w:hAnsi="Times New Roman" w:eastAsia="宋体" w:cs="Times New Roman"/>
                <w:b/>
                <w:bCs/>
                <w:color w:val="auto"/>
                <w:sz w:val="21"/>
                <w:szCs w:val="21"/>
                <w:lang w:val="en-US" w:eastAsia="zh-CN"/>
              </w:rPr>
              <w:t>用水</w:t>
            </w:r>
            <w:r>
              <w:rPr>
                <w:rFonts w:hint="eastAsia" w:cs="Times New Roman"/>
                <w:b/>
                <w:bCs/>
                <w:color w:val="auto"/>
                <w:sz w:val="21"/>
                <w:szCs w:val="21"/>
                <w:lang w:val="en-US" w:eastAsia="zh-CN"/>
              </w:rPr>
              <w:t>、排水情况</w:t>
            </w:r>
            <w:r>
              <w:rPr>
                <w:rFonts w:hint="eastAsia" w:ascii="Times New Roman" w:hAnsi="Times New Roman" w:eastAsia="宋体" w:cs="Times New Roman"/>
                <w:b/>
                <w:bCs/>
                <w:color w:val="auto"/>
                <w:sz w:val="21"/>
                <w:szCs w:val="21"/>
                <w:lang w:val="en-US" w:eastAsia="zh-CN"/>
              </w:rPr>
              <w:t>一览表</w:t>
            </w:r>
          </w:p>
          <w:tbl>
            <w:tblPr>
              <w:tblStyle w:val="2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504"/>
              <w:gridCol w:w="1510"/>
              <w:gridCol w:w="993"/>
              <w:gridCol w:w="1030"/>
              <w:gridCol w:w="939"/>
              <w:gridCol w:w="1948"/>
            </w:tblGrid>
            <w:tr w14:paraId="0C280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tcBorders>
                    <w:tl2br w:val="nil"/>
                    <w:tr2bl w:val="nil"/>
                  </w:tcBorders>
                  <w:noWrap w:val="0"/>
                  <w:vAlign w:val="center"/>
                </w:tcPr>
                <w:p w14:paraId="3017B01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类别</w:t>
                  </w:r>
                </w:p>
              </w:tc>
              <w:tc>
                <w:tcPr>
                  <w:tcW w:w="877" w:type="pct"/>
                  <w:tcBorders>
                    <w:tl2br w:val="nil"/>
                    <w:tr2bl w:val="nil"/>
                  </w:tcBorders>
                  <w:noWrap w:val="0"/>
                  <w:vAlign w:val="center"/>
                </w:tcPr>
                <w:p w14:paraId="5C4D3F7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用水类型</w:t>
                  </w:r>
                </w:p>
              </w:tc>
              <w:tc>
                <w:tcPr>
                  <w:tcW w:w="880" w:type="pct"/>
                  <w:tcBorders>
                    <w:tl2br w:val="nil"/>
                    <w:tr2bl w:val="nil"/>
                  </w:tcBorders>
                  <w:noWrap w:val="0"/>
                  <w:vAlign w:val="center"/>
                </w:tcPr>
                <w:p w14:paraId="60A845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用水量指标</w:t>
                  </w:r>
                </w:p>
              </w:tc>
              <w:tc>
                <w:tcPr>
                  <w:tcW w:w="579" w:type="pct"/>
                  <w:tcBorders>
                    <w:tl2br w:val="nil"/>
                    <w:tr2bl w:val="nil"/>
                  </w:tcBorders>
                  <w:noWrap w:val="0"/>
                  <w:vAlign w:val="center"/>
                </w:tcPr>
                <w:p w14:paraId="1C0046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数量</w:t>
                  </w:r>
                </w:p>
              </w:tc>
              <w:tc>
                <w:tcPr>
                  <w:tcW w:w="601" w:type="pct"/>
                  <w:tcBorders>
                    <w:tl2br w:val="nil"/>
                    <w:tr2bl w:val="nil"/>
                  </w:tcBorders>
                  <w:noWrap w:val="0"/>
                  <w:vAlign w:val="center"/>
                </w:tcPr>
                <w:p w14:paraId="79A8A0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用水量</w:t>
                  </w:r>
                  <w:r>
                    <w:rPr>
                      <w:rFonts w:hint="eastAsia" w:cs="Times New Roman"/>
                      <w:b/>
                      <w:bCs/>
                      <w:color w:val="auto"/>
                      <w:sz w:val="21"/>
                      <w:szCs w:val="21"/>
                      <w:lang w:val="en-US" w:eastAsia="zh-CN"/>
                    </w:rPr>
                    <w:t>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/d</w:t>
                  </w:r>
                </w:p>
              </w:tc>
              <w:tc>
                <w:tcPr>
                  <w:tcW w:w="547" w:type="pct"/>
                  <w:tcBorders>
                    <w:tl2br w:val="nil"/>
                    <w:tr2bl w:val="nil"/>
                  </w:tcBorders>
                  <w:noWrap w:val="0"/>
                  <w:vAlign w:val="center"/>
                </w:tcPr>
                <w:p w14:paraId="5802A3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rPr>
                  </w:pPr>
                  <w:r>
                    <w:rPr>
                      <w:rFonts w:hint="eastAsia" w:cs="Times New Roman"/>
                      <w:b/>
                      <w:bCs/>
                      <w:color w:val="auto"/>
                      <w:sz w:val="21"/>
                      <w:szCs w:val="21"/>
                      <w:lang w:val="en-US" w:eastAsia="zh-CN"/>
                    </w:rPr>
                    <w:t>废水</w:t>
                  </w:r>
                  <w:r>
                    <w:rPr>
                      <w:rFonts w:hint="default" w:ascii="Times New Roman" w:hAnsi="Times New Roman" w:cs="Times New Roman"/>
                      <w:b/>
                      <w:bCs/>
                      <w:color w:val="auto"/>
                      <w:sz w:val="21"/>
                      <w:szCs w:val="21"/>
                    </w:rPr>
                    <w:t>量</w:t>
                  </w:r>
                  <w:r>
                    <w:rPr>
                      <w:rFonts w:hint="eastAsia" w:cs="Times New Roman"/>
                      <w:b/>
                      <w:bCs/>
                      <w:color w:val="auto"/>
                      <w:sz w:val="21"/>
                      <w:szCs w:val="21"/>
                      <w:lang w:val="en-US" w:eastAsia="zh-CN"/>
                    </w:rPr>
                    <w:t>m</w:t>
                  </w:r>
                  <w:r>
                    <w:rPr>
                      <w:rFonts w:hint="default" w:ascii="Times New Roman" w:hAnsi="Times New Roman" w:cs="Times New Roman"/>
                      <w:b/>
                      <w:bCs/>
                      <w:color w:val="auto"/>
                      <w:sz w:val="21"/>
                      <w:szCs w:val="21"/>
                      <w:vertAlign w:val="superscript"/>
                    </w:rPr>
                    <w:t>3</w:t>
                  </w:r>
                  <w:r>
                    <w:rPr>
                      <w:rFonts w:hint="default" w:ascii="Times New Roman" w:hAnsi="Times New Roman" w:cs="Times New Roman"/>
                      <w:b/>
                      <w:bCs/>
                      <w:color w:val="auto"/>
                      <w:sz w:val="21"/>
                      <w:szCs w:val="21"/>
                    </w:rPr>
                    <w:t>/d</w:t>
                  </w:r>
                </w:p>
              </w:tc>
              <w:tc>
                <w:tcPr>
                  <w:tcW w:w="1135" w:type="pct"/>
                  <w:tcBorders>
                    <w:tl2br w:val="nil"/>
                    <w:tr2bl w:val="nil"/>
                  </w:tcBorders>
                  <w:noWrap w:val="0"/>
                  <w:vAlign w:val="center"/>
                </w:tcPr>
                <w:p w14:paraId="05BDB0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lang w:val="en-US" w:eastAsia="zh-CN"/>
                    </w:rPr>
                  </w:pPr>
                  <w:r>
                    <w:rPr>
                      <w:rFonts w:hint="eastAsia" w:cs="Times New Roman"/>
                      <w:b/>
                      <w:bCs/>
                      <w:color w:val="auto"/>
                      <w:sz w:val="21"/>
                      <w:szCs w:val="21"/>
                      <w:lang w:val="en-US" w:eastAsia="zh-CN"/>
                    </w:rPr>
                    <w:t>备注</w:t>
                  </w:r>
                </w:p>
              </w:tc>
            </w:tr>
            <w:tr w14:paraId="4292A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tcBorders>
                    <w:tl2br w:val="nil"/>
                    <w:tr2bl w:val="nil"/>
                  </w:tcBorders>
                  <w:noWrap w:val="0"/>
                  <w:vAlign w:val="center"/>
                </w:tcPr>
                <w:p w14:paraId="4F53AA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b/>
                      <w:bCs/>
                      <w:color w:val="auto"/>
                      <w:sz w:val="21"/>
                      <w:szCs w:val="21"/>
                      <w:lang w:val="en-US" w:eastAsia="zh-CN"/>
                    </w:rPr>
                  </w:pPr>
                  <w:r>
                    <w:rPr>
                      <w:rFonts w:hint="eastAsia" w:ascii="Times New Roman" w:hAnsi="Times New Roman" w:eastAsia="宋体" w:cs="Times New Roman"/>
                      <w:color w:val="auto"/>
                      <w:sz w:val="21"/>
                      <w:szCs w:val="21"/>
                      <w:lang w:val="en-US" w:eastAsia="zh-CN"/>
                    </w:rPr>
                    <w:t>生活</w:t>
                  </w:r>
                </w:p>
              </w:tc>
              <w:tc>
                <w:tcPr>
                  <w:tcW w:w="877" w:type="pct"/>
                  <w:tcBorders>
                    <w:tl2br w:val="nil"/>
                    <w:tr2bl w:val="nil"/>
                  </w:tcBorders>
                  <w:noWrap w:val="0"/>
                  <w:vAlign w:val="center"/>
                </w:tcPr>
                <w:p w14:paraId="7F4D72D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z w:val="21"/>
                      <w:szCs w:val="21"/>
                      <w:lang w:val="en-US" w:eastAsia="zh-CN"/>
                    </w:rPr>
                  </w:pPr>
                  <w:r>
                    <w:rPr>
                      <w:rFonts w:hint="eastAsia" w:cs="Times New Roman"/>
                      <w:b w:val="0"/>
                      <w:bCs w:val="0"/>
                      <w:color w:val="auto"/>
                      <w:sz w:val="21"/>
                      <w:szCs w:val="21"/>
                      <w:lang w:val="en-US" w:eastAsia="zh-CN"/>
                    </w:rPr>
                    <w:t>生活用水</w:t>
                  </w:r>
                </w:p>
              </w:tc>
              <w:tc>
                <w:tcPr>
                  <w:tcW w:w="880" w:type="pct"/>
                  <w:tcBorders>
                    <w:tl2br w:val="nil"/>
                    <w:tr2bl w:val="nil"/>
                  </w:tcBorders>
                  <w:noWrap w:val="0"/>
                  <w:vAlign w:val="center"/>
                </w:tcPr>
                <w:p w14:paraId="175B1F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auto"/>
                      <w:sz w:val="21"/>
                      <w:szCs w:val="21"/>
                    </w:rPr>
                  </w:pPr>
                  <w:r>
                    <w:rPr>
                      <w:rFonts w:hint="eastAsia" w:cs="Times New Roman"/>
                      <w:bCs/>
                      <w:color w:val="auto"/>
                      <w:sz w:val="21"/>
                      <w:szCs w:val="21"/>
                      <w:lang w:val="en-US" w:eastAsia="zh-CN"/>
                    </w:rPr>
                    <w:t>8</w:t>
                  </w:r>
                  <w:r>
                    <w:rPr>
                      <w:rFonts w:hint="default" w:ascii="Times New Roman" w:hAnsi="Times New Roman" w:eastAsia="宋体" w:cs="Times New Roman"/>
                      <w:bCs/>
                      <w:color w:val="auto"/>
                      <w:sz w:val="21"/>
                      <w:szCs w:val="21"/>
                    </w:rPr>
                    <w:t>0L/人·d</w:t>
                  </w:r>
                </w:p>
              </w:tc>
              <w:tc>
                <w:tcPr>
                  <w:tcW w:w="579" w:type="pct"/>
                  <w:tcBorders>
                    <w:tl2br w:val="nil"/>
                    <w:tr2bl w:val="nil"/>
                  </w:tcBorders>
                  <w:noWrap w:val="0"/>
                  <w:vAlign w:val="center"/>
                </w:tcPr>
                <w:p w14:paraId="40E66AB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cs="Times New Roman"/>
                      <w:b w:val="0"/>
                      <w:bCs w:val="0"/>
                      <w:color w:val="auto"/>
                      <w:sz w:val="21"/>
                      <w:szCs w:val="21"/>
                      <w:lang w:val="en-US" w:eastAsia="zh-CN"/>
                    </w:rPr>
                  </w:pPr>
                  <w:r>
                    <w:rPr>
                      <w:rFonts w:hint="eastAsia" w:cs="Times New Roman"/>
                      <w:color w:val="auto"/>
                      <w:sz w:val="21"/>
                      <w:szCs w:val="21"/>
                      <w:lang w:val="en-US" w:eastAsia="zh-CN"/>
                    </w:rPr>
                    <w:t>12</w:t>
                  </w:r>
                  <w:r>
                    <w:rPr>
                      <w:rFonts w:hint="eastAsia" w:ascii="Times New Roman" w:hAnsi="Times New Roman" w:eastAsia="宋体" w:cs="Times New Roman"/>
                      <w:color w:val="auto"/>
                      <w:sz w:val="21"/>
                      <w:szCs w:val="21"/>
                      <w:lang w:val="en-US" w:eastAsia="zh-CN"/>
                    </w:rPr>
                    <w:t>人</w:t>
                  </w:r>
                </w:p>
              </w:tc>
              <w:tc>
                <w:tcPr>
                  <w:tcW w:w="601" w:type="pct"/>
                  <w:tcBorders>
                    <w:tl2br w:val="nil"/>
                    <w:tr2bl w:val="nil"/>
                  </w:tcBorders>
                  <w:noWrap w:val="0"/>
                  <w:vAlign w:val="center"/>
                </w:tcPr>
                <w:p w14:paraId="3BD322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cs="Times New Roman"/>
                      <w:b w:val="0"/>
                      <w:bCs w:val="0"/>
                      <w:color w:val="auto"/>
                      <w:sz w:val="21"/>
                      <w:szCs w:val="21"/>
                      <w:lang w:val="en-US"/>
                    </w:rPr>
                  </w:pPr>
                  <w:r>
                    <w:rPr>
                      <w:rFonts w:hint="eastAsia" w:cs="Times New Roman"/>
                      <w:color w:val="auto"/>
                      <w:sz w:val="21"/>
                      <w:szCs w:val="21"/>
                      <w:lang w:val="en-US" w:eastAsia="zh-CN"/>
                    </w:rPr>
                    <w:t>0.96</w:t>
                  </w:r>
                </w:p>
              </w:tc>
              <w:tc>
                <w:tcPr>
                  <w:tcW w:w="547" w:type="pct"/>
                  <w:tcBorders>
                    <w:tl2br w:val="nil"/>
                    <w:tr2bl w:val="nil"/>
                  </w:tcBorders>
                  <w:noWrap w:val="0"/>
                  <w:vAlign w:val="center"/>
                </w:tcPr>
                <w:p w14:paraId="43EF167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cs="Times New Roman"/>
                      <w:b w:val="0"/>
                      <w:bCs w:val="0"/>
                      <w:color w:val="auto"/>
                      <w:sz w:val="21"/>
                      <w:szCs w:val="21"/>
                      <w:lang w:val="en-US" w:eastAsia="zh-CN"/>
                    </w:rPr>
                  </w:pPr>
                  <w:r>
                    <w:rPr>
                      <w:rFonts w:hint="eastAsia" w:cs="Times New Roman"/>
                      <w:color w:val="auto"/>
                      <w:sz w:val="21"/>
                      <w:szCs w:val="21"/>
                      <w:lang w:val="en-US" w:eastAsia="zh-CN"/>
                    </w:rPr>
                    <w:t>0.768</w:t>
                  </w:r>
                </w:p>
              </w:tc>
              <w:tc>
                <w:tcPr>
                  <w:tcW w:w="1135" w:type="pct"/>
                  <w:tcBorders>
                    <w:tl2br w:val="nil"/>
                    <w:tr2bl w:val="nil"/>
                  </w:tcBorders>
                  <w:noWrap w:val="0"/>
                  <w:vAlign w:val="center"/>
                </w:tcPr>
                <w:p w14:paraId="7A9AA6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排入旱厕，不外排</w:t>
                  </w:r>
                </w:p>
              </w:tc>
            </w:tr>
            <w:tr w14:paraId="26EFE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Merge w:val="restart"/>
                  <w:tcBorders>
                    <w:tl2br w:val="nil"/>
                    <w:tr2bl w:val="nil"/>
                  </w:tcBorders>
                  <w:noWrap w:val="0"/>
                  <w:vAlign w:val="center"/>
                </w:tcPr>
                <w:p w14:paraId="394796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生产</w:t>
                  </w:r>
                </w:p>
              </w:tc>
              <w:tc>
                <w:tcPr>
                  <w:tcW w:w="877" w:type="pct"/>
                  <w:tcBorders>
                    <w:tl2br w:val="nil"/>
                    <w:tr2bl w:val="nil"/>
                  </w:tcBorders>
                  <w:noWrap w:val="0"/>
                  <w:vAlign w:val="center"/>
                </w:tcPr>
                <w:p w14:paraId="13E814F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洗车</w:t>
                  </w:r>
                  <w:r>
                    <w:rPr>
                      <w:rFonts w:hint="eastAsia" w:cs="Times New Roman"/>
                      <w:color w:val="auto"/>
                      <w:sz w:val="21"/>
                      <w:szCs w:val="21"/>
                      <w:lang w:val="en-US" w:eastAsia="zh-CN"/>
                    </w:rPr>
                    <w:t>平台补水</w:t>
                  </w:r>
                </w:p>
              </w:tc>
              <w:tc>
                <w:tcPr>
                  <w:tcW w:w="880" w:type="pct"/>
                  <w:tcBorders>
                    <w:tl2br w:val="nil"/>
                    <w:tr2bl w:val="nil"/>
                  </w:tcBorders>
                  <w:noWrap w:val="0"/>
                  <w:vAlign w:val="center"/>
                </w:tcPr>
                <w:p w14:paraId="2FB8FD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579" w:type="pct"/>
                  <w:tcBorders>
                    <w:tl2br w:val="nil"/>
                    <w:tr2bl w:val="nil"/>
                  </w:tcBorders>
                  <w:noWrap w:val="0"/>
                  <w:vAlign w:val="center"/>
                </w:tcPr>
                <w:p w14:paraId="459D3D6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601" w:type="pct"/>
                  <w:tcBorders>
                    <w:tl2br w:val="nil"/>
                    <w:tr2bl w:val="nil"/>
                  </w:tcBorders>
                  <w:noWrap w:val="0"/>
                  <w:vAlign w:val="center"/>
                </w:tcPr>
                <w:p w14:paraId="379469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highlight w:val="none"/>
                      <w:lang w:val="en-US" w:eastAsia="zh-CN"/>
                    </w:rPr>
                    <w:t>0.48</w:t>
                  </w:r>
                </w:p>
              </w:tc>
              <w:tc>
                <w:tcPr>
                  <w:tcW w:w="547" w:type="pct"/>
                  <w:tcBorders>
                    <w:tl2br w:val="nil"/>
                    <w:tr2bl w:val="nil"/>
                  </w:tcBorders>
                  <w:noWrap w:val="0"/>
                  <w:vAlign w:val="center"/>
                </w:tcPr>
                <w:p w14:paraId="393EDC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olor w:val="auto"/>
                      <w:sz w:val="21"/>
                      <w:szCs w:val="21"/>
                      <w:highlight w:val="none"/>
                      <w:lang w:val="en-US" w:eastAsia="zh-CN"/>
                    </w:rPr>
                    <w:t>0</w:t>
                  </w:r>
                </w:p>
              </w:tc>
              <w:tc>
                <w:tcPr>
                  <w:tcW w:w="1135" w:type="pct"/>
                  <w:tcBorders>
                    <w:tl2br w:val="nil"/>
                    <w:tr2bl w:val="nil"/>
                  </w:tcBorders>
                  <w:noWrap w:val="0"/>
                  <w:vAlign w:val="center"/>
                </w:tcPr>
                <w:p w14:paraId="13BB46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循环使用，不外排</w:t>
                  </w:r>
                </w:p>
              </w:tc>
            </w:tr>
            <w:tr w14:paraId="0AA7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Merge w:val="continue"/>
                  <w:tcBorders>
                    <w:tl2br w:val="nil"/>
                    <w:tr2bl w:val="nil"/>
                  </w:tcBorders>
                  <w:shd w:val="clear" w:color="auto" w:fill="auto"/>
                  <w:noWrap w:val="0"/>
                  <w:vAlign w:val="center"/>
                </w:tcPr>
                <w:p w14:paraId="7044471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cs="Times New Roman"/>
                      <w:color w:val="auto"/>
                      <w:sz w:val="21"/>
                      <w:szCs w:val="21"/>
                      <w:lang w:val="en-US" w:eastAsia="zh-CN"/>
                    </w:rPr>
                  </w:pPr>
                </w:p>
              </w:tc>
              <w:tc>
                <w:tcPr>
                  <w:tcW w:w="877" w:type="pct"/>
                  <w:vMerge w:val="restart"/>
                  <w:tcBorders>
                    <w:tl2br w:val="nil"/>
                    <w:tr2bl w:val="nil"/>
                  </w:tcBorders>
                  <w:shd w:val="clear" w:color="auto" w:fill="auto"/>
                  <w:noWrap w:val="0"/>
                  <w:vAlign w:val="center"/>
                </w:tcPr>
                <w:p w14:paraId="3322ED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喷雾用水</w:t>
                  </w:r>
                </w:p>
              </w:tc>
              <w:tc>
                <w:tcPr>
                  <w:tcW w:w="880" w:type="pct"/>
                  <w:tcBorders>
                    <w:tl2br w:val="nil"/>
                    <w:tr2bl w:val="nil"/>
                  </w:tcBorders>
                  <w:shd w:val="clear" w:color="auto" w:fill="auto"/>
                  <w:noWrap w:val="0"/>
                  <w:vAlign w:val="center"/>
                </w:tcPr>
                <w:p w14:paraId="5054AE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color w:val="auto"/>
                      <w:sz w:val="21"/>
                      <w:szCs w:val="21"/>
                    </w:rPr>
                    <w:t>1.</w:t>
                  </w:r>
                  <w:r>
                    <w:rPr>
                      <w:rFonts w:hint="eastAsia"/>
                      <w:color w:val="auto"/>
                      <w:sz w:val="21"/>
                      <w:szCs w:val="21"/>
                    </w:rPr>
                    <w:t>0</w:t>
                  </w:r>
                  <w:r>
                    <w:rPr>
                      <w:rFonts w:hint="default"/>
                      <w:color w:val="auto"/>
                      <w:sz w:val="21"/>
                      <w:szCs w:val="21"/>
                    </w:rPr>
                    <w:t>L/m</w:t>
                  </w:r>
                  <w:r>
                    <w:rPr>
                      <w:rFonts w:hint="default"/>
                      <w:color w:val="auto"/>
                      <w:sz w:val="21"/>
                      <w:szCs w:val="21"/>
                      <w:vertAlign w:val="superscript"/>
                    </w:rPr>
                    <w:t>2</w:t>
                  </w:r>
                  <w:r>
                    <w:rPr>
                      <w:rFonts w:hint="default"/>
                      <w:color w:val="auto"/>
                      <w:sz w:val="21"/>
                      <w:szCs w:val="21"/>
                    </w:rPr>
                    <w:t>·d</w:t>
                  </w:r>
                </w:p>
              </w:tc>
              <w:tc>
                <w:tcPr>
                  <w:tcW w:w="579" w:type="pct"/>
                  <w:tcBorders>
                    <w:tl2br w:val="nil"/>
                    <w:tr2bl w:val="nil"/>
                  </w:tcBorders>
                  <w:noWrap w:val="0"/>
                  <w:vAlign w:val="center"/>
                </w:tcPr>
                <w:p w14:paraId="6713E7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olor w:val="auto"/>
                      <w:sz w:val="21"/>
                      <w:szCs w:val="21"/>
                      <w:lang w:val="en-US" w:eastAsia="zh-CN"/>
                    </w:rPr>
                  </w:pPr>
                  <w:r>
                    <w:rPr>
                      <w:rFonts w:hint="eastAsia"/>
                      <w:color w:val="auto"/>
                      <w:sz w:val="21"/>
                      <w:szCs w:val="21"/>
                      <w:lang w:val="en-US" w:eastAsia="zh-CN"/>
                    </w:rPr>
                    <w:t>4500m</w:t>
                  </w:r>
                  <w:r>
                    <w:rPr>
                      <w:rFonts w:hint="eastAsia"/>
                      <w:color w:val="auto"/>
                      <w:sz w:val="21"/>
                      <w:szCs w:val="21"/>
                      <w:vertAlign w:val="superscript"/>
                      <w:lang w:val="en-US" w:eastAsia="zh-CN"/>
                    </w:rPr>
                    <w:t>2</w:t>
                  </w:r>
                </w:p>
              </w:tc>
              <w:tc>
                <w:tcPr>
                  <w:tcW w:w="601" w:type="pct"/>
                  <w:tcBorders>
                    <w:tl2br w:val="nil"/>
                    <w:tr2bl w:val="nil"/>
                  </w:tcBorders>
                  <w:noWrap w:val="0"/>
                  <w:vAlign w:val="center"/>
                </w:tcPr>
                <w:p w14:paraId="50D0B37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bCs/>
                      <w:color w:val="auto"/>
                      <w:sz w:val="21"/>
                      <w:szCs w:val="21"/>
                      <w:lang w:val="en-US" w:eastAsia="zh-CN"/>
                    </w:rPr>
                    <w:t>4.5</w:t>
                  </w:r>
                </w:p>
              </w:tc>
              <w:tc>
                <w:tcPr>
                  <w:tcW w:w="547" w:type="pct"/>
                  <w:tcBorders>
                    <w:tl2br w:val="nil"/>
                    <w:tr2bl w:val="nil"/>
                  </w:tcBorders>
                  <w:noWrap w:val="0"/>
                  <w:vAlign w:val="center"/>
                </w:tcPr>
                <w:p w14:paraId="78A5E15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w:t>
                  </w:r>
                </w:p>
              </w:tc>
              <w:tc>
                <w:tcPr>
                  <w:tcW w:w="1135" w:type="pct"/>
                  <w:vMerge w:val="restart"/>
                  <w:tcBorders>
                    <w:tl2br w:val="nil"/>
                    <w:tr2bl w:val="nil"/>
                  </w:tcBorders>
                  <w:noWrap w:val="0"/>
                  <w:vAlign w:val="center"/>
                </w:tcPr>
                <w:p w14:paraId="57B802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全部损耗</w:t>
                  </w:r>
                </w:p>
              </w:tc>
            </w:tr>
            <w:tr w14:paraId="2FAE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Merge w:val="continue"/>
                  <w:tcBorders>
                    <w:tl2br w:val="nil"/>
                    <w:tr2bl w:val="nil"/>
                  </w:tcBorders>
                  <w:noWrap w:val="0"/>
                  <w:vAlign w:val="center"/>
                </w:tcPr>
                <w:p w14:paraId="27C9F1D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p>
              </w:tc>
              <w:tc>
                <w:tcPr>
                  <w:tcW w:w="877" w:type="pct"/>
                  <w:vMerge w:val="continue"/>
                  <w:tcBorders>
                    <w:tl2br w:val="nil"/>
                    <w:tr2bl w:val="nil"/>
                  </w:tcBorders>
                  <w:noWrap w:val="0"/>
                  <w:vAlign w:val="center"/>
                </w:tcPr>
                <w:p w14:paraId="66C1564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p>
              </w:tc>
              <w:tc>
                <w:tcPr>
                  <w:tcW w:w="880" w:type="pct"/>
                  <w:tcBorders>
                    <w:tl2br w:val="nil"/>
                    <w:tr2bl w:val="nil"/>
                  </w:tcBorders>
                  <w:noWrap w:val="0"/>
                  <w:vAlign w:val="center"/>
                </w:tcPr>
                <w:p w14:paraId="561F9CD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eastAsia="宋体"/>
                      <w:color w:val="auto"/>
                      <w:sz w:val="21"/>
                      <w:szCs w:val="21"/>
                      <w:lang w:val="en-US" w:eastAsia="zh-CN"/>
                    </w:rPr>
                  </w:pPr>
                  <w:r>
                    <w:rPr>
                      <w:rFonts w:hint="eastAsia"/>
                      <w:bCs/>
                      <w:color w:val="auto"/>
                      <w:sz w:val="21"/>
                      <w:szCs w:val="21"/>
                    </w:rPr>
                    <w:t>0.1m</w:t>
                  </w:r>
                  <w:r>
                    <w:rPr>
                      <w:rFonts w:hint="eastAsia"/>
                      <w:bCs/>
                      <w:color w:val="auto"/>
                      <w:sz w:val="21"/>
                      <w:szCs w:val="21"/>
                      <w:vertAlign w:val="superscript"/>
                    </w:rPr>
                    <w:t>3</w:t>
                  </w:r>
                  <w:r>
                    <w:rPr>
                      <w:rFonts w:hint="eastAsia"/>
                      <w:bCs/>
                      <w:color w:val="auto"/>
                      <w:sz w:val="21"/>
                      <w:szCs w:val="21"/>
                    </w:rPr>
                    <w:t>/h</w:t>
                  </w:r>
                  <w:r>
                    <w:rPr>
                      <w:rFonts w:hint="default"/>
                      <w:color w:val="auto"/>
                      <w:sz w:val="21"/>
                      <w:szCs w:val="21"/>
                    </w:rPr>
                    <w:t>·</w:t>
                  </w:r>
                  <w:r>
                    <w:rPr>
                      <w:rFonts w:hint="eastAsia"/>
                      <w:color w:val="auto"/>
                      <w:sz w:val="21"/>
                      <w:szCs w:val="21"/>
                      <w:lang w:val="en-US" w:eastAsia="zh-CN"/>
                    </w:rPr>
                    <w:t>台</w:t>
                  </w:r>
                </w:p>
              </w:tc>
              <w:tc>
                <w:tcPr>
                  <w:tcW w:w="579" w:type="pct"/>
                  <w:tcBorders>
                    <w:tl2br w:val="nil"/>
                    <w:tr2bl w:val="nil"/>
                  </w:tcBorders>
                  <w:noWrap w:val="0"/>
                  <w:vAlign w:val="center"/>
                </w:tcPr>
                <w:p w14:paraId="2CC9AB2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olor w:val="auto"/>
                      <w:sz w:val="21"/>
                      <w:szCs w:val="21"/>
                      <w:lang w:val="en-US" w:eastAsia="zh-CN"/>
                    </w:rPr>
                  </w:pPr>
                  <w:r>
                    <w:rPr>
                      <w:rFonts w:hint="eastAsia"/>
                      <w:color w:val="auto"/>
                      <w:sz w:val="21"/>
                      <w:szCs w:val="21"/>
                      <w:lang w:val="en-US" w:eastAsia="zh-CN"/>
                    </w:rPr>
                    <w:t>5h，2台</w:t>
                  </w:r>
                </w:p>
              </w:tc>
              <w:tc>
                <w:tcPr>
                  <w:tcW w:w="601" w:type="pct"/>
                  <w:tcBorders>
                    <w:tl2br w:val="nil"/>
                    <w:tr2bl w:val="nil"/>
                  </w:tcBorders>
                  <w:noWrap w:val="0"/>
                  <w:vAlign w:val="center"/>
                </w:tcPr>
                <w:p w14:paraId="742E316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547" w:type="pct"/>
                  <w:tcBorders>
                    <w:tl2br w:val="nil"/>
                    <w:tr2bl w:val="nil"/>
                  </w:tcBorders>
                  <w:noWrap w:val="0"/>
                  <w:vAlign w:val="center"/>
                </w:tcPr>
                <w:p w14:paraId="4C379E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0</w:t>
                  </w:r>
                </w:p>
              </w:tc>
              <w:tc>
                <w:tcPr>
                  <w:tcW w:w="1135" w:type="pct"/>
                  <w:vMerge w:val="continue"/>
                  <w:tcBorders>
                    <w:tl2br w:val="nil"/>
                    <w:tr2bl w:val="nil"/>
                  </w:tcBorders>
                  <w:noWrap w:val="0"/>
                  <w:vAlign w:val="center"/>
                </w:tcPr>
                <w:p w14:paraId="0B5138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rPr>
                  </w:pPr>
                </w:p>
              </w:tc>
            </w:tr>
            <w:tr w14:paraId="389C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77" w:type="pct"/>
                  <w:vMerge w:val="continue"/>
                  <w:tcBorders>
                    <w:tl2br w:val="nil"/>
                    <w:tr2bl w:val="nil"/>
                  </w:tcBorders>
                  <w:noWrap w:val="0"/>
                  <w:vAlign w:val="center"/>
                </w:tcPr>
                <w:p w14:paraId="7E065A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p>
              </w:tc>
              <w:tc>
                <w:tcPr>
                  <w:tcW w:w="877" w:type="pct"/>
                  <w:tcBorders>
                    <w:tl2br w:val="nil"/>
                    <w:tr2bl w:val="nil"/>
                  </w:tcBorders>
                  <w:noWrap w:val="0"/>
                  <w:vAlign w:val="center"/>
                </w:tcPr>
                <w:p w14:paraId="40C9309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道路洒水</w:t>
                  </w:r>
                </w:p>
              </w:tc>
              <w:tc>
                <w:tcPr>
                  <w:tcW w:w="880" w:type="pct"/>
                  <w:tcBorders>
                    <w:tl2br w:val="nil"/>
                    <w:tr2bl w:val="nil"/>
                  </w:tcBorders>
                  <w:noWrap w:val="0"/>
                  <w:vAlign w:val="center"/>
                </w:tcPr>
                <w:p w14:paraId="7BD84A3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bCs/>
                      <w:color w:val="auto"/>
                      <w:sz w:val="21"/>
                      <w:szCs w:val="21"/>
                      <w:highlight w:val="none"/>
                    </w:rPr>
                  </w:pP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5L/m</w:t>
                  </w:r>
                  <w:r>
                    <w:rPr>
                      <w:rFonts w:hint="eastAsia" w:ascii="Times New Roman" w:hAnsi="Times New Roman" w:cs="Times New Roman"/>
                      <w:color w:val="auto"/>
                      <w:sz w:val="21"/>
                      <w:szCs w:val="21"/>
                      <w:highlight w:val="none"/>
                      <w:vertAlign w:val="superscript"/>
                      <w:lang w:val="en-US" w:eastAsia="zh-CN"/>
                    </w:rPr>
                    <w:t>2</w:t>
                  </w:r>
                  <w:r>
                    <w:rPr>
                      <w:rFonts w:hint="default"/>
                      <w:color w:val="auto"/>
                      <w:sz w:val="21"/>
                      <w:szCs w:val="21"/>
                      <w:highlight w:val="none"/>
                    </w:rPr>
                    <w:t>·</w:t>
                  </w:r>
                  <w:r>
                    <w:rPr>
                      <w:rFonts w:hint="eastAsia"/>
                      <w:color w:val="auto"/>
                      <w:sz w:val="21"/>
                      <w:szCs w:val="21"/>
                      <w:highlight w:val="none"/>
                      <w:lang w:val="en-US" w:eastAsia="zh-CN"/>
                    </w:rPr>
                    <w:t>d</w:t>
                  </w:r>
                </w:p>
              </w:tc>
              <w:tc>
                <w:tcPr>
                  <w:tcW w:w="579" w:type="pct"/>
                  <w:tcBorders>
                    <w:tl2br w:val="nil"/>
                    <w:tr2bl w:val="nil"/>
                  </w:tcBorders>
                  <w:noWrap w:val="0"/>
                  <w:vAlign w:val="center"/>
                </w:tcPr>
                <w:p w14:paraId="759CD97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00m</w:t>
                  </w:r>
                  <w:r>
                    <w:rPr>
                      <w:rFonts w:hint="eastAsia" w:ascii="Times New Roman" w:hAnsi="Times New Roman" w:cs="Times New Roman"/>
                      <w:color w:val="auto"/>
                      <w:sz w:val="21"/>
                      <w:szCs w:val="21"/>
                      <w:highlight w:val="none"/>
                      <w:vertAlign w:val="superscript"/>
                      <w:lang w:val="en-US" w:eastAsia="zh-CN"/>
                    </w:rPr>
                    <w:t>2</w:t>
                  </w:r>
                </w:p>
              </w:tc>
              <w:tc>
                <w:tcPr>
                  <w:tcW w:w="601" w:type="pct"/>
                  <w:tcBorders>
                    <w:tl2br w:val="nil"/>
                    <w:tr2bl w:val="nil"/>
                  </w:tcBorders>
                  <w:noWrap w:val="0"/>
                  <w:vAlign w:val="center"/>
                </w:tcPr>
                <w:p w14:paraId="4720B6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0.15</w:t>
                  </w:r>
                </w:p>
              </w:tc>
              <w:tc>
                <w:tcPr>
                  <w:tcW w:w="547" w:type="pct"/>
                  <w:tcBorders>
                    <w:tl2br w:val="nil"/>
                    <w:tr2bl w:val="nil"/>
                  </w:tcBorders>
                  <w:noWrap w:val="0"/>
                  <w:vAlign w:val="center"/>
                </w:tcPr>
                <w:p w14:paraId="003700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w:t>
                  </w:r>
                </w:p>
              </w:tc>
              <w:tc>
                <w:tcPr>
                  <w:tcW w:w="1135" w:type="pct"/>
                  <w:vMerge w:val="continue"/>
                  <w:tcBorders>
                    <w:tl2br w:val="nil"/>
                    <w:tr2bl w:val="nil"/>
                  </w:tcBorders>
                  <w:noWrap w:val="0"/>
                  <w:vAlign w:val="center"/>
                </w:tcPr>
                <w:p w14:paraId="49FC9C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rPr>
                  </w:pPr>
                </w:p>
              </w:tc>
            </w:tr>
            <w:tr w14:paraId="36C3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377" w:type="pct"/>
                  <w:vMerge w:val="restart"/>
                  <w:tcBorders>
                    <w:tl2br w:val="nil"/>
                    <w:tr2bl w:val="nil"/>
                  </w:tcBorders>
                  <w:noWrap w:val="0"/>
                  <w:vAlign w:val="center"/>
                </w:tcPr>
                <w:p w14:paraId="44673B3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b/>
                      <w:bCs/>
                      <w:color w:val="auto"/>
                      <w:sz w:val="21"/>
                      <w:szCs w:val="21"/>
                      <w:lang w:val="en-US" w:eastAsia="zh-CN"/>
                    </w:rPr>
                  </w:pPr>
                  <w:r>
                    <w:rPr>
                      <w:rFonts w:hint="eastAsia" w:cs="Times New Roman"/>
                      <w:b w:val="0"/>
                      <w:bCs w:val="0"/>
                      <w:color w:val="auto"/>
                      <w:sz w:val="21"/>
                      <w:szCs w:val="21"/>
                      <w:lang w:val="en-US" w:eastAsia="zh-CN"/>
                    </w:rPr>
                    <w:t>共计</w:t>
                  </w:r>
                </w:p>
              </w:tc>
              <w:tc>
                <w:tcPr>
                  <w:tcW w:w="877" w:type="pct"/>
                  <w:tcBorders>
                    <w:tl2br w:val="nil"/>
                    <w:tr2bl w:val="nil"/>
                  </w:tcBorders>
                  <w:noWrap w:val="0"/>
                  <w:vAlign w:val="center"/>
                </w:tcPr>
                <w:p w14:paraId="6849D28D">
                  <w:pPr>
                    <w:keepNext w:val="0"/>
                    <w:keepLines w:val="0"/>
                    <w:suppressLineNumbers w:val="0"/>
                    <w:spacing w:before="0" w:beforeAutospacing="0" w:after="0" w:afterAutospacing="0"/>
                    <w:ind w:left="0" w:right="0"/>
                    <w:jc w:val="center"/>
                    <w:rPr>
                      <w:rFonts w:hint="eastAsia" w:cs="Times New Roman"/>
                      <w:b w:val="0"/>
                      <w:bCs w:val="0"/>
                      <w:color w:val="auto"/>
                      <w:sz w:val="21"/>
                      <w:szCs w:val="21"/>
                      <w:lang w:val="en-US" w:eastAsia="zh-CN"/>
                    </w:rPr>
                  </w:pPr>
                  <w:r>
                    <w:rPr>
                      <w:rFonts w:hint="default"/>
                      <w:color w:val="auto"/>
                      <w:szCs w:val="21"/>
                    </w:rPr>
                    <w:t>采暖期</w:t>
                  </w:r>
                </w:p>
              </w:tc>
              <w:tc>
                <w:tcPr>
                  <w:tcW w:w="880" w:type="pct"/>
                  <w:tcBorders>
                    <w:tl2br w:val="nil"/>
                    <w:tr2bl w:val="nil"/>
                  </w:tcBorders>
                  <w:noWrap w:val="0"/>
                  <w:vAlign w:val="center"/>
                </w:tcPr>
                <w:p w14:paraId="293185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w:t>
                  </w:r>
                </w:p>
              </w:tc>
              <w:tc>
                <w:tcPr>
                  <w:tcW w:w="579" w:type="pct"/>
                  <w:tcBorders>
                    <w:tl2br w:val="nil"/>
                    <w:tr2bl w:val="nil"/>
                  </w:tcBorders>
                  <w:noWrap w:val="0"/>
                  <w:vAlign w:val="center"/>
                </w:tcPr>
                <w:p w14:paraId="7AA3354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w:t>
                  </w:r>
                </w:p>
              </w:tc>
              <w:tc>
                <w:tcPr>
                  <w:tcW w:w="601" w:type="pct"/>
                  <w:tcBorders>
                    <w:tl2br w:val="nil"/>
                    <w:tr2bl w:val="nil"/>
                  </w:tcBorders>
                  <w:noWrap w:val="0"/>
                  <w:vAlign w:val="center"/>
                </w:tcPr>
                <w:p w14:paraId="4C2F754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6.94</w:t>
                  </w:r>
                </w:p>
              </w:tc>
              <w:tc>
                <w:tcPr>
                  <w:tcW w:w="547" w:type="pct"/>
                  <w:tcBorders>
                    <w:tl2br w:val="nil"/>
                    <w:tr2bl w:val="nil"/>
                  </w:tcBorders>
                  <w:noWrap w:val="0"/>
                  <w:vAlign w:val="center"/>
                </w:tcPr>
                <w:p w14:paraId="5C4329C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0.768</w:t>
                  </w:r>
                </w:p>
              </w:tc>
              <w:tc>
                <w:tcPr>
                  <w:tcW w:w="1135" w:type="pct"/>
                  <w:tcBorders>
                    <w:tl2br w:val="nil"/>
                    <w:tr2bl w:val="nil"/>
                  </w:tcBorders>
                  <w:noWrap w:val="0"/>
                  <w:vAlign w:val="center"/>
                </w:tcPr>
                <w:p w14:paraId="5139C3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按210d计</w:t>
                  </w:r>
                </w:p>
              </w:tc>
            </w:tr>
            <w:tr w14:paraId="7426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77" w:type="pct"/>
                  <w:vMerge w:val="continue"/>
                  <w:tcBorders>
                    <w:tl2br w:val="nil"/>
                    <w:tr2bl w:val="nil"/>
                  </w:tcBorders>
                  <w:noWrap w:val="0"/>
                  <w:vAlign w:val="center"/>
                </w:tcPr>
                <w:p w14:paraId="300B986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b w:val="0"/>
                      <w:bCs w:val="0"/>
                      <w:color w:val="auto"/>
                      <w:sz w:val="21"/>
                      <w:szCs w:val="21"/>
                      <w:lang w:val="en-US" w:eastAsia="zh-CN"/>
                    </w:rPr>
                  </w:pPr>
                </w:p>
              </w:tc>
              <w:tc>
                <w:tcPr>
                  <w:tcW w:w="877" w:type="pct"/>
                  <w:tcBorders>
                    <w:tl2br w:val="nil"/>
                    <w:tr2bl w:val="nil"/>
                  </w:tcBorders>
                  <w:noWrap w:val="0"/>
                  <w:vAlign w:val="center"/>
                </w:tcPr>
                <w:p w14:paraId="3879EC21">
                  <w:pPr>
                    <w:keepNext w:val="0"/>
                    <w:keepLines w:val="0"/>
                    <w:suppressLineNumbers w:val="0"/>
                    <w:spacing w:before="0" w:beforeAutospacing="0" w:after="0" w:afterAutospacing="0"/>
                    <w:ind w:left="0" w:right="0"/>
                    <w:jc w:val="center"/>
                    <w:rPr>
                      <w:rFonts w:hint="eastAsia" w:cs="Times New Roman"/>
                      <w:b w:val="0"/>
                      <w:bCs w:val="0"/>
                      <w:color w:val="auto"/>
                      <w:sz w:val="21"/>
                      <w:szCs w:val="21"/>
                      <w:lang w:val="en-US" w:eastAsia="zh-CN"/>
                    </w:rPr>
                  </w:pPr>
                  <w:r>
                    <w:rPr>
                      <w:rFonts w:hint="default"/>
                      <w:color w:val="auto"/>
                      <w:szCs w:val="21"/>
                    </w:rPr>
                    <w:t>非采暖期</w:t>
                  </w:r>
                </w:p>
              </w:tc>
              <w:tc>
                <w:tcPr>
                  <w:tcW w:w="880" w:type="pct"/>
                  <w:tcBorders>
                    <w:tl2br w:val="nil"/>
                    <w:tr2bl w:val="nil"/>
                  </w:tcBorders>
                  <w:noWrap w:val="0"/>
                  <w:vAlign w:val="center"/>
                </w:tcPr>
                <w:p w14:paraId="69D52CD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w:t>
                  </w:r>
                </w:p>
              </w:tc>
              <w:tc>
                <w:tcPr>
                  <w:tcW w:w="579" w:type="pct"/>
                  <w:tcBorders>
                    <w:tl2br w:val="nil"/>
                    <w:tr2bl w:val="nil"/>
                  </w:tcBorders>
                  <w:noWrap w:val="0"/>
                  <w:vAlign w:val="center"/>
                </w:tcPr>
                <w:p w14:paraId="47D45FE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w:t>
                  </w:r>
                </w:p>
              </w:tc>
              <w:tc>
                <w:tcPr>
                  <w:tcW w:w="601" w:type="pct"/>
                  <w:tcBorders>
                    <w:tl2br w:val="nil"/>
                    <w:tr2bl w:val="nil"/>
                  </w:tcBorders>
                  <w:noWrap w:val="0"/>
                  <w:vAlign w:val="center"/>
                </w:tcPr>
                <w:p w14:paraId="4DA0CD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7.09</w:t>
                  </w:r>
                </w:p>
              </w:tc>
              <w:tc>
                <w:tcPr>
                  <w:tcW w:w="547" w:type="pct"/>
                  <w:tcBorders>
                    <w:tl2br w:val="nil"/>
                    <w:tr2bl w:val="nil"/>
                  </w:tcBorders>
                  <w:noWrap w:val="0"/>
                  <w:vAlign w:val="center"/>
                </w:tcPr>
                <w:p w14:paraId="5702F0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0.768</w:t>
                  </w:r>
                </w:p>
              </w:tc>
              <w:tc>
                <w:tcPr>
                  <w:tcW w:w="1135" w:type="pct"/>
                  <w:tcBorders>
                    <w:tl2br w:val="nil"/>
                    <w:tr2bl w:val="nil"/>
                  </w:tcBorders>
                  <w:noWrap w:val="0"/>
                  <w:vAlign w:val="center"/>
                </w:tcPr>
                <w:p w14:paraId="5EF43A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w:t>
                  </w:r>
                </w:p>
              </w:tc>
            </w:tr>
          </w:tbl>
          <w:p w14:paraId="44712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6C721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4F2F2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4B381C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r>
              <w:rPr>
                <w:rFonts w:hint="default"/>
                <w:color w:val="auto"/>
              </w:rPr>
              <w:drawing>
                <wp:anchor distT="0" distB="0" distL="114300" distR="114300" simplePos="0" relativeHeight="251669504" behindDoc="1" locked="0" layoutInCell="1" allowOverlap="1">
                  <wp:simplePos x="0" y="0"/>
                  <wp:positionH relativeFrom="column">
                    <wp:posOffset>571500</wp:posOffset>
                  </wp:positionH>
                  <wp:positionV relativeFrom="paragraph">
                    <wp:posOffset>5080</wp:posOffset>
                  </wp:positionV>
                  <wp:extent cx="4069080" cy="3165475"/>
                  <wp:effectExtent l="0" t="0" r="0" b="0"/>
                  <wp:wrapNone/>
                  <wp:docPr id="2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3"/>
                          <pic:cNvPicPr>
                            <a:picLocks noChangeAspect="1"/>
                          </pic:cNvPicPr>
                        </pic:nvPicPr>
                        <pic:blipFill>
                          <a:blip r:embed="rId21"/>
                          <a:srcRect l="-146" t="63531" r="21924"/>
                          <a:stretch>
                            <a:fillRect/>
                          </a:stretch>
                        </pic:blipFill>
                        <pic:spPr>
                          <a:xfrm>
                            <a:off x="0" y="0"/>
                            <a:ext cx="4069080" cy="3165475"/>
                          </a:xfrm>
                          <a:prstGeom prst="rect">
                            <a:avLst/>
                          </a:prstGeom>
                          <a:noFill/>
                          <a:ln>
                            <a:noFill/>
                          </a:ln>
                        </pic:spPr>
                      </pic:pic>
                    </a:graphicData>
                  </a:graphic>
                </wp:anchor>
              </w:drawing>
            </w:r>
          </w:p>
          <w:p w14:paraId="6D373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7AA0F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05423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68C4B818">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480" w:lineRule="exact"/>
              <w:ind w:left="0" w:right="0" w:firstLine="0" w:firstLineChars="0"/>
              <w:jc w:val="both"/>
              <w:textAlignment w:val="auto"/>
              <w:outlineLvl w:val="9"/>
              <w:rPr>
                <w:rFonts w:hint="default"/>
                <w:color w:val="auto"/>
                <w:lang w:val="en-US" w:eastAsia="zh-CN"/>
              </w:rPr>
            </w:pPr>
          </w:p>
          <w:p w14:paraId="67CC67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02F3AFAD">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480" w:lineRule="exact"/>
              <w:ind w:left="0" w:right="0" w:firstLine="0" w:firstLineChars="0"/>
              <w:jc w:val="both"/>
              <w:textAlignment w:val="auto"/>
              <w:outlineLvl w:val="9"/>
              <w:rPr>
                <w:rFonts w:hint="default"/>
                <w:color w:val="auto"/>
                <w:lang w:val="en-US" w:eastAsia="zh-CN"/>
              </w:rPr>
            </w:pPr>
          </w:p>
          <w:p w14:paraId="61347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both"/>
              <w:textAlignment w:val="auto"/>
              <w:outlineLvl w:val="9"/>
              <w:rPr>
                <w:rFonts w:hint="default" w:ascii="Times New Roman" w:hAnsi="Times New Roman" w:eastAsia="宋体" w:cs="Times New Roman"/>
                <w:b w:val="0"/>
                <w:bCs/>
                <w:color w:val="auto"/>
                <w:spacing w:val="0"/>
                <w:sz w:val="24"/>
                <w:szCs w:val="24"/>
                <w:highlight w:val="none"/>
                <w:lang w:val="en-US" w:eastAsia="zh-CN"/>
              </w:rPr>
            </w:pPr>
          </w:p>
          <w:p w14:paraId="1C29B92E">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Autospacing="0" w:line="480" w:lineRule="exact"/>
              <w:ind w:left="0" w:right="0" w:firstLine="0" w:firstLineChars="0"/>
              <w:jc w:val="both"/>
              <w:textAlignment w:val="auto"/>
              <w:outlineLvl w:val="9"/>
              <w:rPr>
                <w:rFonts w:hint="default"/>
                <w:color w:val="auto"/>
                <w:lang w:val="en-US" w:eastAsia="zh-CN"/>
              </w:rPr>
            </w:pPr>
          </w:p>
          <w:p w14:paraId="4AA5BDE3">
            <w:pPr>
              <w:pStyle w:val="34"/>
              <w:keepNext w:val="0"/>
              <w:keepLines w:val="0"/>
              <w:suppressLineNumbers w:val="0"/>
              <w:spacing w:before="0" w:beforeAutospacing="0" w:after="0" w:afterAutospacing="0"/>
              <w:ind w:left="0" w:right="0"/>
              <w:rPr>
                <w:rFonts w:hint="default"/>
                <w:color w:val="auto"/>
                <w:lang w:val="en-US" w:eastAsia="zh-CN"/>
              </w:rPr>
            </w:pPr>
          </w:p>
          <w:p w14:paraId="3293B226">
            <w:pPr>
              <w:pStyle w:val="34"/>
              <w:keepNext w:val="0"/>
              <w:keepLines w:val="0"/>
              <w:suppressLineNumbers w:val="0"/>
              <w:spacing w:before="0" w:beforeAutospacing="0" w:after="0" w:afterAutospacing="0"/>
              <w:ind w:left="0" w:right="0"/>
              <w:rPr>
                <w:rFonts w:hint="default"/>
                <w:color w:val="auto"/>
                <w:lang w:val="en-US" w:eastAsia="zh-CN"/>
              </w:rPr>
            </w:pPr>
          </w:p>
          <w:p w14:paraId="69D3FB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157" w:beforeLines="5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lang w:val="en-US" w:eastAsia="zh-CN"/>
              </w:rPr>
            </w:pPr>
            <w:r>
              <w:rPr>
                <w:rFonts w:hint="default" w:ascii="Times New Roman" w:hAnsi="Times New Roman" w:eastAsia="宋体" w:cs="Times New Roman"/>
                <w:b/>
                <w:bCs w:val="0"/>
                <w:color w:val="auto"/>
                <w:sz w:val="21"/>
                <w:szCs w:val="21"/>
                <w:lang w:val="en-US" w:eastAsia="zh-CN"/>
              </w:rPr>
              <w:t>图2</w:t>
            </w:r>
            <w:r>
              <w:rPr>
                <w:rFonts w:hint="eastAsia" w:cs="Times New Roman"/>
                <w:b/>
                <w:bCs w:val="0"/>
                <w:color w:val="auto"/>
                <w:sz w:val="21"/>
                <w:szCs w:val="21"/>
                <w:lang w:val="en-US" w:eastAsia="zh-CN"/>
              </w:rPr>
              <w:t>.9</w:t>
            </w:r>
            <w:r>
              <w:rPr>
                <w:rFonts w:hint="default" w:ascii="Times New Roman" w:hAnsi="Times New Roman" w:eastAsia="宋体" w:cs="Times New Roman"/>
                <w:b/>
                <w:bCs w:val="0"/>
                <w:color w:val="auto"/>
                <w:sz w:val="21"/>
                <w:szCs w:val="21"/>
                <w:lang w:val="en-US" w:eastAsia="zh-CN"/>
              </w:rPr>
              <w:t xml:space="preserve">-1  </w:t>
            </w:r>
            <w:r>
              <w:rPr>
                <w:rFonts w:hint="eastAsia" w:eastAsia="宋体" w:cs="Times New Roman"/>
                <w:b/>
                <w:bCs w:val="0"/>
                <w:color w:val="auto"/>
                <w:sz w:val="21"/>
                <w:szCs w:val="21"/>
                <w:lang w:val="en-US" w:eastAsia="zh-CN"/>
              </w:rPr>
              <w:t>本</w:t>
            </w:r>
            <w:r>
              <w:rPr>
                <w:rFonts w:hint="default" w:ascii="Times New Roman" w:hAnsi="Times New Roman" w:eastAsia="宋体" w:cs="Times New Roman"/>
                <w:b/>
                <w:bCs w:val="0"/>
                <w:color w:val="auto"/>
                <w:sz w:val="21"/>
                <w:szCs w:val="21"/>
                <w:lang w:val="en-US" w:eastAsia="zh-CN"/>
              </w:rPr>
              <w:t>项目水平衡图（单位：</w:t>
            </w:r>
            <w:r>
              <w:rPr>
                <w:rFonts w:hint="default" w:ascii="Times New Roman" w:hAnsi="Times New Roman" w:eastAsia="宋体" w:cs="Times New Roman"/>
                <w:b/>
                <w:bCs w:val="0"/>
                <w:color w:val="auto"/>
                <w:sz w:val="21"/>
                <w:szCs w:val="21"/>
              </w:rPr>
              <w:t>m</w:t>
            </w:r>
            <w:r>
              <w:rPr>
                <w:rFonts w:hint="default" w:ascii="Times New Roman" w:hAnsi="Times New Roman" w:eastAsia="宋体" w:cs="Times New Roman"/>
                <w:b/>
                <w:bCs w:val="0"/>
                <w:color w:val="auto"/>
                <w:sz w:val="21"/>
                <w:szCs w:val="21"/>
                <w:vertAlign w:val="superscript"/>
              </w:rPr>
              <w:t>3</w:t>
            </w:r>
            <w:r>
              <w:rPr>
                <w:rFonts w:hint="default" w:ascii="Times New Roman" w:hAnsi="Times New Roman" w:eastAsia="宋体" w:cs="Times New Roman"/>
                <w:b/>
                <w:bCs w:val="0"/>
                <w:color w:val="auto"/>
                <w:sz w:val="21"/>
                <w:szCs w:val="21"/>
              </w:rPr>
              <w:t>/d</w:t>
            </w:r>
            <w:r>
              <w:rPr>
                <w:rFonts w:hint="default" w:ascii="Times New Roman" w:hAnsi="Times New Roman" w:eastAsia="宋体" w:cs="Times New Roman"/>
                <w:b/>
                <w:bCs w:val="0"/>
                <w:color w:val="auto"/>
                <w:sz w:val="21"/>
                <w:szCs w:val="21"/>
                <w:lang w:val="en-US" w:eastAsia="zh-CN"/>
              </w:rPr>
              <w:t>）</w:t>
            </w:r>
          </w:p>
          <w:p w14:paraId="1385DF6E">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val="0"/>
                <w:bCs/>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2.9.2</w:t>
            </w:r>
            <w:r>
              <w:rPr>
                <w:rFonts w:hint="default" w:eastAsia="宋体" w:cs="Times New Roman"/>
                <w:b/>
                <w:bCs w:val="0"/>
                <w:color w:val="auto"/>
                <w:spacing w:val="0"/>
                <w:sz w:val="24"/>
                <w:szCs w:val="24"/>
                <w:highlight w:val="none"/>
                <w:lang w:val="en-US" w:eastAsia="zh-CN"/>
              </w:rPr>
              <w:t>供电</w:t>
            </w:r>
          </w:p>
          <w:p w14:paraId="26BFF41E">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新建1台1000KVA变压器，能满足供电需求</w:t>
            </w:r>
            <w:r>
              <w:rPr>
                <w:rFonts w:hint="eastAsia" w:ascii="Times New Roman" w:hAnsi="Times New Roman" w:eastAsia="宋体" w:cs="Times New Roman"/>
                <w:bCs/>
                <w:color w:val="auto"/>
                <w:spacing w:val="0"/>
                <w:sz w:val="24"/>
                <w:szCs w:val="24"/>
                <w:highlight w:val="none"/>
                <w:lang w:val="en-US" w:eastAsia="zh-CN"/>
              </w:rPr>
              <w:t>。</w:t>
            </w:r>
          </w:p>
          <w:p w14:paraId="0B6F3E6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cs="Times New Roman"/>
                <w:b/>
                <w:bCs w:val="0"/>
                <w:color w:val="auto"/>
                <w:spacing w:val="0"/>
                <w:sz w:val="24"/>
                <w:szCs w:val="24"/>
                <w:highlight w:val="none"/>
                <w:lang w:val="en-US" w:eastAsia="zh-CN"/>
              </w:rPr>
              <w:t>2.9.3供</w:t>
            </w:r>
            <w:r>
              <w:rPr>
                <w:rFonts w:hint="default" w:ascii="Times New Roman" w:hAnsi="Times New Roman" w:eastAsia="宋体" w:cs="Times New Roman"/>
                <w:b/>
                <w:bCs w:val="0"/>
                <w:color w:val="auto"/>
                <w:spacing w:val="0"/>
                <w:sz w:val="24"/>
                <w:szCs w:val="24"/>
                <w:highlight w:val="none"/>
                <w:lang w:val="en-US" w:eastAsia="zh-CN"/>
              </w:rPr>
              <w:t>暖</w:t>
            </w:r>
          </w:p>
          <w:p w14:paraId="1A2B74D8">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color w:val="auto"/>
                <w:lang w:val="en-US" w:eastAsia="zh-CN"/>
              </w:rPr>
            </w:pPr>
            <w:r>
              <w:rPr>
                <w:rFonts w:hint="default" w:ascii="Times New Roman" w:hAnsi="Times New Roman" w:eastAsia="宋体" w:cs="Times New Roman"/>
                <w:color w:val="auto"/>
                <w:spacing w:val="0"/>
                <w:sz w:val="24"/>
                <w:szCs w:val="24"/>
                <w:highlight w:val="none"/>
                <w:lang w:val="en-US" w:eastAsia="zh-CN"/>
              </w:rPr>
              <w:t>生产区冬季不采暖，生活区</w:t>
            </w:r>
            <w:r>
              <w:rPr>
                <w:rFonts w:hint="eastAsia" w:cs="Times New Roman"/>
                <w:bCs/>
                <w:color w:val="auto"/>
                <w:spacing w:val="0"/>
                <w:sz w:val="24"/>
                <w:szCs w:val="24"/>
                <w:highlight w:val="none"/>
                <w:lang w:val="en-US" w:eastAsia="zh-CN"/>
              </w:rPr>
              <w:t>依托现有</w:t>
            </w:r>
            <w:r>
              <w:rPr>
                <w:rFonts w:hint="default" w:ascii="Times New Roman" w:hAnsi="Times New Roman" w:eastAsia="宋体" w:cs="Times New Roman"/>
                <w:color w:val="auto"/>
                <w:spacing w:val="0"/>
                <w:sz w:val="24"/>
                <w:szCs w:val="24"/>
                <w:highlight w:val="none"/>
                <w:lang w:val="en-US" w:eastAsia="zh-CN"/>
              </w:rPr>
              <w:t>电采暖</w:t>
            </w:r>
            <w:r>
              <w:rPr>
                <w:rFonts w:hint="eastAsia" w:cs="Times New Roman"/>
                <w:color w:val="auto"/>
                <w:spacing w:val="0"/>
                <w:sz w:val="24"/>
                <w:szCs w:val="24"/>
                <w:highlight w:val="none"/>
                <w:lang w:val="en-US" w:eastAsia="zh-CN"/>
              </w:rPr>
              <w:t>。</w:t>
            </w:r>
          </w:p>
        </w:tc>
      </w:tr>
      <w:tr w14:paraId="05B73E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513" w:type="dxa"/>
            <w:tcBorders>
              <w:tl2br w:val="nil"/>
              <w:tr2bl w:val="nil"/>
            </w:tcBorders>
            <w:vAlign w:val="center"/>
          </w:tcPr>
          <w:p w14:paraId="31895067">
            <w:pPr>
              <w:pStyle w:val="22"/>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br w:type="page"/>
            </w:r>
            <w:r>
              <w:rPr>
                <w:rFonts w:hint="default" w:ascii="Times New Roman" w:hAnsi="Times New Roman" w:cs="Times New Roman"/>
                <w:b/>
                <w:bCs/>
                <w:color w:val="auto"/>
                <w:sz w:val="21"/>
                <w:szCs w:val="21"/>
                <w:highlight w:val="none"/>
              </w:rPr>
              <w:t>工艺流程和产排污环节</w:t>
            </w:r>
          </w:p>
        </w:tc>
        <w:tc>
          <w:tcPr>
            <w:tcW w:w="8802" w:type="dxa"/>
            <w:tcBorders>
              <w:tl2br w:val="nil"/>
              <w:tr2bl w:val="nil"/>
            </w:tcBorders>
          </w:tcPr>
          <w:p w14:paraId="019EA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atLeast"/>
              <w:ind w:left="0" w:right="0" w:firstLine="482" w:firstLineChars="200"/>
              <w:textAlignment w:val="auto"/>
              <w:rPr>
                <w:rFonts w:hint="default" w:ascii="Times New Roman" w:hAnsi="Times New Roman" w:eastAsia="宋体" w:cs="Times New Roman"/>
                <w:b/>
                <w:bCs/>
                <w:color w:val="auto"/>
                <w:sz w:val="24"/>
                <w:szCs w:val="24"/>
              </w:rPr>
            </w:pPr>
            <w:r>
              <w:rPr>
                <w:rFonts w:hint="eastAsia" w:cs="Times New Roman"/>
                <w:b/>
                <w:bCs/>
                <w:color w:val="auto"/>
                <w:sz w:val="24"/>
                <w:szCs w:val="24"/>
                <w:lang w:val="en-US" w:eastAsia="zh-CN"/>
              </w:rPr>
              <w:t>2.10</w:t>
            </w:r>
            <w:r>
              <w:rPr>
                <w:rFonts w:hint="default" w:ascii="Times New Roman" w:hAnsi="Times New Roman" w:eastAsia="宋体" w:cs="Times New Roman"/>
                <w:b/>
                <w:bCs/>
                <w:color w:val="auto"/>
                <w:sz w:val="24"/>
                <w:szCs w:val="24"/>
              </w:rPr>
              <w:t>工艺流程简述（图示）</w:t>
            </w:r>
          </w:p>
          <w:p w14:paraId="46D1C42D">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cs="Times New Roman"/>
                <w:color w:val="auto"/>
                <w:spacing w:val="0"/>
                <w:sz w:val="24"/>
                <w:szCs w:val="20"/>
                <w:highlight w:val="none"/>
                <w:lang w:val="en-US" w:eastAsia="zh-CN"/>
              </w:rPr>
            </w:pPr>
            <w:r>
              <w:rPr>
                <w:rFonts w:hint="eastAsia" w:cs="Times New Roman"/>
                <w:color w:val="auto"/>
                <w:spacing w:val="0"/>
                <w:sz w:val="24"/>
                <w:szCs w:val="20"/>
                <w:highlight w:val="none"/>
                <w:lang w:val="en-US" w:eastAsia="zh-CN"/>
              </w:rPr>
              <w:t>（1）原料储存</w:t>
            </w:r>
          </w:p>
          <w:p w14:paraId="10A210F2">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cs="Times New Roman"/>
                <w:color w:val="auto"/>
                <w:spacing w:val="0"/>
                <w:sz w:val="24"/>
                <w:szCs w:val="20"/>
                <w:highlight w:val="none"/>
                <w:lang w:val="en-US" w:eastAsia="zh-CN"/>
              </w:rPr>
            </w:pPr>
            <w:r>
              <w:rPr>
                <w:rFonts w:hint="eastAsia" w:hAnsi="宋体"/>
                <w:color w:val="auto"/>
                <w:sz w:val="24"/>
              </w:rPr>
              <w:t>原料（煤矸石）</w:t>
            </w:r>
            <w:r>
              <w:rPr>
                <w:rFonts w:hint="eastAsia" w:hAnsi="宋体"/>
                <w:color w:val="auto"/>
                <w:sz w:val="24"/>
                <w:lang w:val="en-US" w:eastAsia="zh-CN"/>
              </w:rPr>
              <w:t>来源为屯留区周边煤矿（如常村煤矿、古城煤矿等），由封闭式厢式车运输至本项目生产车间内原料堆放区，</w:t>
            </w:r>
            <w:r>
              <w:rPr>
                <w:rFonts w:hint="eastAsia" w:cs="Times New Roman"/>
                <w:color w:val="auto"/>
                <w:spacing w:val="0"/>
                <w:sz w:val="24"/>
                <w:szCs w:val="20"/>
                <w:highlight w:val="none"/>
                <w:lang w:val="en-US" w:eastAsia="zh-CN"/>
              </w:rPr>
              <w:t>堆放区顶部设置喷雾洒水抑尘装置。</w:t>
            </w:r>
            <w:r>
              <w:rPr>
                <w:rFonts w:hint="default" w:cs="Times New Roman"/>
                <w:color w:val="auto"/>
                <w:spacing w:val="0"/>
                <w:sz w:val="24"/>
                <w:szCs w:val="20"/>
                <w:highlight w:val="none"/>
                <w:lang w:val="en-US" w:eastAsia="zh-CN"/>
              </w:rPr>
              <w:t>原料在全封闭原料</w:t>
            </w:r>
            <w:r>
              <w:rPr>
                <w:rFonts w:hint="eastAsia" w:cs="Times New Roman"/>
                <w:color w:val="auto"/>
                <w:spacing w:val="0"/>
                <w:sz w:val="24"/>
                <w:szCs w:val="20"/>
                <w:highlight w:val="none"/>
                <w:lang w:val="en-US" w:eastAsia="zh-CN"/>
              </w:rPr>
              <w:t>堆放区</w:t>
            </w:r>
            <w:r>
              <w:rPr>
                <w:rFonts w:hint="default" w:cs="Times New Roman"/>
                <w:color w:val="auto"/>
                <w:spacing w:val="0"/>
                <w:sz w:val="24"/>
                <w:szCs w:val="20"/>
                <w:highlight w:val="none"/>
                <w:lang w:val="en-US" w:eastAsia="zh-CN"/>
              </w:rPr>
              <w:t>内进行卸料，卸料过程中规范卸料，尽可能降低物料落差，卸料同时设置</w:t>
            </w:r>
            <w:r>
              <w:rPr>
                <w:rFonts w:hint="eastAsia" w:cs="Times New Roman"/>
                <w:color w:val="auto"/>
                <w:spacing w:val="0"/>
                <w:sz w:val="24"/>
                <w:szCs w:val="20"/>
                <w:highlight w:val="none"/>
                <w:lang w:val="en-US" w:eastAsia="zh-CN"/>
              </w:rPr>
              <w:t>1</w:t>
            </w:r>
            <w:r>
              <w:rPr>
                <w:rFonts w:hint="default" w:cs="Times New Roman"/>
                <w:color w:val="auto"/>
                <w:spacing w:val="0"/>
                <w:sz w:val="24"/>
                <w:szCs w:val="20"/>
                <w:highlight w:val="none"/>
                <w:lang w:val="en-US" w:eastAsia="zh-CN"/>
              </w:rPr>
              <w:t>台雾炮机进行喷雾洒水。</w:t>
            </w:r>
          </w:p>
          <w:p w14:paraId="7E19B121">
            <w:pPr>
              <w:keepNext w:val="0"/>
              <w:keepLines w:val="0"/>
              <w:suppressLineNumbers w:val="0"/>
              <w:spacing w:before="0" w:beforeAutospacing="0" w:after="0" w:afterAutospacing="0" w:line="480" w:lineRule="exact"/>
              <w:ind w:left="0" w:right="0" w:firstLine="480" w:firstLineChars="200"/>
              <w:rPr>
                <w:rFonts w:hint="default" w:cs="Times New Roman"/>
                <w:color w:val="auto"/>
                <w:sz w:val="24"/>
                <w:szCs w:val="24"/>
                <w:lang w:val="en-US" w:eastAsia="zh-CN"/>
              </w:rPr>
            </w:pPr>
            <w:r>
              <w:rPr>
                <w:rFonts w:hint="eastAsia" w:cs="Times New Roman"/>
                <w:color w:val="auto"/>
                <w:sz w:val="24"/>
                <w:szCs w:val="24"/>
                <w:lang w:eastAsia="zh-CN"/>
              </w:rPr>
              <w:t>（</w:t>
            </w:r>
            <w:r>
              <w:rPr>
                <w:rFonts w:hint="eastAsia" w:cs="Times New Roman"/>
                <w:color w:val="auto"/>
                <w:sz w:val="24"/>
                <w:szCs w:val="24"/>
                <w:lang w:val="en-US" w:eastAsia="zh-CN"/>
              </w:rPr>
              <w:t>2</w:t>
            </w:r>
            <w:r>
              <w:rPr>
                <w:rFonts w:hint="eastAsia" w:cs="Times New Roman"/>
                <w:color w:val="auto"/>
                <w:sz w:val="24"/>
                <w:szCs w:val="24"/>
                <w:lang w:eastAsia="zh-CN"/>
              </w:rPr>
              <w:t>）</w:t>
            </w:r>
            <w:r>
              <w:rPr>
                <w:rFonts w:hint="eastAsia" w:cs="Times New Roman"/>
                <w:color w:val="auto"/>
                <w:sz w:val="24"/>
                <w:szCs w:val="24"/>
                <w:lang w:val="en-US" w:eastAsia="zh-CN"/>
              </w:rPr>
              <w:t>给料、初破、一次筛分、二次破碎</w:t>
            </w:r>
          </w:p>
          <w:p w14:paraId="597A5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pacing w:val="0"/>
                <w:kern w:val="0"/>
                <w:sz w:val="24"/>
                <w:szCs w:val="20"/>
                <w:highlight w:val="none"/>
                <w:lang w:val="en-US" w:eastAsia="zh-CN" w:bidi="ar-SA"/>
              </w:rPr>
            </w:pPr>
            <w:r>
              <w:rPr>
                <w:rFonts w:hint="eastAsia" w:ascii="Times New Roman" w:hAnsi="Times New Roman" w:eastAsia="宋体" w:cs="Times New Roman"/>
                <w:color w:val="auto"/>
                <w:spacing w:val="0"/>
                <w:kern w:val="0"/>
                <w:sz w:val="24"/>
                <w:szCs w:val="20"/>
                <w:highlight w:val="none"/>
                <w:lang w:val="en-US" w:eastAsia="zh-CN" w:bidi="ar-SA"/>
              </w:rPr>
              <w:t>使用铲车将原料送入</w:t>
            </w:r>
            <w:r>
              <w:rPr>
                <w:rFonts w:hint="eastAsia" w:cs="Times New Roman"/>
                <w:color w:val="auto"/>
                <w:spacing w:val="0"/>
                <w:kern w:val="0"/>
                <w:sz w:val="24"/>
                <w:szCs w:val="20"/>
                <w:highlight w:val="none"/>
                <w:lang w:val="en-US" w:eastAsia="zh-CN" w:bidi="ar-SA"/>
              </w:rPr>
              <w:t>给料机料仓，</w:t>
            </w:r>
            <w:r>
              <w:rPr>
                <w:rFonts w:hint="eastAsia" w:ascii="Times New Roman" w:hAnsi="Times New Roman" w:eastAsia="宋体" w:cs="Times New Roman"/>
                <w:color w:val="auto"/>
                <w:spacing w:val="0"/>
                <w:kern w:val="0"/>
                <w:sz w:val="24"/>
                <w:szCs w:val="20"/>
                <w:highlight w:val="none"/>
                <w:lang w:val="en-US" w:eastAsia="zh-CN" w:bidi="ar-SA"/>
              </w:rPr>
              <w:t>由给料机均匀地送入1台颚式破碎机进行</w:t>
            </w:r>
            <w:r>
              <w:rPr>
                <w:rFonts w:hint="eastAsia" w:cs="Times New Roman"/>
                <w:color w:val="auto"/>
                <w:spacing w:val="0"/>
                <w:kern w:val="0"/>
                <w:sz w:val="24"/>
                <w:szCs w:val="20"/>
                <w:highlight w:val="none"/>
                <w:lang w:val="en-US" w:eastAsia="zh-CN" w:bidi="ar-SA"/>
              </w:rPr>
              <w:t>初</w:t>
            </w:r>
            <w:r>
              <w:rPr>
                <w:rFonts w:hint="eastAsia" w:ascii="Times New Roman" w:hAnsi="Times New Roman" w:eastAsia="宋体" w:cs="Times New Roman"/>
                <w:color w:val="auto"/>
                <w:spacing w:val="0"/>
                <w:kern w:val="0"/>
                <w:sz w:val="24"/>
                <w:szCs w:val="20"/>
                <w:highlight w:val="none"/>
                <w:lang w:val="en-US" w:eastAsia="zh-CN" w:bidi="ar-SA"/>
              </w:rPr>
              <w:t>破，将大块物料破碎至较小粒度</w:t>
            </w:r>
            <w:r>
              <w:rPr>
                <w:rFonts w:hint="eastAsia" w:cs="Times New Roman"/>
                <w:color w:val="auto"/>
                <w:spacing w:val="0"/>
                <w:kern w:val="0"/>
                <w:sz w:val="24"/>
                <w:szCs w:val="20"/>
                <w:highlight w:val="none"/>
                <w:lang w:val="en-US" w:eastAsia="zh-CN" w:bidi="ar-SA"/>
              </w:rPr>
              <w:t>。物料经初破后由1#振动筛进行筛分，筛分出来较大颗粒物料（粒径＞60mm）由皮带输送至细鄂破机进行二次破碎，本项目设置2台细鄂破碎机并联使用，物料经二次破碎后重新进入1#振动筛再次进行筛分；筛分出粒径为5-60mm物料继续向下输送，在输送过程中，物料经过1台除铁器去除金属杂质，保护后续设备并保证成品质量；筛分出来粒径＜5mm物料由全封闭皮带输送至0-5mm成品堆放区储存。</w:t>
            </w:r>
          </w:p>
          <w:p w14:paraId="0627E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pacing w:val="0"/>
                <w:kern w:val="0"/>
                <w:sz w:val="24"/>
                <w:szCs w:val="20"/>
                <w:highlight w:val="none"/>
                <w:lang w:val="en-US" w:eastAsia="zh-CN" w:bidi="ar-SA"/>
              </w:rPr>
            </w:pPr>
            <w:r>
              <w:rPr>
                <w:rFonts w:hint="eastAsia" w:cs="Times New Roman"/>
                <w:color w:val="auto"/>
                <w:spacing w:val="0"/>
                <w:kern w:val="0"/>
                <w:sz w:val="24"/>
                <w:szCs w:val="20"/>
                <w:highlight w:val="none"/>
                <w:lang w:val="en-US" w:eastAsia="zh-CN" w:bidi="ar-SA"/>
              </w:rPr>
              <w:t>（3）制砂、二次筛分</w:t>
            </w:r>
          </w:p>
          <w:p w14:paraId="62EA0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pacing w:val="0"/>
                <w:kern w:val="0"/>
                <w:sz w:val="24"/>
                <w:szCs w:val="20"/>
                <w:highlight w:val="none"/>
                <w:lang w:val="en-US" w:eastAsia="zh-CN" w:bidi="ar-SA"/>
              </w:rPr>
            </w:pPr>
            <w:r>
              <w:rPr>
                <w:rFonts w:hint="eastAsia" w:cs="Times New Roman"/>
                <w:color w:val="auto"/>
                <w:spacing w:val="0"/>
                <w:kern w:val="0"/>
                <w:sz w:val="24"/>
                <w:szCs w:val="20"/>
                <w:highlight w:val="none"/>
                <w:lang w:val="en-US" w:eastAsia="zh-CN" w:bidi="ar-SA"/>
              </w:rPr>
              <w:t>除铁后的物料进入1台制砂机进行制砂。制砂完成后的物料进入2#振动筛进行筛分工序，筛分出四种粒径成品，分别为0-5mm机制砂、5-10mm石子、10-25mm石子、25-40mm石子。</w:t>
            </w:r>
          </w:p>
          <w:p w14:paraId="7F2D8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pacing w:val="0"/>
                <w:kern w:val="0"/>
                <w:sz w:val="24"/>
                <w:szCs w:val="20"/>
                <w:highlight w:val="none"/>
                <w:lang w:val="en-US" w:eastAsia="zh-CN" w:bidi="ar-SA"/>
              </w:rPr>
            </w:pPr>
            <w:r>
              <w:rPr>
                <w:rFonts w:hint="eastAsia" w:cs="Times New Roman"/>
                <w:color w:val="auto"/>
                <w:sz w:val="24"/>
                <w:szCs w:val="24"/>
                <w:lang w:val="en-US" w:eastAsia="zh-CN"/>
              </w:rPr>
              <w:t>（4）</w:t>
            </w:r>
            <w:r>
              <w:rPr>
                <w:rFonts w:hint="eastAsia" w:cs="Times New Roman"/>
                <w:color w:val="auto"/>
                <w:spacing w:val="0"/>
                <w:kern w:val="0"/>
                <w:sz w:val="24"/>
                <w:szCs w:val="20"/>
                <w:highlight w:val="none"/>
                <w:lang w:val="en-US" w:eastAsia="zh-CN" w:bidi="ar-SA"/>
              </w:rPr>
              <w:t>产品堆放、外售</w:t>
            </w:r>
          </w:p>
          <w:p w14:paraId="2A9AD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color w:val="auto"/>
                <w:spacing w:val="0"/>
                <w:kern w:val="0"/>
                <w:sz w:val="24"/>
                <w:szCs w:val="20"/>
                <w:highlight w:val="none"/>
                <w:lang w:val="en-US" w:eastAsia="zh-CN" w:bidi="ar-SA"/>
              </w:rPr>
            </w:pPr>
            <w:r>
              <w:rPr>
                <w:rFonts w:hint="eastAsia" w:cs="Times New Roman"/>
                <w:color w:val="auto"/>
                <w:spacing w:val="0"/>
                <w:kern w:val="0"/>
                <w:sz w:val="24"/>
                <w:szCs w:val="20"/>
                <w:highlight w:val="none"/>
                <w:lang w:val="en-US" w:eastAsia="zh-CN" w:bidi="ar-SA"/>
              </w:rPr>
              <w:t>筛分后不同粒径的成品分别由相应的皮带输送机输送至成品堆放区分区储存。产品需外运时，由铲车将产品装载至运输车辆，经过地磅称重后，在厂区出口处冲洗轮胎及车身后，驶出厂区。成品装料时在全封闭生产车间内进行，顶部设置喷雾抑尘装置，装料过程中同样需要规范装料，尽可能降低物料落差，装料同时采用</w:t>
            </w:r>
            <w:r>
              <w:rPr>
                <w:rFonts w:hint="eastAsia" w:cs="Times New Roman"/>
                <w:color w:val="auto"/>
                <w:spacing w:val="0"/>
                <w:sz w:val="24"/>
                <w:szCs w:val="20"/>
                <w:highlight w:val="none"/>
                <w:lang w:val="en-US" w:eastAsia="zh-CN"/>
              </w:rPr>
              <w:t>1</w:t>
            </w:r>
            <w:r>
              <w:rPr>
                <w:rFonts w:hint="default" w:cs="Times New Roman"/>
                <w:color w:val="auto"/>
                <w:spacing w:val="0"/>
                <w:sz w:val="24"/>
                <w:szCs w:val="20"/>
                <w:highlight w:val="none"/>
                <w:lang w:val="en-US" w:eastAsia="zh-CN"/>
              </w:rPr>
              <w:t>台</w:t>
            </w:r>
            <w:r>
              <w:rPr>
                <w:rFonts w:hint="eastAsia" w:cs="Times New Roman"/>
                <w:color w:val="auto"/>
                <w:spacing w:val="0"/>
                <w:kern w:val="0"/>
                <w:sz w:val="24"/>
                <w:szCs w:val="20"/>
                <w:highlight w:val="none"/>
                <w:lang w:val="en-US" w:eastAsia="zh-CN" w:bidi="ar-SA"/>
              </w:rPr>
              <w:t>雾炮机进行喷雾洒水。</w:t>
            </w:r>
          </w:p>
          <w:p w14:paraId="3F66AE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color w:val="auto"/>
                <w:sz w:val="24"/>
                <w:szCs w:val="24"/>
                <w:lang w:val="en-US" w:eastAsia="zh-CN"/>
              </w:rPr>
              <w:t>生产工</w:t>
            </w:r>
            <w:r>
              <w:rPr>
                <w:rFonts w:hint="eastAsia" w:ascii="Times New Roman" w:hAnsi="Times New Roman" w:eastAsia="宋体" w:cs="Times New Roman"/>
                <w:bCs/>
                <w:color w:val="auto"/>
                <w:sz w:val="24"/>
                <w:szCs w:val="24"/>
                <w:highlight w:val="none"/>
                <w:lang w:val="en-US" w:eastAsia="zh-CN"/>
              </w:rPr>
              <w:t>艺流程及污染节点见图2.1</w:t>
            </w:r>
            <w:r>
              <w:rPr>
                <w:rFonts w:hint="eastAsia" w:cs="Times New Roman"/>
                <w:bCs/>
                <w:color w:val="auto"/>
                <w:sz w:val="24"/>
                <w:szCs w:val="24"/>
                <w:highlight w:val="none"/>
                <w:lang w:val="en-US" w:eastAsia="zh-CN"/>
              </w:rPr>
              <w:t>0-1</w:t>
            </w:r>
            <w:r>
              <w:rPr>
                <w:rFonts w:hint="eastAsia" w:ascii="Times New Roman" w:hAnsi="Times New Roman" w:eastAsia="宋体" w:cs="Times New Roman"/>
                <w:bCs/>
                <w:color w:val="auto"/>
                <w:sz w:val="24"/>
                <w:szCs w:val="24"/>
                <w:highlight w:val="none"/>
                <w:lang w:val="en-US" w:eastAsia="zh-CN"/>
              </w:rPr>
              <w:t>。</w:t>
            </w:r>
          </w:p>
          <w:p w14:paraId="75860F4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drawing>
                <wp:inline distT="0" distB="0" distL="114300" distR="114300">
                  <wp:extent cx="3799840" cy="4315460"/>
                  <wp:effectExtent l="0" t="0" r="10160" b="12700"/>
                  <wp:docPr id="251" name="图片 251" descr="工艺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工艺流程图"/>
                          <pic:cNvPicPr>
                            <a:picLocks noChangeAspect="1"/>
                          </pic:cNvPicPr>
                        </pic:nvPicPr>
                        <pic:blipFill>
                          <a:blip r:embed="rId22"/>
                          <a:stretch>
                            <a:fillRect/>
                          </a:stretch>
                        </pic:blipFill>
                        <pic:spPr>
                          <a:xfrm>
                            <a:off x="0" y="0"/>
                            <a:ext cx="3799840" cy="4315460"/>
                          </a:xfrm>
                          <a:prstGeom prst="rect">
                            <a:avLst/>
                          </a:prstGeom>
                        </pic:spPr>
                      </pic:pic>
                    </a:graphicData>
                  </a:graphic>
                </wp:inline>
              </w:drawing>
            </w:r>
          </w:p>
          <w:p w14:paraId="5500A9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图2</w:t>
            </w:r>
            <w:r>
              <w:rPr>
                <w:rFonts w:hint="eastAsia" w:cs="Times New Roman"/>
                <w:b/>
                <w:bCs/>
                <w:color w:val="auto"/>
                <w:kern w:val="2"/>
                <w:sz w:val="21"/>
                <w:szCs w:val="21"/>
                <w:highlight w:val="none"/>
                <w:lang w:val="en-US" w:eastAsia="zh-CN" w:bidi="ar-SA"/>
              </w:rPr>
              <w:t>.10</w:t>
            </w:r>
            <w:r>
              <w:rPr>
                <w:rFonts w:hint="default" w:ascii="Times New Roman" w:hAnsi="Times New Roman" w:eastAsia="宋体" w:cs="Times New Roman"/>
                <w:b/>
                <w:bCs/>
                <w:color w:val="auto"/>
                <w:kern w:val="2"/>
                <w:sz w:val="21"/>
                <w:szCs w:val="21"/>
                <w:highlight w:val="none"/>
                <w:lang w:val="en-US" w:eastAsia="zh-CN" w:bidi="ar-SA"/>
              </w:rPr>
              <w:t>-</w:t>
            </w:r>
            <w:r>
              <w:rPr>
                <w:rFonts w:hint="eastAsia" w:cs="Times New Roman"/>
                <w:b/>
                <w:bCs/>
                <w:color w:val="auto"/>
                <w:kern w:val="2"/>
                <w:sz w:val="21"/>
                <w:szCs w:val="21"/>
                <w:highlight w:val="none"/>
                <w:lang w:val="en-US" w:eastAsia="zh-CN" w:bidi="ar-SA"/>
              </w:rPr>
              <w:t>1</w:t>
            </w:r>
            <w:r>
              <w:rPr>
                <w:rFonts w:hint="default" w:ascii="Times New Roman" w:hAnsi="Times New Roman" w:eastAsia="宋体" w:cs="Times New Roman"/>
                <w:b/>
                <w:bCs/>
                <w:color w:val="auto"/>
                <w:kern w:val="2"/>
                <w:sz w:val="21"/>
                <w:szCs w:val="21"/>
                <w:highlight w:val="none"/>
                <w:lang w:val="en-US" w:eastAsia="zh-CN" w:bidi="ar-SA"/>
              </w:rPr>
              <w:t xml:space="preserve">  生产工艺流程及产污环节图</w:t>
            </w:r>
          </w:p>
          <w:p w14:paraId="6BF05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val="0"/>
                <w:color w:val="auto"/>
                <w:sz w:val="24"/>
                <w:szCs w:val="24"/>
                <w:highlight w:val="none"/>
                <w:lang w:val="en-US" w:eastAsia="zh-CN"/>
              </w:rPr>
              <w:t>2.11主要污染工序</w:t>
            </w:r>
          </w:p>
          <w:p w14:paraId="51861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2.11.1</w:t>
            </w:r>
            <w:r>
              <w:rPr>
                <w:rFonts w:hint="default" w:ascii="Times New Roman" w:hAnsi="Times New Roman" w:cs="Times New Roman"/>
                <w:b/>
                <w:bCs/>
                <w:color w:val="auto"/>
                <w:sz w:val="24"/>
                <w:highlight w:val="none"/>
                <w:lang w:val="en-US" w:eastAsia="zh-CN"/>
              </w:rPr>
              <w:t>大气污染环节</w:t>
            </w:r>
          </w:p>
          <w:p w14:paraId="5E490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（1）道路运输产生的扬尘，主要污染物为颗粒物；</w:t>
            </w:r>
          </w:p>
          <w:p w14:paraId="7E1B7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color w:val="auto"/>
                <w:sz w:val="24"/>
                <w:highlight w:val="none"/>
                <w:lang w:val="en-US" w:eastAsia="zh-CN"/>
              </w:rPr>
              <w:t>（2）原料及成品堆放、</w:t>
            </w:r>
            <w:r>
              <w:rPr>
                <w:rFonts w:hint="default"/>
                <w:bCs/>
                <w:color w:val="auto"/>
                <w:sz w:val="24"/>
              </w:rPr>
              <w:t>装卸产生的</w:t>
            </w:r>
            <w:r>
              <w:rPr>
                <w:rFonts w:hint="eastAsia" w:cs="Times New Roman"/>
                <w:color w:val="auto"/>
                <w:sz w:val="24"/>
                <w:highlight w:val="none"/>
                <w:lang w:val="en-US" w:eastAsia="zh-CN"/>
              </w:rPr>
              <w:t>粉尘</w:t>
            </w:r>
            <w:r>
              <w:rPr>
                <w:rFonts w:hint="eastAsia" w:ascii="Times New Roman" w:hAnsi="Times New Roman" w:cs="Times New Roman"/>
                <w:bCs/>
                <w:color w:val="auto"/>
                <w:sz w:val="24"/>
                <w:lang w:val="en-US" w:eastAsia="zh-CN"/>
              </w:rPr>
              <w:t>，</w:t>
            </w:r>
            <w:r>
              <w:rPr>
                <w:rFonts w:hint="eastAsia" w:ascii="Times New Roman" w:hAnsi="Times New Roman" w:cs="Times New Roman"/>
                <w:color w:val="auto"/>
                <w:sz w:val="24"/>
                <w:szCs w:val="24"/>
                <w:lang w:val="en-US" w:eastAsia="zh-CN"/>
              </w:rPr>
              <w:t>主要污染物为颗粒物</w:t>
            </w:r>
            <w:r>
              <w:rPr>
                <w:rFonts w:hint="default" w:ascii="Times New Roman" w:hAnsi="Times New Roman" w:eastAsia="宋体" w:cs="Times New Roman"/>
                <w:bCs/>
                <w:color w:val="auto"/>
                <w:sz w:val="24"/>
                <w:szCs w:val="24"/>
                <w:highlight w:val="none"/>
                <w:lang w:val="en-US" w:eastAsia="zh-CN"/>
              </w:rPr>
              <w:t>；</w:t>
            </w:r>
          </w:p>
          <w:p w14:paraId="2E85E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（3）</w:t>
            </w:r>
            <w:r>
              <w:rPr>
                <w:rFonts w:hint="default"/>
                <w:bCs/>
                <w:color w:val="auto"/>
                <w:sz w:val="24"/>
              </w:rPr>
              <w:t>给料、</w:t>
            </w:r>
            <w:r>
              <w:rPr>
                <w:rFonts w:hint="eastAsia"/>
                <w:bCs/>
                <w:color w:val="auto"/>
                <w:sz w:val="24"/>
                <w:lang w:val="en-US" w:eastAsia="zh-CN"/>
              </w:rPr>
              <w:t>破碎、筛分产生的粉尘，</w:t>
            </w:r>
            <w:r>
              <w:rPr>
                <w:rFonts w:hint="eastAsia" w:ascii="Times New Roman" w:hAnsi="Times New Roman" w:cs="Times New Roman"/>
                <w:color w:val="auto"/>
                <w:sz w:val="24"/>
                <w:szCs w:val="24"/>
                <w:lang w:val="en-US" w:eastAsia="zh-CN"/>
              </w:rPr>
              <w:t>主要污染物为颗粒物</w:t>
            </w:r>
            <w:r>
              <w:rPr>
                <w:rFonts w:hint="default" w:ascii="Times New Roman" w:hAnsi="Times New Roman" w:eastAsia="宋体" w:cs="Times New Roman"/>
                <w:bCs/>
                <w:color w:val="auto"/>
                <w:sz w:val="24"/>
                <w:szCs w:val="24"/>
                <w:highlight w:val="none"/>
                <w:lang w:val="en-US" w:eastAsia="zh-CN"/>
              </w:rPr>
              <w:t>；</w:t>
            </w:r>
          </w:p>
          <w:p w14:paraId="50646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（4）制砂、筛分产生的粉尘，</w:t>
            </w:r>
            <w:r>
              <w:rPr>
                <w:rFonts w:hint="eastAsia" w:ascii="Times New Roman" w:hAnsi="Times New Roman" w:cs="Times New Roman"/>
                <w:color w:val="auto"/>
                <w:sz w:val="24"/>
                <w:szCs w:val="24"/>
                <w:lang w:val="en-US" w:eastAsia="zh-CN"/>
              </w:rPr>
              <w:t>主要污染物为颗粒物；</w:t>
            </w:r>
          </w:p>
          <w:p w14:paraId="7BFAA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（5）</w:t>
            </w:r>
            <w:r>
              <w:rPr>
                <w:rFonts w:hint="eastAsia"/>
                <w:bCs/>
                <w:color w:val="auto"/>
                <w:sz w:val="24"/>
                <w:lang w:val="en-US" w:eastAsia="zh-CN"/>
              </w:rPr>
              <w:t>物料</w:t>
            </w:r>
            <w:r>
              <w:rPr>
                <w:rFonts w:hint="default"/>
                <w:bCs/>
                <w:color w:val="auto"/>
                <w:sz w:val="24"/>
              </w:rPr>
              <w:t>运输及衔接转载产生的</w:t>
            </w:r>
            <w:r>
              <w:rPr>
                <w:rFonts w:hint="eastAsia" w:cs="Times New Roman"/>
                <w:color w:val="auto"/>
                <w:sz w:val="24"/>
                <w:highlight w:val="none"/>
                <w:lang w:val="en-US" w:eastAsia="zh-CN"/>
              </w:rPr>
              <w:t>粉尘</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主要污染物为颗粒物</w:t>
            </w:r>
            <w:r>
              <w:rPr>
                <w:rFonts w:hint="eastAsia" w:cs="Times New Roman"/>
                <w:color w:val="auto"/>
                <w:sz w:val="24"/>
                <w:szCs w:val="24"/>
                <w:lang w:val="en-US" w:eastAsia="zh-CN"/>
              </w:rPr>
              <w:t>。</w:t>
            </w:r>
          </w:p>
          <w:p w14:paraId="2CC276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2.11.2</w:t>
            </w:r>
            <w:r>
              <w:rPr>
                <w:rFonts w:hint="eastAsia" w:ascii="Times New Roman" w:hAnsi="Times New Roman" w:cs="Times New Roman"/>
                <w:b/>
                <w:bCs/>
                <w:color w:val="auto"/>
                <w:sz w:val="24"/>
                <w:highlight w:val="none"/>
                <w:lang w:val="en-US" w:eastAsia="zh-CN"/>
              </w:rPr>
              <w:t>水</w:t>
            </w:r>
            <w:r>
              <w:rPr>
                <w:rFonts w:hint="default" w:ascii="Times New Roman" w:hAnsi="Times New Roman" w:cs="Times New Roman"/>
                <w:b/>
                <w:bCs/>
                <w:color w:val="auto"/>
                <w:sz w:val="24"/>
                <w:highlight w:val="none"/>
                <w:lang w:val="en-US" w:eastAsia="zh-CN"/>
              </w:rPr>
              <w:t>污染环节</w:t>
            </w:r>
          </w:p>
          <w:p w14:paraId="6F498B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bCs/>
                <w:color w:val="auto"/>
                <w:sz w:val="24"/>
                <w:szCs w:val="24"/>
                <w:highlight w:val="none"/>
                <w:lang w:val="en-US" w:eastAsia="zh-CN"/>
              </w:rPr>
            </w:pPr>
            <w:r>
              <w:rPr>
                <w:rFonts w:hint="eastAsia" w:cs="Times New Roman"/>
                <w:color w:val="auto"/>
                <w:sz w:val="24"/>
                <w:highlight w:val="none"/>
                <w:lang w:val="en-US" w:eastAsia="zh-CN"/>
              </w:rPr>
              <w:t>（1）</w:t>
            </w:r>
            <w:r>
              <w:rPr>
                <w:rFonts w:hint="eastAsia" w:cs="Times New Roman"/>
                <w:bCs/>
                <w:color w:val="auto"/>
                <w:sz w:val="24"/>
                <w:szCs w:val="24"/>
                <w:highlight w:val="none"/>
                <w:lang w:val="en-US" w:eastAsia="zh-CN"/>
              </w:rPr>
              <w:t>生活污水；</w:t>
            </w:r>
          </w:p>
          <w:p w14:paraId="4D0FDD3F">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color w:val="auto"/>
                <w:sz w:val="24"/>
                <w:highlight w:val="none"/>
                <w:lang w:val="en-US" w:eastAsia="zh-CN"/>
              </w:rPr>
              <w:t>（2）</w:t>
            </w:r>
            <w:r>
              <w:rPr>
                <w:rFonts w:hint="default" w:ascii="Times New Roman" w:hAnsi="Times New Roman" w:eastAsia="宋体" w:cs="Times New Roman"/>
                <w:bCs/>
                <w:color w:val="auto"/>
                <w:sz w:val="24"/>
                <w:szCs w:val="24"/>
                <w:highlight w:val="none"/>
                <w:lang w:val="en-US" w:eastAsia="zh-CN"/>
              </w:rPr>
              <w:t>洗车废水</w:t>
            </w:r>
            <w:r>
              <w:rPr>
                <w:rFonts w:hint="eastAsia" w:cs="Times New Roman"/>
                <w:bCs/>
                <w:color w:val="auto"/>
                <w:sz w:val="24"/>
                <w:szCs w:val="24"/>
                <w:highlight w:val="none"/>
                <w:lang w:val="en-US" w:eastAsia="zh-CN"/>
              </w:rPr>
              <w:t>；</w:t>
            </w:r>
          </w:p>
          <w:p w14:paraId="0570DDBA">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cs="Times New Roman"/>
                <w:bCs/>
                <w:color w:val="auto"/>
                <w:sz w:val="24"/>
                <w:szCs w:val="24"/>
                <w:highlight w:val="none"/>
                <w:lang w:val="en-US" w:eastAsia="zh-CN"/>
              </w:rPr>
            </w:pPr>
            <w:r>
              <w:rPr>
                <w:rFonts w:hint="eastAsia" w:cs="Times New Roman"/>
                <w:color w:val="auto"/>
                <w:sz w:val="24"/>
                <w:highlight w:val="none"/>
                <w:lang w:val="en-US" w:eastAsia="zh-CN"/>
              </w:rPr>
              <w:t>（3）</w:t>
            </w:r>
            <w:r>
              <w:rPr>
                <w:rFonts w:hint="eastAsia" w:cs="Times New Roman"/>
                <w:bCs/>
                <w:color w:val="auto"/>
                <w:sz w:val="24"/>
                <w:szCs w:val="24"/>
                <w:highlight w:val="none"/>
                <w:lang w:val="en-US" w:eastAsia="zh-CN"/>
              </w:rPr>
              <w:t>初期雨水。</w:t>
            </w:r>
          </w:p>
          <w:p w14:paraId="6DA363D0">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
                <w:bCs/>
                <w:color w:val="auto"/>
                <w:sz w:val="24"/>
                <w:highlight w:val="none"/>
                <w:lang w:val="en-US" w:eastAsia="zh-CN"/>
              </w:rPr>
              <w:t>2.11.3</w:t>
            </w:r>
            <w:r>
              <w:rPr>
                <w:rFonts w:hint="default" w:ascii="Times New Roman" w:hAnsi="Times New Roman" w:eastAsia="宋体" w:cs="Times New Roman"/>
                <w:b/>
                <w:bCs w:val="0"/>
                <w:color w:val="auto"/>
                <w:sz w:val="24"/>
                <w:szCs w:val="24"/>
                <w:highlight w:val="none"/>
                <w:lang w:val="en-US" w:eastAsia="zh-CN"/>
              </w:rPr>
              <w:t>噪声污染</w:t>
            </w:r>
            <w:r>
              <w:rPr>
                <w:rFonts w:hint="eastAsia" w:ascii="Times New Roman" w:hAnsi="Times New Roman" w:eastAsia="宋体" w:cs="Times New Roman"/>
                <w:b/>
                <w:bCs w:val="0"/>
                <w:color w:val="auto"/>
                <w:sz w:val="24"/>
                <w:szCs w:val="24"/>
                <w:highlight w:val="none"/>
                <w:lang w:val="en-US" w:eastAsia="zh-CN"/>
              </w:rPr>
              <w:t>环节</w:t>
            </w:r>
          </w:p>
          <w:p w14:paraId="64BF77CE">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cs="Times New Roman"/>
                <w:color w:val="auto"/>
                <w:sz w:val="24"/>
                <w:szCs w:val="24"/>
              </w:rPr>
              <w:t>项目运营期噪声源主要是各种设备运行产生的噪声</w:t>
            </w:r>
            <w:r>
              <w:rPr>
                <w:rFonts w:hint="eastAsia" w:ascii="Times New Roman" w:hAnsi="Times New Roman" w:eastAsia="宋体" w:cs="Times New Roman"/>
                <w:bCs/>
                <w:color w:val="auto"/>
                <w:sz w:val="24"/>
                <w:szCs w:val="24"/>
                <w:highlight w:val="none"/>
                <w:lang w:val="en-US" w:eastAsia="zh-CN"/>
              </w:rPr>
              <w:t>。</w:t>
            </w:r>
          </w:p>
          <w:p w14:paraId="2801512C">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ascii="Times New Roman" w:hAnsi="Times New Roman" w:eastAsia="宋体" w:cs="Times New Roman"/>
                <w:b/>
                <w:bCs/>
                <w:color w:val="auto"/>
                <w:sz w:val="24"/>
                <w:highlight w:val="none"/>
                <w:lang w:val="en-US" w:eastAsia="zh-CN"/>
              </w:rPr>
              <w:t>2.1</w:t>
            </w:r>
            <w:r>
              <w:rPr>
                <w:rFonts w:hint="eastAsia" w:cs="Times New Roman"/>
                <w:b/>
                <w:bCs/>
                <w:color w:val="auto"/>
                <w:sz w:val="24"/>
                <w:highlight w:val="none"/>
                <w:lang w:val="en-US" w:eastAsia="zh-CN"/>
              </w:rPr>
              <w:t>1</w:t>
            </w:r>
            <w:r>
              <w:rPr>
                <w:rFonts w:hint="eastAsia"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en-US" w:eastAsia="zh-CN"/>
              </w:rPr>
              <w:t>固体废物污染</w:t>
            </w:r>
            <w:r>
              <w:rPr>
                <w:rFonts w:hint="eastAsia" w:ascii="Times New Roman" w:hAnsi="Times New Roman" w:eastAsia="宋体" w:cs="Times New Roman"/>
                <w:b/>
                <w:bCs/>
                <w:color w:val="auto"/>
                <w:sz w:val="24"/>
                <w:highlight w:val="none"/>
                <w:lang w:val="en-US" w:eastAsia="zh-CN"/>
              </w:rPr>
              <w:t>环节</w:t>
            </w:r>
          </w:p>
          <w:p w14:paraId="5036AEC9">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cs="Times New Roman"/>
                <w:bCs/>
                <w:color w:val="auto"/>
                <w:sz w:val="24"/>
                <w:highlight w:val="none"/>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1</w:t>
            </w:r>
            <w:r>
              <w:rPr>
                <w:rFonts w:hint="eastAsia" w:cs="Times New Roman"/>
                <w:bCs/>
                <w:color w:val="auto"/>
                <w:sz w:val="24"/>
                <w:highlight w:val="none"/>
                <w:lang w:eastAsia="zh-CN"/>
              </w:rPr>
              <w:t>）</w:t>
            </w:r>
            <w:r>
              <w:rPr>
                <w:rFonts w:hint="eastAsia" w:cs="Times New Roman"/>
                <w:bCs/>
                <w:color w:val="auto"/>
                <w:sz w:val="24"/>
                <w:highlight w:val="none"/>
                <w:lang w:val="en-US" w:eastAsia="zh-CN"/>
              </w:rPr>
              <w:t>生活垃圾</w:t>
            </w:r>
            <w:r>
              <w:rPr>
                <w:rFonts w:hint="default" w:ascii="Times New Roman" w:hAnsi="Times New Roman" w:cs="Times New Roman"/>
                <w:bCs/>
                <w:color w:val="auto"/>
                <w:sz w:val="24"/>
                <w:highlight w:val="none"/>
              </w:rPr>
              <w:t>；</w:t>
            </w:r>
          </w:p>
          <w:p w14:paraId="7D65F79A">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firstLine="480" w:firstLineChars="200"/>
              <w:textAlignment w:val="auto"/>
              <w:rPr>
                <w:rFonts w:hint="default" w:ascii="Times New Roman" w:hAnsi="Times New Roman" w:cs="Times New Roman"/>
                <w:bCs/>
                <w:color w:val="auto"/>
                <w:sz w:val="24"/>
                <w:highlight w:val="none"/>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2</w:t>
            </w:r>
            <w:r>
              <w:rPr>
                <w:rFonts w:hint="eastAsia" w:cs="Times New Roman"/>
                <w:bCs/>
                <w:color w:val="auto"/>
                <w:sz w:val="24"/>
                <w:highlight w:val="none"/>
                <w:lang w:eastAsia="zh-CN"/>
              </w:rPr>
              <w:t>）</w:t>
            </w:r>
            <w:r>
              <w:rPr>
                <w:rFonts w:hint="default" w:ascii="Times New Roman" w:hAnsi="Times New Roman" w:cs="Times New Roman"/>
                <w:bCs/>
                <w:color w:val="auto"/>
                <w:sz w:val="24"/>
                <w:highlight w:val="none"/>
              </w:rPr>
              <w:t>除尘器</w:t>
            </w:r>
            <w:r>
              <w:rPr>
                <w:rFonts w:hint="default" w:ascii="Times New Roman" w:hAnsi="Times New Roman" w:cs="Times New Roman"/>
                <w:bCs/>
                <w:color w:val="auto"/>
                <w:sz w:val="24"/>
                <w:highlight w:val="none"/>
                <w:lang w:val="en-US" w:eastAsia="zh-CN"/>
              </w:rPr>
              <w:t>除尘灰</w:t>
            </w:r>
            <w:r>
              <w:rPr>
                <w:rFonts w:hint="eastAsia" w:cs="Times New Roman"/>
                <w:bCs/>
                <w:color w:val="auto"/>
                <w:sz w:val="24"/>
                <w:highlight w:val="none"/>
                <w:lang w:val="en-US" w:eastAsia="zh-CN"/>
              </w:rPr>
              <w:t>、废布袋</w:t>
            </w:r>
            <w:r>
              <w:rPr>
                <w:rFonts w:hint="eastAsia" w:ascii="Times New Roman" w:hAnsi="Times New Roman" w:cs="Times New Roman"/>
                <w:bCs/>
                <w:color w:val="auto"/>
                <w:sz w:val="24"/>
                <w:highlight w:val="none"/>
                <w:lang w:val="en-US" w:eastAsia="zh-CN"/>
              </w:rPr>
              <w:t>；</w:t>
            </w:r>
          </w:p>
          <w:p w14:paraId="1C8CCF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cs="Times New Roman"/>
                <w:bCs/>
                <w:color w:val="auto"/>
                <w:sz w:val="24"/>
                <w:highlight w:val="none"/>
                <w:lang w:val="en-US" w:eastAsia="zh-CN"/>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3</w:t>
            </w:r>
            <w:r>
              <w:rPr>
                <w:rFonts w:hint="eastAsia" w:cs="Times New Roman"/>
                <w:bCs/>
                <w:color w:val="auto"/>
                <w:sz w:val="24"/>
                <w:highlight w:val="none"/>
                <w:lang w:eastAsia="zh-CN"/>
              </w:rPr>
              <w:t>）</w:t>
            </w:r>
            <w:r>
              <w:rPr>
                <w:rFonts w:hint="eastAsia" w:cs="Times New Roman"/>
                <w:bCs/>
                <w:color w:val="auto"/>
                <w:sz w:val="24"/>
                <w:highlight w:val="none"/>
                <w:lang w:val="en-US" w:eastAsia="zh-CN"/>
              </w:rPr>
              <w:t>废铁屑；</w:t>
            </w:r>
          </w:p>
          <w:p w14:paraId="6A83F3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color w:val="auto"/>
                <w:sz w:val="24"/>
                <w:szCs w:val="24"/>
                <w:lang w:eastAsia="zh-CN"/>
              </w:rPr>
              <w:t>（</w:t>
            </w:r>
            <w:r>
              <w:rPr>
                <w:rFonts w:hint="eastAsia" w:cs="Times New Roman"/>
                <w:color w:val="auto"/>
                <w:sz w:val="24"/>
                <w:szCs w:val="24"/>
                <w:lang w:val="en-US" w:eastAsia="zh-CN"/>
              </w:rPr>
              <w:t>4</w:t>
            </w:r>
            <w:r>
              <w:rPr>
                <w:rFonts w:hint="eastAsia" w:cs="Times New Roman"/>
                <w:color w:val="auto"/>
                <w:sz w:val="24"/>
                <w:szCs w:val="24"/>
                <w:lang w:eastAsia="zh-CN"/>
              </w:rPr>
              <w:t>）</w:t>
            </w:r>
            <w:r>
              <w:rPr>
                <w:rFonts w:hint="default" w:ascii="Times New Roman" w:hAnsi="Times New Roman" w:cs="Times New Roman"/>
                <w:color w:val="auto"/>
                <w:sz w:val="24"/>
                <w:szCs w:val="24"/>
              </w:rPr>
              <w:t>设备维修使用产生的</w:t>
            </w:r>
            <w:r>
              <w:rPr>
                <w:rFonts w:hint="default" w:ascii="Times New Roman" w:hAnsi="Times New Roman" w:cs="Times New Roman"/>
                <w:bCs/>
                <w:color w:val="auto"/>
                <w:sz w:val="24"/>
                <w:highlight w:val="none"/>
                <w:lang w:val="en-US" w:eastAsia="zh-CN"/>
              </w:rPr>
              <w:t>废矿物油</w:t>
            </w:r>
            <w:r>
              <w:rPr>
                <w:rFonts w:hint="eastAsia" w:ascii="Times New Roman" w:hAnsi="Times New Roman" w:cs="Times New Roman"/>
                <w:bCs/>
                <w:color w:val="auto"/>
                <w:sz w:val="24"/>
                <w:highlight w:val="none"/>
                <w:lang w:val="en-US" w:eastAsia="zh-CN"/>
              </w:rPr>
              <w:t>、废油桶</w:t>
            </w:r>
            <w:r>
              <w:rPr>
                <w:rFonts w:hint="default" w:ascii="Times New Roman" w:hAnsi="Times New Roman" w:eastAsia="宋体" w:cs="Times New Roman"/>
                <w:bCs/>
                <w:color w:val="auto"/>
                <w:sz w:val="24"/>
                <w:szCs w:val="24"/>
                <w:highlight w:val="none"/>
                <w:lang w:val="en-US" w:eastAsia="zh-CN"/>
              </w:rPr>
              <w:t>。</w:t>
            </w:r>
          </w:p>
          <w:p w14:paraId="13D42835">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405AF8EC">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7347B0A8">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463D04D1">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0C016692">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7CF73D24">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3F0254F3">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5B720884">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6A6DD161">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06807410">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4CF1804C">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535EEF45">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3FB8BA11">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79559CD4">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5EB9BD86">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7CDC439A">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p w14:paraId="1C55C2BE">
            <w:pPr>
              <w:pStyle w:val="34"/>
              <w:keepNext w:val="0"/>
              <w:keepLines w:val="0"/>
              <w:suppressLineNumbers w:val="0"/>
              <w:spacing w:before="0" w:beforeAutospacing="0" w:after="0" w:afterAutospacing="0"/>
              <w:ind w:left="0" w:right="0"/>
              <w:rPr>
                <w:rFonts w:hint="default" w:ascii="Times New Roman" w:hAnsi="Times New Roman" w:eastAsia="宋体" w:cs="Times New Roman"/>
                <w:bCs/>
                <w:color w:val="auto"/>
                <w:sz w:val="24"/>
                <w:szCs w:val="24"/>
                <w:highlight w:val="none"/>
                <w:lang w:val="en-US" w:eastAsia="zh-CN"/>
              </w:rPr>
            </w:pPr>
          </w:p>
        </w:tc>
      </w:tr>
      <w:tr w14:paraId="243FD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31" w:hRule="atLeast"/>
          <w:jc w:val="center"/>
        </w:trPr>
        <w:tc>
          <w:tcPr>
            <w:tcW w:w="513" w:type="dxa"/>
            <w:tcBorders>
              <w:tl2br w:val="nil"/>
              <w:tr2bl w:val="nil"/>
            </w:tcBorders>
            <w:vAlign w:val="center"/>
          </w:tcPr>
          <w:p w14:paraId="7E28612D">
            <w:pPr>
              <w:pStyle w:val="22"/>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kern w:val="2"/>
                <w:sz w:val="21"/>
                <w:szCs w:val="21"/>
                <w:highlight w:val="none"/>
              </w:rPr>
              <w:t>与项目有关的原有环境污染问题</w:t>
            </w:r>
          </w:p>
        </w:tc>
        <w:tc>
          <w:tcPr>
            <w:tcW w:w="8802" w:type="dxa"/>
            <w:tcBorders>
              <w:tl2br w:val="nil"/>
              <w:tr2bl w:val="nil"/>
            </w:tcBorders>
            <w:vAlign w:val="center"/>
          </w:tcPr>
          <w:p w14:paraId="2C8F8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color w:val="auto"/>
                <w:highlight w:val="none"/>
                <w:lang w:val="en-US" w:eastAsia="zh-CN"/>
              </w:rPr>
            </w:pPr>
            <w:r>
              <w:rPr>
                <w:rFonts w:hint="eastAsia" w:cs="Times New Roman"/>
                <w:b/>
                <w:bCs w:val="0"/>
                <w:color w:val="auto"/>
                <w:spacing w:val="0"/>
                <w:sz w:val="24"/>
                <w:szCs w:val="24"/>
                <w:highlight w:val="none"/>
                <w:lang w:val="en-US" w:eastAsia="zh-CN"/>
              </w:rPr>
              <w:t>2.12现有项目概况</w:t>
            </w:r>
          </w:p>
          <w:p w14:paraId="1467D1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eastAsia="宋体" w:cs="Times New Roman"/>
                <w:b w:val="0"/>
                <w:bCs/>
                <w:color w:val="auto"/>
                <w:spacing w:val="0"/>
                <w:kern w:val="2"/>
                <w:sz w:val="24"/>
                <w:szCs w:val="24"/>
                <w:highlight w:val="none"/>
                <w:lang w:val="en-US" w:eastAsia="zh-CN" w:bidi="ar-SA"/>
              </w:rPr>
            </w:pPr>
            <w:r>
              <w:rPr>
                <w:rFonts w:hint="eastAsia" w:cs="Times New Roman"/>
                <w:b w:val="0"/>
                <w:bCs/>
                <w:color w:val="auto"/>
                <w:spacing w:val="0"/>
                <w:kern w:val="2"/>
                <w:sz w:val="24"/>
                <w:szCs w:val="24"/>
                <w:highlight w:val="none"/>
                <w:lang w:val="en-US" w:eastAsia="zh-CN" w:bidi="ar-SA"/>
              </w:rPr>
              <w:t>本项目租赁</w:t>
            </w:r>
            <w:r>
              <w:rPr>
                <w:rFonts w:hint="eastAsia" w:hAnsi="宋体"/>
                <w:color w:val="auto"/>
                <w:sz w:val="24"/>
                <w:highlight w:val="none"/>
              </w:rPr>
              <w:t>长治市潞常清工贸有限公司</w:t>
            </w:r>
            <w:r>
              <w:rPr>
                <w:rFonts w:hint="eastAsia" w:hAnsi="宋体"/>
                <w:color w:val="auto"/>
                <w:sz w:val="24"/>
                <w:highlight w:val="none"/>
                <w:lang w:val="en-US" w:eastAsia="zh-CN"/>
              </w:rPr>
              <w:t>厂区北侧占地，根据现场调查，占地原为</w:t>
            </w:r>
            <w:r>
              <w:rPr>
                <w:rFonts w:hint="default" w:ascii="Times New Roman" w:hAnsi="Times New Roman"/>
                <w:color w:val="auto"/>
                <w:sz w:val="24"/>
                <w:highlight w:val="none"/>
              </w:rPr>
              <w:t>长治市潞常清工贸有限公司新建储煤棚项目</w:t>
            </w:r>
            <w:r>
              <w:rPr>
                <w:rFonts w:hint="eastAsia" w:ascii="Times New Roman" w:hAnsi="Times New Roman"/>
                <w:color w:val="auto"/>
                <w:sz w:val="24"/>
                <w:highlight w:val="none"/>
                <w:lang w:eastAsia="zh-CN"/>
              </w:rPr>
              <w:t>。</w:t>
            </w:r>
          </w:p>
          <w:p w14:paraId="1DBD1A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04" w:firstLineChars="200"/>
              <w:textAlignment w:val="auto"/>
              <w:rPr>
                <w:rFonts w:hint="default" w:ascii="Times New Roman" w:hAnsi="Times New Roman"/>
                <w:bCs/>
                <w:color w:val="auto"/>
                <w:spacing w:val="6"/>
                <w:sz w:val="24"/>
              </w:rPr>
            </w:pPr>
            <w:r>
              <w:rPr>
                <w:rFonts w:hint="default" w:ascii="Times New Roman" w:hAnsi="Times New Roman"/>
                <w:bCs/>
                <w:color w:val="auto"/>
                <w:spacing w:val="6"/>
                <w:sz w:val="24"/>
                <w:highlight w:val="none"/>
              </w:rPr>
              <w:t>2023年5月</w:t>
            </w:r>
            <w:r>
              <w:rPr>
                <w:rFonts w:hint="eastAsia" w:ascii="Times New Roman" w:hAnsi="Times New Roman"/>
                <w:bCs/>
                <w:color w:val="auto"/>
                <w:spacing w:val="6"/>
                <w:sz w:val="24"/>
                <w:highlight w:val="none"/>
              </w:rPr>
              <w:t>8</w:t>
            </w:r>
            <w:r>
              <w:rPr>
                <w:rFonts w:hint="default" w:ascii="Times New Roman" w:hAnsi="Times New Roman"/>
                <w:bCs/>
                <w:color w:val="auto"/>
                <w:spacing w:val="6"/>
                <w:sz w:val="24"/>
                <w:highlight w:val="none"/>
              </w:rPr>
              <w:t>日，</w:t>
            </w:r>
            <w:r>
              <w:rPr>
                <w:rFonts w:hint="eastAsia" w:ascii="Times New Roman" w:hAnsi="Times New Roman"/>
                <w:color w:val="auto"/>
                <w:sz w:val="24"/>
                <w:highlight w:val="none"/>
              </w:rPr>
              <w:t>长治市屯留区行政审批服务管理局</w:t>
            </w:r>
            <w:r>
              <w:rPr>
                <w:rFonts w:hint="eastAsia" w:ascii="Times New Roman" w:hAnsi="Times New Roman"/>
                <w:bCs/>
                <w:color w:val="auto"/>
                <w:spacing w:val="6"/>
                <w:sz w:val="24"/>
                <w:highlight w:val="none"/>
              </w:rPr>
              <w:t>对</w:t>
            </w:r>
            <w:r>
              <w:rPr>
                <w:rFonts w:hint="eastAsia" w:ascii="Times New Roman" w:hAnsi="Times New Roman"/>
                <w:bCs/>
                <w:color w:val="auto"/>
                <w:spacing w:val="6"/>
                <w:sz w:val="24"/>
                <w:highlight w:val="none"/>
                <w:lang w:val="en-US" w:eastAsia="zh-CN"/>
              </w:rPr>
              <w:t>该</w:t>
            </w:r>
            <w:r>
              <w:rPr>
                <w:rFonts w:hint="eastAsia" w:ascii="Times New Roman" w:hAnsi="Times New Roman"/>
                <w:bCs/>
                <w:color w:val="auto"/>
                <w:spacing w:val="6"/>
                <w:sz w:val="24"/>
                <w:highlight w:val="none"/>
              </w:rPr>
              <w:t>项目出具了山西省企业投资项目备案证，项目代码：</w:t>
            </w:r>
            <w:r>
              <w:rPr>
                <w:rFonts w:hint="default" w:ascii="Times New Roman" w:hAnsi="Times New Roman"/>
                <w:bCs/>
                <w:color w:val="auto"/>
                <w:spacing w:val="6"/>
                <w:sz w:val="24"/>
                <w:highlight w:val="none"/>
              </w:rPr>
              <w:t>2305-140405-89-01-807056。2023年8月，建设单位委托</w:t>
            </w:r>
            <w:r>
              <w:rPr>
                <w:rFonts w:hint="eastAsia" w:ascii="Times New Roman" w:hAnsi="Times New Roman"/>
                <w:color w:val="auto"/>
                <w:sz w:val="24"/>
                <w:highlight w:val="none"/>
              </w:rPr>
              <w:t>山西景顺通环境工程有限公司</w:t>
            </w:r>
            <w:r>
              <w:rPr>
                <w:rFonts w:hint="default" w:ascii="Times New Roman" w:hAnsi="Times New Roman"/>
                <w:bCs/>
                <w:color w:val="auto"/>
                <w:spacing w:val="6"/>
                <w:sz w:val="24"/>
                <w:highlight w:val="none"/>
              </w:rPr>
              <w:t>编制了《</w:t>
            </w:r>
            <w:r>
              <w:rPr>
                <w:rFonts w:hint="default" w:ascii="Times New Roman" w:hAnsi="Times New Roman"/>
                <w:color w:val="auto"/>
                <w:sz w:val="24"/>
                <w:highlight w:val="none"/>
              </w:rPr>
              <w:t>长治市潞常清工贸有限公司新建储煤棚项目</w:t>
            </w:r>
            <w:r>
              <w:rPr>
                <w:rFonts w:hint="default" w:ascii="Times New Roman" w:hAnsi="Times New Roman"/>
                <w:bCs/>
                <w:color w:val="auto"/>
                <w:spacing w:val="6"/>
                <w:sz w:val="24"/>
                <w:highlight w:val="none"/>
              </w:rPr>
              <w:t>环境影响报告表》。2023年8月22日，</w:t>
            </w:r>
            <w:r>
              <w:rPr>
                <w:rFonts w:hint="default" w:ascii="Times New Roman" w:hAnsi="Times New Roman"/>
                <w:color w:val="auto"/>
                <w:sz w:val="24"/>
                <w:highlight w:val="none"/>
              </w:rPr>
              <w:t>长治市屯留区行政审批服务管理局</w:t>
            </w:r>
            <w:r>
              <w:rPr>
                <w:rFonts w:hint="default" w:ascii="Times New Roman" w:hAnsi="Times New Roman"/>
                <w:bCs/>
                <w:color w:val="auto"/>
                <w:spacing w:val="6"/>
                <w:sz w:val="24"/>
                <w:highlight w:val="none"/>
              </w:rPr>
              <w:t>以屯审管建函</w:t>
            </w:r>
            <w:r>
              <w:rPr>
                <w:rFonts w:hint="eastAsia"/>
                <w:bCs/>
                <w:color w:val="auto"/>
                <w:spacing w:val="6"/>
                <w:sz w:val="24"/>
                <w:highlight w:val="none"/>
                <w:lang w:val="en-US" w:eastAsia="zh-CN"/>
              </w:rPr>
              <w:t>[</w:t>
            </w:r>
            <w:r>
              <w:rPr>
                <w:rFonts w:hint="eastAsia" w:ascii="Times New Roman" w:hAnsi="Times New Roman"/>
                <w:bCs/>
                <w:color w:val="auto"/>
                <w:spacing w:val="6"/>
                <w:sz w:val="24"/>
                <w:highlight w:val="none"/>
              </w:rPr>
              <w:t>202</w:t>
            </w:r>
            <w:r>
              <w:rPr>
                <w:rFonts w:hint="default" w:ascii="Times New Roman" w:hAnsi="Times New Roman"/>
                <w:bCs/>
                <w:color w:val="auto"/>
                <w:spacing w:val="6"/>
                <w:sz w:val="24"/>
                <w:highlight w:val="none"/>
              </w:rPr>
              <w:t>3</w:t>
            </w:r>
            <w:r>
              <w:rPr>
                <w:rFonts w:hint="eastAsia"/>
                <w:bCs/>
                <w:color w:val="auto"/>
                <w:spacing w:val="6"/>
                <w:sz w:val="24"/>
                <w:highlight w:val="none"/>
                <w:lang w:val="en-US" w:eastAsia="zh-CN"/>
              </w:rPr>
              <w:t>]</w:t>
            </w:r>
            <w:r>
              <w:rPr>
                <w:rFonts w:hint="default" w:ascii="Times New Roman" w:hAnsi="Times New Roman"/>
                <w:bCs/>
                <w:color w:val="auto"/>
                <w:spacing w:val="6"/>
                <w:sz w:val="24"/>
                <w:highlight w:val="none"/>
              </w:rPr>
              <w:t>31</w:t>
            </w:r>
            <w:r>
              <w:rPr>
                <w:rFonts w:hint="eastAsia" w:ascii="Times New Roman" w:hAnsi="Times New Roman"/>
                <w:bCs/>
                <w:color w:val="auto"/>
                <w:spacing w:val="6"/>
                <w:sz w:val="24"/>
                <w:highlight w:val="none"/>
              </w:rPr>
              <w:t>号</w:t>
            </w:r>
            <w:r>
              <w:rPr>
                <w:rFonts w:hint="default" w:ascii="Times New Roman" w:hAnsi="Times New Roman"/>
                <w:bCs/>
                <w:color w:val="auto"/>
                <w:spacing w:val="6"/>
                <w:sz w:val="24"/>
                <w:highlight w:val="none"/>
              </w:rPr>
              <w:t>对《</w:t>
            </w:r>
            <w:r>
              <w:rPr>
                <w:rFonts w:hint="default" w:ascii="Times New Roman" w:hAnsi="Times New Roman"/>
                <w:color w:val="auto"/>
                <w:sz w:val="24"/>
                <w:highlight w:val="none"/>
              </w:rPr>
              <w:t>长治市潞常清工贸有限公司新建储煤棚项目</w:t>
            </w:r>
            <w:r>
              <w:rPr>
                <w:rFonts w:hint="default" w:ascii="Times New Roman" w:hAnsi="Times New Roman"/>
                <w:bCs/>
                <w:color w:val="auto"/>
                <w:spacing w:val="6"/>
                <w:sz w:val="24"/>
                <w:highlight w:val="none"/>
              </w:rPr>
              <w:t>环境影响报告表》进行了批复。</w:t>
            </w:r>
          </w:p>
          <w:p w14:paraId="2D556F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rPr>
            </w:pPr>
            <w:r>
              <w:rPr>
                <w:rFonts w:hint="default" w:ascii="Times New Roman" w:hAnsi="Times New Roman"/>
                <w:color w:val="auto"/>
                <w:sz w:val="24"/>
              </w:rPr>
              <w:t>该项目于2023年9月初开工建设，2024年4</w:t>
            </w:r>
            <w:r>
              <w:rPr>
                <w:rFonts w:hint="eastAsia" w:ascii="Times New Roman" w:hAnsi="Times New Roman"/>
                <w:color w:val="auto"/>
                <w:sz w:val="24"/>
              </w:rPr>
              <w:t>月初</w:t>
            </w:r>
            <w:r>
              <w:rPr>
                <w:rFonts w:hint="default" w:ascii="Times New Roman" w:hAnsi="Times New Roman"/>
                <w:color w:val="auto"/>
                <w:sz w:val="24"/>
              </w:rPr>
              <w:t>建成竣工，项目主体工程与配套的环保设施建设完成，于2024年4月进行生产调试。2024年4月1日</w:t>
            </w:r>
            <w:r>
              <w:rPr>
                <w:rFonts w:hint="eastAsia" w:hAnsi="宋体"/>
                <w:color w:val="auto"/>
                <w:sz w:val="24"/>
              </w:rPr>
              <w:t>长治市潞常清工贸有限公司</w:t>
            </w:r>
            <w:r>
              <w:rPr>
                <w:rFonts w:hint="default" w:ascii="Times New Roman" w:hAnsi="Times New Roman"/>
                <w:color w:val="auto"/>
                <w:sz w:val="24"/>
              </w:rPr>
              <w:t>填报并申领了固定污染源排污登记表，登记编号为91140424MAC2R62E1L001X。</w:t>
            </w:r>
          </w:p>
          <w:p w14:paraId="61265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olor w:val="auto"/>
                <w:sz w:val="24"/>
                <w:lang w:val="en-US" w:eastAsia="zh-CN"/>
              </w:rPr>
            </w:pPr>
            <w:r>
              <w:rPr>
                <w:rFonts w:hint="eastAsia" w:ascii="Times New Roman" w:hAnsi="Times New Roman"/>
                <w:color w:val="auto"/>
                <w:sz w:val="24"/>
              </w:rPr>
              <w:t>2024年7月6日，</w:t>
            </w:r>
            <w:r>
              <w:rPr>
                <w:rFonts w:hint="eastAsia" w:hAnsi="宋体"/>
                <w:color w:val="auto"/>
                <w:sz w:val="24"/>
              </w:rPr>
              <w:t>长治市潞常清工贸有限公司</w:t>
            </w:r>
            <w:r>
              <w:rPr>
                <w:rFonts w:hint="eastAsia" w:hAnsi="宋体"/>
                <w:color w:val="auto"/>
                <w:sz w:val="24"/>
                <w:lang w:val="en-US" w:eastAsia="zh-CN"/>
              </w:rPr>
              <w:t>组织召开了《</w:t>
            </w:r>
            <w:r>
              <w:rPr>
                <w:rFonts w:hint="default" w:ascii="Times New Roman" w:hAnsi="Times New Roman"/>
                <w:color w:val="auto"/>
                <w:sz w:val="24"/>
              </w:rPr>
              <w:t>长治市潞常清工贸有限公司新建储煤棚项目</w:t>
            </w:r>
            <w:r>
              <w:rPr>
                <w:rFonts w:hint="eastAsia"/>
                <w:color w:val="auto"/>
                <w:sz w:val="24"/>
                <w:lang w:val="en-US" w:eastAsia="zh-CN"/>
              </w:rPr>
              <w:t>竣工环境保护验收会</w:t>
            </w:r>
            <w:r>
              <w:rPr>
                <w:rFonts w:hint="eastAsia" w:hAnsi="宋体"/>
                <w:color w:val="auto"/>
                <w:sz w:val="24"/>
                <w:lang w:val="en-US" w:eastAsia="zh-CN"/>
              </w:rPr>
              <w:t>》，并通过了竣工环境保护验收。</w:t>
            </w:r>
          </w:p>
          <w:p w14:paraId="46C636E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cs="Times New Roman"/>
                <w:bCs/>
                <w:color w:val="auto"/>
                <w:kern w:val="2"/>
                <w:sz w:val="24"/>
                <w:szCs w:val="24"/>
                <w:lang w:val="en-US" w:eastAsia="zh-CN" w:bidi="ar-SA"/>
              </w:rPr>
            </w:pPr>
            <w:r>
              <w:rPr>
                <w:rFonts w:hint="eastAsia" w:cs="Times New Roman"/>
                <w:bCs/>
                <w:color w:val="auto"/>
                <w:kern w:val="2"/>
                <w:sz w:val="24"/>
                <w:szCs w:val="24"/>
                <w:lang w:val="en-US" w:eastAsia="zh-CN" w:bidi="ar-SA"/>
              </w:rPr>
              <w:t>根据现场调查，该项目由于市场原因已停产并且不再投入生产。</w:t>
            </w:r>
          </w:p>
          <w:p w14:paraId="46A0284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cs="Times New Roman"/>
                <w:bCs/>
                <w:color w:val="auto"/>
                <w:kern w:val="2"/>
                <w:sz w:val="24"/>
                <w:szCs w:val="24"/>
                <w:lang w:val="en-US" w:eastAsia="zh-CN" w:bidi="ar-SA"/>
              </w:rPr>
            </w:pPr>
            <w:r>
              <w:rPr>
                <w:rFonts w:hint="eastAsia" w:cs="Times New Roman"/>
                <w:bCs/>
                <w:color w:val="auto"/>
                <w:kern w:val="2"/>
                <w:sz w:val="24"/>
                <w:szCs w:val="24"/>
                <w:lang w:val="en-US" w:eastAsia="zh-CN" w:bidi="ar-SA"/>
              </w:rPr>
              <w:t>该项目建设情况见下表。</w:t>
            </w:r>
          </w:p>
          <w:p w14:paraId="3179CED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cs="Times New Roman"/>
                <w:b/>
                <w:bCs w:val="0"/>
                <w:color w:val="auto"/>
                <w:kern w:val="2"/>
                <w:sz w:val="21"/>
                <w:szCs w:val="21"/>
                <w:lang w:val="en-US" w:eastAsia="zh-CN" w:bidi="ar-SA"/>
              </w:rPr>
            </w:pPr>
            <w:r>
              <w:rPr>
                <w:rFonts w:hint="default" w:ascii="Times New Roman" w:hAnsi="Times New Roman" w:cs="Times New Roman"/>
                <w:b/>
                <w:bCs w:val="0"/>
                <w:color w:val="auto"/>
                <w:kern w:val="2"/>
                <w:sz w:val="21"/>
                <w:szCs w:val="21"/>
                <w:lang w:val="en-US" w:eastAsia="zh-CN" w:bidi="ar-SA"/>
              </w:rPr>
              <w:t>表2.12-1  项目建设情况一览表</w:t>
            </w:r>
          </w:p>
          <w:tbl>
            <w:tblPr>
              <w:tblStyle w:val="28"/>
              <w:tblW w:w="8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30"/>
              <w:gridCol w:w="1430"/>
              <w:gridCol w:w="6070"/>
            </w:tblGrid>
            <w:tr w14:paraId="07F3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Align w:val="center"/>
                </w:tcPr>
                <w:p w14:paraId="73F922B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bCs w:val="0"/>
                      <w:color w:val="auto"/>
                      <w:kern w:val="2"/>
                      <w:sz w:val="21"/>
                      <w:szCs w:val="21"/>
                      <w:vertAlign w:val="baseline"/>
                      <w:lang w:val="en-US" w:eastAsia="zh-CN" w:bidi="ar-SA"/>
                    </w:rPr>
                  </w:pPr>
                  <w:r>
                    <w:rPr>
                      <w:rFonts w:hint="eastAsia" w:cs="Times New Roman"/>
                      <w:b/>
                      <w:bCs w:val="0"/>
                      <w:color w:val="auto"/>
                      <w:kern w:val="2"/>
                      <w:sz w:val="21"/>
                      <w:szCs w:val="21"/>
                      <w:vertAlign w:val="baseline"/>
                      <w:lang w:val="en-US" w:eastAsia="zh-CN" w:bidi="ar-SA"/>
                    </w:rPr>
                    <w:t>类别</w:t>
                  </w:r>
                </w:p>
              </w:tc>
              <w:tc>
                <w:tcPr>
                  <w:tcW w:w="1860" w:type="dxa"/>
                  <w:gridSpan w:val="2"/>
                  <w:vAlign w:val="center"/>
                </w:tcPr>
                <w:p w14:paraId="449F10A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
                      <w:bCs w:val="0"/>
                      <w:color w:val="auto"/>
                      <w:kern w:val="2"/>
                      <w:sz w:val="21"/>
                      <w:szCs w:val="21"/>
                      <w:vertAlign w:val="baseline"/>
                      <w:lang w:val="en-US" w:eastAsia="zh-CN" w:bidi="ar-SA"/>
                    </w:rPr>
                  </w:pPr>
                  <w:r>
                    <w:rPr>
                      <w:rFonts w:hint="eastAsia" w:cs="Times New Roman"/>
                      <w:b/>
                      <w:bCs w:val="0"/>
                      <w:color w:val="auto"/>
                      <w:kern w:val="2"/>
                      <w:sz w:val="21"/>
                      <w:szCs w:val="21"/>
                      <w:vertAlign w:val="baseline"/>
                      <w:lang w:val="en-US" w:eastAsia="zh-CN" w:bidi="ar-SA"/>
                    </w:rPr>
                    <w:t>名称</w:t>
                  </w:r>
                </w:p>
              </w:tc>
              <w:tc>
                <w:tcPr>
                  <w:tcW w:w="6070" w:type="dxa"/>
                  <w:vAlign w:val="center"/>
                </w:tcPr>
                <w:p w14:paraId="759D9CB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bCs w:val="0"/>
                      <w:color w:val="auto"/>
                      <w:kern w:val="2"/>
                      <w:sz w:val="21"/>
                      <w:szCs w:val="21"/>
                      <w:vertAlign w:val="baseline"/>
                      <w:lang w:val="en-US" w:eastAsia="zh-CN" w:bidi="ar-SA"/>
                    </w:rPr>
                  </w:pPr>
                  <w:r>
                    <w:rPr>
                      <w:rFonts w:hint="eastAsia" w:cs="Times New Roman"/>
                      <w:b/>
                      <w:bCs w:val="0"/>
                      <w:color w:val="auto"/>
                      <w:kern w:val="2"/>
                      <w:sz w:val="21"/>
                      <w:szCs w:val="21"/>
                      <w:vertAlign w:val="baseline"/>
                      <w:lang w:val="en-US" w:eastAsia="zh-CN" w:bidi="ar-SA"/>
                    </w:rPr>
                    <w:t>工程内容</w:t>
                  </w:r>
                </w:p>
              </w:tc>
            </w:tr>
            <w:tr w14:paraId="590D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Align w:val="center"/>
                </w:tcPr>
                <w:p w14:paraId="688160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主体工程</w:t>
                  </w:r>
                </w:p>
              </w:tc>
              <w:tc>
                <w:tcPr>
                  <w:tcW w:w="1860" w:type="dxa"/>
                  <w:gridSpan w:val="2"/>
                  <w:vAlign w:val="center"/>
                </w:tcPr>
                <w:p w14:paraId="3528D24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全封闭储煤棚</w:t>
                  </w:r>
                </w:p>
              </w:tc>
              <w:tc>
                <w:tcPr>
                  <w:tcW w:w="6070" w:type="dxa"/>
                  <w:vAlign w:val="center"/>
                </w:tcPr>
                <w:p w14:paraId="048D3D0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建设1座全封闭钢结构厂房，采用混凝土砌石+轻钢网架+彩钢顶盖；煤棚地面全硬化，</w:t>
                  </w:r>
                  <w:r>
                    <w:rPr>
                      <w:rFonts w:hint="default" w:ascii="Times New Roman" w:hAnsi="Times New Roman"/>
                      <w:color w:val="auto"/>
                      <w:kern w:val="0"/>
                      <w:szCs w:val="21"/>
                    </w:rPr>
                    <w:t>1套照明系统，煤棚大门设推拉门，</w:t>
                  </w:r>
                  <w:r>
                    <w:rPr>
                      <w:rFonts w:hint="default" w:ascii="Times New Roman" w:hAnsi="Times New Roman"/>
                      <w:color w:val="auto"/>
                      <w:szCs w:val="21"/>
                    </w:rPr>
                    <w:t>内设</w:t>
                  </w:r>
                  <w:r>
                    <w:rPr>
                      <w:rFonts w:hint="default" w:ascii="Times New Roman" w:hAnsi="Times New Roman"/>
                      <w:color w:val="auto"/>
                      <w:spacing w:val="4"/>
                      <w:szCs w:val="21"/>
                    </w:rPr>
                    <w:t>抑尘装置</w:t>
                  </w:r>
                </w:p>
              </w:tc>
            </w:tr>
            <w:tr w14:paraId="7785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restart"/>
                  <w:vAlign w:val="center"/>
                </w:tcPr>
                <w:p w14:paraId="7FA1884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辅助工程</w:t>
                  </w:r>
                </w:p>
              </w:tc>
              <w:tc>
                <w:tcPr>
                  <w:tcW w:w="1860" w:type="dxa"/>
                  <w:gridSpan w:val="2"/>
                  <w:vAlign w:val="center"/>
                </w:tcPr>
                <w:p w14:paraId="0D99EF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办公室</w:t>
                  </w:r>
                </w:p>
              </w:tc>
              <w:tc>
                <w:tcPr>
                  <w:tcW w:w="6070" w:type="dxa"/>
                  <w:vAlign w:val="center"/>
                </w:tcPr>
                <w:p w14:paraId="1EDD513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位于厂区南侧，建筑面积200m</w:t>
                  </w:r>
                  <w:r>
                    <w:rPr>
                      <w:rFonts w:hint="default" w:ascii="Times New Roman" w:hAnsi="Times New Roman"/>
                      <w:color w:val="auto"/>
                      <w:szCs w:val="21"/>
                      <w:vertAlign w:val="superscript"/>
                    </w:rPr>
                    <w:t>2</w:t>
                  </w:r>
                  <w:r>
                    <w:rPr>
                      <w:rFonts w:hint="default" w:ascii="Times New Roman" w:hAnsi="Times New Roman"/>
                      <w:color w:val="auto"/>
                      <w:szCs w:val="21"/>
                    </w:rPr>
                    <w:t>（33m×6m），一层，砖混结构</w:t>
                  </w:r>
                </w:p>
              </w:tc>
            </w:tr>
            <w:tr w14:paraId="06B5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470AF5E5">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5B3C7C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磅房</w:t>
                  </w:r>
                </w:p>
              </w:tc>
              <w:tc>
                <w:tcPr>
                  <w:tcW w:w="6070" w:type="dxa"/>
                  <w:vAlign w:val="center"/>
                </w:tcPr>
                <w:p w14:paraId="01E1CE4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位于厂区大门</w:t>
                  </w:r>
                  <w:r>
                    <w:rPr>
                      <w:rFonts w:hint="eastAsia" w:ascii="Times New Roman" w:hAnsi="Times New Roman"/>
                      <w:color w:val="auto"/>
                      <w:szCs w:val="21"/>
                      <w:lang w:val="en-US" w:eastAsia="zh-CN"/>
                    </w:rPr>
                    <w:t>东</w:t>
                  </w:r>
                  <w:r>
                    <w:rPr>
                      <w:rFonts w:hint="default" w:ascii="Times New Roman" w:hAnsi="Times New Roman"/>
                      <w:color w:val="auto"/>
                      <w:szCs w:val="21"/>
                    </w:rPr>
                    <w:t>侧出入口处，占地面积30m</w:t>
                  </w:r>
                  <w:r>
                    <w:rPr>
                      <w:rFonts w:hint="default" w:ascii="Times New Roman" w:hAnsi="Times New Roman"/>
                      <w:color w:val="auto"/>
                      <w:szCs w:val="21"/>
                      <w:vertAlign w:val="superscript"/>
                    </w:rPr>
                    <w:t>2</w:t>
                  </w:r>
                  <w:r>
                    <w:rPr>
                      <w:rFonts w:hint="default" w:ascii="Times New Roman" w:hAnsi="Times New Roman"/>
                      <w:color w:val="auto"/>
                      <w:szCs w:val="21"/>
                    </w:rPr>
                    <w:t>，一层，轻钢结构</w:t>
                  </w:r>
                </w:p>
              </w:tc>
            </w:tr>
            <w:tr w14:paraId="0EC2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54AE0E2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70865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洗车平台</w:t>
                  </w:r>
                </w:p>
              </w:tc>
              <w:tc>
                <w:tcPr>
                  <w:tcW w:w="6070" w:type="dxa"/>
                  <w:vAlign w:val="center"/>
                </w:tcPr>
                <w:p w14:paraId="486A0D7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洗车平台紧邻磅房，配套建设1座10m</w:t>
                  </w:r>
                  <w:r>
                    <w:rPr>
                      <w:rFonts w:hint="default" w:ascii="Times New Roman" w:hAnsi="Times New Roman"/>
                      <w:color w:val="auto"/>
                      <w:szCs w:val="21"/>
                      <w:vertAlign w:val="superscript"/>
                    </w:rPr>
                    <w:t>3</w:t>
                  </w:r>
                  <w:r>
                    <w:rPr>
                      <w:rFonts w:hint="default" w:ascii="Times New Roman" w:hAnsi="Times New Roman"/>
                      <w:color w:val="auto"/>
                      <w:szCs w:val="21"/>
                    </w:rPr>
                    <w:t>沉淀池+1座10m</w:t>
                  </w:r>
                  <w:r>
                    <w:rPr>
                      <w:rFonts w:hint="default" w:ascii="Times New Roman" w:hAnsi="Times New Roman"/>
                      <w:color w:val="auto"/>
                      <w:szCs w:val="21"/>
                      <w:vertAlign w:val="superscript"/>
                    </w:rPr>
                    <w:t>3</w:t>
                  </w:r>
                  <w:r>
                    <w:rPr>
                      <w:rFonts w:hint="default" w:ascii="Times New Roman" w:hAnsi="Times New Roman"/>
                      <w:color w:val="auto"/>
                      <w:szCs w:val="21"/>
                    </w:rPr>
                    <w:t>收集池，均防渗处理</w:t>
                  </w:r>
                </w:p>
              </w:tc>
            </w:tr>
            <w:tr w14:paraId="612DC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2B1629C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170CC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初期雨水池</w:t>
                  </w:r>
                </w:p>
              </w:tc>
              <w:tc>
                <w:tcPr>
                  <w:tcW w:w="6070" w:type="dxa"/>
                  <w:vAlign w:val="center"/>
                </w:tcPr>
                <w:p w14:paraId="338C9307">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初期雨水池位于厂区东南侧地势最低处，容积360m</w:t>
                  </w:r>
                  <w:r>
                    <w:rPr>
                      <w:rFonts w:hint="default" w:ascii="Times New Roman" w:hAnsi="Times New Roman"/>
                      <w:color w:val="auto"/>
                      <w:szCs w:val="21"/>
                      <w:vertAlign w:val="superscript"/>
                    </w:rPr>
                    <w:t>3</w:t>
                  </w:r>
                  <w:r>
                    <w:rPr>
                      <w:rFonts w:hint="default" w:ascii="Times New Roman" w:hAnsi="Times New Roman"/>
                      <w:color w:val="auto"/>
                      <w:szCs w:val="21"/>
                    </w:rPr>
                    <w:t>，硬化防渗</w:t>
                  </w:r>
                </w:p>
              </w:tc>
            </w:tr>
            <w:tr w14:paraId="7DE7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7C85962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57FC2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olor w:val="auto"/>
                      <w:szCs w:val="21"/>
                      <w:lang w:val="en-US" w:eastAsia="zh-CN"/>
                    </w:rPr>
                  </w:pPr>
                  <w:r>
                    <w:rPr>
                      <w:rFonts w:hint="eastAsia"/>
                      <w:color w:val="auto"/>
                      <w:szCs w:val="21"/>
                      <w:lang w:val="en-US" w:eastAsia="zh-CN"/>
                    </w:rPr>
                    <w:t>库房</w:t>
                  </w:r>
                </w:p>
              </w:tc>
              <w:tc>
                <w:tcPr>
                  <w:tcW w:w="6070" w:type="dxa"/>
                  <w:vAlign w:val="center"/>
                </w:tcPr>
                <w:p w14:paraId="237C2F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olor w:val="auto"/>
                      <w:szCs w:val="21"/>
                      <w:lang w:val="en-US" w:eastAsia="zh-CN"/>
                    </w:rPr>
                  </w:pPr>
                  <w:r>
                    <w:rPr>
                      <w:rFonts w:hint="eastAsia"/>
                      <w:color w:val="auto"/>
                      <w:szCs w:val="21"/>
                      <w:lang w:val="en-US" w:eastAsia="zh-CN"/>
                    </w:rPr>
                    <w:t>厂区南侧4座，厂区东侧1座，厂区北侧1座</w:t>
                  </w:r>
                </w:p>
              </w:tc>
            </w:tr>
            <w:tr w14:paraId="28C0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restart"/>
                  <w:vAlign w:val="center"/>
                </w:tcPr>
                <w:p w14:paraId="33C02F0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公用工程</w:t>
                  </w:r>
                </w:p>
              </w:tc>
              <w:tc>
                <w:tcPr>
                  <w:tcW w:w="1860" w:type="dxa"/>
                  <w:gridSpan w:val="2"/>
                  <w:vAlign w:val="center"/>
                </w:tcPr>
                <w:p w14:paraId="699C19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供电</w:t>
                  </w:r>
                </w:p>
              </w:tc>
              <w:tc>
                <w:tcPr>
                  <w:tcW w:w="6070" w:type="dxa"/>
                  <w:vAlign w:val="center"/>
                </w:tcPr>
                <w:p w14:paraId="3E2D60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由常东村供电系统接入</w:t>
                  </w:r>
                </w:p>
              </w:tc>
            </w:tr>
            <w:tr w14:paraId="7F03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2249E83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1148A9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供水</w:t>
                  </w:r>
                </w:p>
              </w:tc>
              <w:tc>
                <w:tcPr>
                  <w:tcW w:w="6070" w:type="dxa"/>
                  <w:vAlign w:val="center"/>
                </w:tcPr>
                <w:p w14:paraId="42A6D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s="Times New Roman"/>
                      <w:bCs/>
                      <w:color w:val="auto"/>
                      <w:kern w:val="2"/>
                      <w:sz w:val="21"/>
                      <w:szCs w:val="21"/>
                      <w:vertAlign w:val="baseline"/>
                      <w:lang w:val="en-US" w:eastAsia="zh-CN" w:bidi="ar-SA"/>
                    </w:rPr>
                  </w:pPr>
                  <w:r>
                    <w:rPr>
                      <w:rFonts w:hint="eastAsia" w:ascii="Times New Roman" w:hAnsi="Times New Roman"/>
                      <w:color w:val="auto"/>
                      <w:szCs w:val="21"/>
                      <w:lang w:val="en-US" w:eastAsia="zh-CN"/>
                    </w:rPr>
                    <w:t>自来水管网提供</w:t>
                  </w:r>
                </w:p>
              </w:tc>
            </w:tr>
            <w:tr w14:paraId="4B9B4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3B726D3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860" w:type="dxa"/>
                  <w:gridSpan w:val="2"/>
                  <w:vAlign w:val="center"/>
                </w:tcPr>
                <w:p w14:paraId="01642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供暖</w:t>
                  </w:r>
                </w:p>
              </w:tc>
              <w:tc>
                <w:tcPr>
                  <w:tcW w:w="6070" w:type="dxa"/>
                  <w:vAlign w:val="center"/>
                </w:tcPr>
                <w:p w14:paraId="1EC05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煤棚冬季不采暖，办公区冬季采暖使用电采暖</w:t>
                  </w:r>
                </w:p>
              </w:tc>
            </w:tr>
            <w:tr w14:paraId="7807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restart"/>
                  <w:vAlign w:val="center"/>
                </w:tcPr>
                <w:p w14:paraId="7E8EC37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 w:val="21"/>
                      <w:szCs w:val="21"/>
                    </w:rPr>
                    <w:t>环保工程</w:t>
                  </w:r>
                </w:p>
              </w:tc>
              <w:tc>
                <w:tcPr>
                  <w:tcW w:w="430" w:type="dxa"/>
                  <w:vMerge w:val="restart"/>
                  <w:vAlign w:val="center"/>
                </w:tcPr>
                <w:p w14:paraId="62D7001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cs="Times New Roman"/>
                      <w:bCs/>
                      <w:color w:val="auto"/>
                      <w:kern w:val="2"/>
                      <w:sz w:val="21"/>
                      <w:szCs w:val="21"/>
                      <w:vertAlign w:val="baseline"/>
                      <w:lang w:val="en-US" w:eastAsia="zh-CN" w:bidi="ar-SA"/>
                    </w:rPr>
                  </w:pPr>
                  <w:r>
                    <w:rPr>
                      <w:rFonts w:hint="eastAsia" w:cs="Times New Roman"/>
                      <w:bCs/>
                      <w:color w:val="auto"/>
                      <w:kern w:val="2"/>
                      <w:sz w:val="21"/>
                      <w:szCs w:val="21"/>
                      <w:vertAlign w:val="baseline"/>
                      <w:lang w:val="en-US" w:eastAsia="zh-CN" w:bidi="ar-SA"/>
                    </w:rPr>
                    <w:t>废气</w:t>
                  </w:r>
                </w:p>
              </w:tc>
              <w:tc>
                <w:tcPr>
                  <w:tcW w:w="1430" w:type="dxa"/>
                  <w:vAlign w:val="center"/>
                </w:tcPr>
                <w:p w14:paraId="00AF6F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运输扬尘</w:t>
                  </w:r>
                </w:p>
              </w:tc>
              <w:tc>
                <w:tcPr>
                  <w:tcW w:w="6070" w:type="dxa"/>
                  <w:vAlign w:val="center"/>
                </w:tcPr>
                <w:p w14:paraId="50154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厂区大门入口</w:t>
                  </w:r>
                  <w:r>
                    <w:rPr>
                      <w:rFonts w:hint="default" w:ascii="Times New Roman" w:hAnsi="Times New Roman"/>
                      <w:color w:val="auto"/>
                      <w:spacing w:val="6"/>
                      <w:szCs w:val="21"/>
                    </w:rPr>
                    <w:t>设置了洗车平台</w:t>
                  </w:r>
                  <w:r>
                    <w:rPr>
                      <w:rFonts w:hint="default" w:ascii="Times New Roman" w:hAnsi="Times New Roman"/>
                      <w:color w:val="auto"/>
                      <w:szCs w:val="21"/>
                    </w:rPr>
                    <w:t>，对出场前的运输汽车车辆轮胎进行清洗。</w:t>
                  </w:r>
                  <w:r>
                    <w:rPr>
                      <w:rFonts w:hint="default" w:ascii="Times New Roman" w:hAnsi="Times New Roman"/>
                      <w:color w:val="auto"/>
                      <w:spacing w:val="6"/>
                      <w:szCs w:val="21"/>
                    </w:rPr>
                    <w:t>场内道路绿化，封闭运输，定期洒水</w:t>
                  </w:r>
                </w:p>
              </w:tc>
            </w:tr>
            <w:tr w14:paraId="1A87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3C93639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28D6794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53BDE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olor w:val="auto"/>
                      <w:szCs w:val="21"/>
                    </w:rPr>
                  </w:pPr>
                  <w:r>
                    <w:rPr>
                      <w:rFonts w:hint="default" w:ascii="Times New Roman" w:hAnsi="Times New Roman"/>
                      <w:color w:val="auto"/>
                      <w:szCs w:val="21"/>
                    </w:rPr>
                    <w:t>堆放、装卸</w:t>
                  </w:r>
                </w:p>
                <w:p w14:paraId="445ADB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扬尘</w:t>
                  </w:r>
                </w:p>
              </w:tc>
              <w:tc>
                <w:tcPr>
                  <w:tcW w:w="6070" w:type="dxa"/>
                  <w:vAlign w:val="center"/>
                </w:tcPr>
                <w:p w14:paraId="42B48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cs="Times New Roman"/>
                      <w:color w:val="auto"/>
                      <w:spacing w:val="4"/>
                      <w:szCs w:val="21"/>
                    </w:rPr>
                    <w:t>建设了全封闭轻钢结构储煤库，地面硬化，并设干式喷雾装置，定时喷洒；装卸时使用雾炮机进行喷洒抑尘；安装密闭</w:t>
                  </w:r>
                  <w:r>
                    <w:rPr>
                      <w:rFonts w:hint="eastAsia" w:cs="Times New Roman"/>
                      <w:color w:val="auto"/>
                      <w:spacing w:val="4"/>
                      <w:szCs w:val="21"/>
                    </w:rPr>
                    <w:t>推拉门</w:t>
                  </w:r>
                  <w:r>
                    <w:rPr>
                      <w:rFonts w:hint="default" w:cs="Times New Roman"/>
                      <w:color w:val="auto"/>
                      <w:spacing w:val="4"/>
                      <w:szCs w:val="21"/>
                    </w:rPr>
                    <w:t>；出入口安装扬尘在线监测和视频控制设施</w:t>
                  </w:r>
                </w:p>
              </w:tc>
            </w:tr>
            <w:tr w14:paraId="26BD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2F2F7883">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restart"/>
                  <w:vAlign w:val="center"/>
                </w:tcPr>
                <w:p w14:paraId="0AB94839">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废水</w:t>
                  </w:r>
                </w:p>
              </w:tc>
              <w:tc>
                <w:tcPr>
                  <w:tcW w:w="1430" w:type="dxa"/>
                  <w:vAlign w:val="center"/>
                </w:tcPr>
                <w:p w14:paraId="0BEBD4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生活污水</w:t>
                  </w:r>
                </w:p>
              </w:tc>
              <w:tc>
                <w:tcPr>
                  <w:tcW w:w="6070" w:type="dxa"/>
                  <w:vAlign w:val="center"/>
                </w:tcPr>
                <w:p w14:paraId="587EF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pacing w:val="4"/>
                      <w:szCs w:val="21"/>
                    </w:rPr>
                    <w:t>厂区设置有一个5m</w:t>
                  </w:r>
                  <w:r>
                    <w:rPr>
                      <w:rFonts w:hint="default" w:ascii="Times New Roman" w:hAnsi="Times New Roman"/>
                      <w:color w:val="auto"/>
                      <w:spacing w:val="4"/>
                      <w:szCs w:val="21"/>
                      <w:vertAlign w:val="superscript"/>
                    </w:rPr>
                    <w:t>3</w:t>
                  </w:r>
                  <w:r>
                    <w:rPr>
                      <w:rFonts w:hint="default" w:ascii="Times New Roman" w:hAnsi="Times New Roman"/>
                      <w:color w:val="auto"/>
                      <w:spacing w:val="4"/>
                      <w:szCs w:val="21"/>
                    </w:rPr>
                    <w:t>的生活污水沉淀池，沉淀后用于厂区洒水抑尘</w:t>
                  </w:r>
                </w:p>
              </w:tc>
            </w:tr>
            <w:tr w14:paraId="73B0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7501B8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176F7B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52504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洗车废水</w:t>
                  </w:r>
                </w:p>
              </w:tc>
              <w:tc>
                <w:tcPr>
                  <w:tcW w:w="6070" w:type="dxa"/>
                  <w:vAlign w:val="center"/>
                </w:tcPr>
                <w:p w14:paraId="16A38D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清洗废水进入收集池（10m</w:t>
                  </w:r>
                  <w:r>
                    <w:rPr>
                      <w:rFonts w:hint="default" w:ascii="Times New Roman" w:hAnsi="Times New Roman"/>
                      <w:color w:val="auto"/>
                      <w:szCs w:val="21"/>
                      <w:vertAlign w:val="superscript"/>
                    </w:rPr>
                    <w:t>3</w:t>
                  </w:r>
                  <w:r>
                    <w:rPr>
                      <w:rFonts w:hint="default" w:ascii="Times New Roman" w:hAnsi="Times New Roman"/>
                      <w:color w:val="auto"/>
                      <w:szCs w:val="21"/>
                    </w:rPr>
                    <w:t>），经沟渠进入沉淀池（10m</w:t>
                  </w:r>
                  <w:r>
                    <w:rPr>
                      <w:rFonts w:hint="default" w:ascii="Times New Roman" w:hAnsi="Times New Roman"/>
                      <w:color w:val="auto"/>
                      <w:szCs w:val="21"/>
                      <w:vertAlign w:val="superscript"/>
                    </w:rPr>
                    <w:t>3</w:t>
                  </w:r>
                  <w:r>
                    <w:rPr>
                      <w:rFonts w:hint="default" w:ascii="Times New Roman" w:hAnsi="Times New Roman"/>
                      <w:color w:val="auto"/>
                      <w:szCs w:val="21"/>
                    </w:rPr>
                    <w:t>）后循环使用，不外排</w:t>
                  </w:r>
                </w:p>
              </w:tc>
            </w:tr>
            <w:tr w14:paraId="4FD7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1AFCC20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1D0457C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5EB73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初期雨水</w:t>
                  </w:r>
                </w:p>
              </w:tc>
              <w:tc>
                <w:tcPr>
                  <w:tcW w:w="6070" w:type="dxa"/>
                  <w:vAlign w:val="center"/>
                </w:tcPr>
                <w:p w14:paraId="3810C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pacing w:val="4"/>
                      <w:szCs w:val="21"/>
                    </w:rPr>
                    <w:t>厂内设导流渠用于收集场区内初期雨水，设1座360m</w:t>
                  </w:r>
                  <w:r>
                    <w:rPr>
                      <w:rFonts w:hint="default" w:ascii="Times New Roman" w:hAnsi="Times New Roman"/>
                      <w:color w:val="auto"/>
                      <w:spacing w:val="4"/>
                      <w:szCs w:val="21"/>
                      <w:vertAlign w:val="superscript"/>
                    </w:rPr>
                    <w:t>3</w:t>
                  </w:r>
                  <w:r>
                    <w:rPr>
                      <w:rFonts w:hint="default" w:ascii="Times New Roman" w:hAnsi="Times New Roman"/>
                      <w:color w:val="auto"/>
                      <w:spacing w:val="4"/>
                      <w:szCs w:val="21"/>
                    </w:rPr>
                    <w:t>的初期雨水收集池，收集的初期雨水全部回用于堆场洒水抑尘</w:t>
                  </w:r>
                  <w:r>
                    <w:rPr>
                      <w:rFonts w:hint="default" w:ascii="Times New Roman" w:hAnsi="Times New Roman"/>
                      <w:color w:val="auto"/>
                      <w:spacing w:val="4"/>
                      <w:kern w:val="0"/>
                      <w:szCs w:val="21"/>
                    </w:rPr>
                    <w:t>，不外排</w:t>
                  </w:r>
                </w:p>
              </w:tc>
            </w:tr>
            <w:tr w14:paraId="699C4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73F95F68">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07EB7D7F">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279E5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淋控水池</w:t>
                  </w:r>
                </w:p>
              </w:tc>
              <w:tc>
                <w:tcPr>
                  <w:tcW w:w="6070" w:type="dxa"/>
                  <w:vAlign w:val="center"/>
                </w:tcPr>
                <w:p w14:paraId="046F9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pacing w:val="4"/>
                      <w:szCs w:val="21"/>
                    </w:rPr>
                    <w:t>储煤棚设10m</w:t>
                  </w:r>
                  <w:r>
                    <w:rPr>
                      <w:rFonts w:hint="default" w:ascii="Times New Roman" w:hAnsi="Times New Roman"/>
                      <w:color w:val="auto"/>
                      <w:spacing w:val="4"/>
                      <w:szCs w:val="21"/>
                      <w:vertAlign w:val="superscript"/>
                    </w:rPr>
                    <w:t>3</w:t>
                  </w:r>
                  <w:r>
                    <w:rPr>
                      <w:rFonts w:hint="default" w:ascii="Times New Roman" w:hAnsi="Times New Roman"/>
                      <w:color w:val="auto"/>
                      <w:spacing w:val="4"/>
                      <w:szCs w:val="21"/>
                    </w:rPr>
                    <w:t>淋控水池，储煤棚四周设置导流槽，淋控水经导流槽流入车间淋控水池，淋控水池采用混凝土防渗，淋控水经沉淀后回用于洒水抑尘，不外排</w:t>
                  </w:r>
                </w:p>
              </w:tc>
            </w:tr>
            <w:tr w14:paraId="790B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409FFA81">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Align w:val="center"/>
                </w:tcPr>
                <w:p w14:paraId="6661ACA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噪声</w:t>
                  </w:r>
                </w:p>
              </w:tc>
              <w:tc>
                <w:tcPr>
                  <w:tcW w:w="1430" w:type="dxa"/>
                  <w:vAlign w:val="center"/>
                </w:tcPr>
                <w:p w14:paraId="49ECE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运输噪声</w:t>
                  </w:r>
                </w:p>
              </w:tc>
              <w:tc>
                <w:tcPr>
                  <w:tcW w:w="6070" w:type="dxa"/>
                  <w:vAlign w:val="center"/>
                </w:tcPr>
                <w:p w14:paraId="00F53C09">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s="Times New Roman"/>
                      <w:color w:val="auto"/>
                      <w:sz w:val="21"/>
                      <w:szCs w:val="18"/>
                    </w:rPr>
                    <w:t>运输车辆及时保养，减速慢行，降低运输噪声</w:t>
                  </w:r>
                </w:p>
              </w:tc>
            </w:tr>
            <w:tr w14:paraId="1BF9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63204472">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restart"/>
                  <w:vAlign w:val="center"/>
                </w:tcPr>
                <w:p w14:paraId="2A5FC82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固废</w:t>
                  </w:r>
                </w:p>
              </w:tc>
              <w:tc>
                <w:tcPr>
                  <w:tcW w:w="1430" w:type="dxa"/>
                  <w:vAlign w:val="center"/>
                </w:tcPr>
                <w:p w14:paraId="360BC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沉淀池沉渣</w:t>
                  </w:r>
                </w:p>
              </w:tc>
              <w:tc>
                <w:tcPr>
                  <w:tcW w:w="6070" w:type="dxa"/>
                  <w:vAlign w:val="center"/>
                </w:tcPr>
                <w:p w14:paraId="53B7D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pacing w:val="4"/>
                      <w:szCs w:val="21"/>
                    </w:rPr>
                    <w:t>掺入原煤一起回用</w:t>
                  </w:r>
                </w:p>
              </w:tc>
            </w:tr>
            <w:tr w14:paraId="1389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5EF737D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3083C3C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10D43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生活区</w:t>
                  </w:r>
                </w:p>
              </w:tc>
              <w:tc>
                <w:tcPr>
                  <w:tcW w:w="6070" w:type="dxa"/>
                  <w:vAlign w:val="center"/>
                </w:tcPr>
                <w:p w14:paraId="49AD5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bCs/>
                      <w:color w:val="auto"/>
                      <w:szCs w:val="21"/>
                    </w:rPr>
                    <w:t>厂区设垃圾箱，</w:t>
                  </w:r>
                  <w:r>
                    <w:rPr>
                      <w:rFonts w:hint="default" w:ascii="Times New Roman" w:hAnsi="Times New Roman"/>
                      <w:color w:val="auto"/>
                      <w:szCs w:val="21"/>
                    </w:rPr>
                    <w:t>集中收集，由环卫部门统一清运处置</w:t>
                  </w:r>
                </w:p>
              </w:tc>
            </w:tr>
            <w:tr w14:paraId="4C5C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1AED4CB0">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Merge w:val="continue"/>
                  <w:vAlign w:val="center"/>
                </w:tcPr>
                <w:p w14:paraId="76A7B564">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1430" w:type="dxa"/>
                  <w:vAlign w:val="center"/>
                </w:tcPr>
                <w:p w14:paraId="090B14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废矿物油、废油桶等</w:t>
                  </w:r>
                </w:p>
              </w:tc>
              <w:tc>
                <w:tcPr>
                  <w:tcW w:w="6070" w:type="dxa"/>
                  <w:vAlign w:val="center"/>
                </w:tcPr>
                <w:p w14:paraId="0C032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cs="Times New Roman"/>
                      <w:bCs/>
                      <w:color w:val="auto"/>
                      <w:kern w:val="2"/>
                      <w:sz w:val="21"/>
                      <w:szCs w:val="21"/>
                      <w:vertAlign w:val="baseline"/>
                      <w:lang w:val="en-US" w:eastAsia="zh-CN" w:bidi="ar-SA"/>
                    </w:rPr>
                  </w:pPr>
                  <w:r>
                    <w:rPr>
                      <w:rFonts w:hint="default" w:ascii="Times New Roman" w:hAnsi="Times New Roman"/>
                      <w:bCs/>
                      <w:color w:val="auto"/>
                      <w:szCs w:val="21"/>
                    </w:rPr>
                    <w:t>在储煤棚内东南侧建设1间占地10m</w:t>
                  </w:r>
                  <w:r>
                    <w:rPr>
                      <w:rFonts w:hint="default" w:ascii="Times New Roman" w:hAnsi="Times New Roman"/>
                      <w:bCs/>
                      <w:color w:val="auto"/>
                      <w:szCs w:val="21"/>
                      <w:vertAlign w:val="superscript"/>
                    </w:rPr>
                    <w:t>2</w:t>
                  </w:r>
                  <w:r>
                    <w:rPr>
                      <w:rFonts w:hint="default" w:ascii="Times New Roman" w:hAnsi="Times New Roman"/>
                      <w:bCs/>
                      <w:color w:val="auto"/>
                      <w:szCs w:val="21"/>
                    </w:rPr>
                    <w:t>的危废贮存</w:t>
                  </w:r>
                  <w:r>
                    <w:rPr>
                      <w:rFonts w:hint="eastAsia"/>
                      <w:bCs/>
                      <w:color w:val="auto"/>
                      <w:szCs w:val="21"/>
                      <w:lang w:val="en-US" w:eastAsia="zh-CN"/>
                    </w:rPr>
                    <w:t>点</w:t>
                  </w:r>
                  <w:r>
                    <w:rPr>
                      <w:rFonts w:hint="default" w:ascii="Times New Roman" w:hAnsi="Times New Roman"/>
                      <w:bCs/>
                      <w:color w:val="auto"/>
                      <w:szCs w:val="21"/>
                    </w:rPr>
                    <w:t>，维修设备产生的废矿物油、废手套等暂存于危废贮存</w:t>
                  </w:r>
                  <w:r>
                    <w:rPr>
                      <w:rFonts w:hint="eastAsia"/>
                      <w:bCs/>
                      <w:color w:val="auto"/>
                      <w:szCs w:val="21"/>
                      <w:lang w:val="en-US" w:eastAsia="zh-CN"/>
                    </w:rPr>
                    <w:t>点</w:t>
                  </w:r>
                  <w:r>
                    <w:rPr>
                      <w:rFonts w:hint="default" w:ascii="Times New Roman" w:hAnsi="Times New Roman"/>
                      <w:bCs/>
                      <w:color w:val="auto"/>
                      <w:szCs w:val="21"/>
                    </w:rPr>
                    <w:t>后，定期交由有资质单位处置</w:t>
                  </w:r>
                </w:p>
              </w:tc>
            </w:tr>
            <w:tr w14:paraId="2E61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vMerge w:val="continue"/>
                  <w:vAlign w:val="center"/>
                </w:tcPr>
                <w:p w14:paraId="0520662D">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p>
              </w:tc>
              <w:tc>
                <w:tcPr>
                  <w:tcW w:w="430" w:type="dxa"/>
                  <w:vAlign w:val="center"/>
                </w:tcPr>
                <w:p w14:paraId="6FE9D8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生态</w:t>
                  </w:r>
                </w:p>
              </w:tc>
              <w:tc>
                <w:tcPr>
                  <w:tcW w:w="1430" w:type="dxa"/>
                  <w:vAlign w:val="center"/>
                </w:tcPr>
                <w:p w14:paraId="379C7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厂区绿化</w:t>
                  </w:r>
                </w:p>
              </w:tc>
              <w:tc>
                <w:tcPr>
                  <w:tcW w:w="6070" w:type="dxa"/>
                  <w:vAlign w:val="center"/>
                </w:tcPr>
                <w:p w14:paraId="778D109C">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Cs/>
                      <w:color w:val="auto"/>
                      <w:kern w:val="2"/>
                      <w:sz w:val="21"/>
                      <w:szCs w:val="21"/>
                      <w:vertAlign w:val="baseline"/>
                      <w:lang w:val="en-US" w:eastAsia="zh-CN" w:bidi="ar-SA"/>
                    </w:rPr>
                  </w:pPr>
                  <w:r>
                    <w:rPr>
                      <w:rFonts w:hint="default" w:ascii="Times New Roman" w:hAnsi="Times New Roman"/>
                      <w:color w:val="auto"/>
                      <w:szCs w:val="21"/>
                    </w:rPr>
                    <w:t>绿化面积500m</w:t>
                  </w:r>
                  <w:r>
                    <w:rPr>
                      <w:rFonts w:hint="default" w:ascii="Times New Roman" w:hAnsi="Times New Roman"/>
                      <w:color w:val="auto"/>
                      <w:szCs w:val="21"/>
                      <w:vertAlign w:val="superscript"/>
                    </w:rPr>
                    <w:t>2</w:t>
                  </w:r>
                </w:p>
              </w:tc>
            </w:tr>
          </w:tbl>
          <w:p w14:paraId="17F9B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cs="Times New Roman"/>
                <w:b/>
                <w:bCs w:val="0"/>
                <w:color w:val="auto"/>
                <w:spacing w:val="0"/>
                <w:kern w:val="2"/>
                <w:sz w:val="24"/>
                <w:szCs w:val="24"/>
                <w:highlight w:val="none"/>
                <w:lang w:val="en-US" w:eastAsia="zh-CN" w:bidi="ar-SA"/>
              </w:rPr>
            </w:pPr>
            <w:r>
              <w:rPr>
                <w:rFonts w:hint="eastAsia" w:cs="Times New Roman"/>
                <w:b/>
                <w:bCs w:val="0"/>
                <w:color w:val="auto"/>
                <w:spacing w:val="0"/>
                <w:kern w:val="2"/>
                <w:sz w:val="24"/>
                <w:szCs w:val="24"/>
                <w:highlight w:val="none"/>
                <w:lang w:val="en-US" w:eastAsia="zh-CN" w:bidi="ar-SA"/>
              </w:rPr>
              <w:t>2.13</w:t>
            </w:r>
            <w:r>
              <w:rPr>
                <w:rFonts w:hint="default" w:cs="Times New Roman"/>
                <w:b/>
                <w:bCs w:val="0"/>
                <w:color w:val="auto"/>
                <w:spacing w:val="0"/>
                <w:kern w:val="2"/>
                <w:sz w:val="24"/>
                <w:szCs w:val="24"/>
                <w:highlight w:val="none"/>
                <w:lang w:val="en-US" w:eastAsia="zh-CN" w:bidi="ar-SA"/>
              </w:rPr>
              <w:t>存在的环境问题及整改措施</w:t>
            </w:r>
          </w:p>
          <w:p w14:paraId="671DB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rPr>
            </w:pPr>
            <w:r>
              <w:rPr>
                <w:rFonts w:hint="eastAsia" w:cs="Times New Roman"/>
                <w:b w:val="0"/>
                <w:bCs/>
                <w:color w:val="auto"/>
                <w:spacing w:val="0"/>
                <w:kern w:val="2"/>
                <w:sz w:val="24"/>
                <w:szCs w:val="24"/>
                <w:highlight w:val="none"/>
                <w:lang w:val="en-US" w:eastAsia="zh-CN" w:bidi="ar-SA"/>
              </w:rPr>
              <w:t>根据现场踏勘，本项目生产车间原为储煤棚，</w:t>
            </w:r>
            <w:r>
              <w:rPr>
                <w:rFonts w:hint="eastAsia" w:ascii="Times New Roman" w:hAnsi="Times New Roman" w:eastAsia="宋体" w:cs="Times New Roman"/>
                <w:bCs/>
                <w:color w:val="auto"/>
                <w:kern w:val="2"/>
                <w:sz w:val="24"/>
                <w:szCs w:val="24"/>
                <w:highlight w:val="none"/>
                <w:lang w:val="en-US" w:eastAsia="zh-CN" w:bidi="ar-SA"/>
              </w:rPr>
              <w:t>地面已做硬化处理，原有生产设备已全部搬离，厂房内地面仅见少量积尘，未发现大量物料残留、设备油污及危险废物遗留</w:t>
            </w:r>
            <w:r>
              <w:rPr>
                <w:rFonts w:hint="eastAsia" w:cs="Times New Roman"/>
                <w:b w:val="0"/>
                <w:bCs/>
                <w:color w:val="auto"/>
                <w:spacing w:val="0"/>
                <w:kern w:val="2"/>
                <w:sz w:val="24"/>
                <w:szCs w:val="24"/>
                <w:highlight w:val="none"/>
                <w:lang w:val="en-US" w:eastAsia="zh-CN" w:bidi="ar-SA"/>
              </w:rPr>
              <w:t>；现有危废贮存间已拆除；厂区内初期雨水池和洗车平台沉淀池底和四周已做防渗处理，厂区道路已做硬化处理，现有少量灰尘。现有洗车平台设置不规范，需拆除后重新建设。企业</w:t>
            </w:r>
            <w:r>
              <w:rPr>
                <w:rFonts w:hint="eastAsia"/>
                <w:color w:val="auto"/>
                <w:sz w:val="24"/>
              </w:rPr>
              <w:t>需要对场地进行清理</w:t>
            </w:r>
            <w:r>
              <w:rPr>
                <w:rFonts w:hint="eastAsia"/>
                <w:color w:val="auto"/>
                <w:sz w:val="24"/>
                <w:lang w:val="en-US" w:eastAsia="zh-CN"/>
              </w:rPr>
              <w:t>打扫</w:t>
            </w:r>
            <w:r>
              <w:rPr>
                <w:rFonts w:hint="eastAsia"/>
                <w:color w:val="auto"/>
                <w:sz w:val="24"/>
              </w:rPr>
              <w:t>后建设，无其他与项目有关的原有环境污染问题。</w:t>
            </w:r>
          </w:p>
          <w:p w14:paraId="26616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表2</w:t>
            </w:r>
            <w:r>
              <w:rPr>
                <w:rFonts w:hint="eastAsia" w:ascii="Times New Roman" w:hAnsi="Times New Roman" w:eastAsia="宋体" w:cs="Times New Roman"/>
                <w:b/>
                <w:bCs/>
                <w:color w:val="auto"/>
                <w:sz w:val="21"/>
                <w:szCs w:val="21"/>
                <w:highlight w:val="none"/>
                <w:lang w:val="en-US" w:eastAsia="zh-CN"/>
              </w:rPr>
              <w:t xml:space="preserve">.13-1  </w:t>
            </w:r>
            <w:r>
              <w:rPr>
                <w:rFonts w:hint="default" w:ascii="Times New Roman" w:hAnsi="Times New Roman" w:eastAsia="宋体" w:cs="Times New Roman"/>
                <w:b/>
                <w:bCs/>
                <w:color w:val="auto"/>
                <w:sz w:val="21"/>
                <w:szCs w:val="21"/>
                <w:highlight w:val="none"/>
              </w:rPr>
              <w:t>现有工程存在的主要环境问题及整改措施一览表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3189"/>
              <w:gridCol w:w="4706"/>
            </w:tblGrid>
            <w:tr w14:paraId="16F7E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5" w:type="pct"/>
                  <w:noWrap w:val="0"/>
                  <w:vAlign w:val="center"/>
                </w:tcPr>
                <w:p w14:paraId="70B69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pacing w:val="0"/>
                      <w:kern w:val="2"/>
                      <w:sz w:val="21"/>
                      <w:szCs w:val="21"/>
                      <w:highlight w:val="none"/>
                      <w:vertAlign w:val="baseline"/>
                      <w:lang w:val="en-US" w:eastAsia="zh-CN" w:bidi="ar-SA"/>
                    </w:rPr>
                  </w:pPr>
                  <w:r>
                    <w:rPr>
                      <w:rFonts w:hint="default" w:ascii="Times New Roman" w:hAnsi="Times New Roman" w:eastAsia="宋体" w:cs="Times New Roman"/>
                      <w:b/>
                      <w:bCs w:val="0"/>
                      <w:color w:val="auto"/>
                      <w:spacing w:val="0"/>
                      <w:kern w:val="2"/>
                      <w:sz w:val="21"/>
                      <w:szCs w:val="21"/>
                      <w:highlight w:val="none"/>
                      <w:vertAlign w:val="baseline"/>
                      <w:lang w:val="en-US" w:eastAsia="zh-CN" w:bidi="ar-SA"/>
                    </w:rPr>
                    <w:t>序号</w:t>
                  </w:r>
                </w:p>
              </w:tc>
              <w:tc>
                <w:tcPr>
                  <w:tcW w:w="1859" w:type="pct"/>
                  <w:noWrap w:val="0"/>
                  <w:vAlign w:val="center"/>
                </w:tcPr>
                <w:p w14:paraId="111B8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pacing w:val="0"/>
                      <w:kern w:val="2"/>
                      <w:sz w:val="21"/>
                      <w:szCs w:val="21"/>
                      <w:highlight w:val="none"/>
                      <w:vertAlign w:val="baseline"/>
                      <w:lang w:val="en-US" w:eastAsia="zh-CN" w:bidi="ar-SA"/>
                    </w:rPr>
                  </w:pPr>
                  <w:r>
                    <w:rPr>
                      <w:rFonts w:hint="default" w:ascii="Times New Roman" w:hAnsi="Times New Roman" w:eastAsia="宋体" w:cs="Times New Roman"/>
                      <w:b/>
                      <w:bCs w:val="0"/>
                      <w:color w:val="auto"/>
                      <w:spacing w:val="0"/>
                      <w:kern w:val="2"/>
                      <w:sz w:val="21"/>
                      <w:szCs w:val="21"/>
                      <w:highlight w:val="none"/>
                      <w:vertAlign w:val="baseline"/>
                      <w:lang w:val="en-US" w:eastAsia="zh-CN" w:bidi="ar-SA"/>
                    </w:rPr>
                    <w:t>已建设施存在的环境问题</w:t>
                  </w:r>
                </w:p>
              </w:tc>
              <w:tc>
                <w:tcPr>
                  <w:tcW w:w="2744" w:type="pct"/>
                  <w:noWrap w:val="0"/>
                  <w:vAlign w:val="center"/>
                </w:tcPr>
                <w:p w14:paraId="395C0D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bCs w:val="0"/>
                      <w:color w:val="auto"/>
                      <w:spacing w:val="0"/>
                      <w:kern w:val="2"/>
                      <w:sz w:val="21"/>
                      <w:szCs w:val="21"/>
                      <w:highlight w:val="none"/>
                      <w:vertAlign w:val="baseline"/>
                      <w:lang w:val="en-US" w:eastAsia="zh-CN" w:bidi="ar-SA"/>
                    </w:rPr>
                  </w:pPr>
                  <w:r>
                    <w:rPr>
                      <w:rFonts w:hint="default" w:ascii="Times New Roman" w:hAnsi="Times New Roman" w:eastAsia="宋体" w:cs="Times New Roman"/>
                      <w:b/>
                      <w:bCs w:val="0"/>
                      <w:color w:val="auto"/>
                      <w:spacing w:val="0"/>
                      <w:kern w:val="2"/>
                      <w:sz w:val="21"/>
                      <w:szCs w:val="21"/>
                      <w:highlight w:val="none"/>
                      <w:vertAlign w:val="baseline"/>
                      <w:lang w:val="en-US" w:eastAsia="zh-CN" w:bidi="ar-SA"/>
                    </w:rPr>
                    <w:t>整改要求及整改时限</w:t>
                  </w:r>
                </w:p>
              </w:tc>
            </w:tr>
            <w:tr w14:paraId="5DCC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5" w:type="pct"/>
                  <w:noWrap w:val="0"/>
                  <w:vAlign w:val="center"/>
                </w:tcPr>
                <w:p w14:paraId="21931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pacing w:val="0"/>
                      <w:kern w:val="2"/>
                      <w:sz w:val="21"/>
                      <w:szCs w:val="21"/>
                      <w:highlight w:val="none"/>
                      <w:vertAlign w:val="baseline"/>
                      <w:lang w:val="en-US" w:eastAsia="zh-CN" w:bidi="ar-SA"/>
                    </w:rPr>
                  </w:pPr>
                  <w:r>
                    <w:rPr>
                      <w:rFonts w:hint="default" w:ascii="Times New Roman" w:hAnsi="Times New Roman" w:eastAsia="宋体" w:cs="Times New Roman"/>
                      <w:b w:val="0"/>
                      <w:bCs/>
                      <w:color w:val="auto"/>
                      <w:spacing w:val="0"/>
                      <w:kern w:val="2"/>
                      <w:sz w:val="21"/>
                      <w:szCs w:val="21"/>
                      <w:highlight w:val="none"/>
                      <w:vertAlign w:val="baseline"/>
                      <w:lang w:val="en-US" w:eastAsia="zh-CN" w:bidi="ar-SA"/>
                    </w:rPr>
                    <w:t>1</w:t>
                  </w:r>
                </w:p>
              </w:tc>
              <w:tc>
                <w:tcPr>
                  <w:tcW w:w="1859" w:type="pct"/>
                  <w:noWrap w:val="0"/>
                  <w:vAlign w:val="center"/>
                </w:tcPr>
                <w:p w14:paraId="72FB9D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color w:val="auto"/>
                      <w:spacing w:val="0"/>
                      <w:kern w:val="2"/>
                      <w:sz w:val="21"/>
                      <w:szCs w:val="21"/>
                      <w:highlight w:val="none"/>
                      <w:vertAlign w:val="baseline"/>
                      <w:lang w:val="en-US" w:eastAsia="zh-CN" w:bidi="ar-SA"/>
                    </w:rPr>
                  </w:pPr>
                  <w:r>
                    <w:rPr>
                      <w:rFonts w:hint="eastAsia" w:ascii="Times New Roman" w:hAnsi="Times New Roman" w:eastAsia="宋体" w:cs="Times New Roman"/>
                      <w:b w:val="0"/>
                      <w:bCs/>
                      <w:color w:val="auto"/>
                      <w:spacing w:val="0"/>
                      <w:kern w:val="2"/>
                      <w:sz w:val="21"/>
                      <w:szCs w:val="21"/>
                      <w:highlight w:val="none"/>
                      <w:vertAlign w:val="baseline"/>
                      <w:lang w:val="en-US" w:eastAsia="zh-CN" w:bidi="ar-SA"/>
                    </w:rPr>
                    <w:t>厂房地面有少量灰尘</w:t>
                  </w:r>
                </w:p>
              </w:tc>
              <w:tc>
                <w:tcPr>
                  <w:tcW w:w="2744" w:type="pct"/>
                  <w:vMerge w:val="restart"/>
                  <w:noWrap w:val="0"/>
                  <w:vAlign w:val="center"/>
                </w:tcPr>
                <w:p w14:paraId="45FEA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default" w:ascii="Times New Roman" w:hAnsi="Times New Roman" w:eastAsia="宋体" w:cs="Times New Roman"/>
                      <w:b w:val="0"/>
                      <w:bCs/>
                      <w:color w:val="auto"/>
                      <w:spacing w:val="0"/>
                      <w:kern w:val="2"/>
                      <w:sz w:val="21"/>
                      <w:szCs w:val="21"/>
                      <w:highlight w:val="none"/>
                      <w:vertAlign w:val="baseline"/>
                      <w:lang w:val="en-US" w:eastAsia="zh-CN" w:bidi="ar-SA"/>
                    </w:rPr>
                  </w:pPr>
                  <w:r>
                    <w:rPr>
                      <w:rFonts w:hint="eastAsia" w:ascii="Times New Roman" w:hAnsi="Times New Roman" w:eastAsia="宋体" w:cs="Times New Roman"/>
                      <w:b w:val="0"/>
                      <w:bCs/>
                      <w:color w:val="auto"/>
                      <w:spacing w:val="0"/>
                      <w:kern w:val="2"/>
                      <w:sz w:val="21"/>
                      <w:szCs w:val="21"/>
                      <w:highlight w:val="none"/>
                      <w:vertAlign w:val="baseline"/>
                      <w:lang w:val="en-US" w:eastAsia="zh-CN" w:bidi="ar-SA"/>
                    </w:rPr>
                    <w:t>加强管理，清理后在进行建设，运营期由专人定期打扫，整改期限1个月</w:t>
                  </w:r>
                </w:p>
              </w:tc>
            </w:tr>
            <w:tr w14:paraId="25BA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5" w:type="pct"/>
                  <w:noWrap w:val="0"/>
                  <w:vAlign w:val="center"/>
                </w:tcPr>
                <w:p w14:paraId="14EED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eastAsia="宋体" w:cs="Times New Roman"/>
                      <w:b w:val="0"/>
                      <w:bCs/>
                      <w:color w:val="auto"/>
                      <w:spacing w:val="0"/>
                      <w:kern w:val="2"/>
                      <w:sz w:val="21"/>
                      <w:szCs w:val="21"/>
                      <w:highlight w:val="none"/>
                      <w:vertAlign w:val="baseline"/>
                      <w:lang w:val="en-US" w:eastAsia="zh-CN" w:bidi="ar-SA"/>
                    </w:rPr>
                  </w:pPr>
                  <w:r>
                    <w:rPr>
                      <w:rFonts w:hint="eastAsia" w:cs="Times New Roman"/>
                      <w:b w:val="0"/>
                      <w:bCs/>
                      <w:color w:val="auto"/>
                      <w:spacing w:val="0"/>
                      <w:kern w:val="2"/>
                      <w:sz w:val="21"/>
                      <w:szCs w:val="21"/>
                      <w:highlight w:val="none"/>
                      <w:vertAlign w:val="baseline"/>
                      <w:lang w:val="en-US" w:eastAsia="zh-CN" w:bidi="ar-SA"/>
                    </w:rPr>
                    <w:t>2</w:t>
                  </w:r>
                </w:p>
              </w:tc>
              <w:tc>
                <w:tcPr>
                  <w:tcW w:w="1859" w:type="pct"/>
                  <w:noWrap w:val="0"/>
                  <w:vAlign w:val="center"/>
                </w:tcPr>
                <w:p w14:paraId="5D234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eastAsia="宋体" w:cs="Times New Roman"/>
                      <w:b w:val="0"/>
                      <w:bCs/>
                      <w:color w:val="auto"/>
                      <w:spacing w:val="0"/>
                      <w:kern w:val="2"/>
                      <w:sz w:val="21"/>
                      <w:szCs w:val="21"/>
                      <w:highlight w:val="none"/>
                      <w:vertAlign w:val="baseline"/>
                      <w:lang w:val="en-US" w:eastAsia="zh-CN" w:bidi="ar-SA"/>
                    </w:rPr>
                  </w:pPr>
                  <w:r>
                    <w:rPr>
                      <w:rFonts w:hint="eastAsia" w:cs="Times New Roman"/>
                      <w:b w:val="0"/>
                      <w:bCs/>
                      <w:color w:val="auto"/>
                      <w:spacing w:val="0"/>
                      <w:kern w:val="2"/>
                      <w:sz w:val="21"/>
                      <w:szCs w:val="21"/>
                      <w:highlight w:val="none"/>
                      <w:vertAlign w:val="baseline"/>
                      <w:lang w:val="en-US" w:eastAsia="zh-CN" w:bidi="ar-SA"/>
                    </w:rPr>
                    <w:t>厂区道路有少量灰尘</w:t>
                  </w:r>
                </w:p>
              </w:tc>
              <w:tc>
                <w:tcPr>
                  <w:tcW w:w="2744" w:type="pct"/>
                  <w:vMerge w:val="continue"/>
                  <w:noWrap w:val="0"/>
                  <w:vAlign w:val="center"/>
                </w:tcPr>
                <w:p w14:paraId="6DD073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Times New Roman" w:hAnsi="Times New Roman" w:eastAsia="宋体" w:cs="Times New Roman"/>
                      <w:b w:val="0"/>
                      <w:bCs/>
                      <w:color w:val="auto"/>
                      <w:spacing w:val="0"/>
                      <w:kern w:val="2"/>
                      <w:sz w:val="21"/>
                      <w:szCs w:val="21"/>
                      <w:highlight w:val="none"/>
                      <w:vertAlign w:val="baseline"/>
                      <w:lang w:val="en-US" w:eastAsia="zh-CN" w:bidi="ar-SA"/>
                    </w:rPr>
                  </w:pPr>
                </w:p>
              </w:tc>
            </w:tr>
            <w:tr w14:paraId="3C3F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95" w:type="pct"/>
                  <w:noWrap w:val="0"/>
                  <w:vAlign w:val="center"/>
                </w:tcPr>
                <w:p w14:paraId="78E35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cs="Times New Roman"/>
                      <w:b w:val="0"/>
                      <w:bCs/>
                      <w:color w:val="auto"/>
                      <w:spacing w:val="0"/>
                      <w:kern w:val="2"/>
                      <w:sz w:val="21"/>
                      <w:szCs w:val="21"/>
                      <w:highlight w:val="none"/>
                      <w:vertAlign w:val="baseline"/>
                      <w:lang w:val="en-US" w:eastAsia="zh-CN" w:bidi="ar-SA"/>
                    </w:rPr>
                  </w:pPr>
                  <w:r>
                    <w:rPr>
                      <w:rFonts w:hint="eastAsia" w:cs="Times New Roman"/>
                      <w:b w:val="0"/>
                      <w:bCs/>
                      <w:color w:val="auto"/>
                      <w:spacing w:val="0"/>
                      <w:kern w:val="2"/>
                      <w:sz w:val="21"/>
                      <w:szCs w:val="21"/>
                      <w:highlight w:val="none"/>
                      <w:vertAlign w:val="baseline"/>
                      <w:lang w:val="en-US" w:eastAsia="zh-CN" w:bidi="ar-SA"/>
                    </w:rPr>
                    <w:t>3</w:t>
                  </w:r>
                </w:p>
              </w:tc>
              <w:tc>
                <w:tcPr>
                  <w:tcW w:w="1859" w:type="pct"/>
                  <w:noWrap w:val="0"/>
                  <w:vAlign w:val="center"/>
                </w:tcPr>
                <w:p w14:paraId="5E9A1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cs="Times New Roman"/>
                      <w:b w:val="0"/>
                      <w:bCs/>
                      <w:color w:val="auto"/>
                      <w:spacing w:val="0"/>
                      <w:kern w:val="2"/>
                      <w:sz w:val="21"/>
                      <w:szCs w:val="21"/>
                      <w:highlight w:val="none"/>
                      <w:vertAlign w:val="baseline"/>
                      <w:lang w:val="en-US" w:eastAsia="zh-CN" w:bidi="ar-SA"/>
                    </w:rPr>
                  </w:pPr>
                  <w:r>
                    <w:rPr>
                      <w:rFonts w:hint="eastAsia" w:cs="Times New Roman"/>
                      <w:b w:val="0"/>
                      <w:bCs/>
                      <w:color w:val="auto"/>
                      <w:spacing w:val="0"/>
                      <w:kern w:val="2"/>
                      <w:sz w:val="21"/>
                      <w:szCs w:val="21"/>
                      <w:highlight w:val="none"/>
                      <w:vertAlign w:val="baseline"/>
                      <w:lang w:val="en-US" w:eastAsia="zh-CN" w:bidi="ar-SA"/>
                    </w:rPr>
                    <w:t>现有洗车平台设置不规范，</w:t>
                  </w:r>
                  <w:r>
                    <w:rPr>
                      <w:rFonts w:hint="eastAsia"/>
                      <w:color w:val="auto"/>
                      <w:szCs w:val="21"/>
                    </w:rPr>
                    <w:t>无法满足项目需要</w:t>
                  </w:r>
                </w:p>
              </w:tc>
              <w:tc>
                <w:tcPr>
                  <w:tcW w:w="2744" w:type="pct"/>
                  <w:noWrap w:val="0"/>
                  <w:vAlign w:val="center"/>
                </w:tcPr>
                <w:p w14:paraId="41C44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both"/>
                    <w:textAlignment w:val="auto"/>
                    <w:rPr>
                      <w:rFonts w:hint="eastAsia" w:ascii="Times New Roman" w:hAnsi="Times New Roman" w:eastAsia="宋体" w:cs="Times New Roman"/>
                      <w:b w:val="0"/>
                      <w:bCs/>
                      <w:color w:val="auto"/>
                      <w:spacing w:val="0"/>
                      <w:kern w:val="2"/>
                      <w:sz w:val="21"/>
                      <w:szCs w:val="21"/>
                      <w:highlight w:val="none"/>
                      <w:vertAlign w:val="baseline"/>
                      <w:lang w:val="en-US" w:eastAsia="zh-CN" w:bidi="ar-SA"/>
                    </w:rPr>
                  </w:pPr>
                  <w:r>
                    <w:rPr>
                      <w:rFonts w:hint="default"/>
                      <w:color w:val="auto"/>
                      <w:szCs w:val="21"/>
                    </w:rPr>
                    <w:t>建设规范的洗车平台，</w:t>
                  </w:r>
                  <w:r>
                    <w:rPr>
                      <w:rFonts w:hint="eastAsia"/>
                      <w:color w:val="auto"/>
                      <w:szCs w:val="21"/>
                    </w:rPr>
                    <w:t>洗车平台长2</w:t>
                  </w:r>
                  <w:r>
                    <w:rPr>
                      <w:rFonts w:hint="eastAsia"/>
                      <w:color w:val="auto"/>
                      <w:szCs w:val="21"/>
                      <w:lang w:val="en-US" w:eastAsia="zh-CN"/>
                    </w:rPr>
                    <w:t>0</w:t>
                  </w:r>
                  <w:r>
                    <w:rPr>
                      <w:rFonts w:hint="eastAsia"/>
                      <w:color w:val="auto"/>
                      <w:szCs w:val="21"/>
                    </w:rPr>
                    <w:t>m，宽</w:t>
                  </w:r>
                  <w:r>
                    <w:rPr>
                      <w:rFonts w:hint="eastAsia"/>
                      <w:color w:val="auto"/>
                      <w:szCs w:val="21"/>
                      <w:lang w:val="en-US" w:eastAsia="zh-CN"/>
                    </w:rPr>
                    <w:t>4</w:t>
                  </w:r>
                  <w:r>
                    <w:rPr>
                      <w:rFonts w:hint="eastAsia"/>
                      <w:color w:val="auto"/>
                      <w:szCs w:val="21"/>
                    </w:rPr>
                    <w:t>m，结构形式为轻型门式钢结构地下为钢筋混凝土筏板基础，整改期限</w:t>
                  </w:r>
                  <w:r>
                    <w:rPr>
                      <w:rFonts w:hint="eastAsia"/>
                      <w:color w:val="auto"/>
                      <w:szCs w:val="21"/>
                      <w:lang w:val="en-US" w:eastAsia="zh-CN"/>
                    </w:rPr>
                    <w:t>3</w:t>
                  </w:r>
                  <w:r>
                    <w:rPr>
                      <w:rFonts w:hint="eastAsia"/>
                      <w:color w:val="auto"/>
                      <w:szCs w:val="21"/>
                    </w:rPr>
                    <w:t>个月</w:t>
                  </w:r>
                </w:p>
              </w:tc>
            </w:tr>
          </w:tbl>
          <w:p w14:paraId="7D7385CA">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0" w:firstLineChars="0"/>
              <w:jc w:val="left"/>
              <w:textAlignment w:val="auto"/>
              <w:rPr>
                <w:rFonts w:hint="eastAsia"/>
                <w:color w:val="auto"/>
                <w:sz w:val="24"/>
              </w:rPr>
            </w:pPr>
          </w:p>
          <w:p w14:paraId="795803BE">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0" w:firstLineChars="0"/>
              <w:jc w:val="left"/>
              <w:textAlignment w:val="auto"/>
              <w:rPr>
                <w:rFonts w:hint="eastAsia"/>
                <w:color w:val="auto"/>
                <w:sz w:val="24"/>
              </w:rPr>
            </w:pPr>
          </w:p>
          <w:p w14:paraId="4321F2C3">
            <w:pPr>
              <w:pStyle w:val="13"/>
              <w:keepNext w:val="0"/>
              <w:keepLines w:val="0"/>
              <w:suppressLineNumbers w:val="0"/>
              <w:spacing w:before="0" w:beforeAutospacing="0" w:after="0" w:afterAutospacing="0"/>
              <w:ind w:left="0" w:right="0"/>
              <w:rPr>
                <w:rFonts w:hint="default"/>
                <w:color w:val="auto"/>
                <w:lang w:val="en-US" w:eastAsia="zh-CN"/>
              </w:rPr>
            </w:pPr>
          </w:p>
          <w:p w14:paraId="3EA414F9">
            <w:pPr>
              <w:keepNext w:val="0"/>
              <w:keepLines w:val="0"/>
              <w:suppressLineNumbers w:val="0"/>
              <w:spacing w:before="0" w:beforeAutospacing="0" w:after="0" w:afterAutospacing="0"/>
              <w:ind w:left="0" w:right="0"/>
              <w:rPr>
                <w:rFonts w:hint="default"/>
                <w:color w:val="auto"/>
                <w:lang w:val="en-US" w:eastAsia="zh-CN"/>
              </w:rPr>
            </w:pPr>
          </w:p>
        </w:tc>
      </w:tr>
    </w:tbl>
    <w:p w14:paraId="43B582B2">
      <w:pPr>
        <w:pStyle w:val="22"/>
        <w:jc w:val="center"/>
        <w:outlineLvl w:val="0"/>
        <w:rPr>
          <w:rFonts w:hint="default" w:ascii="Times New Roman" w:hAnsi="Times New Roman" w:eastAsia="黑体" w:cs="Times New Roman"/>
          <w:snapToGrid w:val="0"/>
          <w:color w:val="auto"/>
          <w:sz w:val="30"/>
          <w:szCs w:val="30"/>
          <w:highlight w:val="none"/>
        </w:rPr>
        <w:sectPr>
          <w:headerReference r:id="rId6" w:type="default"/>
          <w:footerReference r:id="rId7" w:type="default"/>
          <w:pgSz w:w="11907" w:h="16840"/>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bookmarkStart w:id="9" w:name="_Toc3155"/>
    </w:p>
    <w:p w14:paraId="788A9208">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0"/>
          <w:szCs w:val="30"/>
          <w:highlight w:val="none"/>
        </w:rPr>
        <w:t>三、区域环境质量现状、环境保护目标及评价标准</w:t>
      </w:r>
      <w:bookmarkEnd w:id="9"/>
    </w:p>
    <w:tbl>
      <w:tblPr>
        <w:tblStyle w:val="27"/>
        <w:tblW w:w="92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4"/>
        <w:gridCol w:w="8784"/>
      </w:tblGrid>
      <w:tr w14:paraId="236D62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dxa"/>
            <w:tcBorders>
              <w:tl2br w:val="nil"/>
              <w:tr2bl w:val="nil"/>
            </w:tcBorders>
            <w:vAlign w:val="center"/>
          </w:tcPr>
          <w:p w14:paraId="776C5D7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pacing w:val="0"/>
                <w:kern w:val="0"/>
                <w:position w:val="0"/>
                <w:szCs w:val="21"/>
                <w:highlight w:val="none"/>
              </w:rPr>
            </w:pPr>
            <w:r>
              <w:rPr>
                <w:rFonts w:hint="default" w:ascii="Times New Roman" w:hAnsi="Times New Roman" w:cs="Times New Roman"/>
                <w:b/>
                <w:bCs/>
                <w:color w:val="auto"/>
                <w:spacing w:val="0"/>
                <w:kern w:val="0"/>
                <w:position w:val="0"/>
                <w:szCs w:val="21"/>
                <w:highlight w:val="none"/>
              </w:rPr>
              <w:t>区域环境质量现状</w:t>
            </w:r>
          </w:p>
        </w:tc>
        <w:tc>
          <w:tcPr>
            <w:tcW w:w="8784" w:type="dxa"/>
            <w:tcBorders>
              <w:tl2br w:val="nil"/>
              <w:tr2bl w:val="nil"/>
            </w:tcBorders>
            <w:vAlign w:val="center"/>
          </w:tcPr>
          <w:p w14:paraId="19FE6EB2">
            <w:pPr>
              <w:keepNext w:val="0"/>
              <w:keepLines w:val="0"/>
              <w:suppressLineNumbers w:val="0"/>
              <w:spacing w:before="0" w:beforeAutospacing="0" w:after="0" w:afterAutospacing="0" w:line="480" w:lineRule="exact"/>
              <w:ind w:left="0" w:right="0" w:firstLine="480" w:firstLineChars="200"/>
              <w:rPr>
                <w:rFonts w:hint="default"/>
                <w:color w:val="auto"/>
                <w:sz w:val="24"/>
                <w:lang w:val="en-US" w:eastAsia="zh-CN"/>
              </w:rPr>
            </w:pPr>
            <w:r>
              <w:rPr>
                <w:rFonts w:hint="eastAsia"/>
                <w:color w:val="auto"/>
                <w:sz w:val="24"/>
                <w:lang w:val="en-US" w:eastAsia="zh-CN"/>
              </w:rPr>
              <w:t>略</w:t>
            </w:r>
          </w:p>
        </w:tc>
      </w:tr>
      <w:tr w14:paraId="09B710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136" w:hRule="atLeast"/>
          <w:jc w:val="center"/>
        </w:trPr>
        <w:tc>
          <w:tcPr>
            <w:tcW w:w="514" w:type="dxa"/>
            <w:tcBorders>
              <w:tl2br w:val="nil"/>
              <w:tr2bl w:val="nil"/>
            </w:tcBorders>
            <w:vAlign w:val="center"/>
          </w:tcPr>
          <w:p w14:paraId="2244B6E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pacing w:val="0"/>
                <w:kern w:val="0"/>
                <w:position w:val="0"/>
                <w:szCs w:val="21"/>
                <w:highlight w:val="none"/>
              </w:rPr>
            </w:pPr>
            <w:r>
              <w:rPr>
                <w:rFonts w:hint="default" w:ascii="Times New Roman" w:hAnsi="Times New Roman" w:cs="Times New Roman"/>
                <w:b/>
                <w:bCs/>
                <w:color w:val="auto"/>
                <w:spacing w:val="0"/>
                <w:kern w:val="0"/>
                <w:position w:val="0"/>
                <w:szCs w:val="21"/>
                <w:highlight w:val="none"/>
              </w:rPr>
              <w:t>环境保护目标</w:t>
            </w:r>
          </w:p>
        </w:tc>
        <w:tc>
          <w:tcPr>
            <w:tcW w:w="8784" w:type="dxa"/>
            <w:tcBorders>
              <w:tl2br w:val="nil"/>
              <w:tr2bl w:val="nil"/>
            </w:tcBorders>
            <w:vAlign w:val="center"/>
          </w:tcPr>
          <w:p w14:paraId="5C9C4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6</w:t>
            </w:r>
            <w:r>
              <w:rPr>
                <w:rFonts w:hint="default" w:ascii="Times New Roman" w:hAnsi="Times New Roman" w:eastAsia="宋体" w:cs="Times New Roman"/>
                <w:b/>
                <w:bCs/>
                <w:color w:val="auto"/>
                <w:spacing w:val="0"/>
                <w:kern w:val="0"/>
                <w:position w:val="0"/>
                <w:sz w:val="24"/>
                <w:szCs w:val="24"/>
                <w:highlight w:val="none"/>
                <w:lang w:val="en-US" w:eastAsia="zh-CN"/>
              </w:rPr>
              <w:t>大气环境</w:t>
            </w:r>
          </w:p>
          <w:p w14:paraId="1082C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根据调查，厂界外500m范围内</w:t>
            </w:r>
            <w:r>
              <w:rPr>
                <w:rFonts w:hint="eastAsia" w:cs="Times New Roman"/>
                <w:color w:val="auto"/>
                <w:spacing w:val="0"/>
                <w:kern w:val="0"/>
                <w:position w:val="0"/>
                <w:sz w:val="24"/>
                <w:szCs w:val="24"/>
                <w:highlight w:val="none"/>
                <w:lang w:val="en-US" w:eastAsia="zh-CN"/>
              </w:rPr>
              <w:t>无大气环境敏感点</w:t>
            </w:r>
            <w:r>
              <w:rPr>
                <w:rFonts w:hint="default" w:ascii="Times New Roman" w:hAnsi="Times New Roman" w:eastAsia="宋体" w:cs="Times New Roman"/>
                <w:color w:val="auto"/>
                <w:spacing w:val="0"/>
                <w:kern w:val="0"/>
                <w:position w:val="0"/>
                <w:sz w:val="24"/>
                <w:szCs w:val="24"/>
                <w:highlight w:val="none"/>
                <w:lang w:val="en-US" w:eastAsia="zh-CN"/>
              </w:rPr>
              <w:t>。</w:t>
            </w:r>
          </w:p>
          <w:p w14:paraId="2553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7</w:t>
            </w:r>
            <w:r>
              <w:rPr>
                <w:rFonts w:hint="default" w:ascii="Times New Roman" w:hAnsi="Times New Roman" w:eastAsia="宋体" w:cs="Times New Roman"/>
                <w:b/>
                <w:bCs/>
                <w:color w:val="auto"/>
                <w:spacing w:val="0"/>
                <w:kern w:val="0"/>
                <w:position w:val="0"/>
                <w:sz w:val="24"/>
                <w:szCs w:val="24"/>
                <w:highlight w:val="none"/>
                <w:lang w:val="en-US" w:eastAsia="zh-CN"/>
              </w:rPr>
              <w:t>声环境</w:t>
            </w:r>
          </w:p>
          <w:p w14:paraId="78229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
              </w:rPr>
              <w:t>本项目厂界外50m范围内</w:t>
            </w:r>
            <w:r>
              <w:rPr>
                <w:rFonts w:hint="eastAsia" w:cs="Times New Roman"/>
                <w:color w:val="auto"/>
                <w:kern w:val="2"/>
                <w:sz w:val="24"/>
                <w:szCs w:val="24"/>
                <w:highlight w:val="none"/>
                <w:lang w:val="en-US" w:eastAsia="zh-CN" w:bidi="ar"/>
              </w:rPr>
              <w:t>无</w:t>
            </w:r>
            <w:r>
              <w:rPr>
                <w:rFonts w:hint="default" w:ascii="Times New Roman" w:hAnsi="Times New Roman" w:eastAsia="宋体" w:cs="Times New Roman"/>
                <w:color w:val="auto"/>
                <w:kern w:val="2"/>
                <w:sz w:val="24"/>
                <w:szCs w:val="24"/>
                <w:highlight w:val="none"/>
                <w:lang w:val="en-US" w:eastAsia="zh-CN" w:bidi="ar"/>
              </w:rPr>
              <w:t>声环境敏感点</w:t>
            </w:r>
            <w:r>
              <w:rPr>
                <w:rFonts w:hint="default" w:ascii="Times New Roman" w:hAnsi="Times New Roman" w:eastAsia="宋体" w:cs="Times New Roman"/>
                <w:color w:val="auto"/>
                <w:spacing w:val="0"/>
                <w:kern w:val="0"/>
                <w:position w:val="0"/>
                <w:sz w:val="24"/>
                <w:szCs w:val="24"/>
                <w:highlight w:val="none"/>
                <w:lang w:val="en-US" w:eastAsia="zh-CN"/>
              </w:rPr>
              <w:t>。</w:t>
            </w:r>
          </w:p>
          <w:p w14:paraId="7579B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8</w:t>
            </w:r>
            <w:r>
              <w:rPr>
                <w:rFonts w:hint="default" w:ascii="Times New Roman" w:hAnsi="Times New Roman" w:eastAsia="宋体" w:cs="Times New Roman"/>
                <w:b/>
                <w:bCs/>
                <w:color w:val="auto"/>
                <w:spacing w:val="0"/>
                <w:kern w:val="0"/>
                <w:position w:val="0"/>
                <w:sz w:val="24"/>
                <w:szCs w:val="24"/>
                <w:highlight w:val="none"/>
                <w:lang w:val="en-US" w:eastAsia="zh-CN"/>
              </w:rPr>
              <w:t>地下水环境</w:t>
            </w:r>
          </w:p>
          <w:p w14:paraId="4E7FF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厂界外500m范围内无地下水集中式饮用水水源和热水、矿泉水、温泉等特殊地下水资源。</w:t>
            </w:r>
          </w:p>
          <w:p w14:paraId="2D2F4F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9</w:t>
            </w:r>
            <w:r>
              <w:rPr>
                <w:rFonts w:hint="default" w:ascii="Times New Roman" w:hAnsi="Times New Roman" w:eastAsia="宋体" w:cs="Times New Roman"/>
                <w:b/>
                <w:bCs/>
                <w:color w:val="auto"/>
                <w:spacing w:val="0"/>
                <w:kern w:val="0"/>
                <w:position w:val="0"/>
                <w:sz w:val="24"/>
                <w:szCs w:val="24"/>
                <w:highlight w:val="none"/>
                <w:lang w:val="en-US" w:eastAsia="zh-CN"/>
              </w:rPr>
              <w:t>生态环境</w:t>
            </w:r>
          </w:p>
          <w:p w14:paraId="65286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spacing w:val="0"/>
                <w:kern w:val="0"/>
                <w:position w:val="0"/>
                <w:sz w:val="24"/>
                <w:szCs w:val="24"/>
                <w:highlight w:val="none"/>
                <w:lang w:val="en-US" w:eastAsia="zh-CN"/>
              </w:rPr>
            </w:pPr>
            <w:r>
              <w:rPr>
                <w:rFonts w:hint="eastAsia"/>
                <w:bCs/>
                <w:color w:val="auto"/>
                <w:sz w:val="24"/>
              </w:rPr>
              <w:t>本项目用地范围内不涉及《环境影响评价技术导则—生态环境》（HJ19-2011）中规定的特殊生态敏感区和重要生态敏感区，属于一般区域，项目周围植被自然覆盖量少；区域内以小型动物和鸟类为主，无大型野生动物，无珍稀濒危动植物。其评价范围内未发现自然保护区或风景名胜区。生态环境质量一般</w:t>
            </w:r>
            <w:r>
              <w:rPr>
                <w:rFonts w:hint="default" w:ascii="Times New Roman" w:hAnsi="Times New Roman" w:eastAsia="宋体" w:cs="Times New Roman"/>
                <w:color w:val="auto"/>
                <w:spacing w:val="0"/>
                <w:kern w:val="0"/>
                <w:position w:val="0"/>
                <w:sz w:val="24"/>
                <w:szCs w:val="24"/>
                <w:highlight w:val="none"/>
                <w:lang w:val="en-US" w:eastAsia="zh-CN"/>
              </w:rPr>
              <w:t>。</w:t>
            </w:r>
          </w:p>
          <w:p w14:paraId="2F01F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pacing w:val="0"/>
                <w:position w:val="0"/>
                <w:sz w:val="21"/>
                <w:szCs w:val="16"/>
                <w:highlight w:val="none"/>
                <w:lang w:val="en-US" w:eastAsia="zh-CN"/>
              </w:rPr>
            </w:pPr>
            <w:r>
              <w:rPr>
                <w:rFonts w:hint="default" w:ascii="Times New Roman" w:hAnsi="Times New Roman" w:eastAsia="宋体" w:cs="Times New Roman"/>
                <w:b/>
                <w:bCs w:val="0"/>
                <w:color w:val="auto"/>
                <w:spacing w:val="0"/>
                <w:position w:val="0"/>
                <w:sz w:val="21"/>
                <w:szCs w:val="16"/>
                <w:highlight w:val="none"/>
                <w:lang w:val="en-US" w:eastAsia="zh-CN"/>
              </w:rPr>
              <w:t>表3</w:t>
            </w:r>
            <w:r>
              <w:rPr>
                <w:rFonts w:hint="eastAsia" w:cs="Times New Roman"/>
                <w:b/>
                <w:bCs w:val="0"/>
                <w:color w:val="auto"/>
                <w:spacing w:val="0"/>
                <w:position w:val="0"/>
                <w:sz w:val="21"/>
                <w:szCs w:val="16"/>
                <w:highlight w:val="none"/>
                <w:lang w:val="en-US" w:eastAsia="zh-CN"/>
              </w:rPr>
              <w:t>.9-1</w:t>
            </w:r>
            <w:r>
              <w:rPr>
                <w:rFonts w:hint="default" w:ascii="Times New Roman" w:hAnsi="Times New Roman" w:eastAsia="宋体" w:cs="Times New Roman"/>
                <w:b/>
                <w:bCs w:val="0"/>
                <w:color w:val="auto"/>
                <w:spacing w:val="0"/>
                <w:position w:val="0"/>
                <w:sz w:val="21"/>
                <w:szCs w:val="16"/>
                <w:highlight w:val="none"/>
                <w:lang w:val="en-US" w:eastAsia="zh-CN"/>
              </w:rPr>
              <w:t xml:space="preserve">  环境</w:t>
            </w:r>
            <w:r>
              <w:rPr>
                <w:rFonts w:hint="eastAsia" w:ascii="Times New Roman" w:hAnsi="Times New Roman" w:eastAsia="宋体" w:cs="Times New Roman"/>
                <w:b/>
                <w:bCs w:val="0"/>
                <w:color w:val="auto"/>
                <w:spacing w:val="0"/>
                <w:position w:val="0"/>
                <w:sz w:val="21"/>
                <w:szCs w:val="16"/>
                <w:highlight w:val="none"/>
                <w:lang w:val="en-US" w:eastAsia="zh-CN"/>
              </w:rPr>
              <w:t>保护</w:t>
            </w:r>
            <w:r>
              <w:rPr>
                <w:rFonts w:hint="default" w:ascii="Times New Roman" w:hAnsi="Times New Roman" w:eastAsia="宋体" w:cs="Times New Roman"/>
                <w:b/>
                <w:bCs w:val="0"/>
                <w:color w:val="auto"/>
                <w:spacing w:val="0"/>
                <w:position w:val="0"/>
                <w:sz w:val="21"/>
                <w:szCs w:val="16"/>
                <w:highlight w:val="none"/>
                <w:lang w:val="en-US" w:eastAsia="zh-CN"/>
              </w:rPr>
              <w:t>目标</w:t>
            </w:r>
            <w:r>
              <w:rPr>
                <w:rFonts w:hint="eastAsia" w:ascii="Times New Roman" w:hAnsi="Times New Roman" w:eastAsia="宋体" w:cs="Times New Roman"/>
                <w:b/>
                <w:bCs w:val="0"/>
                <w:color w:val="auto"/>
                <w:spacing w:val="0"/>
                <w:position w:val="0"/>
                <w:sz w:val="21"/>
                <w:szCs w:val="16"/>
                <w:highlight w:val="none"/>
                <w:lang w:val="en-US" w:eastAsia="zh-CN"/>
              </w:rPr>
              <w:t>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20"/>
              <w:gridCol w:w="1494"/>
              <w:gridCol w:w="1133"/>
              <w:gridCol w:w="1112"/>
              <w:gridCol w:w="2821"/>
            </w:tblGrid>
            <w:tr w14:paraId="2F6E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77" w:type="dxa"/>
                  <w:tcBorders>
                    <w:tl2br w:val="nil"/>
                    <w:tr2bl w:val="nil"/>
                  </w:tcBorders>
                  <w:vAlign w:val="center"/>
                </w:tcPr>
                <w:p w14:paraId="0590C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0"/>
                      <w:position w:val="0"/>
                      <w:sz w:val="21"/>
                      <w:szCs w:val="21"/>
                      <w:highlight w:val="none"/>
                      <w:lang w:val="en-US" w:eastAsia="zh-CN"/>
                    </w:rPr>
                  </w:pPr>
                  <w:r>
                    <w:rPr>
                      <w:rFonts w:hint="default" w:ascii="Times New Roman" w:hAnsi="Times New Roman" w:cs="Times New Roman"/>
                      <w:b/>
                      <w:bCs/>
                      <w:color w:val="auto"/>
                      <w:spacing w:val="0"/>
                      <w:position w:val="0"/>
                      <w:sz w:val="21"/>
                      <w:szCs w:val="21"/>
                      <w:highlight w:val="none"/>
                      <w:lang w:val="en-US" w:eastAsia="zh-CN"/>
                    </w:rPr>
                    <w:t>类别</w:t>
                  </w:r>
                </w:p>
              </w:tc>
              <w:tc>
                <w:tcPr>
                  <w:tcW w:w="1120" w:type="dxa"/>
                  <w:tcBorders>
                    <w:tl2br w:val="nil"/>
                    <w:tr2bl w:val="nil"/>
                  </w:tcBorders>
                  <w:vAlign w:val="center"/>
                </w:tcPr>
                <w:p w14:paraId="4CA376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0"/>
                      <w:position w:val="0"/>
                      <w:sz w:val="21"/>
                      <w:szCs w:val="21"/>
                      <w:highlight w:val="none"/>
                      <w:lang w:val="en-US" w:eastAsia="zh-CN"/>
                    </w:rPr>
                  </w:pPr>
                  <w:r>
                    <w:rPr>
                      <w:rFonts w:hint="default" w:ascii="Times New Roman" w:hAnsi="Times New Roman" w:eastAsia="宋体" w:cs="Times New Roman"/>
                      <w:b/>
                      <w:bCs/>
                      <w:color w:val="auto"/>
                      <w:spacing w:val="0"/>
                      <w:position w:val="0"/>
                      <w:sz w:val="21"/>
                      <w:szCs w:val="21"/>
                      <w:highlight w:val="none"/>
                      <w:lang w:val="en-US" w:eastAsia="zh-CN"/>
                    </w:rPr>
                    <w:t>保护目标</w:t>
                  </w:r>
                </w:p>
              </w:tc>
              <w:tc>
                <w:tcPr>
                  <w:tcW w:w="1494" w:type="dxa"/>
                  <w:tcBorders>
                    <w:tl2br w:val="nil"/>
                    <w:tr2bl w:val="nil"/>
                  </w:tcBorders>
                  <w:vAlign w:val="center"/>
                </w:tcPr>
                <w:p w14:paraId="1095BB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spacing w:val="0"/>
                      <w:position w:val="0"/>
                      <w:sz w:val="21"/>
                      <w:szCs w:val="21"/>
                      <w:highlight w:val="none"/>
                      <w:lang w:val="en-US" w:eastAsia="zh-CN"/>
                    </w:rPr>
                  </w:pPr>
                  <w:r>
                    <w:rPr>
                      <w:rFonts w:hint="default" w:ascii="Times New Roman" w:hAnsi="Times New Roman" w:eastAsia="宋体" w:cs="Times New Roman"/>
                      <w:b/>
                      <w:bCs/>
                      <w:color w:val="auto"/>
                      <w:spacing w:val="0"/>
                      <w:position w:val="0"/>
                      <w:sz w:val="21"/>
                      <w:szCs w:val="21"/>
                      <w:highlight w:val="none"/>
                      <w:lang w:val="en-US" w:eastAsia="zh-CN"/>
                    </w:rPr>
                    <w:t>相对厂区方位</w:t>
                  </w:r>
                </w:p>
              </w:tc>
              <w:tc>
                <w:tcPr>
                  <w:tcW w:w="1133" w:type="dxa"/>
                  <w:tcBorders>
                    <w:tl2br w:val="nil"/>
                    <w:tr2bl w:val="nil"/>
                  </w:tcBorders>
                  <w:vAlign w:val="center"/>
                </w:tcPr>
                <w:p w14:paraId="1E3B5A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spacing w:val="0"/>
                      <w:position w:val="0"/>
                      <w:sz w:val="21"/>
                      <w:szCs w:val="21"/>
                      <w:highlight w:val="none"/>
                      <w:lang w:val="en-US" w:eastAsia="zh-CN"/>
                    </w:rPr>
                  </w:pPr>
                  <w:r>
                    <w:rPr>
                      <w:rFonts w:hint="default" w:ascii="Times New Roman" w:hAnsi="Times New Roman" w:eastAsia="宋体" w:cs="Times New Roman"/>
                      <w:b/>
                      <w:bCs/>
                      <w:color w:val="auto"/>
                      <w:spacing w:val="0"/>
                      <w:position w:val="0"/>
                      <w:sz w:val="21"/>
                      <w:szCs w:val="21"/>
                      <w:highlight w:val="none"/>
                      <w:lang w:val="en-US" w:eastAsia="zh-CN"/>
                    </w:rPr>
                    <w:t>距离（</w:t>
                  </w:r>
                  <w:r>
                    <w:rPr>
                      <w:rFonts w:hint="eastAsia" w:cs="Times New Roman"/>
                      <w:b/>
                      <w:bCs/>
                      <w:color w:val="auto"/>
                      <w:spacing w:val="0"/>
                      <w:position w:val="0"/>
                      <w:sz w:val="21"/>
                      <w:szCs w:val="21"/>
                      <w:highlight w:val="none"/>
                      <w:lang w:val="en-US" w:eastAsia="zh-CN"/>
                    </w:rPr>
                    <w:t>k</w:t>
                  </w:r>
                  <w:r>
                    <w:rPr>
                      <w:rFonts w:hint="default" w:ascii="Times New Roman" w:hAnsi="Times New Roman" w:eastAsia="宋体" w:cs="Times New Roman"/>
                      <w:b/>
                      <w:bCs/>
                      <w:color w:val="auto"/>
                      <w:spacing w:val="0"/>
                      <w:position w:val="0"/>
                      <w:sz w:val="21"/>
                      <w:szCs w:val="21"/>
                      <w:highlight w:val="none"/>
                      <w:lang w:val="en-US" w:eastAsia="zh-CN"/>
                    </w:rPr>
                    <w:t>m）</w:t>
                  </w:r>
                </w:p>
              </w:tc>
              <w:tc>
                <w:tcPr>
                  <w:tcW w:w="1112" w:type="dxa"/>
                  <w:tcBorders>
                    <w:tl2br w:val="nil"/>
                    <w:tr2bl w:val="nil"/>
                  </w:tcBorders>
                  <w:vAlign w:val="center"/>
                </w:tcPr>
                <w:p w14:paraId="56D61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spacing w:val="0"/>
                      <w:position w:val="0"/>
                      <w:sz w:val="21"/>
                      <w:szCs w:val="21"/>
                      <w:highlight w:val="none"/>
                      <w:lang w:val="en-US" w:eastAsia="zh-CN"/>
                    </w:rPr>
                  </w:pPr>
                  <w:r>
                    <w:rPr>
                      <w:rFonts w:hint="default" w:ascii="Times New Roman" w:hAnsi="Times New Roman" w:eastAsia="宋体" w:cs="Times New Roman"/>
                      <w:b/>
                      <w:bCs/>
                      <w:color w:val="auto"/>
                      <w:spacing w:val="0"/>
                      <w:position w:val="0"/>
                      <w:sz w:val="21"/>
                      <w:szCs w:val="21"/>
                      <w:highlight w:val="none"/>
                      <w:lang w:val="en-US" w:eastAsia="zh-CN"/>
                    </w:rPr>
                    <w:t>保护</w:t>
                  </w:r>
                  <w:r>
                    <w:rPr>
                      <w:rFonts w:hint="eastAsia" w:ascii="Times New Roman" w:hAnsi="Times New Roman" w:eastAsia="宋体" w:cs="Times New Roman"/>
                      <w:b/>
                      <w:bCs/>
                      <w:color w:val="auto"/>
                      <w:spacing w:val="0"/>
                      <w:position w:val="0"/>
                      <w:sz w:val="21"/>
                      <w:szCs w:val="21"/>
                      <w:highlight w:val="none"/>
                      <w:lang w:val="en-US" w:eastAsia="zh-CN"/>
                    </w:rPr>
                    <w:t>内容</w:t>
                  </w:r>
                </w:p>
              </w:tc>
              <w:tc>
                <w:tcPr>
                  <w:tcW w:w="2821" w:type="dxa"/>
                  <w:tcBorders>
                    <w:tl2br w:val="nil"/>
                    <w:tr2bl w:val="nil"/>
                  </w:tcBorders>
                  <w:vAlign w:val="center"/>
                </w:tcPr>
                <w:p w14:paraId="4BE47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b/>
                      <w:bCs/>
                      <w:color w:val="auto"/>
                      <w:spacing w:val="0"/>
                      <w:position w:val="0"/>
                      <w:sz w:val="21"/>
                      <w:szCs w:val="21"/>
                      <w:highlight w:val="none"/>
                      <w:lang w:val="en-US" w:eastAsia="zh-CN"/>
                    </w:rPr>
                  </w:pPr>
                  <w:r>
                    <w:rPr>
                      <w:rFonts w:hint="default" w:ascii="Times New Roman" w:hAnsi="Times New Roman" w:eastAsia="宋体" w:cs="Times New Roman"/>
                      <w:b/>
                      <w:bCs/>
                      <w:color w:val="auto"/>
                      <w:spacing w:val="0"/>
                      <w:position w:val="0"/>
                      <w:sz w:val="21"/>
                      <w:szCs w:val="21"/>
                      <w:highlight w:val="none"/>
                      <w:lang w:val="en-US" w:eastAsia="zh-CN"/>
                    </w:rPr>
                    <w:t>保护级别</w:t>
                  </w:r>
                </w:p>
              </w:tc>
            </w:tr>
            <w:tr w14:paraId="7024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77" w:type="dxa"/>
                  <w:tcBorders>
                    <w:tl2br w:val="nil"/>
                    <w:tr2bl w:val="nil"/>
                  </w:tcBorders>
                  <w:vAlign w:val="center"/>
                </w:tcPr>
                <w:p w14:paraId="64F3F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地表水</w:t>
                  </w:r>
                </w:p>
              </w:tc>
              <w:tc>
                <w:tcPr>
                  <w:tcW w:w="1120" w:type="dxa"/>
                  <w:tcBorders>
                    <w:tl2br w:val="nil"/>
                    <w:tr2bl w:val="nil"/>
                  </w:tcBorders>
                  <w:vAlign w:val="center"/>
                </w:tcPr>
                <w:p w14:paraId="4E1BF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绛河</w:t>
                  </w:r>
                </w:p>
              </w:tc>
              <w:tc>
                <w:tcPr>
                  <w:tcW w:w="1494" w:type="dxa"/>
                  <w:tcBorders>
                    <w:tl2br w:val="nil"/>
                    <w:tr2bl w:val="nil"/>
                  </w:tcBorders>
                  <w:vAlign w:val="center"/>
                </w:tcPr>
                <w:p w14:paraId="3942E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1133" w:type="dxa"/>
                  <w:tcBorders>
                    <w:tl2br w:val="nil"/>
                    <w:tr2bl w:val="nil"/>
                  </w:tcBorders>
                  <w:vAlign w:val="center"/>
                </w:tcPr>
                <w:p w14:paraId="58DBF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8.0</w:t>
                  </w:r>
                </w:p>
              </w:tc>
              <w:tc>
                <w:tcPr>
                  <w:tcW w:w="1112" w:type="dxa"/>
                  <w:tcBorders>
                    <w:tl2br w:val="nil"/>
                    <w:tr2bl w:val="nil"/>
                  </w:tcBorders>
                  <w:vAlign w:val="center"/>
                </w:tcPr>
                <w:p w14:paraId="1BE3A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水质</w:t>
                  </w:r>
                </w:p>
              </w:tc>
              <w:tc>
                <w:tcPr>
                  <w:tcW w:w="2821" w:type="dxa"/>
                  <w:tcBorders>
                    <w:tl2br w:val="nil"/>
                    <w:tr2bl w:val="nil"/>
                  </w:tcBorders>
                  <w:vAlign w:val="center"/>
                </w:tcPr>
                <w:p w14:paraId="377E0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《地表水环境质量标准》（GB3838-2002）中Ⅲ类</w:t>
                  </w:r>
                  <w:r>
                    <w:rPr>
                      <w:rFonts w:hint="eastAsia" w:ascii="Times New Roman" w:hAnsi="Times New Roman" w:cs="Times New Roman"/>
                      <w:color w:val="auto"/>
                      <w:spacing w:val="0"/>
                      <w:position w:val="0"/>
                      <w:sz w:val="21"/>
                      <w:szCs w:val="21"/>
                      <w:highlight w:val="none"/>
                      <w:lang w:val="en-US" w:eastAsia="zh-CN"/>
                    </w:rPr>
                    <w:t>标准</w:t>
                  </w:r>
                </w:p>
              </w:tc>
            </w:tr>
          </w:tbl>
          <w:p w14:paraId="117F118B">
            <w:pPr>
              <w:pStyle w:val="34"/>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Cs w:val="21"/>
                <w:highlight w:val="none"/>
                <w:lang w:eastAsia="zh-CN"/>
              </w:rPr>
            </w:pPr>
          </w:p>
          <w:p w14:paraId="73C41E7A">
            <w:pPr>
              <w:pStyle w:val="34"/>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Cs w:val="21"/>
                <w:highlight w:val="none"/>
                <w:lang w:eastAsia="zh-CN"/>
              </w:rPr>
            </w:pPr>
          </w:p>
          <w:p w14:paraId="65CF38B3">
            <w:pPr>
              <w:pStyle w:val="34"/>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Cs w:val="21"/>
                <w:highlight w:val="none"/>
                <w:lang w:eastAsia="zh-CN"/>
              </w:rPr>
            </w:pPr>
          </w:p>
          <w:p w14:paraId="1E74DDF5">
            <w:pPr>
              <w:pStyle w:val="34"/>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Cs w:val="21"/>
                <w:highlight w:val="none"/>
                <w:lang w:eastAsia="zh-CN"/>
              </w:rPr>
            </w:pPr>
          </w:p>
          <w:p w14:paraId="79C248C2">
            <w:pPr>
              <w:pStyle w:val="34"/>
              <w:keepNext w:val="0"/>
              <w:keepLines w:val="0"/>
              <w:suppressLineNumbers w:val="0"/>
              <w:spacing w:before="0" w:beforeAutospacing="0" w:after="0" w:afterAutospacing="0"/>
              <w:ind w:left="0" w:right="0"/>
              <w:rPr>
                <w:rFonts w:hint="default" w:ascii="Times New Roman" w:hAnsi="Times New Roman" w:eastAsia="宋体" w:cs="Times New Roman"/>
                <w:color w:val="auto"/>
                <w:spacing w:val="0"/>
                <w:kern w:val="0"/>
                <w:position w:val="0"/>
                <w:szCs w:val="21"/>
                <w:highlight w:val="none"/>
                <w:lang w:eastAsia="zh-CN"/>
              </w:rPr>
            </w:pPr>
          </w:p>
        </w:tc>
      </w:tr>
      <w:tr w14:paraId="0F5030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4" w:type="dxa"/>
            <w:tcBorders>
              <w:tl2br w:val="nil"/>
              <w:tr2bl w:val="nil"/>
            </w:tcBorders>
            <w:tcMar>
              <w:left w:w="28" w:type="dxa"/>
              <w:right w:w="28" w:type="dxa"/>
            </w:tcMar>
            <w:vAlign w:val="center"/>
          </w:tcPr>
          <w:p w14:paraId="6E9C2D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color w:val="auto"/>
                <w:spacing w:val="0"/>
                <w:kern w:val="0"/>
                <w:position w:val="0"/>
                <w:szCs w:val="21"/>
                <w:highlight w:val="none"/>
              </w:rPr>
            </w:pPr>
            <w:r>
              <w:rPr>
                <w:rFonts w:hint="default" w:ascii="Times New Roman" w:hAnsi="Times New Roman" w:cs="Times New Roman"/>
                <w:b/>
                <w:bCs/>
                <w:color w:val="auto"/>
                <w:spacing w:val="0"/>
                <w:kern w:val="0"/>
                <w:position w:val="0"/>
                <w:szCs w:val="21"/>
                <w:highlight w:val="none"/>
              </w:rPr>
              <w:t>污染物排放控制标准</w:t>
            </w:r>
          </w:p>
        </w:tc>
        <w:tc>
          <w:tcPr>
            <w:tcW w:w="8784" w:type="dxa"/>
            <w:tcBorders>
              <w:tl2br w:val="nil"/>
              <w:tr2bl w:val="nil"/>
            </w:tcBorders>
            <w:vAlign w:val="center"/>
          </w:tcPr>
          <w:p w14:paraId="361B5B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10</w:t>
            </w:r>
            <w:r>
              <w:rPr>
                <w:rFonts w:hint="default" w:ascii="Times New Roman" w:hAnsi="Times New Roman" w:eastAsia="宋体" w:cs="Times New Roman"/>
                <w:b/>
                <w:bCs/>
                <w:color w:val="auto"/>
                <w:spacing w:val="0"/>
                <w:kern w:val="0"/>
                <w:position w:val="0"/>
                <w:sz w:val="24"/>
                <w:szCs w:val="24"/>
                <w:highlight w:val="none"/>
                <w:lang w:val="en-US" w:eastAsia="zh-CN"/>
              </w:rPr>
              <w:t>废气</w:t>
            </w:r>
          </w:p>
          <w:p w14:paraId="25048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pacing w:val="0"/>
                <w:position w:val="0"/>
                <w:sz w:val="24"/>
                <w:highlight w:val="none"/>
              </w:rPr>
            </w:pPr>
            <w:r>
              <w:rPr>
                <w:rFonts w:hint="default" w:ascii="Times New Roman" w:hAnsi="Times New Roman" w:eastAsia="宋体" w:cs="Times New Roman"/>
                <w:color w:val="auto"/>
                <w:spacing w:val="0"/>
                <w:position w:val="0"/>
                <w:sz w:val="24"/>
                <w:highlight w:val="none"/>
              </w:rPr>
              <w:t>本项目</w:t>
            </w:r>
            <w:r>
              <w:rPr>
                <w:rFonts w:hint="eastAsia" w:cs="Times New Roman"/>
                <w:color w:val="auto"/>
                <w:spacing w:val="0"/>
                <w:position w:val="0"/>
                <w:sz w:val="24"/>
                <w:highlight w:val="none"/>
                <w:lang w:val="en-US" w:eastAsia="zh-CN"/>
              </w:rPr>
              <w:t>运营期</w:t>
            </w:r>
            <w:r>
              <w:rPr>
                <w:rFonts w:hint="eastAsia" w:ascii="Times New Roman" w:hAnsi="Times New Roman" w:eastAsia="宋体" w:cs="Times New Roman"/>
                <w:color w:val="auto"/>
                <w:spacing w:val="0"/>
                <w:position w:val="0"/>
                <w:sz w:val="24"/>
                <w:highlight w:val="none"/>
                <w:lang w:val="en-US" w:eastAsia="zh-CN"/>
              </w:rPr>
              <w:t>有组织颗粒物</w:t>
            </w:r>
            <w:r>
              <w:rPr>
                <w:rFonts w:hint="default" w:ascii="Times New Roman" w:hAnsi="Times New Roman" w:eastAsia="宋体" w:cs="Times New Roman"/>
                <w:color w:val="auto"/>
                <w:spacing w:val="0"/>
                <w:position w:val="0"/>
                <w:sz w:val="24"/>
                <w:highlight w:val="none"/>
              </w:rPr>
              <w:t>排放浓度</w:t>
            </w:r>
            <w:r>
              <w:rPr>
                <w:rFonts w:hint="default" w:ascii="Times New Roman" w:hAnsi="Times New Roman" w:eastAsia="宋体" w:cs="Times New Roman"/>
                <w:color w:val="auto"/>
                <w:spacing w:val="0"/>
                <w:position w:val="0"/>
                <w:sz w:val="24"/>
                <w:highlight w:val="none"/>
                <w:lang w:val="en-US" w:eastAsia="zh-CN"/>
              </w:rPr>
              <w:t>执行《大气污染物综合排放标准》</w:t>
            </w:r>
            <w:r>
              <w:rPr>
                <w:rFonts w:hint="eastAsia" w:cs="Times New Roman"/>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GB16297-1996</w:t>
            </w:r>
            <w:r>
              <w:rPr>
                <w:rFonts w:hint="eastAsia" w:cs="Times New Roman"/>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表2新污染源大气污染物排放限值</w:t>
            </w:r>
            <w:r>
              <w:rPr>
                <w:rFonts w:hint="eastAsia" w:ascii="Times New Roman" w:hAnsi="Times New Roman" w:eastAsia="宋体" w:cs="Times New Roman"/>
                <w:color w:val="auto"/>
                <w:spacing w:val="0"/>
                <w:position w:val="0"/>
                <w:sz w:val="24"/>
                <w:highlight w:val="none"/>
                <w:lang w:val="en-US" w:eastAsia="zh-CN"/>
              </w:rPr>
              <w:t>；</w:t>
            </w:r>
            <w:r>
              <w:rPr>
                <w:rFonts w:hint="eastAsia" w:cs="Times New Roman"/>
                <w:color w:val="auto"/>
                <w:spacing w:val="0"/>
                <w:position w:val="0"/>
                <w:sz w:val="24"/>
                <w:highlight w:val="none"/>
                <w:lang w:val="en-US" w:eastAsia="zh-CN"/>
              </w:rPr>
              <w:t>厂界无组织</w:t>
            </w:r>
            <w:r>
              <w:rPr>
                <w:rFonts w:hint="default" w:ascii="Times New Roman" w:hAnsi="Times New Roman" w:eastAsia="宋体" w:cs="Times New Roman"/>
                <w:color w:val="auto"/>
                <w:spacing w:val="0"/>
                <w:position w:val="0"/>
                <w:sz w:val="24"/>
                <w:highlight w:val="none"/>
                <w:lang w:val="en-US" w:eastAsia="zh-CN"/>
              </w:rPr>
              <w:t>颗粒物排放</w:t>
            </w:r>
            <w:r>
              <w:rPr>
                <w:rFonts w:hint="eastAsia" w:cs="Times New Roman"/>
                <w:color w:val="auto"/>
                <w:spacing w:val="0"/>
                <w:position w:val="0"/>
                <w:sz w:val="24"/>
                <w:highlight w:val="none"/>
                <w:lang w:val="en-US" w:eastAsia="zh-CN"/>
              </w:rPr>
              <w:t>浓度</w:t>
            </w:r>
            <w:r>
              <w:rPr>
                <w:rFonts w:hint="default" w:ascii="Times New Roman" w:hAnsi="Times New Roman" w:eastAsia="宋体" w:cs="Times New Roman"/>
                <w:color w:val="auto"/>
                <w:spacing w:val="0"/>
                <w:position w:val="0"/>
                <w:sz w:val="24"/>
                <w:highlight w:val="none"/>
                <w:lang w:val="en-US" w:eastAsia="zh-CN"/>
              </w:rPr>
              <w:t>执行《大气污染物综合排放标准》（GB16297-1996）表2新污染源大气污染物排放限值物排放限值</w:t>
            </w:r>
            <w:r>
              <w:rPr>
                <w:rFonts w:hint="eastAsia" w:ascii="Times New Roman" w:hAnsi="Times New Roman" w:eastAsia="宋体" w:cs="Times New Roman"/>
                <w:color w:val="auto"/>
                <w:spacing w:val="0"/>
                <w:position w:val="0"/>
                <w:sz w:val="24"/>
                <w:highlight w:val="none"/>
                <w:lang w:val="en-US" w:eastAsia="zh-CN"/>
              </w:rPr>
              <w:t>。</w:t>
            </w:r>
          </w:p>
          <w:p w14:paraId="40ED5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pacing w:val="0"/>
                <w:position w:val="0"/>
                <w:sz w:val="21"/>
                <w:szCs w:val="16"/>
                <w:highlight w:val="none"/>
                <w:lang w:val="en-US" w:eastAsia="zh-CN"/>
              </w:rPr>
            </w:pPr>
            <w:r>
              <w:rPr>
                <w:rFonts w:hint="default" w:ascii="Times New Roman" w:hAnsi="Times New Roman" w:eastAsia="宋体" w:cs="Times New Roman"/>
                <w:b/>
                <w:bCs w:val="0"/>
                <w:color w:val="auto"/>
                <w:spacing w:val="0"/>
                <w:position w:val="0"/>
                <w:sz w:val="21"/>
                <w:szCs w:val="16"/>
                <w:highlight w:val="none"/>
                <w:lang w:val="en-US" w:eastAsia="zh-CN"/>
              </w:rPr>
              <w:t>表3</w:t>
            </w:r>
            <w:r>
              <w:rPr>
                <w:rFonts w:hint="eastAsia" w:cs="Times New Roman"/>
                <w:b/>
                <w:bCs w:val="0"/>
                <w:color w:val="auto"/>
                <w:spacing w:val="0"/>
                <w:position w:val="0"/>
                <w:sz w:val="21"/>
                <w:szCs w:val="16"/>
                <w:highlight w:val="none"/>
                <w:lang w:val="en-US" w:eastAsia="zh-CN"/>
              </w:rPr>
              <w:t>.10-1</w:t>
            </w:r>
            <w:r>
              <w:rPr>
                <w:rFonts w:hint="default" w:ascii="Times New Roman" w:hAnsi="Times New Roman" w:eastAsia="宋体" w:cs="Times New Roman"/>
                <w:b/>
                <w:bCs w:val="0"/>
                <w:color w:val="auto"/>
                <w:spacing w:val="0"/>
                <w:position w:val="0"/>
                <w:sz w:val="21"/>
                <w:szCs w:val="16"/>
                <w:highlight w:val="none"/>
                <w:lang w:val="en-US" w:eastAsia="zh-CN"/>
              </w:rPr>
              <w:t xml:space="preserve">  </w:t>
            </w:r>
            <w:r>
              <w:rPr>
                <w:rFonts w:hint="default" w:ascii="Times New Roman" w:hAnsi="Times New Roman" w:cs="Times New Roman"/>
                <w:b/>
                <w:bCs/>
                <w:color w:val="auto"/>
                <w:spacing w:val="0"/>
                <w:position w:val="0"/>
                <w:sz w:val="21"/>
                <w:szCs w:val="21"/>
                <w:highlight w:val="none"/>
                <w:lang w:val="en-US" w:eastAsia="zh-CN"/>
              </w:rPr>
              <w:t>《大气污染物综合排放标准》（GB16297-1996）</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0"/>
              <w:gridCol w:w="3386"/>
              <w:gridCol w:w="2034"/>
              <w:gridCol w:w="1460"/>
            </w:tblGrid>
            <w:tr w14:paraId="203C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jc w:val="center"/>
              </w:trPr>
              <w:tc>
                <w:tcPr>
                  <w:tcW w:w="1640" w:type="dxa"/>
                  <w:tcBorders>
                    <w:tl2br w:val="nil"/>
                    <w:tr2bl w:val="nil"/>
                  </w:tcBorders>
                  <w:vAlign w:val="center"/>
                </w:tcPr>
                <w:p w14:paraId="6C0FD3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0"/>
                      <w:kern w:val="2"/>
                      <w:position w:val="0"/>
                      <w:sz w:val="21"/>
                      <w:szCs w:val="21"/>
                      <w:highlight w:val="none"/>
                      <w:lang w:val="en-US" w:eastAsia="zh-CN" w:bidi="ar-SA"/>
                    </w:rPr>
                  </w:pPr>
                  <w:r>
                    <w:rPr>
                      <w:rFonts w:hint="default" w:ascii="Times New Roman" w:hAnsi="Times New Roman" w:cs="Times New Roman"/>
                      <w:b/>
                      <w:bCs/>
                      <w:color w:val="auto"/>
                      <w:spacing w:val="0"/>
                      <w:position w:val="0"/>
                      <w:sz w:val="21"/>
                      <w:szCs w:val="21"/>
                      <w:highlight w:val="none"/>
                    </w:rPr>
                    <w:t>污染物</w:t>
                  </w:r>
                </w:p>
              </w:tc>
              <w:tc>
                <w:tcPr>
                  <w:tcW w:w="3386" w:type="dxa"/>
                  <w:tcBorders>
                    <w:tl2br w:val="nil"/>
                    <w:tr2bl w:val="nil"/>
                  </w:tcBorders>
                  <w:vAlign w:val="center"/>
                </w:tcPr>
                <w:p w14:paraId="33BCD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0"/>
                      <w:kern w:val="2"/>
                      <w:position w:val="0"/>
                      <w:sz w:val="21"/>
                      <w:szCs w:val="21"/>
                      <w:highlight w:val="none"/>
                      <w:lang w:val="en-US" w:eastAsia="zh-CN" w:bidi="ar-SA"/>
                    </w:rPr>
                  </w:pPr>
                  <w:r>
                    <w:rPr>
                      <w:rFonts w:hint="eastAsia" w:cs="Times New Roman"/>
                      <w:b/>
                      <w:bCs/>
                      <w:color w:val="auto"/>
                      <w:spacing w:val="0"/>
                      <w:position w:val="0"/>
                      <w:sz w:val="21"/>
                      <w:szCs w:val="21"/>
                      <w:highlight w:val="none"/>
                      <w:lang w:val="en-US" w:eastAsia="zh-CN"/>
                    </w:rPr>
                    <w:t>最高允许</w:t>
                  </w:r>
                  <w:r>
                    <w:rPr>
                      <w:rFonts w:hint="default" w:ascii="Times New Roman" w:hAnsi="Times New Roman" w:cs="Times New Roman"/>
                      <w:b/>
                      <w:bCs/>
                      <w:color w:val="auto"/>
                      <w:spacing w:val="0"/>
                      <w:position w:val="0"/>
                      <w:sz w:val="21"/>
                      <w:szCs w:val="21"/>
                      <w:highlight w:val="none"/>
                      <w:lang w:val="en-US" w:eastAsia="zh-CN"/>
                    </w:rPr>
                    <w:t>排放浓度（mg/m</w:t>
                  </w:r>
                  <w:r>
                    <w:rPr>
                      <w:rFonts w:hint="default" w:ascii="Times New Roman" w:hAnsi="Times New Roman" w:cs="Times New Roman"/>
                      <w:b/>
                      <w:bCs/>
                      <w:color w:val="auto"/>
                      <w:spacing w:val="0"/>
                      <w:position w:val="0"/>
                      <w:sz w:val="21"/>
                      <w:szCs w:val="21"/>
                      <w:highlight w:val="none"/>
                      <w:vertAlign w:val="superscript"/>
                      <w:lang w:val="en-US" w:eastAsia="zh-CN"/>
                    </w:rPr>
                    <w:t>3</w:t>
                  </w:r>
                  <w:r>
                    <w:rPr>
                      <w:rFonts w:hint="default" w:ascii="Times New Roman" w:hAnsi="Times New Roman" w:cs="Times New Roman"/>
                      <w:b/>
                      <w:bCs/>
                      <w:color w:val="auto"/>
                      <w:spacing w:val="0"/>
                      <w:position w:val="0"/>
                      <w:sz w:val="21"/>
                      <w:szCs w:val="21"/>
                      <w:highlight w:val="none"/>
                      <w:lang w:val="en-US" w:eastAsia="zh-CN"/>
                    </w:rPr>
                    <w:t>）</w:t>
                  </w:r>
                </w:p>
              </w:tc>
              <w:tc>
                <w:tcPr>
                  <w:tcW w:w="3494" w:type="dxa"/>
                  <w:gridSpan w:val="2"/>
                  <w:tcBorders>
                    <w:tl2br w:val="nil"/>
                    <w:tr2bl w:val="nil"/>
                  </w:tcBorders>
                  <w:vAlign w:val="center"/>
                </w:tcPr>
                <w:p w14:paraId="5A25D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pacing w:val="0"/>
                      <w:kern w:val="2"/>
                      <w:position w:val="0"/>
                      <w:sz w:val="21"/>
                      <w:szCs w:val="21"/>
                      <w:highlight w:val="none"/>
                      <w:lang w:val="en-US" w:eastAsia="zh-CN" w:bidi="ar-SA"/>
                    </w:rPr>
                  </w:pPr>
                  <w:r>
                    <w:rPr>
                      <w:rFonts w:hint="eastAsia" w:ascii="Times New Roman" w:hAnsi="Times New Roman" w:cs="Times New Roman"/>
                      <w:b/>
                      <w:bCs/>
                      <w:color w:val="auto"/>
                      <w:spacing w:val="0"/>
                      <w:position w:val="0"/>
                      <w:sz w:val="21"/>
                      <w:szCs w:val="21"/>
                      <w:highlight w:val="none"/>
                      <w:lang w:val="en-US" w:eastAsia="zh-CN"/>
                    </w:rPr>
                    <w:t>无组织排放监控浓度限值</w:t>
                  </w:r>
                  <w:r>
                    <w:rPr>
                      <w:rFonts w:hint="default" w:ascii="Times New Roman" w:hAnsi="Times New Roman" w:cs="Times New Roman"/>
                      <w:b/>
                      <w:bCs/>
                      <w:color w:val="auto"/>
                      <w:spacing w:val="0"/>
                      <w:position w:val="0"/>
                      <w:sz w:val="21"/>
                      <w:szCs w:val="21"/>
                      <w:highlight w:val="none"/>
                      <w:lang w:val="en-US" w:eastAsia="zh-CN"/>
                    </w:rPr>
                    <w:t>（mg/m</w:t>
                  </w:r>
                  <w:r>
                    <w:rPr>
                      <w:rFonts w:hint="default" w:ascii="Times New Roman" w:hAnsi="Times New Roman" w:cs="Times New Roman"/>
                      <w:b/>
                      <w:bCs/>
                      <w:color w:val="auto"/>
                      <w:spacing w:val="0"/>
                      <w:position w:val="0"/>
                      <w:sz w:val="21"/>
                      <w:szCs w:val="21"/>
                      <w:highlight w:val="none"/>
                      <w:vertAlign w:val="superscript"/>
                      <w:lang w:val="en-US" w:eastAsia="zh-CN"/>
                    </w:rPr>
                    <w:t>3</w:t>
                  </w:r>
                  <w:r>
                    <w:rPr>
                      <w:rFonts w:hint="default" w:ascii="Times New Roman" w:hAnsi="Times New Roman" w:cs="Times New Roman"/>
                      <w:b/>
                      <w:bCs/>
                      <w:color w:val="auto"/>
                      <w:spacing w:val="0"/>
                      <w:position w:val="0"/>
                      <w:sz w:val="21"/>
                      <w:szCs w:val="21"/>
                      <w:highlight w:val="none"/>
                      <w:lang w:val="en-US" w:eastAsia="zh-CN"/>
                    </w:rPr>
                    <w:t>）</w:t>
                  </w:r>
                </w:p>
              </w:tc>
            </w:tr>
            <w:tr w14:paraId="2E02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640" w:type="dxa"/>
                  <w:tcBorders>
                    <w:tl2br w:val="nil"/>
                    <w:tr2bl w:val="nil"/>
                  </w:tcBorders>
                  <w:vAlign w:val="center"/>
                </w:tcPr>
                <w:p w14:paraId="5DA438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rPr>
                    <w:t>颗粒物</w:t>
                  </w:r>
                </w:p>
              </w:tc>
              <w:tc>
                <w:tcPr>
                  <w:tcW w:w="3386" w:type="dxa"/>
                  <w:tcBorders>
                    <w:tl2br w:val="nil"/>
                    <w:tr2bl w:val="nil"/>
                  </w:tcBorders>
                  <w:vAlign w:val="center"/>
                </w:tcPr>
                <w:p w14:paraId="3A086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kern w:val="2"/>
                      <w:position w:val="0"/>
                      <w:sz w:val="21"/>
                      <w:szCs w:val="21"/>
                      <w:highlight w:val="none"/>
                      <w:lang w:val="en-US" w:eastAsia="zh-CN" w:bidi="ar-SA"/>
                    </w:rPr>
                    <w:t>120</w:t>
                  </w:r>
                </w:p>
              </w:tc>
              <w:tc>
                <w:tcPr>
                  <w:tcW w:w="2034" w:type="dxa"/>
                  <w:tcBorders>
                    <w:tl2br w:val="nil"/>
                    <w:tr2bl w:val="nil"/>
                  </w:tcBorders>
                  <w:vAlign w:val="center"/>
                </w:tcPr>
                <w:p w14:paraId="4D8013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kern w:val="2"/>
                      <w:position w:val="0"/>
                      <w:sz w:val="21"/>
                      <w:szCs w:val="21"/>
                      <w:highlight w:val="none"/>
                      <w:lang w:val="en-US" w:eastAsia="zh-CN" w:bidi="ar-SA"/>
                    </w:rPr>
                    <w:t>周界外浓度最高点</w:t>
                  </w:r>
                </w:p>
              </w:tc>
              <w:tc>
                <w:tcPr>
                  <w:tcW w:w="1460" w:type="dxa"/>
                  <w:tcBorders>
                    <w:tl2br w:val="nil"/>
                    <w:tr2bl w:val="nil"/>
                  </w:tcBorders>
                  <w:vAlign w:val="center"/>
                </w:tcPr>
                <w:p w14:paraId="7E2C7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1.0</w:t>
                  </w:r>
                </w:p>
              </w:tc>
            </w:tr>
          </w:tbl>
          <w:p w14:paraId="31F62C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pacing w:val="0"/>
                <w:position w:val="0"/>
                <w:sz w:val="24"/>
                <w:highlight w:val="none"/>
              </w:rPr>
            </w:pPr>
            <w:r>
              <w:rPr>
                <w:rFonts w:hint="eastAsia" w:ascii="Times New Roman" w:hAnsi="Times New Roman" w:eastAsia="宋体" w:cs="Times New Roman"/>
                <w:color w:val="auto"/>
                <w:spacing w:val="0"/>
                <w:position w:val="0"/>
                <w:sz w:val="24"/>
                <w:highlight w:val="none"/>
                <w:lang w:val="en-US" w:eastAsia="zh-CN"/>
              </w:rPr>
              <w:t>按照地方环境管理的要求，环评承诺更严格排放限值，有组织颗粒物</w:t>
            </w:r>
            <w:r>
              <w:rPr>
                <w:rFonts w:hint="eastAsia" w:cs="Times New Roman"/>
                <w:color w:val="auto"/>
                <w:spacing w:val="0"/>
                <w:position w:val="0"/>
                <w:sz w:val="24"/>
                <w:highlight w:val="none"/>
                <w:lang w:val="en-US" w:eastAsia="zh-CN"/>
              </w:rPr>
              <w:t>排放浓度</w:t>
            </w:r>
            <w:r>
              <w:rPr>
                <w:rFonts w:hint="default" w:ascii="Times New Roman" w:hAnsi="Times New Roman" w:eastAsia="宋体" w:cs="Times New Roman"/>
                <w:color w:val="auto"/>
                <w:spacing w:val="0"/>
                <w:position w:val="0"/>
                <w:sz w:val="24"/>
                <w:highlight w:val="none"/>
                <w:lang w:val="en-US" w:eastAsia="zh-CN"/>
              </w:rPr>
              <w:t>执行</w:t>
            </w:r>
            <w:r>
              <w:rPr>
                <w:rFonts w:hint="eastAsia" w:cs="Times New Roman"/>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长治市大气污染防治工作领导组办公室文件关于印发《长治市工业企业无组织排放治理实施方案》（长气防办[2019]9号）的通知</w:t>
            </w:r>
            <w:r>
              <w:rPr>
                <w:rFonts w:hint="eastAsia" w:cs="Times New Roman"/>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中的相关限值</w:t>
            </w:r>
            <w:r>
              <w:rPr>
                <w:rFonts w:hint="eastAsia" w:ascii="Times New Roman" w:hAnsi="Times New Roman" w:eastAsia="宋体" w:cs="Times New Roman"/>
                <w:color w:val="auto"/>
                <w:spacing w:val="0"/>
                <w:position w:val="0"/>
                <w:sz w:val="24"/>
                <w:highlight w:val="none"/>
                <w:lang w:val="en-US" w:eastAsia="zh-CN"/>
              </w:rPr>
              <w:t>。</w:t>
            </w:r>
          </w:p>
          <w:p w14:paraId="3DDF2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pacing w:val="0"/>
                <w:position w:val="0"/>
                <w:sz w:val="21"/>
                <w:szCs w:val="16"/>
                <w:highlight w:val="none"/>
                <w:lang w:val="en-US" w:eastAsia="zh-CN"/>
              </w:rPr>
            </w:pPr>
            <w:r>
              <w:rPr>
                <w:rFonts w:hint="default" w:ascii="Times New Roman" w:hAnsi="Times New Roman" w:eastAsia="宋体" w:cs="Times New Roman"/>
                <w:b/>
                <w:bCs w:val="0"/>
                <w:color w:val="auto"/>
                <w:spacing w:val="0"/>
                <w:position w:val="0"/>
                <w:sz w:val="21"/>
                <w:szCs w:val="16"/>
                <w:highlight w:val="none"/>
                <w:lang w:val="en-US" w:eastAsia="zh-CN"/>
              </w:rPr>
              <w:t>表3</w:t>
            </w:r>
            <w:r>
              <w:rPr>
                <w:rFonts w:hint="eastAsia" w:cs="Times New Roman"/>
                <w:b/>
                <w:bCs w:val="0"/>
                <w:color w:val="auto"/>
                <w:spacing w:val="0"/>
                <w:position w:val="0"/>
                <w:sz w:val="21"/>
                <w:szCs w:val="16"/>
                <w:highlight w:val="none"/>
                <w:lang w:val="en-US" w:eastAsia="zh-CN"/>
              </w:rPr>
              <w:t>.10-2</w:t>
            </w:r>
            <w:r>
              <w:rPr>
                <w:rFonts w:hint="default" w:ascii="Times New Roman" w:hAnsi="Times New Roman" w:eastAsia="宋体" w:cs="Times New Roman"/>
                <w:b/>
                <w:bCs w:val="0"/>
                <w:color w:val="auto"/>
                <w:spacing w:val="0"/>
                <w:position w:val="0"/>
                <w:sz w:val="21"/>
                <w:szCs w:val="16"/>
                <w:highlight w:val="none"/>
                <w:lang w:val="en-US" w:eastAsia="zh-CN"/>
              </w:rPr>
              <w:t xml:space="preserve">  《长治市工业企业无组织排放治理实施方案》（长气防办[2019]9号）</w:t>
            </w:r>
          </w:p>
          <w:tbl>
            <w:tblPr>
              <w:tblStyle w:val="27"/>
              <w:tblW w:w="8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2510"/>
              <w:gridCol w:w="4342"/>
            </w:tblGrid>
            <w:tr w14:paraId="583A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461" w:type="pct"/>
                  <w:gridSpan w:val="2"/>
                  <w:tcBorders>
                    <w:tl2br w:val="nil"/>
                    <w:tr2bl w:val="nil"/>
                  </w:tcBorders>
                  <w:vAlign w:val="center"/>
                </w:tcPr>
                <w:p w14:paraId="54A9D7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spacing w:val="0"/>
                      <w:position w:val="0"/>
                      <w:szCs w:val="21"/>
                      <w:highlight w:val="none"/>
                      <w:lang w:val="en-US" w:eastAsia="zh-CN"/>
                    </w:rPr>
                  </w:pPr>
                  <w:r>
                    <w:rPr>
                      <w:rFonts w:hint="default" w:ascii="Times New Roman" w:hAnsi="Times New Roman" w:eastAsia="宋体" w:cs="Times New Roman"/>
                      <w:b/>
                      <w:bCs w:val="0"/>
                      <w:color w:val="auto"/>
                      <w:spacing w:val="0"/>
                      <w:position w:val="0"/>
                      <w:szCs w:val="21"/>
                      <w:highlight w:val="none"/>
                      <w:lang w:val="en-US" w:eastAsia="zh-CN"/>
                    </w:rPr>
                    <w:t>污染物</w:t>
                  </w:r>
                </w:p>
              </w:tc>
              <w:tc>
                <w:tcPr>
                  <w:tcW w:w="2538" w:type="pct"/>
                  <w:tcBorders>
                    <w:tl2br w:val="nil"/>
                    <w:tr2bl w:val="nil"/>
                  </w:tcBorders>
                  <w:vAlign w:val="center"/>
                </w:tcPr>
                <w:p w14:paraId="08EF2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spacing w:val="0"/>
                      <w:position w:val="0"/>
                      <w:szCs w:val="21"/>
                      <w:highlight w:val="none"/>
                      <w:lang w:val="en-US" w:eastAsia="zh-CN"/>
                    </w:rPr>
                  </w:pPr>
                  <w:r>
                    <w:rPr>
                      <w:rFonts w:hint="default" w:ascii="Times New Roman" w:hAnsi="Times New Roman" w:eastAsia="宋体" w:cs="Times New Roman"/>
                      <w:b/>
                      <w:bCs w:val="0"/>
                      <w:color w:val="auto"/>
                      <w:spacing w:val="0"/>
                      <w:position w:val="0"/>
                      <w:szCs w:val="21"/>
                      <w:highlight w:val="none"/>
                      <w:lang w:val="en-US" w:eastAsia="zh-CN"/>
                    </w:rPr>
                    <w:t>排放浓度（mg/m</w:t>
                  </w:r>
                  <w:r>
                    <w:rPr>
                      <w:rFonts w:hint="default" w:ascii="Times New Roman" w:hAnsi="Times New Roman" w:eastAsia="宋体" w:cs="Times New Roman"/>
                      <w:b/>
                      <w:bCs w:val="0"/>
                      <w:color w:val="auto"/>
                      <w:spacing w:val="0"/>
                      <w:position w:val="0"/>
                      <w:szCs w:val="21"/>
                      <w:highlight w:val="none"/>
                      <w:vertAlign w:val="superscript"/>
                      <w:lang w:val="en-US" w:eastAsia="zh-CN"/>
                    </w:rPr>
                    <w:t>3</w:t>
                  </w:r>
                  <w:r>
                    <w:rPr>
                      <w:rFonts w:hint="default" w:ascii="Times New Roman" w:hAnsi="Times New Roman" w:eastAsia="宋体" w:cs="Times New Roman"/>
                      <w:b/>
                      <w:bCs w:val="0"/>
                      <w:color w:val="auto"/>
                      <w:spacing w:val="0"/>
                      <w:position w:val="0"/>
                      <w:szCs w:val="21"/>
                      <w:highlight w:val="none"/>
                      <w:lang w:val="en-US" w:eastAsia="zh-CN"/>
                    </w:rPr>
                    <w:t>）</w:t>
                  </w:r>
                </w:p>
              </w:tc>
            </w:tr>
            <w:tr w14:paraId="64B22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93" w:type="pct"/>
                  <w:tcBorders>
                    <w:tl2br w:val="nil"/>
                    <w:tr2bl w:val="nil"/>
                  </w:tcBorders>
                  <w:vAlign w:val="center"/>
                </w:tcPr>
                <w:p w14:paraId="50E05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position w:val="0"/>
                      <w:szCs w:val="21"/>
                      <w:highlight w:val="none"/>
                      <w:lang w:val="en-US" w:eastAsia="zh-CN"/>
                    </w:rPr>
                  </w:pPr>
                  <w:r>
                    <w:rPr>
                      <w:rFonts w:hint="default" w:ascii="Times New Roman" w:hAnsi="Times New Roman" w:eastAsia="宋体" w:cs="Times New Roman"/>
                      <w:b w:val="0"/>
                      <w:bCs/>
                      <w:color w:val="auto"/>
                      <w:spacing w:val="0"/>
                      <w:position w:val="0"/>
                      <w:szCs w:val="21"/>
                      <w:highlight w:val="none"/>
                      <w:lang w:val="en-US" w:eastAsia="zh-CN"/>
                    </w:rPr>
                    <w:t>有组织</w:t>
                  </w:r>
                </w:p>
              </w:tc>
              <w:tc>
                <w:tcPr>
                  <w:tcW w:w="1467" w:type="pct"/>
                  <w:tcBorders>
                    <w:tl2br w:val="nil"/>
                    <w:tr2bl w:val="nil"/>
                  </w:tcBorders>
                  <w:vAlign w:val="center"/>
                </w:tcPr>
                <w:p w14:paraId="5F614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position w:val="0"/>
                      <w:szCs w:val="21"/>
                      <w:highlight w:val="none"/>
                      <w:lang w:val="en-US" w:eastAsia="zh-CN"/>
                    </w:rPr>
                  </w:pPr>
                  <w:r>
                    <w:rPr>
                      <w:rFonts w:hint="default" w:ascii="Times New Roman" w:hAnsi="Times New Roman" w:eastAsia="宋体" w:cs="Times New Roman"/>
                      <w:b w:val="0"/>
                      <w:bCs/>
                      <w:color w:val="auto"/>
                      <w:spacing w:val="0"/>
                      <w:position w:val="0"/>
                      <w:szCs w:val="21"/>
                      <w:highlight w:val="none"/>
                      <w:lang w:val="en-US" w:eastAsia="zh-CN"/>
                    </w:rPr>
                    <w:t>颗粒物</w:t>
                  </w:r>
                </w:p>
              </w:tc>
              <w:tc>
                <w:tcPr>
                  <w:tcW w:w="2538" w:type="pct"/>
                  <w:tcBorders>
                    <w:tl2br w:val="nil"/>
                    <w:tr2bl w:val="nil"/>
                  </w:tcBorders>
                  <w:vAlign w:val="center"/>
                </w:tcPr>
                <w:p w14:paraId="0F3C1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spacing w:val="0"/>
                      <w:position w:val="0"/>
                      <w:szCs w:val="21"/>
                      <w:highlight w:val="none"/>
                      <w:lang w:val="en-US" w:eastAsia="zh-CN"/>
                    </w:rPr>
                  </w:pPr>
                  <w:r>
                    <w:rPr>
                      <w:rFonts w:hint="default" w:ascii="Times New Roman" w:hAnsi="Times New Roman" w:eastAsia="宋体" w:cs="Times New Roman"/>
                      <w:b w:val="0"/>
                      <w:bCs/>
                      <w:color w:val="auto"/>
                      <w:spacing w:val="0"/>
                      <w:position w:val="0"/>
                      <w:szCs w:val="21"/>
                      <w:highlight w:val="none"/>
                      <w:lang w:val="en-US" w:eastAsia="zh-CN"/>
                    </w:rPr>
                    <w:t>10</w:t>
                  </w:r>
                </w:p>
              </w:tc>
            </w:tr>
          </w:tbl>
          <w:p w14:paraId="6C7EF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11</w:t>
            </w:r>
            <w:r>
              <w:rPr>
                <w:rFonts w:hint="default" w:ascii="Times New Roman" w:hAnsi="Times New Roman" w:eastAsia="宋体" w:cs="Times New Roman"/>
                <w:b/>
                <w:bCs/>
                <w:color w:val="auto"/>
                <w:spacing w:val="0"/>
                <w:kern w:val="0"/>
                <w:position w:val="0"/>
                <w:sz w:val="24"/>
                <w:szCs w:val="24"/>
                <w:highlight w:val="none"/>
                <w:lang w:val="en-US" w:eastAsia="zh-CN"/>
              </w:rPr>
              <w:t>噪声</w:t>
            </w:r>
          </w:p>
          <w:p w14:paraId="535B6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color w:val="auto"/>
                <w:sz w:val="24"/>
                <w:lang w:eastAsia="zh-CN"/>
              </w:rPr>
            </w:pPr>
            <w:r>
              <w:rPr>
                <w:rFonts w:hint="default" w:ascii="Times New Roman" w:hAnsi="Times New Roman" w:cs="Times New Roman"/>
                <w:color w:val="auto"/>
                <w:sz w:val="24"/>
              </w:rPr>
              <w:t>施工期噪声执行</w:t>
            </w:r>
            <w:r>
              <w:rPr>
                <w:rFonts w:hint="default" w:ascii="Times New Roman" w:hAnsi="Times New Roman" w:cs="Times New Roman"/>
                <w:color w:val="auto"/>
                <w:sz w:val="24"/>
                <w:highlight w:val="none"/>
              </w:rPr>
              <w:t>《建筑施工噪声排放标准》（GB12523-20</w:t>
            </w:r>
            <w:r>
              <w:rPr>
                <w:rFonts w:hint="eastAsia" w:cs="Times New Roman"/>
                <w:color w:val="auto"/>
                <w:sz w:val="24"/>
                <w:highlight w:val="none"/>
                <w:lang w:val="en-US" w:eastAsia="zh-CN"/>
              </w:rPr>
              <w:t>25</w:t>
            </w:r>
            <w:r>
              <w:rPr>
                <w:rFonts w:hint="default" w:ascii="Times New Roman" w:hAnsi="Times New Roman" w:cs="Times New Roman"/>
                <w:color w:val="auto"/>
                <w:sz w:val="24"/>
                <w:highlight w:val="none"/>
              </w:rPr>
              <w:t>）</w:t>
            </w:r>
            <w:r>
              <w:rPr>
                <w:rFonts w:hint="default" w:ascii="Times New Roman" w:hAnsi="Times New Roman" w:cs="Times New Roman"/>
                <w:color w:val="auto"/>
                <w:sz w:val="24"/>
              </w:rPr>
              <w:t>噪声排放限值</w:t>
            </w:r>
            <w:r>
              <w:rPr>
                <w:rFonts w:hint="eastAsia" w:cs="Times New Roman"/>
                <w:color w:val="auto"/>
                <w:sz w:val="24"/>
                <w:lang w:eastAsia="zh-CN"/>
              </w:rPr>
              <w:t>。</w:t>
            </w:r>
          </w:p>
          <w:p w14:paraId="0C36E2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pacing w:val="0"/>
                <w:position w:val="0"/>
                <w:sz w:val="24"/>
                <w:highlight w:val="none"/>
                <w:lang w:val="en-US" w:eastAsia="zh-CN"/>
              </w:rPr>
            </w:pPr>
            <w:r>
              <w:rPr>
                <w:rFonts w:hint="eastAsia" w:cs="Times New Roman"/>
                <w:color w:val="auto"/>
                <w:sz w:val="24"/>
                <w:lang w:val="en-US" w:eastAsia="zh-CN"/>
              </w:rPr>
              <w:t>运营期</w:t>
            </w:r>
            <w:r>
              <w:rPr>
                <w:rFonts w:hint="default" w:ascii="Times New Roman" w:hAnsi="Times New Roman" w:eastAsia="宋体" w:cs="Times New Roman"/>
                <w:color w:val="auto"/>
                <w:spacing w:val="0"/>
                <w:position w:val="0"/>
                <w:sz w:val="24"/>
                <w:highlight w:val="none"/>
                <w:lang w:val="en-US" w:eastAsia="zh-CN"/>
              </w:rPr>
              <w:t>厂界</w:t>
            </w:r>
            <w:r>
              <w:rPr>
                <w:rFonts w:hint="eastAsia" w:cs="Times New Roman"/>
                <w:color w:val="auto"/>
                <w:spacing w:val="0"/>
                <w:position w:val="0"/>
                <w:sz w:val="24"/>
                <w:highlight w:val="none"/>
                <w:lang w:val="en-US" w:eastAsia="zh-CN"/>
              </w:rPr>
              <w:t>四周</w:t>
            </w:r>
            <w:r>
              <w:rPr>
                <w:rFonts w:hint="default" w:ascii="Times New Roman" w:hAnsi="Times New Roman" w:eastAsia="宋体" w:cs="Times New Roman"/>
                <w:color w:val="auto"/>
                <w:spacing w:val="0"/>
                <w:position w:val="0"/>
                <w:sz w:val="24"/>
                <w:highlight w:val="none"/>
                <w:lang w:val="en-US" w:eastAsia="zh-CN"/>
              </w:rPr>
              <w:t>噪声执行《</w:t>
            </w:r>
            <w:r>
              <w:rPr>
                <w:rFonts w:hint="default" w:ascii="Times New Roman" w:hAnsi="Times New Roman" w:eastAsia="宋体" w:cs="Times New Roman"/>
                <w:color w:val="auto"/>
                <w:spacing w:val="0"/>
                <w:position w:val="0"/>
                <w:sz w:val="24"/>
                <w:highlight w:val="none"/>
                <w:lang w:val="en-US" w:eastAsia="zh-CN"/>
              </w:rPr>
              <w:fldChar w:fldCharType="begin"/>
            </w:r>
            <w:r>
              <w:rPr>
                <w:rFonts w:hint="default" w:ascii="Times New Roman" w:hAnsi="Times New Roman" w:eastAsia="宋体" w:cs="Times New Roman"/>
                <w:color w:val="auto"/>
                <w:spacing w:val="0"/>
                <w:position w:val="0"/>
                <w:sz w:val="24"/>
                <w:highlight w:val="none"/>
                <w:lang w:val="en-US" w:eastAsia="zh-CN"/>
              </w:rPr>
              <w:instrText xml:space="preserve"> HYPERLINK "http://www.mep.gov.cn/info/bgw/bgg/200809/W020081017399508921576.pdf" \t "_self" </w:instrText>
            </w:r>
            <w:r>
              <w:rPr>
                <w:rFonts w:hint="default" w:ascii="Times New Roman" w:hAnsi="Times New Roman" w:eastAsia="宋体" w:cs="Times New Roman"/>
                <w:color w:val="auto"/>
                <w:spacing w:val="0"/>
                <w:position w:val="0"/>
                <w:sz w:val="24"/>
                <w:highlight w:val="none"/>
                <w:lang w:val="en-US" w:eastAsia="zh-CN"/>
              </w:rPr>
              <w:fldChar w:fldCharType="separate"/>
            </w:r>
            <w:r>
              <w:rPr>
                <w:rFonts w:hint="default" w:ascii="Times New Roman" w:hAnsi="Times New Roman" w:eastAsia="宋体" w:cs="Times New Roman"/>
                <w:color w:val="auto"/>
                <w:spacing w:val="0"/>
                <w:position w:val="0"/>
                <w:sz w:val="24"/>
                <w:highlight w:val="none"/>
                <w:lang w:val="en-US" w:eastAsia="zh-CN"/>
              </w:rPr>
              <w:t>工业企业厂界环境噪声</w:t>
            </w:r>
            <w:r>
              <w:rPr>
                <w:rFonts w:hint="default" w:ascii="Times New Roman" w:hAnsi="Times New Roman" w:eastAsia="宋体" w:cs="Times New Roman"/>
                <w:color w:val="auto"/>
                <w:spacing w:val="0"/>
                <w:position w:val="0"/>
                <w:sz w:val="24"/>
                <w:highlight w:val="none"/>
                <w:lang w:val="en-US" w:eastAsia="zh-CN"/>
              </w:rPr>
              <w:fldChar w:fldCharType="end"/>
            </w:r>
            <w:r>
              <w:rPr>
                <w:rFonts w:hint="default" w:ascii="Times New Roman" w:hAnsi="Times New Roman" w:eastAsia="宋体" w:cs="Times New Roman"/>
                <w:color w:val="auto"/>
                <w:spacing w:val="0"/>
                <w:position w:val="0"/>
                <w:sz w:val="24"/>
                <w:highlight w:val="none"/>
                <w:lang w:val="en-US" w:eastAsia="zh-CN"/>
              </w:rPr>
              <w:t>排放标准》（GB12348-2008）中</w:t>
            </w:r>
            <w:r>
              <w:rPr>
                <w:rFonts w:hint="eastAsia" w:cs="Times New Roman"/>
                <w:color w:val="auto"/>
                <w:spacing w:val="0"/>
                <w:position w:val="0"/>
                <w:sz w:val="24"/>
                <w:highlight w:val="none"/>
                <w:lang w:val="en-US" w:eastAsia="zh-CN"/>
              </w:rPr>
              <w:t>2</w:t>
            </w:r>
            <w:r>
              <w:rPr>
                <w:rFonts w:hint="default" w:ascii="Times New Roman" w:hAnsi="Times New Roman" w:eastAsia="宋体" w:cs="Times New Roman"/>
                <w:color w:val="auto"/>
                <w:spacing w:val="0"/>
                <w:position w:val="0"/>
                <w:sz w:val="24"/>
                <w:highlight w:val="none"/>
                <w:lang w:val="en-US" w:eastAsia="zh-CN"/>
              </w:rPr>
              <w:t>类标准</w:t>
            </w:r>
            <w:r>
              <w:rPr>
                <w:rFonts w:hint="eastAsia" w:cs="Times New Roman"/>
                <w:color w:val="auto"/>
                <w:spacing w:val="0"/>
                <w:position w:val="0"/>
                <w:sz w:val="24"/>
                <w:highlight w:val="none"/>
                <w:lang w:val="en-US" w:eastAsia="zh-CN"/>
              </w:rPr>
              <w:t>。具体</w:t>
            </w:r>
            <w:r>
              <w:rPr>
                <w:rFonts w:hint="default" w:ascii="Times New Roman" w:hAnsi="Times New Roman" w:cs="Times New Roman"/>
                <w:color w:val="auto"/>
                <w:sz w:val="24"/>
              </w:rPr>
              <w:t>标准值见表</w:t>
            </w:r>
            <w:r>
              <w:rPr>
                <w:rFonts w:hint="default" w:ascii="Times New Roman" w:hAnsi="Times New Roman" w:cs="Times New Roman"/>
                <w:color w:val="auto"/>
                <w:sz w:val="24"/>
                <w:lang w:val="en-US" w:eastAsia="zh-CN"/>
              </w:rPr>
              <w:t>3</w:t>
            </w:r>
            <w:r>
              <w:rPr>
                <w:rFonts w:hint="eastAsia" w:cs="Times New Roman"/>
                <w:color w:val="auto"/>
                <w:sz w:val="24"/>
                <w:lang w:val="en-US" w:eastAsia="zh-CN"/>
              </w:rPr>
              <w:t>.11</w:t>
            </w:r>
            <w:r>
              <w:rPr>
                <w:rFonts w:hint="default" w:ascii="Times New Roman" w:hAnsi="Times New Roman" w:cs="Times New Roman"/>
                <w:color w:val="auto"/>
                <w:sz w:val="24"/>
                <w:lang w:val="en-US" w:eastAsia="zh-CN"/>
              </w:rPr>
              <w:t>-</w:t>
            </w:r>
            <w:r>
              <w:rPr>
                <w:rFonts w:hint="eastAsia" w:cs="Times New Roman"/>
                <w:color w:val="auto"/>
                <w:sz w:val="24"/>
                <w:lang w:val="en-US" w:eastAsia="zh-CN"/>
              </w:rPr>
              <w:t>1</w:t>
            </w:r>
            <w:r>
              <w:rPr>
                <w:rFonts w:hint="default" w:ascii="Times New Roman" w:hAnsi="Times New Roman" w:cs="Times New Roman"/>
                <w:color w:val="auto"/>
                <w:sz w:val="24"/>
              </w:rPr>
              <w:t>、表</w:t>
            </w:r>
            <w:r>
              <w:rPr>
                <w:rFonts w:hint="default" w:ascii="Times New Roman" w:hAnsi="Times New Roman" w:cs="Times New Roman"/>
                <w:color w:val="auto"/>
                <w:sz w:val="24"/>
                <w:lang w:val="en-US" w:eastAsia="zh-CN"/>
              </w:rPr>
              <w:t>3</w:t>
            </w:r>
            <w:r>
              <w:rPr>
                <w:rFonts w:hint="eastAsia" w:cs="Times New Roman"/>
                <w:color w:val="auto"/>
                <w:sz w:val="24"/>
                <w:lang w:val="en-US" w:eastAsia="zh-CN"/>
              </w:rPr>
              <w:t>.11</w:t>
            </w:r>
            <w:r>
              <w:rPr>
                <w:rFonts w:hint="default" w:ascii="Times New Roman" w:hAnsi="Times New Roman" w:cs="Times New Roman"/>
                <w:color w:val="auto"/>
                <w:sz w:val="24"/>
                <w:lang w:val="en-US" w:eastAsia="zh-CN"/>
              </w:rPr>
              <w:t>-</w:t>
            </w:r>
            <w:r>
              <w:rPr>
                <w:rFonts w:hint="eastAsia" w:cs="Times New Roman"/>
                <w:color w:val="auto"/>
                <w:sz w:val="24"/>
                <w:lang w:val="en-US" w:eastAsia="zh-CN"/>
              </w:rPr>
              <w:t>2</w:t>
            </w:r>
            <w:r>
              <w:rPr>
                <w:rFonts w:hint="default" w:ascii="Times New Roman" w:hAnsi="Times New Roman" w:eastAsia="宋体" w:cs="Times New Roman"/>
                <w:color w:val="auto"/>
                <w:spacing w:val="0"/>
                <w:position w:val="0"/>
                <w:sz w:val="24"/>
                <w:highlight w:val="none"/>
                <w:lang w:val="en-US" w:eastAsia="zh-CN"/>
              </w:rPr>
              <w:t>。</w:t>
            </w:r>
          </w:p>
          <w:p w14:paraId="476A3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pacing w:val="0"/>
                <w:position w:val="0"/>
                <w:sz w:val="21"/>
                <w:szCs w:val="16"/>
                <w:highlight w:val="none"/>
                <w:lang w:val="en-US" w:eastAsia="zh-CN"/>
              </w:rPr>
            </w:pPr>
            <w:r>
              <w:rPr>
                <w:rFonts w:hint="default" w:ascii="Times New Roman" w:hAnsi="Times New Roman" w:eastAsia="宋体" w:cs="Times New Roman"/>
                <w:b/>
                <w:bCs w:val="0"/>
                <w:color w:val="auto"/>
                <w:spacing w:val="0"/>
                <w:position w:val="0"/>
                <w:sz w:val="21"/>
                <w:szCs w:val="16"/>
                <w:highlight w:val="none"/>
                <w:lang w:val="en-US" w:eastAsia="zh-CN"/>
              </w:rPr>
              <w:t>表3.11</w:t>
            </w:r>
            <w:r>
              <w:rPr>
                <w:rFonts w:hint="eastAsia" w:ascii="Times New Roman" w:hAnsi="Times New Roman" w:eastAsia="宋体" w:cs="Times New Roman"/>
                <w:b/>
                <w:bCs w:val="0"/>
                <w:color w:val="auto"/>
                <w:spacing w:val="0"/>
                <w:position w:val="0"/>
                <w:sz w:val="21"/>
                <w:szCs w:val="16"/>
                <w:highlight w:val="none"/>
                <w:lang w:val="en-US" w:eastAsia="zh-CN"/>
              </w:rPr>
              <w:t>-</w:t>
            </w:r>
            <w:r>
              <w:rPr>
                <w:rFonts w:hint="eastAsia" w:cs="Times New Roman"/>
                <w:b/>
                <w:bCs w:val="0"/>
                <w:color w:val="auto"/>
                <w:spacing w:val="0"/>
                <w:position w:val="0"/>
                <w:sz w:val="21"/>
                <w:szCs w:val="16"/>
                <w:highlight w:val="none"/>
                <w:lang w:val="en-US" w:eastAsia="zh-CN"/>
              </w:rPr>
              <w:t>1</w:t>
            </w:r>
            <w:r>
              <w:rPr>
                <w:rFonts w:hint="default" w:ascii="Times New Roman" w:hAnsi="Times New Roman" w:eastAsia="宋体" w:cs="Times New Roman"/>
                <w:b/>
                <w:bCs w:val="0"/>
                <w:color w:val="auto"/>
                <w:spacing w:val="0"/>
                <w:position w:val="0"/>
                <w:sz w:val="21"/>
                <w:szCs w:val="16"/>
                <w:highlight w:val="none"/>
                <w:lang w:val="en-US" w:eastAsia="zh-CN"/>
              </w:rPr>
              <w:t xml:space="preserve">  《建筑施工噪声排放标准》（GB12523-20</w:t>
            </w:r>
            <w:r>
              <w:rPr>
                <w:rFonts w:hint="eastAsia" w:ascii="Times New Roman" w:hAnsi="Times New Roman" w:eastAsia="宋体" w:cs="Times New Roman"/>
                <w:b/>
                <w:bCs w:val="0"/>
                <w:color w:val="auto"/>
                <w:spacing w:val="0"/>
                <w:position w:val="0"/>
                <w:sz w:val="21"/>
                <w:szCs w:val="16"/>
                <w:highlight w:val="none"/>
                <w:lang w:val="en-US" w:eastAsia="zh-CN"/>
              </w:rPr>
              <w:t>25</w:t>
            </w:r>
            <w:r>
              <w:rPr>
                <w:rFonts w:hint="default" w:ascii="Times New Roman" w:hAnsi="Times New Roman" w:eastAsia="宋体" w:cs="Times New Roman"/>
                <w:b/>
                <w:bCs w:val="0"/>
                <w:color w:val="auto"/>
                <w:spacing w:val="0"/>
                <w:position w:val="0"/>
                <w:sz w:val="21"/>
                <w:szCs w:val="16"/>
                <w:highlight w:val="none"/>
                <w:lang w:val="en-US" w:eastAsia="zh-CN"/>
              </w:rPr>
              <w:t>）</w:t>
            </w:r>
          </w:p>
          <w:tbl>
            <w:tblPr>
              <w:tblStyle w:val="27"/>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6"/>
              <w:gridCol w:w="2646"/>
              <w:gridCol w:w="2646"/>
            </w:tblGrid>
            <w:tr w14:paraId="054B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216" w:type="dxa"/>
                  <w:tcBorders>
                    <w:tl2br w:val="nil"/>
                    <w:tr2bl w:val="nil"/>
                  </w:tcBorders>
                  <w:vAlign w:val="center"/>
                </w:tcPr>
                <w:p w14:paraId="6F2C8D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val="0"/>
                      <w:color w:val="auto"/>
                      <w:spacing w:val="0"/>
                      <w:position w:val="0"/>
                      <w:szCs w:val="21"/>
                      <w:highlight w:val="none"/>
                      <w:lang w:eastAsia="zh-CN"/>
                    </w:rPr>
                  </w:pPr>
                  <w:r>
                    <w:rPr>
                      <w:rFonts w:hint="eastAsia" w:cs="Times New Roman"/>
                      <w:b/>
                      <w:bCs w:val="0"/>
                      <w:color w:val="auto"/>
                      <w:spacing w:val="0"/>
                      <w:position w:val="0"/>
                      <w:szCs w:val="21"/>
                      <w:highlight w:val="none"/>
                      <w:lang w:val="en-US" w:eastAsia="zh-CN"/>
                    </w:rPr>
                    <w:t>时段</w:t>
                  </w:r>
                </w:p>
              </w:tc>
              <w:tc>
                <w:tcPr>
                  <w:tcW w:w="2646" w:type="dxa"/>
                  <w:tcBorders>
                    <w:tl2br w:val="nil"/>
                    <w:tr2bl w:val="nil"/>
                  </w:tcBorders>
                  <w:vAlign w:val="center"/>
                </w:tcPr>
                <w:p w14:paraId="142725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spacing w:val="0"/>
                      <w:position w:val="0"/>
                      <w:szCs w:val="21"/>
                      <w:highlight w:val="none"/>
                    </w:rPr>
                  </w:pPr>
                  <w:r>
                    <w:rPr>
                      <w:rFonts w:hint="default" w:ascii="Times New Roman" w:hAnsi="Times New Roman" w:eastAsia="宋体" w:cs="Times New Roman"/>
                      <w:b/>
                      <w:bCs w:val="0"/>
                      <w:color w:val="auto"/>
                      <w:spacing w:val="0"/>
                      <w:position w:val="0"/>
                      <w:szCs w:val="21"/>
                      <w:highlight w:val="none"/>
                    </w:rPr>
                    <w:t>昼间dB</w:t>
                  </w:r>
                  <w:r>
                    <w:rPr>
                      <w:rFonts w:hint="eastAsia" w:cs="Times New Roman"/>
                      <w:b/>
                      <w:bCs w:val="0"/>
                      <w:color w:val="auto"/>
                      <w:spacing w:val="0"/>
                      <w:position w:val="0"/>
                      <w:szCs w:val="21"/>
                      <w:highlight w:val="none"/>
                      <w:lang w:eastAsia="zh-CN"/>
                    </w:rPr>
                    <w:t>（</w:t>
                  </w:r>
                  <w:r>
                    <w:rPr>
                      <w:rFonts w:hint="eastAsia" w:cs="Times New Roman"/>
                      <w:b/>
                      <w:bCs w:val="0"/>
                      <w:color w:val="auto"/>
                      <w:spacing w:val="0"/>
                      <w:position w:val="0"/>
                      <w:szCs w:val="21"/>
                      <w:highlight w:val="none"/>
                      <w:lang w:val="en-US" w:eastAsia="zh-CN"/>
                    </w:rPr>
                    <w:t>A</w:t>
                  </w:r>
                  <w:r>
                    <w:rPr>
                      <w:rFonts w:hint="eastAsia" w:cs="Times New Roman"/>
                      <w:b/>
                      <w:bCs w:val="0"/>
                      <w:color w:val="auto"/>
                      <w:spacing w:val="0"/>
                      <w:position w:val="0"/>
                      <w:szCs w:val="21"/>
                      <w:highlight w:val="none"/>
                      <w:lang w:eastAsia="zh-CN"/>
                    </w:rPr>
                    <w:t>）</w:t>
                  </w:r>
                </w:p>
              </w:tc>
              <w:tc>
                <w:tcPr>
                  <w:tcW w:w="2646" w:type="dxa"/>
                  <w:tcBorders>
                    <w:tl2br w:val="nil"/>
                    <w:tr2bl w:val="nil"/>
                  </w:tcBorders>
                  <w:vAlign w:val="center"/>
                </w:tcPr>
                <w:p w14:paraId="490FC0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val="0"/>
                      <w:color w:val="auto"/>
                      <w:spacing w:val="0"/>
                      <w:position w:val="0"/>
                      <w:szCs w:val="21"/>
                      <w:highlight w:val="none"/>
                      <w:lang w:eastAsia="zh-CN"/>
                    </w:rPr>
                  </w:pPr>
                  <w:r>
                    <w:rPr>
                      <w:rFonts w:hint="default" w:ascii="Times New Roman" w:hAnsi="Times New Roman" w:eastAsia="宋体" w:cs="Times New Roman"/>
                      <w:b/>
                      <w:bCs w:val="0"/>
                      <w:color w:val="auto"/>
                      <w:spacing w:val="0"/>
                      <w:position w:val="0"/>
                      <w:szCs w:val="21"/>
                      <w:highlight w:val="none"/>
                    </w:rPr>
                    <w:t>夜间dB</w:t>
                  </w:r>
                  <w:r>
                    <w:rPr>
                      <w:rFonts w:hint="eastAsia" w:cs="Times New Roman"/>
                      <w:b/>
                      <w:bCs w:val="0"/>
                      <w:color w:val="auto"/>
                      <w:spacing w:val="0"/>
                      <w:position w:val="0"/>
                      <w:szCs w:val="21"/>
                      <w:highlight w:val="none"/>
                      <w:lang w:eastAsia="zh-CN"/>
                    </w:rPr>
                    <w:t>（</w:t>
                  </w:r>
                  <w:r>
                    <w:rPr>
                      <w:rFonts w:hint="eastAsia" w:cs="Times New Roman"/>
                      <w:b/>
                      <w:bCs w:val="0"/>
                      <w:color w:val="auto"/>
                      <w:spacing w:val="0"/>
                      <w:position w:val="0"/>
                      <w:szCs w:val="21"/>
                      <w:highlight w:val="none"/>
                      <w:lang w:val="en-US" w:eastAsia="zh-CN"/>
                    </w:rPr>
                    <w:t>A</w:t>
                  </w:r>
                  <w:r>
                    <w:rPr>
                      <w:rFonts w:hint="eastAsia" w:cs="Times New Roman"/>
                      <w:b/>
                      <w:bCs w:val="0"/>
                      <w:color w:val="auto"/>
                      <w:spacing w:val="0"/>
                      <w:position w:val="0"/>
                      <w:szCs w:val="21"/>
                      <w:highlight w:val="none"/>
                      <w:lang w:eastAsia="zh-CN"/>
                    </w:rPr>
                    <w:t>）</w:t>
                  </w:r>
                </w:p>
              </w:tc>
            </w:tr>
            <w:tr w14:paraId="5E766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216" w:type="dxa"/>
                  <w:tcBorders>
                    <w:tl2br w:val="nil"/>
                    <w:tr2bl w:val="nil"/>
                  </w:tcBorders>
                  <w:vAlign w:val="center"/>
                </w:tcPr>
                <w:p w14:paraId="3DBE0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Cs/>
                      <w:color w:val="auto"/>
                      <w:spacing w:val="0"/>
                      <w:position w:val="0"/>
                      <w:szCs w:val="21"/>
                      <w:highlight w:val="none"/>
                      <w:lang w:eastAsia="zh-CN"/>
                    </w:rPr>
                  </w:pPr>
                  <w:r>
                    <w:rPr>
                      <w:rFonts w:hint="default" w:ascii="Times New Roman" w:hAnsi="Times New Roman" w:cs="Times New Roman"/>
                      <w:bCs/>
                      <w:color w:val="auto"/>
                      <w:szCs w:val="21"/>
                    </w:rPr>
                    <w:t>噪声限值</w:t>
                  </w:r>
                </w:p>
              </w:tc>
              <w:tc>
                <w:tcPr>
                  <w:tcW w:w="2646" w:type="dxa"/>
                  <w:tcBorders>
                    <w:tl2br w:val="nil"/>
                    <w:tr2bl w:val="nil"/>
                  </w:tcBorders>
                  <w:vAlign w:val="center"/>
                </w:tcPr>
                <w:p w14:paraId="09CFDF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default" w:ascii="Times New Roman" w:hAnsi="Times New Roman" w:cs="Times New Roman"/>
                      <w:bCs/>
                      <w:color w:val="auto"/>
                      <w:szCs w:val="21"/>
                    </w:rPr>
                    <w:t>70</w:t>
                  </w:r>
                </w:p>
              </w:tc>
              <w:tc>
                <w:tcPr>
                  <w:tcW w:w="2646" w:type="dxa"/>
                  <w:tcBorders>
                    <w:tl2br w:val="nil"/>
                    <w:tr2bl w:val="nil"/>
                  </w:tcBorders>
                  <w:vAlign w:val="center"/>
                </w:tcPr>
                <w:p w14:paraId="4731D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default" w:ascii="Times New Roman" w:hAnsi="Times New Roman" w:cs="Times New Roman"/>
                      <w:bCs/>
                      <w:color w:val="auto"/>
                      <w:szCs w:val="21"/>
                    </w:rPr>
                    <w:t>55</w:t>
                  </w:r>
                </w:p>
              </w:tc>
            </w:tr>
          </w:tbl>
          <w:p w14:paraId="592B1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pacing w:val="0"/>
                <w:position w:val="0"/>
                <w:sz w:val="21"/>
                <w:szCs w:val="16"/>
                <w:highlight w:val="none"/>
                <w:lang w:val="en-US" w:eastAsia="zh-CN"/>
              </w:rPr>
            </w:pPr>
            <w:r>
              <w:rPr>
                <w:rFonts w:hint="default" w:ascii="Times New Roman" w:hAnsi="Times New Roman" w:eastAsia="宋体" w:cs="Times New Roman"/>
                <w:b/>
                <w:bCs w:val="0"/>
                <w:color w:val="auto"/>
                <w:spacing w:val="0"/>
                <w:position w:val="0"/>
                <w:sz w:val="21"/>
                <w:szCs w:val="16"/>
                <w:highlight w:val="none"/>
                <w:lang w:val="en-US" w:eastAsia="zh-CN"/>
              </w:rPr>
              <w:t>表3.11</w:t>
            </w:r>
            <w:r>
              <w:rPr>
                <w:rFonts w:hint="eastAsia" w:ascii="Times New Roman" w:hAnsi="Times New Roman" w:eastAsia="宋体" w:cs="Times New Roman"/>
                <w:b/>
                <w:bCs w:val="0"/>
                <w:color w:val="auto"/>
                <w:spacing w:val="0"/>
                <w:position w:val="0"/>
                <w:sz w:val="21"/>
                <w:szCs w:val="16"/>
                <w:highlight w:val="none"/>
                <w:lang w:val="en-US" w:eastAsia="zh-CN"/>
              </w:rPr>
              <w:t>-</w:t>
            </w:r>
            <w:r>
              <w:rPr>
                <w:rFonts w:hint="eastAsia" w:cs="Times New Roman"/>
                <w:b/>
                <w:bCs w:val="0"/>
                <w:color w:val="auto"/>
                <w:spacing w:val="0"/>
                <w:position w:val="0"/>
                <w:sz w:val="21"/>
                <w:szCs w:val="16"/>
                <w:highlight w:val="none"/>
                <w:lang w:val="en-US" w:eastAsia="zh-CN"/>
              </w:rPr>
              <w:t>2</w:t>
            </w:r>
            <w:r>
              <w:rPr>
                <w:rFonts w:hint="default" w:ascii="Times New Roman" w:hAnsi="Times New Roman" w:eastAsia="宋体" w:cs="Times New Roman"/>
                <w:b/>
                <w:bCs w:val="0"/>
                <w:color w:val="auto"/>
                <w:spacing w:val="0"/>
                <w:position w:val="0"/>
                <w:sz w:val="21"/>
                <w:szCs w:val="16"/>
                <w:highlight w:val="none"/>
                <w:lang w:val="en-US" w:eastAsia="zh-CN"/>
              </w:rPr>
              <w:t xml:space="preserve">  《</w:t>
            </w:r>
            <w:r>
              <w:rPr>
                <w:rFonts w:hint="default" w:ascii="Times New Roman" w:hAnsi="Times New Roman" w:eastAsia="宋体" w:cs="Times New Roman"/>
                <w:b/>
                <w:bCs w:val="0"/>
                <w:color w:val="auto"/>
                <w:spacing w:val="0"/>
                <w:position w:val="0"/>
                <w:sz w:val="21"/>
                <w:szCs w:val="16"/>
                <w:highlight w:val="none"/>
                <w:lang w:val="en-US" w:eastAsia="zh-CN"/>
              </w:rPr>
              <w:fldChar w:fldCharType="begin"/>
            </w:r>
            <w:r>
              <w:rPr>
                <w:rFonts w:hint="default" w:ascii="Times New Roman" w:hAnsi="Times New Roman" w:eastAsia="宋体" w:cs="Times New Roman"/>
                <w:b/>
                <w:bCs w:val="0"/>
                <w:color w:val="auto"/>
                <w:spacing w:val="0"/>
                <w:position w:val="0"/>
                <w:sz w:val="21"/>
                <w:szCs w:val="16"/>
                <w:highlight w:val="none"/>
                <w:lang w:val="en-US" w:eastAsia="zh-CN"/>
              </w:rPr>
              <w:instrText xml:space="preserve"> HYPERLINK "http://www.mep.gov.cn/info/bgw/bgg/200809/W020081017399508921576.pdf" \t "_self" </w:instrText>
            </w:r>
            <w:r>
              <w:rPr>
                <w:rFonts w:hint="default" w:ascii="Times New Roman" w:hAnsi="Times New Roman" w:eastAsia="宋体" w:cs="Times New Roman"/>
                <w:b/>
                <w:bCs w:val="0"/>
                <w:color w:val="auto"/>
                <w:spacing w:val="0"/>
                <w:position w:val="0"/>
                <w:sz w:val="21"/>
                <w:szCs w:val="16"/>
                <w:highlight w:val="none"/>
                <w:lang w:val="en-US" w:eastAsia="zh-CN"/>
              </w:rPr>
              <w:fldChar w:fldCharType="separate"/>
            </w:r>
            <w:r>
              <w:rPr>
                <w:rFonts w:hint="default" w:ascii="Times New Roman" w:hAnsi="Times New Roman" w:eastAsia="宋体" w:cs="Times New Roman"/>
                <w:b/>
                <w:bCs w:val="0"/>
                <w:color w:val="auto"/>
                <w:spacing w:val="0"/>
                <w:position w:val="0"/>
                <w:sz w:val="21"/>
                <w:szCs w:val="16"/>
                <w:highlight w:val="none"/>
                <w:lang w:val="en-US" w:eastAsia="zh-CN"/>
              </w:rPr>
              <w:t>工业企业厂界环境噪声</w:t>
            </w:r>
            <w:r>
              <w:rPr>
                <w:rFonts w:hint="default" w:ascii="Times New Roman" w:hAnsi="Times New Roman" w:eastAsia="宋体" w:cs="Times New Roman"/>
                <w:b/>
                <w:bCs w:val="0"/>
                <w:color w:val="auto"/>
                <w:spacing w:val="0"/>
                <w:position w:val="0"/>
                <w:sz w:val="21"/>
                <w:szCs w:val="16"/>
                <w:highlight w:val="none"/>
                <w:lang w:val="en-US" w:eastAsia="zh-CN"/>
              </w:rPr>
              <w:fldChar w:fldCharType="end"/>
            </w:r>
            <w:r>
              <w:rPr>
                <w:rFonts w:hint="default" w:ascii="Times New Roman" w:hAnsi="Times New Roman" w:eastAsia="宋体" w:cs="Times New Roman"/>
                <w:b/>
                <w:bCs w:val="0"/>
                <w:color w:val="auto"/>
                <w:spacing w:val="0"/>
                <w:position w:val="0"/>
                <w:sz w:val="21"/>
                <w:szCs w:val="16"/>
                <w:highlight w:val="none"/>
                <w:lang w:val="en-US" w:eastAsia="zh-CN"/>
              </w:rPr>
              <w:t>排放标准》（GB12348-2008）</w:t>
            </w:r>
          </w:p>
          <w:tbl>
            <w:tblPr>
              <w:tblStyle w:val="27"/>
              <w:tblW w:w="8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8"/>
              <w:gridCol w:w="2646"/>
              <w:gridCol w:w="2646"/>
            </w:tblGrid>
            <w:tr w14:paraId="2255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198" w:type="dxa"/>
                  <w:tcBorders>
                    <w:tl2br w:val="nil"/>
                    <w:tr2bl w:val="nil"/>
                  </w:tcBorders>
                  <w:vAlign w:val="center"/>
                </w:tcPr>
                <w:p w14:paraId="1FBD85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spacing w:val="0"/>
                      <w:position w:val="0"/>
                      <w:szCs w:val="21"/>
                      <w:highlight w:val="none"/>
                    </w:rPr>
                  </w:pPr>
                  <w:r>
                    <w:rPr>
                      <w:rFonts w:hint="default" w:ascii="Times New Roman" w:hAnsi="Times New Roman" w:eastAsia="宋体" w:cs="Times New Roman"/>
                      <w:b/>
                      <w:bCs w:val="0"/>
                      <w:color w:val="auto"/>
                      <w:spacing w:val="0"/>
                      <w:position w:val="0"/>
                      <w:szCs w:val="21"/>
                      <w:highlight w:val="none"/>
                    </w:rPr>
                    <w:t>类别</w:t>
                  </w:r>
                </w:p>
              </w:tc>
              <w:tc>
                <w:tcPr>
                  <w:tcW w:w="2646" w:type="dxa"/>
                  <w:tcBorders>
                    <w:tl2br w:val="nil"/>
                    <w:tr2bl w:val="nil"/>
                  </w:tcBorders>
                  <w:vAlign w:val="center"/>
                </w:tcPr>
                <w:p w14:paraId="238BF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spacing w:val="0"/>
                      <w:position w:val="0"/>
                      <w:szCs w:val="21"/>
                      <w:highlight w:val="none"/>
                    </w:rPr>
                  </w:pPr>
                  <w:r>
                    <w:rPr>
                      <w:rFonts w:hint="default" w:ascii="Times New Roman" w:hAnsi="Times New Roman" w:eastAsia="宋体" w:cs="Times New Roman"/>
                      <w:b/>
                      <w:bCs w:val="0"/>
                      <w:color w:val="auto"/>
                      <w:spacing w:val="0"/>
                      <w:position w:val="0"/>
                      <w:szCs w:val="21"/>
                      <w:highlight w:val="none"/>
                    </w:rPr>
                    <w:t>昼间dB</w:t>
                  </w:r>
                  <w:r>
                    <w:rPr>
                      <w:rFonts w:hint="eastAsia" w:cs="Times New Roman"/>
                      <w:b/>
                      <w:bCs w:val="0"/>
                      <w:color w:val="auto"/>
                      <w:spacing w:val="0"/>
                      <w:position w:val="0"/>
                      <w:szCs w:val="21"/>
                      <w:highlight w:val="none"/>
                      <w:lang w:eastAsia="zh-CN"/>
                    </w:rPr>
                    <w:t>（</w:t>
                  </w:r>
                  <w:r>
                    <w:rPr>
                      <w:rFonts w:hint="eastAsia" w:cs="Times New Roman"/>
                      <w:b/>
                      <w:bCs w:val="0"/>
                      <w:color w:val="auto"/>
                      <w:spacing w:val="0"/>
                      <w:position w:val="0"/>
                      <w:szCs w:val="21"/>
                      <w:highlight w:val="none"/>
                      <w:lang w:val="en-US" w:eastAsia="zh-CN"/>
                    </w:rPr>
                    <w:t>A</w:t>
                  </w:r>
                  <w:r>
                    <w:rPr>
                      <w:rFonts w:hint="eastAsia" w:cs="Times New Roman"/>
                      <w:b/>
                      <w:bCs w:val="0"/>
                      <w:color w:val="auto"/>
                      <w:spacing w:val="0"/>
                      <w:position w:val="0"/>
                      <w:szCs w:val="21"/>
                      <w:highlight w:val="none"/>
                      <w:lang w:eastAsia="zh-CN"/>
                    </w:rPr>
                    <w:t>）</w:t>
                  </w:r>
                </w:p>
              </w:tc>
              <w:tc>
                <w:tcPr>
                  <w:tcW w:w="2646" w:type="dxa"/>
                  <w:tcBorders>
                    <w:tl2br w:val="nil"/>
                    <w:tr2bl w:val="nil"/>
                  </w:tcBorders>
                  <w:vAlign w:val="center"/>
                </w:tcPr>
                <w:p w14:paraId="79574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val="0"/>
                      <w:color w:val="auto"/>
                      <w:spacing w:val="0"/>
                      <w:position w:val="0"/>
                      <w:szCs w:val="21"/>
                      <w:highlight w:val="none"/>
                      <w:lang w:eastAsia="zh-CN"/>
                    </w:rPr>
                  </w:pPr>
                  <w:r>
                    <w:rPr>
                      <w:rFonts w:hint="default" w:ascii="Times New Roman" w:hAnsi="Times New Roman" w:eastAsia="宋体" w:cs="Times New Roman"/>
                      <w:b/>
                      <w:bCs w:val="0"/>
                      <w:color w:val="auto"/>
                      <w:spacing w:val="0"/>
                      <w:position w:val="0"/>
                      <w:szCs w:val="21"/>
                      <w:highlight w:val="none"/>
                    </w:rPr>
                    <w:t>夜间dB</w:t>
                  </w:r>
                  <w:r>
                    <w:rPr>
                      <w:rFonts w:hint="eastAsia" w:cs="Times New Roman"/>
                      <w:b/>
                      <w:bCs w:val="0"/>
                      <w:color w:val="auto"/>
                      <w:spacing w:val="0"/>
                      <w:position w:val="0"/>
                      <w:szCs w:val="21"/>
                      <w:highlight w:val="none"/>
                      <w:lang w:eastAsia="zh-CN"/>
                    </w:rPr>
                    <w:t>（</w:t>
                  </w:r>
                  <w:r>
                    <w:rPr>
                      <w:rFonts w:hint="eastAsia" w:cs="Times New Roman"/>
                      <w:b/>
                      <w:bCs w:val="0"/>
                      <w:color w:val="auto"/>
                      <w:spacing w:val="0"/>
                      <w:position w:val="0"/>
                      <w:szCs w:val="21"/>
                      <w:highlight w:val="none"/>
                      <w:lang w:val="en-US" w:eastAsia="zh-CN"/>
                    </w:rPr>
                    <w:t>A</w:t>
                  </w:r>
                  <w:r>
                    <w:rPr>
                      <w:rFonts w:hint="eastAsia" w:cs="Times New Roman"/>
                      <w:b/>
                      <w:bCs w:val="0"/>
                      <w:color w:val="auto"/>
                      <w:spacing w:val="0"/>
                      <w:position w:val="0"/>
                      <w:szCs w:val="21"/>
                      <w:highlight w:val="none"/>
                      <w:lang w:eastAsia="zh-CN"/>
                    </w:rPr>
                    <w:t>）</w:t>
                  </w:r>
                </w:p>
              </w:tc>
            </w:tr>
            <w:tr w14:paraId="5ED5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198" w:type="dxa"/>
                  <w:tcBorders>
                    <w:tl2br w:val="nil"/>
                    <w:tr2bl w:val="nil"/>
                  </w:tcBorders>
                  <w:vAlign w:val="center"/>
                </w:tcPr>
                <w:p w14:paraId="0471C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Cs/>
                      <w:color w:val="auto"/>
                      <w:spacing w:val="0"/>
                      <w:position w:val="0"/>
                      <w:szCs w:val="21"/>
                      <w:highlight w:val="none"/>
                      <w:lang w:eastAsia="zh-CN"/>
                    </w:rPr>
                  </w:pPr>
                  <w:r>
                    <w:rPr>
                      <w:rFonts w:hint="eastAsia" w:cs="Times New Roman"/>
                      <w:bCs/>
                      <w:color w:val="auto"/>
                      <w:spacing w:val="0"/>
                      <w:position w:val="0"/>
                      <w:szCs w:val="21"/>
                      <w:highlight w:val="none"/>
                      <w:lang w:val="en-US" w:eastAsia="zh-CN"/>
                    </w:rPr>
                    <w:t>2</w:t>
                  </w:r>
                </w:p>
              </w:tc>
              <w:tc>
                <w:tcPr>
                  <w:tcW w:w="2646" w:type="dxa"/>
                  <w:tcBorders>
                    <w:tl2br w:val="nil"/>
                    <w:tr2bl w:val="nil"/>
                  </w:tcBorders>
                  <w:vAlign w:val="center"/>
                </w:tcPr>
                <w:p w14:paraId="617BEB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60</w:t>
                  </w:r>
                </w:p>
              </w:tc>
              <w:tc>
                <w:tcPr>
                  <w:tcW w:w="2646" w:type="dxa"/>
                  <w:tcBorders>
                    <w:tl2br w:val="nil"/>
                    <w:tr2bl w:val="nil"/>
                  </w:tcBorders>
                  <w:vAlign w:val="center"/>
                </w:tcPr>
                <w:p w14:paraId="436A2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50</w:t>
                  </w:r>
                </w:p>
              </w:tc>
            </w:tr>
          </w:tbl>
          <w:p w14:paraId="3F8E3B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eastAsia="宋体" w:cs="Times New Roman"/>
                <w:b/>
                <w:bCs w:val="0"/>
                <w:color w:val="auto"/>
                <w:spacing w:val="0"/>
                <w:position w:val="0"/>
                <w:sz w:val="24"/>
                <w:szCs w:val="24"/>
                <w:highlight w:val="none"/>
                <w:lang w:val="en-US" w:eastAsia="zh-CN"/>
              </w:rPr>
              <w:t>3.</w:t>
            </w:r>
            <w:r>
              <w:rPr>
                <w:rFonts w:hint="eastAsia" w:cs="Times New Roman"/>
                <w:b/>
                <w:bCs w:val="0"/>
                <w:color w:val="auto"/>
                <w:spacing w:val="0"/>
                <w:position w:val="0"/>
                <w:sz w:val="24"/>
                <w:szCs w:val="24"/>
                <w:highlight w:val="none"/>
                <w:lang w:val="en-US" w:eastAsia="zh-CN"/>
              </w:rPr>
              <w:t>12</w:t>
            </w:r>
            <w:r>
              <w:rPr>
                <w:rFonts w:hint="default" w:ascii="Times New Roman" w:hAnsi="Times New Roman" w:eastAsia="宋体" w:cs="Times New Roman"/>
                <w:b/>
                <w:bCs/>
                <w:color w:val="auto"/>
                <w:spacing w:val="0"/>
                <w:kern w:val="0"/>
                <w:position w:val="0"/>
                <w:sz w:val="24"/>
                <w:szCs w:val="24"/>
                <w:highlight w:val="none"/>
                <w:lang w:val="en-US" w:eastAsia="zh-CN"/>
              </w:rPr>
              <w:t>固体废物</w:t>
            </w:r>
          </w:p>
          <w:p w14:paraId="369EBA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rPr>
            </w:pPr>
            <w:r>
              <w:rPr>
                <w:rFonts w:hint="eastAsia" w:cs="Times New Roman"/>
                <w:color w:val="auto"/>
                <w:spacing w:val="0"/>
                <w:position w:val="0"/>
                <w:sz w:val="24"/>
                <w:highlight w:val="none"/>
                <w:lang w:val="en-US" w:eastAsia="zh-CN"/>
              </w:rPr>
              <w:t>本项目</w:t>
            </w:r>
            <w:r>
              <w:rPr>
                <w:rFonts w:hint="default" w:ascii="Times New Roman" w:hAnsi="Times New Roman" w:eastAsia="宋体" w:cs="Times New Roman"/>
                <w:color w:val="auto"/>
                <w:spacing w:val="0"/>
                <w:position w:val="0"/>
                <w:sz w:val="24"/>
                <w:highlight w:val="none"/>
                <w:lang w:val="en-US" w:eastAsia="zh-CN"/>
              </w:rPr>
              <w:t>一般固体废物执行《一般工业固体废物贮存和填埋污染控制标准》（GB18599-2020）中的有关规定</w:t>
            </w:r>
            <w:r>
              <w:rPr>
                <w:rFonts w:hint="eastAsia" w:cs="Times New Roman"/>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危险废物执行《危险废物贮存污染控制标准》（GB18597-2023）</w:t>
            </w:r>
            <w:r>
              <w:rPr>
                <w:rFonts w:hint="eastAsia" w:cs="Times New Roman"/>
                <w:color w:val="auto"/>
                <w:spacing w:val="0"/>
                <w:position w:val="0"/>
                <w:sz w:val="24"/>
                <w:highlight w:val="none"/>
                <w:lang w:val="en-US" w:eastAsia="zh-CN"/>
              </w:rPr>
              <w:t>和《</w:t>
            </w:r>
            <w:r>
              <w:rPr>
                <w:rFonts w:hint="default"/>
                <w:bCs/>
                <w:color w:val="auto"/>
                <w:sz w:val="24"/>
              </w:rPr>
              <w:t>危险废物收集贮存运输技术规范》（HJ2025-2012）相关要求。</w:t>
            </w:r>
          </w:p>
          <w:p w14:paraId="0C776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rPr>
            </w:pPr>
          </w:p>
          <w:p w14:paraId="5E6BF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rPr>
            </w:pPr>
          </w:p>
          <w:p w14:paraId="7907C5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rPr>
            </w:pPr>
          </w:p>
          <w:p w14:paraId="65EB0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rPr>
            </w:pPr>
          </w:p>
          <w:p w14:paraId="4963E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bCs/>
                <w:color w:val="auto"/>
                <w:sz w:val="24"/>
                <w:lang w:eastAsia="zh-CN"/>
              </w:rPr>
            </w:pPr>
            <w:bookmarkStart w:id="29" w:name="_GoBack"/>
            <w:bookmarkEnd w:id="29"/>
          </w:p>
        </w:tc>
      </w:tr>
      <w:tr w14:paraId="33C8B3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24" w:hRule="atLeast"/>
          <w:jc w:val="center"/>
        </w:trPr>
        <w:tc>
          <w:tcPr>
            <w:tcW w:w="514" w:type="dxa"/>
            <w:tcBorders>
              <w:tl2br w:val="nil"/>
              <w:tr2bl w:val="nil"/>
            </w:tcBorders>
            <w:vAlign w:val="center"/>
          </w:tcPr>
          <w:p w14:paraId="699F3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pacing w:val="0"/>
                <w:kern w:val="0"/>
                <w:position w:val="0"/>
                <w:szCs w:val="21"/>
                <w:highlight w:val="none"/>
              </w:rPr>
            </w:pPr>
            <w:r>
              <w:rPr>
                <w:rFonts w:hint="default" w:ascii="Times New Roman" w:hAnsi="Times New Roman" w:cs="Times New Roman"/>
                <w:b/>
                <w:bCs/>
                <w:color w:val="auto"/>
                <w:spacing w:val="0"/>
                <w:kern w:val="0"/>
                <w:position w:val="0"/>
                <w:szCs w:val="21"/>
                <w:highlight w:val="none"/>
              </w:rPr>
              <w:t>总量控制指标</w:t>
            </w:r>
          </w:p>
        </w:tc>
        <w:tc>
          <w:tcPr>
            <w:tcW w:w="8784" w:type="dxa"/>
            <w:tcBorders>
              <w:tl2br w:val="nil"/>
              <w:tr2bl w:val="nil"/>
            </w:tcBorders>
            <w:vAlign w:val="center"/>
          </w:tcPr>
          <w:p w14:paraId="608D096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6F0CD625">
            <w:pPr>
              <w:pStyle w:val="26"/>
              <w:keepNext w:val="0"/>
              <w:keepLines w:val="0"/>
              <w:pageBreakBefore w:val="0"/>
              <w:widowControl w:val="0"/>
              <w:suppressLineNumbers w:val="0"/>
              <w:kinsoku/>
              <w:wordWrap/>
              <w:overflowPunct/>
              <w:topLinePunct w:val="0"/>
              <w:bidi w:val="0"/>
              <w:adjustRightInd/>
              <w:snapToGrid/>
              <w:spacing w:before="0" w:beforeAutospacing="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00C01B76">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56D624AE">
            <w:pPr>
              <w:pStyle w:val="26"/>
              <w:keepNext w:val="0"/>
              <w:keepLines w:val="0"/>
              <w:pageBreakBefore w:val="0"/>
              <w:widowControl w:val="0"/>
              <w:suppressLineNumbers w:val="0"/>
              <w:kinsoku/>
              <w:wordWrap/>
              <w:overflowPunct/>
              <w:topLinePunct w:val="0"/>
              <w:bidi w:val="0"/>
              <w:adjustRightInd/>
              <w:snapToGrid/>
              <w:spacing w:before="0" w:beforeAutospacing="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5F10A040">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0E4773B5">
            <w:pPr>
              <w:pStyle w:val="26"/>
              <w:keepNext w:val="0"/>
              <w:keepLines w:val="0"/>
              <w:pageBreakBefore w:val="0"/>
              <w:widowControl w:val="0"/>
              <w:suppressLineNumbers w:val="0"/>
              <w:kinsoku/>
              <w:wordWrap/>
              <w:overflowPunct/>
              <w:topLinePunct w:val="0"/>
              <w:bidi w:val="0"/>
              <w:adjustRightInd/>
              <w:snapToGrid/>
              <w:spacing w:before="0" w:beforeAutospacing="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78252C53">
            <w:pPr>
              <w:keepNext w:val="0"/>
              <w:keepLines w:val="0"/>
              <w:suppressLineNumbers w:val="0"/>
              <w:spacing w:before="0" w:beforeAutospacing="0" w:after="0" w:afterAutospacing="0"/>
              <w:ind w:left="0" w:right="0"/>
              <w:rPr>
                <w:rFonts w:hint="default"/>
                <w:color w:val="auto"/>
              </w:rPr>
            </w:pPr>
          </w:p>
          <w:p w14:paraId="5136A668">
            <w:pPr>
              <w:keepNext w:val="0"/>
              <w:keepLines w:val="0"/>
              <w:pageBreakBefore w:val="0"/>
              <w:widowControl w:val="0"/>
              <w:suppressLineNumbers w:val="0"/>
              <w:kinsoku/>
              <w:wordWrap/>
              <w:overflowPunct/>
              <w:topLinePunct w:val="0"/>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pacing w:val="0"/>
                <w:position w:val="0"/>
                <w:sz w:val="24"/>
                <w:highlight w:val="none"/>
              </w:rPr>
            </w:pPr>
          </w:p>
          <w:p w14:paraId="7EECE890">
            <w:pPr>
              <w:pStyle w:val="26"/>
              <w:keepNext w:val="0"/>
              <w:keepLines w:val="0"/>
              <w:suppressLineNumbers w:val="0"/>
              <w:spacing w:before="0" w:beforeAutospacing="0" w:afterAutospacing="0"/>
              <w:ind w:right="0"/>
              <w:rPr>
                <w:rFonts w:hint="default" w:ascii="Times New Roman" w:hAnsi="Times New Roman" w:eastAsia="宋体" w:cs="Times New Roman"/>
                <w:color w:val="auto"/>
                <w:spacing w:val="0"/>
                <w:position w:val="0"/>
                <w:sz w:val="24"/>
                <w:highlight w:val="none"/>
              </w:rPr>
            </w:pPr>
          </w:p>
          <w:p w14:paraId="60FEB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spacing w:val="0"/>
                <w:position w:val="0"/>
                <w:sz w:val="24"/>
                <w:highlight w:val="none"/>
                <w:lang w:val="en-US" w:eastAsia="zh-CN"/>
              </w:rPr>
            </w:pPr>
            <w:r>
              <w:rPr>
                <w:rFonts w:hint="default" w:ascii="Times New Roman" w:hAnsi="Times New Roman" w:eastAsia="宋体" w:cs="Times New Roman"/>
                <w:color w:val="auto"/>
                <w:spacing w:val="0"/>
                <w:position w:val="0"/>
                <w:sz w:val="24"/>
                <w:highlight w:val="none"/>
              </w:rPr>
              <w:t>根据山西省</w:t>
            </w:r>
            <w:r>
              <w:rPr>
                <w:rFonts w:hint="default" w:ascii="Times New Roman" w:hAnsi="Times New Roman" w:eastAsia="宋体" w:cs="Times New Roman"/>
                <w:color w:val="auto"/>
                <w:spacing w:val="0"/>
                <w:position w:val="0"/>
                <w:sz w:val="24"/>
                <w:highlight w:val="none"/>
                <w:lang w:val="en-US" w:eastAsia="zh-CN"/>
              </w:rPr>
              <w:t>生态环境厅</w:t>
            </w:r>
            <w:r>
              <w:rPr>
                <w:rFonts w:hint="default" w:ascii="Times New Roman" w:hAnsi="Times New Roman" w:eastAsia="宋体" w:cs="Times New Roman"/>
                <w:color w:val="auto"/>
                <w:spacing w:val="0"/>
                <w:position w:val="0"/>
                <w:sz w:val="24"/>
                <w:highlight w:val="none"/>
              </w:rPr>
              <w:t>《建设项目主要污染物排放总量指标核定暂行办法》（晋环规[2023]1号）文规定，</w:t>
            </w:r>
            <w:r>
              <w:rPr>
                <w:rFonts w:hint="eastAsia" w:cs="Times New Roman"/>
                <w:color w:val="auto"/>
                <w:spacing w:val="0"/>
                <w:position w:val="0"/>
                <w:sz w:val="24"/>
                <w:highlight w:val="none"/>
                <w:lang w:eastAsia="zh-CN"/>
              </w:rPr>
              <w:t>“</w:t>
            </w:r>
            <w:r>
              <w:rPr>
                <w:rFonts w:hint="default" w:ascii="Times New Roman" w:hAnsi="Times New Roman" w:eastAsia="宋体" w:cs="Times New Roman"/>
                <w:color w:val="auto"/>
                <w:spacing w:val="0"/>
                <w:position w:val="0"/>
                <w:sz w:val="24"/>
                <w:highlight w:val="none"/>
              </w:rPr>
              <w:t>实施排放总量控制的主要污染物包括氮氧化物、挥发性有机物、化学需氧量、氨氮等国家实施排放总量控制的主要污染物以及二氧化硫、颗粒物等山西省实施排放总量控制的主要污染物</w:t>
            </w:r>
            <w:r>
              <w:rPr>
                <w:rFonts w:hint="eastAsia" w:ascii="Times New Roman" w:hAnsi="Times New Roman" w:eastAsia="宋体" w:cs="Times New Roman"/>
                <w:color w:val="auto"/>
                <w:spacing w:val="0"/>
                <w:position w:val="0"/>
                <w:sz w:val="24"/>
                <w:highlight w:val="none"/>
                <w:lang w:eastAsia="zh-CN"/>
              </w:rPr>
              <w:t>”</w:t>
            </w:r>
            <w:r>
              <w:rPr>
                <w:rFonts w:hint="default" w:ascii="Times New Roman" w:hAnsi="Times New Roman" w:eastAsia="宋体" w:cs="Times New Roman"/>
                <w:color w:val="auto"/>
                <w:spacing w:val="0"/>
                <w:position w:val="0"/>
                <w:sz w:val="24"/>
                <w:highlight w:val="none"/>
              </w:rPr>
              <w:t>。</w:t>
            </w:r>
          </w:p>
          <w:p w14:paraId="4BDAD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olor w:val="auto"/>
                <w:sz w:val="24"/>
                <w:highlight w:val="none"/>
                <w:lang w:val="en-US" w:eastAsia="zh-CN"/>
              </w:rPr>
            </w:pPr>
            <w:r>
              <w:rPr>
                <w:rFonts w:hint="eastAsia" w:cs="Times New Roman"/>
                <w:color w:val="auto"/>
                <w:spacing w:val="0"/>
                <w:position w:val="0"/>
                <w:sz w:val="24"/>
                <w:highlight w:val="none"/>
                <w:lang w:val="en-US" w:eastAsia="zh-CN"/>
              </w:rPr>
              <w:t>经计算本项目</w:t>
            </w:r>
            <w:r>
              <w:rPr>
                <w:rFonts w:hint="eastAsia"/>
                <w:color w:val="auto"/>
                <w:sz w:val="24"/>
                <w:highlight w:val="none"/>
              </w:rPr>
              <w:t>需要申请总量指标</w:t>
            </w:r>
            <w:r>
              <w:rPr>
                <w:rFonts w:hint="eastAsia"/>
                <w:color w:val="auto"/>
                <w:sz w:val="24"/>
                <w:highlight w:val="none"/>
                <w:lang w:val="en-US" w:eastAsia="zh-CN"/>
              </w:rPr>
              <w:t>：颗粒物1.997t/a（其中有组织颗粒物</w:t>
            </w:r>
            <w:r>
              <w:rPr>
                <w:rFonts w:hint="eastAsia" w:ascii="Times New Roman" w:eastAsia="宋体"/>
                <w:color w:val="auto"/>
                <w:sz w:val="24"/>
                <w:highlight w:val="none"/>
                <w:lang w:val="en-US" w:eastAsia="zh-CN"/>
              </w:rPr>
              <w:t>1.682</w:t>
            </w:r>
            <w:r>
              <w:rPr>
                <w:rFonts w:hint="eastAsia"/>
                <w:color w:val="auto"/>
                <w:sz w:val="24"/>
                <w:highlight w:val="none"/>
                <w:lang w:val="en-US" w:eastAsia="zh-CN"/>
              </w:rPr>
              <w:t>t/a，无组织颗粒物0.315t/a）。</w:t>
            </w:r>
          </w:p>
          <w:p w14:paraId="41D7C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000000" w:themeColor="text1"/>
                <w:sz w:val="24"/>
                <w:szCs w:val="22"/>
                <w:lang w:val="en-US" w:eastAsia="zh-CN"/>
                <w14:textFill>
                  <w14:solidFill>
                    <w14:schemeClr w14:val="tx1"/>
                  </w14:solidFill>
                </w14:textFill>
              </w:rPr>
            </w:pPr>
            <w:r>
              <w:rPr>
                <w:rFonts w:hint="eastAsia" w:ascii="Times New Roman" w:hAnsi="Times New Roman" w:eastAsia="宋体" w:cs="Times New Roman"/>
                <w:color w:val="000000" w:themeColor="text1"/>
                <w:sz w:val="24"/>
                <w:szCs w:val="22"/>
                <w:lang w:val="en-US" w:eastAsia="zh-CN"/>
                <w14:textFill>
                  <w14:solidFill>
                    <w14:schemeClr w14:val="tx1"/>
                  </w14:solidFill>
                </w14:textFill>
              </w:rPr>
              <w:t>2026年9月22日，长治市生态环境局屯留分局以“屯函环[2026]41号”文出具了“关于山西仁立生态环境治理有限公司新建煤矸石制砂综合利用项目大气污染物排放总量核定意见”（见附件9），核定本项目总量控制指标为：颗粒物</w:t>
            </w:r>
            <w:r>
              <w:rPr>
                <w:rFonts w:hint="eastAsia"/>
                <w:color w:val="000000" w:themeColor="text1"/>
                <w:sz w:val="24"/>
                <w:highlight w:val="none"/>
                <w:lang w:val="en-US" w:eastAsia="zh-CN"/>
                <w14:textFill>
                  <w14:solidFill>
                    <w14:schemeClr w14:val="tx1"/>
                  </w14:solidFill>
                </w14:textFill>
              </w:rPr>
              <w:t>1.997</w:t>
            </w:r>
            <w:r>
              <w:rPr>
                <w:rFonts w:hint="eastAsia" w:ascii="Times New Roman" w:hAnsi="Times New Roman" w:eastAsia="宋体" w:cs="Times New Roman"/>
                <w:color w:val="000000" w:themeColor="text1"/>
                <w:sz w:val="24"/>
                <w:szCs w:val="22"/>
                <w:lang w:val="en-US" w:eastAsia="zh-CN"/>
                <w14:textFill>
                  <w14:solidFill>
                    <w14:schemeClr w14:val="tx1"/>
                  </w14:solidFill>
                </w14:textFill>
              </w:rPr>
              <w:t>t/a。</w:t>
            </w:r>
          </w:p>
          <w:p w14:paraId="4E231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jc w:val="both"/>
              <w:textAlignment w:val="auto"/>
              <w:rPr>
                <w:rFonts w:hint="default"/>
                <w:color w:val="auto"/>
                <w:lang w:val="en-US" w:eastAsia="zh-CN"/>
              </w:rPr>
            </w:pPr>
          </w:p>
          <w:p w14:paraId="43D14C07">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480" w:lineRule="exact"/>
              <w:ind w:left="0" w:leftChars="0" w:right="0" w:firstLine="480" w:firstLineChars="200"/>
              <w:jc w:val="both"/>
              <w:textAlignment w:val="auto"/>
              <w:rPr>
                <w:rFonts w:hint="default"/>
                <w:color w:val="auto"/>
                <w:lang w:val="en-US" w:eastAsia="zh-CN"/>
              </w:rPr>
            </w:pPr>
          </w:p>
          <w:p w14:paraId="7CA45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jc w:val="both"/>
              <w:textAlignment w:val="auto"/>
              <w:rPr>
                <w:rFonts w:hint="default"/>
                <w:color w:val="auto"/>
                <w:lang w:val="en-US" w:eastAsia="zh-CN"/>
              </w:rPr>
            </w:pPr>
          </w:p>
          <w:p w14:paraId="263634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jc w:val="both"/>
              <w:textAlignment w:val="auto"/>
              <w:rPr>
                <w:rFonts w:hint="default"/>
                <w:color w:val="auto"/>
                <w:lang w:val="en-US" w:eastAsia="zh-CN"/>
              </w:rPr>
            </w:pPr>
          </w:p>
          <w:p w14:paraId="3AEDD99B">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480" w:lineRule="exact"/>
              <w:ind w:left="0" w:leftChars="0" w:right="0" w:firstLine="480" w:firstLineChars="200"/>
              <w:jc w:val="both"/>
              <w:textAlignment w:val="auto"/>
              <w:rPr>
                <w:rFonts w:hint="default"/>
                <w:color w:val="auto"/>
                <w:lang w:val="en-US" w:eastAsia="zh-CN"/>
              </w:rPr>
            </w:pPr>
          </w:p>
          <w:p w14:paraId="48C69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jc w:val="both"/>
              <w:textAlignment w:val="auto"/>
              <w:rPr>
                <w:rFonts w:hint="default"/>
                <w:color w:val="auto"/>
                <w:lang w:val="en-US" w:eastAsia="zh-CN"/>
              </w:rPr>
            </w:pPr>
          </w:p>
          <w:p w14:paraId="3E697229">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480" w:lineRule="exact"/>
              <w:ind w:left="0" w:leftChars="0" w:right="0" w:firstLine="480" w:firstLineChars="200"/>
              <w:jc w:val="both"/>
              <w:textAlignment w:val="auto"/>
              <w:rPr>
                <w:rFonts w:hint="default"/>
                <w:color w:val="auto"/>
                <w:lang w:val="en-US" w:eastAsia="zh-CN"/>
              </w:rPr>
            </w:pPr>
          </w:p>
          <w:p w14:paraId="55616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20" w:firstLineChars="200"/>
              <w:jc w:val="both"/>
              <w:textAlignment w:val="auto"/>
              <w:rPr>
                <w:rFonts w:hint="default"/>
                <w:color w:val="auto"/>
                <w:lang w:val="en-US" w:eastAsia="zh-CN"/>
              </w:rPr>
            </w:pPr>
          </w:p>
          <w:p w14:paraId="579497D8">
            <w:pPr>
              <w:pStyle w:val="34"/>
              <w:keepNext w:val="0"/>
              <w:keepLines w:val="0"/>
              <w:suppressLineNumbers w:val="0"/>
              <w:spacing w:before="0" w:beforeAutospacing="0" w:after="0" w:afterAutospacing="0"/>
              <w:ind w:left="0" w:right="0"/>
              <w:rPr>
                <w:rFonts w:hint="default"/>
                <w:color w:val="auto"/>
                <w:lang w:val="en-US" w:eastAsia="zh-CN"/>
              </w:rPr>
            </w:pPr>
          </w:p>
        </w:tc>
      </w:tr>
    </w:tbl>
    <w:p w14:paraId="40CC8E2A">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10" w:name="_Toc7234"/>
      <w:r>
        <w:rPr>
          <w:rFonts w:hint="default" w:ascii="Times New Roman" w:hAnsi="Times New Roman" w:eastAsia="黑体" w:cs="Times New Roman"/>
          <w:snapToGrid w:val="0"/>
          <w:color w:val="auto"/>
          <w:sz w:val="30"/>
          <w:szCs w:val="30"/>
          <w:highlight w:val="none"/>
        </w:rPr>
        <w:t>四、主要环境影响和保护措施</w:t>
      </w:r>
      <w:bookmarkEnd w:id="10"/>
    </w:p>
    <w:tbl>
      <w:tblPr>
        <w:tblStyle w:val="27"/>
        <w:tblW w:w="93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8781"/>
      </w:tblGrid>
      <w:tr w14:paraId="289BB1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dxa"/>
            <w:tcBorders>
              <w:tl2br w:val="nil"/>
              <w:tr2bl w:val="nil"/>
            </w:tcBorders>
            <w:tcMar>
              <w:left w:w="28" w:type="dxa"/>
              <w:right w:w="28" w:type="dxa"/>
            </w:tcMar>
            <w:vAlign w:val="center"/>
          </w:tcPr>
          <w:p w14:paraId="61FB71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val="0"/>
                <w:color w:val="auto"/>
                <w:kern w:val="2"/>
                <w:sz w:val="21"/>
                <w:szCs w:val="21"/>
                <w:highlight w:val="none"/>
              </w:rPr>
            </w:pPr>
            <w:r>
              <w:rPr>
                <w:rFonts w:hint="eastAsia" w:cs="Times New Roman"/>
                <w:b/>
                <w:bCs w:val="0"/>
                <w:color w:val="auto"/>
                <w:szCs w:val="21"/>
                <w:highlight w:val="none"/>
                <w:lang w:val="en-US" w:eastAsia="zh-CN"/>
              </w:rPr>
              <w:t>施工</w:t>
            </w:r>
            <w:r>
              <w:rPr>
                <w:rFonts w:hint="default" w:ascii="Times New Roman" w:hAnsi="Times New Roman" w:eastAsia="宋体" w:cs="Times New Roman"/>
                <w:b/>
                <w:bCs w:val="0"/>
                <w:color w:val="auto"/>
                <w:szCs w:val="21"/>
                <w:highlight w:val="none"/>
              </w:rPr>
              <w:t>期环境保护措施</w:t>
            </w:r>
          </w:p>
        </w:tc>
        <w:tc>
          <w:tcPr>
            <w:tcW w:w="8781" w:type="dxa"/>
            <w:tcBorders>
              <w:tl2br w:val="nil"/>
              <w:tr2bl w:val="nil"/>
            </w:tcBorders>
            <w:vAlign w:val="center"/>
          </w:tcPr>
          <w:p w14:paraId="156E957C">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s="Times New Roman"/>
                <w:color w:val="auto"/>
                <w:spacing w:val="0"/>
                <w:sz w:val="24"/>
                <w:szCs w:val="20"/>
                <w:highlight w:val="none"/>
                <w:lang w:val="en-US" w:eastAsia="zh-CN"/>
              </w:rPr>
            </w:pPr>
            <w:r>
              <w:rPr>
                <w:rFonts w:hint="eastAsia" w:cs="Times New Roman"/>
                <w:color w:val="auto"/>
                <w:spacing w:val="0"/>
                <w:sz w:val="24"/>
                <w:szCs w:val="20"/>
                <w:highlight w:val="none"/>
                <w:lang w:val="en-US" w:eastAsia="zh-CN"/>
              </w:rPr>
              <w:t>本次环评拟利用现有全封闭式厂房建设，租赁</w:t>
            </w:r>
            <w:r>
              <w:rPr>
                <w:rFonts w:hint="eastAsia" w:hAnsi="宋体"/>
                <w:color w:val="auto"/>
                <w:sz w:val="24"/>
              </w:rPr>
              <w:t>长治市潞常清工贸有限公司</w:t>
            </w:r>
            <w:r>
              <w:rPr>
                <w:rFonts w:hint="eastAsia" w:hAnsi="宋体"/>
                <w:color w:val="auto"/>
                <w:sz w:val="24"/>
                <w:lang w:val="en-US" w:eastAsia="zh-CN"/>
              </w:rPr>
              <w:t>厂区北侧占地，在现有厂区进行建设，不新增用地，占地类型为工业用地。</w:t>
            </w:r>
            <w:r>
              <w:rPr>
                <w:rFonts w:hint="eastAsia"/>
                <w:color w:val="auto"/>
                <w:kern w:val="0"/>
                <w:sz w:val="24"/>
                <w:lang w:val="en-US" w:eastAsia="zh-CN"/>
              </w:rPr>
              <w:t>施工期主要工程为新建洗车平台、危废贮存点和生产设备及配套设备的安装，</w:t>
            </w:r>
            <w:r>
              <w:rPr>
                <w:rFonts w:hint="default" w:ascii="Times New Roman" w:hAnsi="Times New Roman" w:eastAsia="宋体" w:cs="Times New Roman"/>
                <w:color w:val="auto"/>
                <w:sz w:val="24"/>
                <w:szCs w:val="24"/>
              </w:rPr>
              <w:t>产生的污染物主要有</w:t>
            </w:r>
            <w:r>
              <w:rPr>
                <w:rFonts w:hint="eastAsia" w:cs="Times New Roman"/>
                <w:color w:val="auto"/>
                <w:sz w:val="24"/>
                <w:szCs w:val="24"/>
                <w:lang w:val="en-US" w:eastAsia="zh-CN"/>
              </w:rPr>
              <w:t>运输</w:t>
            </w:r>
            <w:r>
              <w:rPr>
                <w:rFonts w:hint="default" w:ascii="Times New Roman" w:hAnsi="Times New Roman" w:eastAsia="宋体" w:cs="Times New Roman"/>
                <w:color w:val="auto"/>
                <w:sz w:val="24"/>
                <w:szCs w:val="24"/>
              </w:rPr>
              <w:t>扬尘、噪声、废水、固体废物及施工生态影响等，工程施工影响范围主要为工程施工区域，限制在厂区占地范围内。</w:t>
            </w:r>
            <w:r>
              <w:rPr>
                <w:rFonts w:hint="default" w:ascii="Times New Roman" w:hAnsi="Times New Roman" w:cs="Times New Roman"/>
                <w:color w:val="auto"/>
                <w:kern w:val="2"/>
                <w:sz w:val="24"/>
                <w:szCs w:val="24"/>
                <w:highlight w:val="none"/>
                <w:lang w:val="en-US" w:eastAsia="zh-CN" w:bidi="ar-SA"/>
              </w:rPr>
              <w:t>针对</w:t>
            </w:r>
            <w:r>
              <w:rPr>
                <w:rFonts w:hint="default" w:ascii="Times New Roman" w:hAnsi="Times New Roman" w:eastAsia="宋体" w:cs="Times New Roman"/>
                <w:color w:val="auto"/>
                <w:kern w:val="2"/>
                <w:sz w:val="24"/>
                <w:szCs w:val="24"/>
                <w:highlight w:val="none"/>
                <w:lang w:val="en-US" w:eastAsia="zh-CN" w:bidi="ar-SA"/>
              </w:rPr>
              <w:t>施工过程对环境的影响</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拟采取的污染防治措施</w:t>
            </w:r>
            <w:r>
              <w:rPr>
                <w:rFonts w:hint="default" w:ascii="Times New Roman" w:hAnsi="Times New Roman" w:cs="Times New Roman"/>
                <w:color w:val="auto"/>
                <w:kern w:val="2"/>
                <w:sz w:val="24"/>
                <w:szCs w:val="24"/>
                <w:highlight w:val="none"/>
                <w:lang w:val="en-US" w:eastAsia="zh-CN" w:bidi="ar-SA"/>
              </w:rPr>
              <w:t>如下：</w:t>
            </w:r>
          </w:p>
          <w:p w14:paraId="19D9ECF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cs="Times New Roman"/>
                <w:b/>
                <w:color w:val="auto"/>
                <w:spacing w:val="0"/>
                <w:sz w:val="24"/>
                <w:szCs w:val="24"/>
                <w:highlight w:val="none"/>
                <w:lang w:val="en-US" w:eastAsia="zh-CN"/>
              </w:rPr>
              <w:t>4.1</w:t>
            </w:r>
            <w:r>
              <w:rPr>
                <w:rFonts w:hint="default" w:ascii="Times New Roman" w:hAnsi="Times New Roman" w:eastAsia="宋体" w:cs="Times New Roman"/>
                <w:b/>
                <w:color w:val="auto"/>
                <w:spacing w:val="0"/>
                <w:sz w:val="24"/>
                <w:szCs w:val="24"/>
                <w:highlight w:val="none"/>
              </w:rPr>
              <w:t>施工期大气环境污染防治措施</w:t>
            </w:r>
          </w:p>
          <w:p w14:paraId="4EE61E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本项目</w:t>
            </w:r>
            <w:r>
              <w:rPr>
                <w:rFonts w:hint="default" w:ascii="Times New Roman" w:hAnsi="Times New Roman" w:eastAsia="宋体" w:cs="Times New Roman"/>
                <w:color w:val="auto"/>
                <w:sz w:val="24"/>
                <w:szCs w:val="20"/>
                <w:highlight w:val="none"/>
              </w:rPr>
              <w:t>施工期主要大气环境影响为扬尘对周围大气环境的影响，扬尘主要为施工扬尘和道路运输扬尘。</w:t>
            </w:r>
          </w:p>
          <w:p w14:paraId="02CFF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szCs w:val="20"/>
                <w:highlight w:val="none"/>
              </w:rPr>
            </w:pPr>
            <w:r>
              <w:rPr>
                <w:rFonts w:hint="eastAsia" w:cs="Times New Roman"/>
                <w:b/>
                <w:color w:val="auto"/>
                <w:spacing w:val="0"/>
                <w:sz w:val="24"/>
                <w:szCs w:val="24"/>
                <w:highlight w:val="none"/>
                <w:lang w:val="en-US" w:eastAsia="zh-CN"/>
              </w:rPr>
              <w:t>4.1.</w:t>
            </w:r>
            <w:r>
              <w:rPr>
                <w:rFonts w:hint="default" w:ascii="Times New Roman" w:hAnsi="Times New Roman" w:eastAsia="宋体" w:cs="Times New Roman"/>
                <w:b/>
                <w:bCs/>
                <w:color w:val="auto"/>
                <w:sz w:val="24"/>
                <w:szCs w:val="20"/>
                <w:highlight w:val="none"/>
                <w:lang w:val="en-US" w:eastAsia="zh-CN"/>
              </w:rPr>
              <w:t>1</w:t>
            </w:r>
            <w:r>
              <w:rPr>
                <w:rFonts w:hint="default" w:ascii="Times New Roman" w:hAnsi="Times New Roman" w:eastAsia="宋体" w:cs="Times New Roman"/>
                <w:b/>
                <w:bCs/>
                <w:color w:val="auto"/>
                <w:sz w:val="24"/>
                <w:szCs w:val="20"/>
                <w:highlight w:val="none"/>
              </w:rPr>
              <w:t>产生环节</w:t>
            </w:r>
          </w:p>
          <w:p w14:paraId="02C7F7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szCs w:val="20"/>
                <w:highlight w:val="yellow"/>
              </w:rPr>
            </w:pPr>
            <w:r>
              <w:rPr>
                <w:rFonts w:hint="default" w:ascii="Times New Roman" w:hAnsi="Times New Roman" w:eastAsia="宋体" w:cs="Times New Roman"/>
                <w:color w:val="auto"/>
                <w:sz w:val="24"/>
                <w:szCs w:val="20"/>
                <w:highlight w:val="none"/>
              </w:rPr>
              <w:t>道路运输扬尘来自于施工机械和车辆的往来过程。扬尘排放方式为间歇不定量排放，其影响范围为施工现场附近和运输道路沿途。</w:t>
            </w:r>
          </w:p>
          <w:p w14:paraId="06719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outlineLvl w:val="9"/>
              <w:rPr>
                <w:rFonts w:hint="default" w:ascii="Times New Roman" w:hAnsi="Times New Roman" w:eastAsia="宋体" w:cs="Times New Roman"/>
                <w:b w:val="0"/>
                <w:bCs w:val="0"/>
                <w:color w:val="auto"/>
                <w:sz w:val="24"/>
                <w:highlight w:val="none"/>
                <w:lang w:val="en-US" w:eastAsia="zh-CN"/>
              </w:rPr>
            </w:pPr>
            <w:bookmarkStart w:id="11" w:name="_Toc11505"/>
            <w:r>
              <w:rPr>
                <w:rFonts w:hint="eastAsia" w:cs="Times New Roman"/>
                <w:b/>
                <w:color w:val="auto"/>
                <w:spacing w:val="0"/>
                <w:sz w:val="24"/>
                <w:szCs w:val="24"/>
                <w:highlight w:val="none"/>
                <w:lang w:val="en-US" w:eastAsia="zh-CN"/>
              </w:rPr>
              <w:t>4.1.</w:t>
            </w:r>
            <w:r>
              <w:rPr>
                <w:rFonts w:hint="default" w:ascii="Times New Roman" w:hAnsi="Times New Roman" w:eastAsia="宋体" w:cs="Times New Roman"/>
                <w:b/>
                <w:bCs/>
                <w:color w:val="auto"/>
                <w:sz w:val="24"/>
                <w:highlight w:val="none"/>
                <w:lang w:val="en-US" w:eastAsia="zh-CN"/>
              </w:rPr>
              <w:t>2污染防治措施</w:t>
            </w:r>
            <w:bookmarkEnd w:id="11"/>
          </w:p>
          <w:p w14:paraId="7E7AEF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olor w:val="auto"/>
                <w:sz w:val="24"/>
                <w:szCs w:val="32"/>
                <w:highlight w:val="none"/>
                <w:lang w:val="en-US" w:eastAsia="zh-CN"/>
              </w:rPr>
              <w:t>根据长治市人民政府关于印发长治市落实《空气质量持续改善行动计划》实施方案的通知（长政发〔2024〕4号），</w:t>
            </w:r>
            <w:r>
              <w:rPr>
                <w:rFonts w:hint="eastAsia" w:cs="Times New Roman"/>
                <w:color w:val="auto"/>
                <w:sz w:val="24"/>
                <w:highlight w:val="none"/>
                <w:lang w:val="en-US" w:eastAsia="zh-CN"/>
              </w:rPr>
              <w:t>针对施工扬尘，做到“六个百分百”，即：</w:t>
            </w:r>
          </w:p>
          <w:p w14:paraId="3019C9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①施工工地百分百围挡</w:t>
            </w:r>
          </w:p>
          <w:p w14:paraId="66658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本项目施工现场应设置高度不低于1.8m的施工围挡（墙），墙体坚固、稳定、清洁美观，围挡下方设置不低于20cm高的防溢座以防止粉尘流失，任意两块围挡拼接处都不能有大于0.5cm的缝隙，围挡不得有明显破损的漏洞，可起到明显的挡尘、隔声作用。</w:t>
            </w:r>
          </w:p>
          <w:p w14:paraId="7CF0E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施工过程中，施工现场设置施工标志牌，标明当地生态环境部门的污染举报电话。</w:t>
            </w:r>
          </w:p>
          <w:p w14:paraId="1564C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②物料堆放百分百覆盖</w:t>
            </w:r>
          </w:p>
          <w:p w14:paraId="3D861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施工物料应集中堆放，每一块独立裸露地面都采取覆盖措施。所有水泥、砂石、石灰及土方等易产生扬尘物料都必须以不透水的隔尘布完全覆盖或放置在顶部和四周均有遮蔽的临时堆棚内，防尘布或遮蔽装置的完好率必须100%。散落物料要经常清理，避免大风天气对周围环境空气造成污染。</w:t>
            </w:r>
          </w:p>
          <w:p w14:paraId="4F674B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③土方开挖百分百湿法作业</w:t>
            </w:r>
          </w:p>
          <w:p w14:paraId="560E3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施工过程中土方开挖要求湿法作业，对土方工程施工采取喷雾炮或洒水车现场洒水。增加土方含水率，抑尘土方作业扬尘；遇四级以上大风天气时应停止土方施工。</w:t>
            </w:r>
          </w:p>
          <w:p w14:paraId="77A92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④施工场地路面百分百硬化</w:t>
            </w:r>
          </w:p>
          <w:p w14:paraId="0DD8D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合理安排施工计划，根据平面布局，对物料、渣土运输等车行路面提前硬化，对施工场地内局部区域提前进行绿化、硬化工作。施工场地应配置洒水车辆，车道道路清扫时都必须采取洒水措施，任何时候行车道路上不能有明显的尘土。</w:t>
            </w:r>
          </w:p>
          <w:p w14:paraId="2B6F3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⑤出入车辆百分百冲洗</w:t>
            </w:r>
          </w:p>
          <w:p w14:paraId="1095B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施工现场车辆出入口设置车辆清洗平台及车辆清洗废水沉淀池，施工车辆进出施工场地应对轮胎、车体进行清洗、清洁，以保证车辆清洁上路，避免轮胎带泥行驶。</w:t>
            </w:r>
          </w:p>
          <w:p w14:paraId="2CCF5B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⑥渣土车辆百分百密闭运输</w:t>
            </w:r>
          </w:p>
          <w:p w14:paraId="376712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eastAsia" w:cs="Times New Roman"/>
                <w:color w:val="auto"/>
                <w:sz w:val="24"/>
                <w:highlight w:val="none"/>
                <w:lang w:val="en-US" w:eastAsia="zh-CN"/>
              </w:rPr>
            </w:pPr>
            <w:r>
              <w:rPr>
                <w:rFonts w:hint="eastAsia" w:cs="Times New Roman"/>
                <w:color w:val="auto"/>
                <w:sz w:val="24"/>
                <w:highlight w:val="none"/>
                <w:lang w:val="en-US" w:eastAsia="zh-CN"/>
              </w:rPr>
              <w:t>渣土、工程物料运输车辆存在裸露运输及运输抛洒问题，评价要求工程建设单位应严格要求运输车辆覆盖篷布或利用箱车，并确保正常使用，物料不得超载，尽量减少运输过程中抛撒。</w:t>
            </w:r>
          </w:p>
          <w:p w14:paraId="67353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在采取以上防治措施后，施工期产生的大气污染物对环境空气产生的影响较小。</w:t>
            </w:r>
          </w:p>
          <w:p w14:paraId="2E9DB1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cs="Times New Roman"/>
                <w:b/>
                <w:color w:val="auto"/>
                <w:spacing w:val="0"/>
                <w:sz w:val="24"/>
                <w:szCs w:val="24"/>
                <w:highlight w:val="none"/>
                <w:lang w:val="en-US" w:eastAsia="zh-CN"/>
              </w:rPr>
              <w:t>4.2</w:t>
            </w:r>
            <w:r>
              <w:rPr>
                <w:rFonts w:hint="default" w:ascii="Times New Roman" w:hAnsi="Times New Roman" w:eastAsia="宋体" w:cs="Times New Roman"/>
                <w:b/>
                <w:color w:val="auto"/>
                <w:spacing w:val="0"/>
                <w:sz w:val="24"/>
                <w:szCs w:val="24"/>
                <w:highlight w:val="none"/>
              </w:rPr>
              <w:t>施工期水环境污染防治措施</w:t>
            </w:r>
          </w:p>
          <w:p w14:paraId="76AA69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本项目施工期废水主要为</w:t>
            </w:r>
            <w:r>
              <w:rPr>
                <w:rFonts w:hint="default" w:ascii="Times New Roman" w:hAnsi="Times New Roman" w:eastAsia="宋体" w:cs="Times New Roman"/>
                <w:color w:val="auto"/>
                <w:sz w:val="24"/>
                <w:highlight w:val="none"/>
                <w:lang w:val="en-US" w:eastAsia="zh-CN"/>
              </w:rPr>
              <w:t>施工废水和</w:t>
            </w:r>
            <w:r>
              <w:rPr>
                <w:rFonts w:hint="default" w:ascii="Times New Roman" w:hAnsi="Times New Roman" w:eastAsia="宋体" w:cs="Times New Roman"/>
                <w:color w:val="auto"/>
                <w:sz w:val="24"/>
                <w:highlight w:val="none"/>
              </w:rPr>
              <w:t>施工人员的生活污水。</w:t>
            </w:r>
          </w:p>
          <w:p w14:paraId="4B477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0"/>
                <w:sz w:val="24"/>
                <w:highlight w:val="none"/>
              </w:rPr>
            </w:pPr>
            <w:r>
              <w:rPr>
                <w:rFonts w:hint="eastAsia" w:cs="Times New Roman"/>
                <w:b/>
                <w:bCs/>
                <w:color w:val="auto"/>
                <w:kern w:val="0"/>
                <w:sz w:val="24"/>
                <w:highlight w:val="none"/>
                <w:lang w:val="en-US" w:eastAsia="zh-CN"/>
              </w:rPr>
              <w:t>4.2.</w:t>
            </w:r>
            <w:r>
              <w:rPr>
                <w:rFonts w:hint="default" w:ascii="Times New Roman" w:hAnsi="Times New Roman" w:eastAsia="宋体"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rPr>
              <w:t>施工废水</w:t>
            </w:r>
          </w:p>
          <w:p w14:paraId="5EFCCD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lang w:val="en-US" w:eastAsia="zh-CN"/>
              </w:rPr>
              <w:t>施工废水主要为</w:t>
            </w:r>
            <w:r>
              <w:rPr>
                <w:rFonts w:hint="eastAsia" w:ascii="Times New Roman" w:hAnsi="Times New Roman" w:eastAsia="宋体" w:cs="Times New Roman"/>
                <w:b w:val="0"/>
                <w:bCs w:val="0"/>
                <w:color w:val="auto"/>
                <w:kern w:val="0"/>
                <w:sz w:val="24"/>
                <w:highlight w:val="none"/>
                <w:lang w:val="en-US" w:eastAsia="zh-CN"/>
              </w:rPr>
              <w:t>路面</w:t>
            </w:r>
            <w:r>
              <w:rPr>
                <w:rFonts w:hint="default"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rPr>
              <w:t>运输车辆的</w:t>
            </w:r>
            <w:r>
              <w:rPr>
                <w:rFonts w:hint="default" w:ascii="Times New Roman" w:hAnsi="Times New Roman" w:eastAsia="宋体" w:cs="Times New Roman"/>
                <w:b w:val="0"/>
                <w:bCs w:val="0"/>
                <w:color w:val="auto"/>
                <w:kern w:val="0"/>
                <w:sz w:val="24"/>
                <w:highlight w:val="none"/>
              </w:rPr>
              <w:t>冲洗水</w:t>
            </w:r>
            <w:r>
              <w:rPr>
                <w:rFonts w:hint="default"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lang w:val="en-US" w:eastAsia="zh-CN"/>
              </w:rPr>
              <w:t>水中</w:t>
            </w:r>
            <w:r>
              <w:rPr>
                <w:rFonts w:hint="default" w:ascii="Times New Roman" w:hAnsi="Times New Roman" w:eastAsia="宋体" w:cs="Times New Roman"/>
                <w:b w:val="0"/>
                <w:bCs w:val="0"/>
                <w:color w:val="auto"/>
                <w:kern w:val="0"/>
                <w:sz w:val="24"/>
                <w:highlight w:val="none"/>
              </w:rPr>
              <w:t>只含有少量泥沙，不含其它杂质，排放量较小</w:t>
            </w:r>
            <w:r>
              <w:rPr>
                <w:rFonts w:hint="eastAsia" w:ascii="Times New Roman" w:hAnsi="Times New Roman" w:eastAsia="宋体" w:cs="Times New Roman"/>
                <w:b w:val="0"/>
                <w:bCs w:val="0"/>
                <w:color w:val="auto"/>
                <w:kern w:val="0"/>
                <w:sz w:val="24"/>
                <w:highlight w:val="none"/>
                <w:lang w:eastAsia="zh-CN"/>
              </w:rPr>
              <w:t>。</w:t>
            </w:r>
            <w:r>
              <w:rPr>
                <w:rFonts w:hint="default"/>
                <w:color w:val="auto"/>
                <w:sz w:val="24"/>
                <w:highlight w:val="none"/>
              </w:rPr>
              <w:t>在施工场地对施工器械的冲洗设置固定场所，冲洗水进入</w:t>
            </w:r>
            <w:r>
              <w:rPr>
                <w:rFonts w:hint="eastAsia"/>
                <w:color w:val="auto"/>
                <w:sz w:val="24"/>
                <w:highlight w:val="none"/>
                <w:lang w:val="en-US" w:eastAsia="zh-CN"/>
              </w:rPr>
              <w:t>厂区出入口洗车平台</w:t>
            </w:r>
            <w:r>
              <w:rPr>
                <w:rFonts w:hint="default"/>
                <w:color w:val="auto"/>
                <w:sz w:val="24"/>
                <w:highlight w:val="none"/>
              </w:rPr>
              <w:t>沉淀池，</w:t>
            </w:r>
            <w:r>
              <w:rPr>
                <w:rFonts w:hint="eastAsia"/>
                <w:color w:val="auto"/>
                <w:sz w:val="24"/>
                <w:highlight w:val="none"/>
                <w:lang w:val="en-US" w:eastAsia="zh-CN"/>
              </w:rPr>
              <w:t>沉淀后用于洗车工序，不外排</w:t>
            </w:r>
            <w:r>
              <w:rPr>
                <w:rFonts w:hint="eastAsia"/>
                <w:color w:val="auto"/>
                <w:sz w:val="24"/>
                <w:highlight w:val="none"/>
                <w:lang w:eastAsia="zh-CN"/>
              </w:rPr>
              <w:t>；</w:t>
            </w:r>
            <w:r>
              <w:rPr>
                <w:rFonts w:hint="default"/>
                <w:color w:val="auto"/>
                <w:sz w:val="24"/>
                <w:highlight w:val="none"/>
              </w:rPr>
              <w:t>路面降尘及喷洒用水，不外排</w:t>
            </w:r>
            <w:r>
              <w:rPr>
                <w:rFonts w:hint="default" w:ascii="Times New Roman" w:hAnsi="Times New Roman" w:eastAsia="宋体" w:cs="Times New Roman"/>
                <w:b w:val="0"/>
                <w:bCs w:val="0"/>
                <w:color w:val="auto"/>
                <w:kern w:val="0"/>
                <w:sz w:val="24"/>
                <w:highlight w:val="none"/>
              </w:rPr>
              <w:t>。</w:t>
            </w:r>
          </w:p>
          <w:p w14:paraId="1F990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val="0"/>
                <w:bCs w:val="0"/>
                <w:color w:val="auto"/>
                <w:kern w:val="0"/>
                <w:sz w:val="24"/>
                <w:highlight w:val="none"/>
              </w:rPr>
            </w:pPr>
            <w:r>
              <w:rPr>
                <w:rFonts w:hint="eastAsia" w:cs="Times New Roman"/>
                <w:b/>
                <w:bCs/>
                <w:color w:val="auto"/>
                <w:kern w:val="0"/>
                <w:sz w:val="24"/>
                <w:highlight w:val="none"/>
                <w:lang w:val="en-US" w:eastAsia="zh-CN"/>
              </w:rPr>
              <w:t>4.2.</w:t>
            </w:r>
            <w:r>
              <w:rPr>
                <w:rFonts w:hint="default" w:ascii="Times New Roman" w:hAnsi="Times New Roman" w:eastAsia="宋体"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rPr>
              <w:t>施工人员的生活污水</w:t>
            </w:r>
          </w:p>
          <w:p w14:paraId="25DD5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kern w:val="0"/>
                <w:sz w:val="24"/>
                <w:highlight w:val="none"/>
                <w:lang w:eastAsia="zh-CN"/>
              </w:rPr>
            </w:pPr>
            <w:r>
              <w:rPr>
                <w:rFonts w:hint="default"/>
                <w:color w:val="auto"/>
                <w:sz w:val="24"/>
              </w:rPr>
              <w:t>施工人员生活污水收集后</w:t>
            </w:r>
            <w:r>
              <w:rPr>
                <w:rFonts w:hint="eastAsia"/>
                <w:color w:val="auto"/>
                <w:sz w:val="24"/>
                <w:lang w:val="en-US" w:eastAsia="zh-CN"/>
              </w:rPr>
              <w:t>排入厂区旱厕</w:t>
            </w:r>
            <w:r>
              <w:rPr>
                <w:rFonts w:hint="eastAsia" w:ascii="Times New Roman" w:hAnsi="Times New Roman" w:cs="Times New Roman"/>
                <w:b w:val="0"/>
                <w:bCs w:val="0"/>
                <w:color w:val="auto"/>
                <w:sz w:val="24"/>
                <w:szCs w:val="22"/>
                <w:highlight w:val="none"/>
                <w:lang w:eastAsia="zh-CN"/>
              </w:rPr>
              <w:t>。</w:t>
            </w:r>
          </w:p>
          <w:p w14:paraId="0439B1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4"/>
                <w:sz w:val="24"/>
                <w:highlight w:val="none"/>
              </w:rPr>
            </w:pPr>
            <w:r>
              <w:rPr>
                <w:rFonts w:hint="default" w:ascii="Times New Roman" w:hAnsi="Times New Roman" w:eastAsia="宋体" w:cs="Times New Roman"/>
                <w:color w:val="auto"/>
                <w:kern w:val="0"/>
                <w:sz w:val="24"/>
                <w:highlight w:val="none"/>
              </w:rPr>
              <w:t>综上所述，本项目施工期对水环境的影响很小</w:t>
            </w:r>
            <w:r>
              <w:rPr>
                <w:rFonts w:hint="default" w:ascii="Times New Roman" w:hAnsi="Times New Roman" w:eastAsia="宋体" w:cs="Times New Roman"/>
                <w:color w:val="auto"/>
                <w:spacing w:val="-4"/>
                <w:sz w:val="24"/>
                <w:highlight w:val="none"/>
              </w:rPr>
              <w:t>。</w:t>
            </w:r>
          </w:p>
          <w:p w14:paraId="44A72C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cs="Times New Roman"/>
                <w:b/>
                <w:color w:val="auto"/>
                <w:spacing w:val="0"/>
                <w:sz w:val="24"/>
                <w:szCs w:val="24"/>
                <w:highlight w:val="none"/>
                <w:lang w:val="en-US" w:eastAsia="zh-CN"/>
              </w:rPr>
              <w:t>4.3</w:t>
            </w:r>
            <w:r>
              <w:rPr>
                <w:rFonts w:hint="default" w:ascii="Times New Roman" w:hAnsi="Times New Roman" w:eastAsia="宋体" w:cs="Times New Roman"/>
                <w:b/>
                <w:color w:val="auto"/>
                <w:spacing w:val="0"/>
                <w:sz w:val="24"/>
                <w:szCs w:val="24"/>
                <w:highlight w:val="none"/>
                <w:lang w:val="en-US" w:eastAsia="zh-CN"/>
              </w:rPr>
              <w:t>施工期固体废物环境污染防治措施</w:t>
            </w:r>
          </w:p>
          <w:p w14:paraId="6460C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在施工过程中</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产生的固体废物主要是施工人员的生活垃圾。</w:t>
            </w:r>
          </w:p>
          <w:p w14:paraId="79BA5F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施工期施工人员产生的</w:t>
            </w:r>
            <w:r>
              <w:rPr>
                <w:rFonts w:hint="default" w:ascii="Times New Roman" w:hAnsi="Times New Roman" w:eastAsia="宋体" w:cs="Times New Roman"/>
                <w:color w:val="auto"/>
                <w:sz w:val="24"/>
                <w:highlight w:val="none"/>
                <w:lang w:val="en-US" w:eastAsia="zh-CN"/>
              </w:rPr>
              <w:t>生活垃圾产生量按0.5kg/人•d计，以</w:t>
            </w:r>
            <w:r>
              <w:rPr>
                <w:rFonts w:hint="eastAsia"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lang w:val="en-US" w:eastAsia="zh-CN"/>
              </w:rPr>
              <w:t>人次/天计算，</w:t>
            </w:r>
            <w:r>
              <w:rPr>
                <w:rFonts w:hint="eastAsia" w:ascii="Times New Roman" w:hAnsi="Times New Roman" w:eastAsia="宋体" w:cs="Times New Roman"/>
                <w:color w:val="auto"/>
                <w:sz w:val="24"/>
                <w:highlight w:val="none"/>
                <w:lang w:val="en-US" w:eastAsia="zh-CN"/>
              </w:rPr>
              <w:t>生活垃圾产生量为10</w:t>
            </w:r>
            <w:r>
              <w:rPr>
                <w:rFonts w:hint="default" w:ascii="Times New Roman" w:hAnsi="Times New Roman" w:eastAsia="宋体" w:cs="Times New Roman"/>
                <w:color w:val="auto"/>
                <w:sz w:val="24"/>
                <w:highlight w:val="none"/>
                <w:lang w:val="en-US" w:eastAsia="zh-CN"/>
              </w:rPr>
              <w:t>kg/d，设置垃圾桶收集后</w:t>
            </w:r>
            <w:r>
              <w:rPr>
                <w:rFonts w:hint="default" w:ascii="Times New Roman" w:hAnsi="Times New Roman" w:eastAsia="宋体" w:cs="Times New Roman"/>
                <w:color w:val="auto"/>
                <w:sz w:val="24"/>
                <w:highlight w:val="none"/>
              </w:rPr>
              <w:t>委托环卫部门处置。</w:t>
            </w:r>
          </w:p>
          <w:p w14:paraId="290F2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采取上述措施后</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本项目施工期产生的固体废物不会对周围环境产生明显影响。</w:t>
            </w:r>
          </w:p>
          <w:p w14:paraId="48E4ED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color w:val="auto"/>
                <w:spacing w:val="0"/>
                <w:sz w:val="24"/>
                <w:szCs w:val="24"/>
                <w:highlight w:val="none"/>
                <w:lang w:val="en-US" w:eastAsia="zh-CN"/>
              </w:rPr>
            </w:pPr>
            <w:r>
              <w:rPr>
                <w:rFonts w:hint="eastAsia" w:cs="Times New Roman"/>
                <w:b/>
                <w:color w:val="auto"/>
                <w:spacing w:val="0"/>
                <w:sz w:val="24"/>
                <w:szCs w:val="24"/>
                <w:highlight w:val="none"/>
                <w:lang w:val="en-US" w:eastAsia="zh-CN"/>
              </w:rPr>
              <w:t>4.4</w:t>
            </w:r>
            <w:r>
              <w:rPr>
                <w:rFonts w:hint="default" w:ascii="Times New Roman" w:hAnsi="Times New Roman" w:eastAsia="宋体" w:cs="Times New Roman"/>
                <w:b/>
                <w:color w:val="auto"/>
                <w:spacing w:val="0"/>
                <w:sz w:val="24"/>
                <w:szCs w:val="24"/>
                <w:highlight w:val="none"/>
                <w:lang w:val="en-US" w:eastAsia="zh-CN"/>
              </w:rPr>
              <w:t>施工期声环境污染防治措施</w:t>
            </w:r>
          </w:p>
          <w:p w14:paraId="35808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施工期主要噪声源为</w:t>
            </w:r>
            <w:r>
              <w:rPr>
                <w:rFonts w:hint="default" w:ascii="Times New Roman" w:hAnsi="Times New Roman" w:cs="Times New Roman"/>
                <w:bCs/>
                <w:color w:val="auto"/>
                <w:sz w:val="24"/>
                <w:highlight w:val="none"/>
                <w:lang w:val="en-US" w:eastAsia="zh-CN"/>
              </w:rPr>
              <w:t>施工场地噪声</w:t>
            </w:r>
            <w:r>
              <w:rPr>
                <w:rFonts w:hint="eastAsia" w:ascii="Times New Roman" w:hAnsi="Times New Roman" w:cs="Times New Roman"/>
                <w:bCs/>
                <w:color w:val="auto"/>
                <w:sz w:val="24"/>
                <w:highlight w:val="none"/>
                <w:lang w:val="en-US" w:eastAsia="zh-CN"/>
              </w:rPr>
              <w:t>以及建筑物料运输造成的交通噪声</w:t>
            </w:r>
            <w:r>
              <w:rPr>
                <w:rFonts w:hint="default" w:ascii="Times New Roman" w:hAnsi="Times New Roman" w:cs="Times New Roman"/>
                <w:bCs/>
                <w:color w:val="auto"/>
                <w:sz w:val="24"/>
                <w:highlight w:val="none"/>
              </w:rPr>
              <w:t>。</w:t>
            </w:r>
          </w:p>
          <w:p w14:paraId="2FE7A5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val="0"/>
                <w:color w:val="auto"/>
                <w:spacing w:val="0"/>
                <w:sz w:val="24"/>
                <w:szCs w:val="20"/>
                <w:highlight w:val="none"/>
              </w:rPr>
            </w:pPr>
            <w:r>
              <w:rPr>
                <w:rFonts w:hint="default" w:ascii="Times New Roman" w:hAnsi="Times New Roman" w:eastAsia="宋体" w:cs="Times New Roman"/>
                <w:b w:val="0"/>
                <w:bCs w:val="0"/>
                <w:color w:val="auto"/>
                <w:spacing w:val="0"/>
                <w:sz w:val="24"/>
                <w:szCs w:val="20"/>
                <w:highlight w:val="none"/>
              </w:rPr>
              <w:t>为了避免施工噪声对周围环境造成影响，建设单位拟采取以下措施：</w:t>
            </w:r>
          </w:p>
          <w:p w14:paraId="5FC5A8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hAnsi="宋体" w:eastAsia="宋体"/>
                <w:color w:val="auto"/>
                <w:sz w:val="24"/>
              </w:rPr>
            </w:pPr>
            <w:r>
              <w:rPr>
                <w:rFonts w:hint="eastAsia" w:hAnsi="宋体" w:eastAsia="宋体"/>
                <w:color w:val="auto"/>
                <w:sz w:val="24"/>
              </w:rPr>
              <w:t>（1）施工机械要选用性能好、噪声低，不符合国家规定的噪声限值的施工机械不得进入施工现场；</w:t>
            </w:r>
          </w:p>
          <w:p w14:paraId="0987F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hAnsi="宋体" w:eastAsia="宋体"/>
                <w:color w:val="auto"/>
                <w:sz w:val="24"/>
              </w:rPr>
            </w:pPr>
            <w:r>
              <w:rPr>
                <w:rFonts w:hint="eastAsia" w:hAnsi="宋体" w:eastAsia="宋体"/>
                <w:color w:val="auto"/>
                <w:sz w:val="24"/>
              </w:rPr>
              <w:t>（2）合理安排施工机械的位置，强噪声机械设备尽量布置到远离居民区一侧；</w:t>
            </w:r>
          </w:p>
          <w:p w14:paraId="20EA13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0"/>
                <w:highlight w:val="none"/>
              </w:rPr>
            </w:pPr>
            <w:r>
              <w:rPr>
                <w:rFonts w:hint="eastAsia" w:hAnsi="宋体" w:eastAsia="宋体"/>
                <w:color w:val="auto"/>
                <w:sz w:val="24"/>
              </w:rPr>
              <w:t>（3）夜间禁止施工，加强施工队伍的管理，实行文明施工。</w:t>
            </w:r>
          </w:p>
          <w:p w14:paraId="03A82DF1">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65AD99AB">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6ADA43F9">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0ED93E7">
            <w:pPr>
              <w:pStyle w:val="34"/>
              <w:keepNext w:val="0"/>
              <w:keepLines w:val="0"/>
              <w:suppressLineNumbers w:val="0"/>
              <w:spacing w:before="0" w:beforeAutospacing="0" w:after="0" w:afterAutospacing="0"/>
              <w:ind w:left="0" w:right="0"/>
              <w:rPr>
                <w:rFonts w:hint="default"/>
                <w:color w:val="auto"/>
                <w:lang w:val="en-US" w:eastAsia="zh-CN"/>
              </w:rPr>
            </w:pPr>
          </w:p>
          <w:p w14:paraId="52C34D01">
            <w:pPr>
              <w:pStyle w:val="34"/>
              <w:keepNext w:val="0"/>
              <w:keepLines w:val="0"/>
              <w:suppressLineNumbers w:val="0"/>
              <w:spacing w:before="0" w:beforeAutospacing="0" w:after="0" w:afterAutospacing="0"/>
              <w:ind w:left="0" w:right="0"/>
              <w:rPr>
                <w:rFonts w:hint="default"/>
                <w:color w:val="auto"/>
                <w:lang w:val="en-US" w:eastAsia="zh-CN"/>
              </w:rPr>
            </w:pPr>
          </w:p>
          <w:p w14:paraId="4AFE3561">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0F282DF2">
            <w:pPr>
              <w:pStyle w:val="26"/>
              <w:keepNext w:val="0"/>
              <w:keepLines w:val="0"/>
              <w:suppressLineNumbers w:val="0"/>
              <w:spacing w:before="0" w:beforeAutospacing="0" w:afterAutospacing="0"/>
              <w:ind w:right="0"/>
              <w:rPr>
                <w:rFonts w:hint="default"/>
                <w:color w:val="auto"/>
                <w:lang w:val="en-US" w:eastAsia="zh-CN"/>
              </w:rPr>
            </w:pPr>
          </w:p>
          <w:p w14:paraId="540C3952">
            <w:pPr>
              <w:keepNext w:val="0"/>
              <w:keepLines w:val="0"/>
              <w:suppressLineNumbers w:val="0"/>
              <w:spacing w:before="0" w:beforeAutospacing="0" w:after="0" w:afterAutospacing="0"/>
              <w:ind w:left="0" w:right="0"/>
              <w:rPr>
                <w:rFonts w:hint="default"/>
                <w:color w:val="auto"/>
                <w:lang w:val="en-US" w:eastAsia="zh-CN"/>
              </w:rPr>
            </w:pPr>
          </w:p>
          <w:p w14:paraId="426F3FCA">
            <w:pPr>
              <w:pStyle w:val="34"/>
              <w:keepNext w:val="0"/>
              <w:keepLines w:val="0"/>
              <w:suppressLineNumbers w:val="0"/>
              <w:spacing w:before="0" w:beforeAutospacing="0" w:after="0" w:afterAutospacing="0"/>
              <w:ind w:left="0" w:right="0"/>
              <w:rPr>
                <w:rFonts w:hint="default"/>
                <w:color w:val="auto"/>
                <w:lang w:val="en-US" w:eastAsia="zh-CN"/>
              </w:rPr>
            </w:pPr>
          </w:p>
          <w:p w14:paraId="7D817AD3">
            <w:pPr>
              <w:pStyle w:val="34"/>
              <w:keepNext w:val="0"/>
              <w:keepLines w:val="0"/>
              <w:suppressLineNumbers w:val="0"/>
              <w:spacing w:before="0" w:beforeAutospacing="0" w:after="0" w:afterAutospacing="0"/>
              <w:ind w:left="0" w:right="0"/>
              <w:rPr>
                <w:rFonts w:hint="default"/>
                <w:color w:val="auto"/>
                <w:lang w:val="en-US" w:eastAsia="zh-CN"/>
              </w:rPr>
            </w:pPr>
          </w:p>
          <w:p w14:paraId="02F2EDB3">
            <w:pPr>
              <w:pStyle w:val="34"/>
              <w:keepNext w:val="0"/>
              <w:keepLines w:val="0"/>
              <w:suppressLineNumbers w:val="0"/>
              <w:spacing w:before="0" w:beforeAutospacing="0" w:after="0" w:afterAutospacing="0"/>
              <w:ind w:left="0" w:right="0"/>
              <w:rPr>
                <w:rFonts w:hint="default"/>
                <w:color w:val="auto"/>
                <w:lang w:val="en-US" w:eastAsia="zh-CN"/>
              </w:rPr>
            </w:pPr>
          </w:p>
          <w:p w14:paraId="6F04A37E">
            <w:pPr>
              <w:pStyle w:val="34"/>
              <w:keepNext w:val="0"/>
              <w:keepLines w:val="0"/>
              <w:suppressLineNumbers w:val="0"/>
              <w:spacing w:before="0" w:beforeAutospacing="0" w:after="0" w:afterAutospacing="0"/>
              <w:ind w:left="0" w:right="0"/>
              <w:rPr>
                <w:rFonts w:hint="default"/>
                <w:color w:val="auto"/>
                <w:lang w:val="en-US" w:eastAsia="zh-CN"/>
              </w:rPr>
            </w:pPr>
          </w:p>
          <w:p w14:paraId="7D12EF86">
            <w:pPr>
              <w:pStyle w:val="34"/>
              <w:keepNext w:val="0"/>
              <w:keepLines w:val="0"/>
              <w:suppressLineNumbers w:val="0"/>
              <w:spacing w:before="0" w:beforeAutospacing="0" w:after="0" w:afterAutospacing="0"/>
              <w:ind w:left="0" w:right="0"/>
              <w:rPr>
                <w:rFonts w:hint="default"/>
                <w:color w:val="auto"/>
                <w:lang w:val="en-US" w:eastAsia="zh-CN"/>
              </w:rPr>
            </w:pPr>
          </w:p>
          <w:p w14:paraId="311C51E2">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73C97FAD">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tc>
      </w:tr>
    </w:tbl>
    <w:p w14:paraId="3B5FFFAE">
      <w:pPr>
        <w:rPr>
          <w:color w:val="auto"/>
          <w:highlight w:val="none"/>
        </w:rPr>
        <w:sectPr>
          <w:headerReference r:id="rId8" w:type="default"/>
          <w:pgSz w:w="11907" w:h="16840"/>
          <w:pgMar w:top="1701" w:right="1531" w:bottom="1701" w:left="1531" w:header="851" w:footer="850" w:gutter="0"/>
          <w:pgBorders>
            <w:top w:val="none" w:sz="0" w:space="0"/>
            <w:left w:val="none" w:sz="0" w:space="0"/>
            <w:bottom w:val="none" w:sz="0" w:space="0"/>
            <w:right w:val="none" w:sz="0" w:space="0"/>
          </w:pgBorders>
          <w:pgNumType w:fmt="decimal"/>
          <w:cols w:space="0" w:num="1"/>
          <w:rtlGutter w:val="0"/>
          <w:docGrid w:linePitch="312" w:charSpace="0"/>
        </w:sectPr>
      </w:pPr>
    </w:p>
    <w:tbl>
      <w:tblPr>
        <w:tblStyle w:val="28"/>
        <w:tblW w:w="5276"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13682"/>
      </w:tblGrid>
      <w:tr w14:paraId="344968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182" w:type="pct"/>
            <w:tcBorders>
              <w:tl2br w:val="nil"/>
              <w:tr2bl w:val="nil"/>
            </w:tcBorders>
            <w:vAlign w:val="center"/>
          </w:tcPr>
          <w:p w14:paraId="4FC53B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lang w:val="en-US" w:eastAsia="zh-CN"/>
              </w:rPr>
              <w:t>运营期环境影响和保护措施</w:t>
            </w:r>
          </w:p>
        </w:tc>
        <w:tc>
          <w:tcPr>
            <w:tcW w:w="4817" w:type="pct"/>
            <w:tcBorders>
              <w:tl2br w:val="nil"/>
              <w:tr2bl w:val="nil"/>
            </w:tcBorders>
          </w:tcPr>
          <w:p w14:paraId="55E008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cs="Times New Roman"/>
                <w:b/>
                <w:color w:val="auto"/>
                <w:spacing w:val="0"/>
                <w:sz w:val="24"/>
                <w:szCs w:val="24"/>
                <w:highlight w:val="none"/>
                <w:lang w:val="en-US" w:eastAsia="zh-CN"/>
              </w:rPr>
              <w:t>4.5</w:t>
            </w:r>
            <w:r>
              <w:rPr>
                <w:rFonts w:hint="eastAsia" w:ascii="Times New Roman" w:hAnsi="Times New Roman" w:eastAsia="宋体" w:cs="Times New Roman"/>
                <w:b/>
                <w:color w:val="auto"/>
                <w:spacing w:val="0"/>
                <w:sz w:val="24"/>
                <w:szCs w:val="24"/>
                <w:highlight w:val="none"/>
                <w:lang w:val="en-US" w:eastAsia="zh-CN"/>
              </w:rPr>
              <w:t>废气</w:t>
            </w:r>
          </w:p>
          <w:p w14:paraId="1876C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本项目大气污染源产生排放情况见表4</w:t>
            </w:r>
            <w:r>
              <w:rPr>
                <w:rFonts w:hint="eastAsia" w:cs="Times New Roman"/>
                <w:bCs/>
                <w:color w:val="auto"/>
                <w:sz w:val="24"/>
                <w:szCs w:val="24"/>
                <w:highlight w:val="none"/>
                <w:lang w:val="en-US" w:eastAsia="zh-CN"/>
              </w:rPr>
              <w:t>.5</w:t>
            </w:r>
            <w:r>
              <w:rPr>
                <w:rFonts w:hint="eastAsia" w:ascii="Times New Roman" w:hAnsi="Times New Roman" w:eastAsia="宋体" w:cs="Times New Roman"/>
                <w:bCs/>
                <w:color w:val="auto"/>
                <w:sz w:val="24"/>
                <w:szCs w:val="24"/>
                <w:highlight w:val="none"/>
                <w:lang w:val="en-US" w:eastAsia="zh-CN"/>
              </w:rPr>
              <w:t>-1。</w:t>
            </w:r>
          </w:p>
          <w:p w14:paraId="6029F7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eastAsia" w:cs="Times New Roman"/>
                <w:b/>
                <w:bCs/>
                <w:color w:val="auto"/>
                <w:sz w:val="24"/>
                <w:highlight w:val="none"/>
                <w:lang w:val="en-US" w:eastAsia="zh-CN"/>
              </w:rPr>
            </w:pPr>
            <w:r>
              <w:rPr>
                <w:rFonts w:hint="default" w:ascii="Times New Roman" w:hAnsi="Times New Roman" w:eastAsia="宋体" w:cs="Times New Roman"/>
                <w:b/>
                <w:bCs w:val="0"/>
                <w:color w:val="auto"/>
                <w:sz w:val="21"/>
                <w:szCs w:val="16"/>
                <w:highlight w:val="none"/>
                <w:lang w:val="en-US" w:eastAsia="zh-CN"/>
              </w:rPr>
              <w:t>表4</w:t>
            </w:r>
            <w:r>
              <w:rPr>
                <w:rFonts w:hint="eastAsia" w:cs="Times New Roman"/>
                <w:b/>
                <w:bCs w:val="0"/>
                <w:color w:val="auto"/>
                <w:sz w:val="21"/>
                <w:szCs w:val="16"/>
                <w:highlight w:val="none"/>
                <w:lang w:val="en-US" w:eastAsia="zh-CN"/>
              </w:rPr>
              <w:t>.5</w:t>
            </w:r>
            <w:r>
              <w:rPr>
                <w:rFonts w:hint="default" w:ascii="Times New Roman" w:hAnsi="Times New Roman" w:eastAsia="宋体" w:cs="Times New Roman"/>
                <w:b/>
                <w:bCs w:val="0"/>
                <w:color w:val="auto"/>
                <w:sz w:val="21"/>
                <w:szCs w:val="16"/>
                <w:highlight w:val="none"/>
                <w:lang w:val="en-US" w:eastAsia="zh-CN"/>
              </w:rPr>
              <w:t>-1  大气污染源产生排放情况表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3"/>
              <w:gridCol w:w="996"/>
              <w:gridCol w:w="867"/>
              <w:gridCol w:w="905"/>
              <w:gridCol w:w="827"/>
              <w:gridCol w:w="695"/>
              <w:gridCol w:w="929"/>
              <w:gridCol w:w="700"/>
              <w:gridCol w:w="819"/>
              <w:gridCol w:w="948"/>
              <w:gridCol w:w="864"/>
              <w:gridCol w:w="875"/>
              <w:gridCol w:w="757"/>
              <w:gridCol w:w="824"/>
              <w:gridCol w:w="719"/>
              <w:gridCol w:w="697"/>
              <w:gridCol w:w="606"/>
            </w:tblGrid>
            <w:tr w14:paraId="4DD1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restart"/>
                  <w:tcBorders>
                    <w:tl2br w:val="nil"/>
                    <w:tr2bl w:val="nil"/>
                  </w:tcBorders>
                  <w:vAlign w:val="center"/>
                </w:tcPr>
                <w:p w14:paraId="3871D8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color w:val="auto"/>
                      <w:lang w:eastAsia="zh-CN"/>
                    </w:rPr>
                    <w:br w:type="page"/>
                  </w:r>
                  <w:r>
                    <w:rPr>
                      <w:rFonts w:hint="default" w:ascii="Times New Roman" w:hAnsi="Times New Roman" w:eastAsia="宋体" w:cs="Times New Roman"/>
                      <w:b/>
                      <w:bCs/>
                      <w:color w:val="auto"/>
                      <w:kern w:val="2"/>
                      <w:sz w:val="21"/>
                      <w:szCs w:val="21"/>
                      <w:highlight w:val="none"/>
                      <w:lang w:val="en-US" w:eastAsia="zh-CN" w:bidi="ar-SA"/>
                    </w:rPr>
                    <w:t>序号</w:t>
                  </w:r>
                </w:p>
              </w:tc>
              <w:tc>
                <w:tcPr>
                  <w:tcW w:w="370" w:type="pct"/>
                  <w:vMerge w:val="restart"/>
                  <w:tcBorders>
                    <w:tl2br w:val="nil"/>
                    <w:tr2bl w:val="nil"/>
                  </w:tcBorders>
                  <w:vAlign w:val="center"/>
                </w:tcPr>
                <w:p w14:paraId="1B64DC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产排污</w:t>
                  </w:r>
                </w:p>
                <w:p w14:paraId="74D822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环节</w:t>
                  </w:r>
                </w:p>
              </w:tc>
              <w:tc>
                <w:tcPr>
                  <w:tcW w:w="322" w:type="pct"/>
                  <w:vMerge w:val="restart"/>
                  <w:tcBorders>
                    <w:tl2br w:val="nil"/>
                    <w:tr2bl w:val="nil"/>
                  </w:tcBorders>
                  <w:vAlign w:val="center"/>
                </w:tcPr>
                <w:p w14:paraId="5188C1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w:t>
                  </w:r>
                </w:p>
                <w:p w14:paraId="12A9B1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种类</w:t>
                  </w:r>
                </w:p>
              </w:tc>
              <w:tc>
                <w:tcPr>
                  <w:tcW w:w="336" w:type="pct"/>
                  <w:vMerge w:val="restart"/>
                  <w:tcBorders>
                    <w:tl2br w:val="nil"/>
                    <w:tr2bl w:val="nil"/>
                  </w:tcBorders>
                  <w:vAlign w:val="center"/>
                </w:tcPr>
                <w:p w14:paraId="217A34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污染物产生浓度mg/m</w:t>
                  </w:r>
                  <w:r>
                    <w:rPr>
                      <w:rFonts w:hint="default" w:ascii="Times New Roman" w:hAnsi="Times New Roman" w:eastAsia="宋体" w:cs="Times New Roman"/>
                      <w:b/>
                      <w:bCs/>
                      <w:color w:val="auto"/>
                      <w:kern w:val="2"/>
                      <w:sz w:val="21"/>
                      <w:szCs w:val="21"/>
                      <w:highlight w:val="none"/>
                      <w:vertAlign w:val="superscript"/>
                      <w:lang w:val="en-US" w:eastAsia="zh-CN" w:bidi="ar-SA"/>
                    </w:rPr>
                    <w:t>3</w:t>
                  </w:r>
                </w:p>
              </w:tc>
              <w:tc>
                <w:tcPr>
                  <w:tcW w:w="307" w:type="pct"/>
                  <w:vMerge w:val="restart"/>
                  <w:tcBorders>
                    <w:tl2br w:val="nil"/>
                    <w:tr2bl w:val="nil"/>
                  </w:tcBorders>
                  <w:vAlign w:val="center"/>
                </w:tcPr>
                <w:p w14:paraId="57CC4E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污染物产生速率kg/h</w:t>
                  </w:r>
                </w:p>
              </w:tc>
              <w:tc>
                <w:tcPr>
                  <w:tcW w:w="258" w:type="pct"/>
                  <w:vMerge w:val="restart"/>
                  <w:tcBorders>
                    <w:tl2br w:val="nil"/>
                    <w:tr2bl w:val="nil"/>
                  </w:tcBorders>
                  <w:vAlign w:val="center"/>
                </w:tcPr>
                <w:p w14:paraId="0C8F7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排放</w:t>
                  </w:r>
                </w:p>
                <w:p w14:paraId="3A7C89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方式</w:t>
                  </w:r>
                </w:p>
              </w:tc>
              <w:tc>
                <w:tcPr>
                  <w:tcW w:w="1582" w:type="pct"/>
                  <w:gridSpan w:val="5"/>
                  <w:tcBorders>
                    <w:tl2br w:val="nil"/>
                    <w:tr2bl w:val="nil"/>
                  </w:tcBorders>
                  <w:vAlign w:val="center"/>
                </w:tcPr>
                <w:p w14:paraId="651935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治理设施</w:t>
                  </w:r>
                </w:p>
              </w:tc>
              <w:tc>
                <w:tcPr>
                  <w:tcW w:w="325" w:type="pct"/>
                  <w:vMerge w:val="restart"/>
                  <w:tcBorders>
                    <w:tl2br w:val="nil"/>
                    <w:tr2bl w:val="nil"/>
                  </w:tcBorders>
                  <w:vAlign w:val="center"/>
                </w:tcPr>
                <w:p w14:paraId="3787ED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污染物排放浓度mg/m</w:t>
                  </w:r>
                  <w:r>
                    <w:rPr>
                      <w:rFonts w:hint="default" w:ascii="Times New Roman" w:hAnsi="Times New Roman" w:eastAsia="宋体" w:cs="Times New Roman"/>
                      <w:b/>
                      <w:bCs/>
                      <w:color w:val="auto"/>
                      <w:kern w:val="2"/>
                      <w:sz w:val="21"/>
                      <w:szCs w:val="21"/>
                      <w:highlight w:val="none"/>
                      <w:vertAlign w:val="superscript"/>
                      <w:lang w:val="en-US" w:eastAsia="zh-CN" w:bidi="ar-SA"/>
                    </w:rPr>
                    <w:t>3</w:t>
                  </w:r>
                </w:p>
              </w:tc>
              <w:tc>
                <w:tcPr>
                  <w:tcW w:w="281" w:type="pct"/>
                  <w:vMerge w:val="restart"/>
                  <w:tcBorders>
                    <w:tl2br w:val="nil"/>
                    <w:tr2bl w:val="nil"/>
                  </w:tcBorders>
                  <w:vAlign w:val="center"/>
                </w:tcPr>
                <w:p w14:paraId="75588C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污染物排放速率kg/h</w:t>
                  </w:r>
                </w:p>
              </w:tc>
              <w:tc>
                <w:tcPr>
                  <w:tcW w:w="306" w:type="pct"/>
                  <w:vMerge w:val="restart"/>
                  <w:tcBorders>
                    <w:tl2br w:val="nil"/>
                    <w:tr2bl w:val="nil"/>
                  </w:tcBorders>
                  <w:vAlign w:val="center"/>
                </w:tcPr>
                <w:p w14:paraId="72765F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年运行时间h</w:t>
                  </w:r>
                </w:p>
              </w:tc>
              <w:tc>
                <w:tcPr>
                  <w:tcW w:w="267" w:type="pct"/>
                  <w:vMerge w:val="restart"/>
                  <w:tcBorders>
                    <w:tl2br w:val="nil"/>
                    <w:tr2bl w:val="nil"/>
                  </w:tcBorders>
                  <w:vAlign w:val="center"/>
                </w:tcPr>
                <w:p w14:paraId="4D03E0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污染物排放量t/a</w:t>
                  </w:r>
                </w:p>
              </w:tc>
              <w:tc>
                <w:tcPr>
                  <w:tcW w:w="259" w:type="pct"/>
                  <w:vMerge w:val="restart"/>
                  <w:tcBorders>
                    <w:tl2br w:val="nil"/>
                    <w:tr2bl w:val="nil"/>
                  </w:tcBorders>
                  <w:vAlign w:val="center"/>
                </w:tcPr>
                <w:p w14:paraId="5AD9C4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排放口编号</w:t>
                  </w:r>
                </w:p>
              </w:tc>
              <w:tc>
                <w:tcPr>
                  <w:tcW w:w="225" w:type="pct"/>
                  <w:vMerge w:val="restart"/>
                  <w:tcBorders>
                    <w:tl2br w:val="nil"/>
                    <w:tr2bl w:val="nil"/>
                  </w:tcBorders>
                  <w:vAlign w:val="center"/>
                </w:tcPr>
                <w:p w14:paraId="6C4FCA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排放标准mg/m</w:t>
                  </w:r>
                  <w:r>
                    <w:rPr>
                      <w:rFonts w:hint="default" w:ascii="Times New Roman" w:hAnsi="Times New Roman" w:eastAsia="宋体" w:cs="Times New Roman"/>
                      <w:b/>
                      <w:bCs/>
                      <w:color w:val="auto"/>
                      <w:kern w:val="2"/>
                      <w:sz w:val="21"/>
                      <w:szCs w:val="21"/>
                      <w:highlight w:val="none"/>
                      <w:vertAlign w:val="superscript"/>
                      <w:lang w:val="en-US" w:eastAsia="zh-CN" w:bidi="ar-SA"/>
                    </w:rPr>
                    <w:t>3</w:t>
                  </w:r>
                </w:p>
              </w:tc>
            </w:tr>
            <w:tr w14:paraId="2E4B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continue"/>
                  <w:tcBorders>
                    <w:tl2br w:val="nil"/>
                    <w:tr2bl w:val="nil"/>
                  </w:tcBorders>
                  <w:vAlign w:val="center"/>
                </w:tcPr>
                <w:p w14:paraId="16D403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70" w:type="pct"/>
                  <w:vMerge w:val="continue"/>
                  <w:tcBorders>
                    <w:tl2br w:val="nil"/>
                    <w:tr2bl w:val="nil"/>
                  </w:tcBorders>
                  <w:vAlign w:val="center"/>
                </w:tcPr>
                <w:p w14:paraId="56E1BF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22" w:type="pct"/>
                  <w:vMerge w:val="continue"/>
                  <w:tcBorders>
                    <w:tl2br w:val="nil"/>
                    <w:tr2bl w:val="nil"/>
                  </w:tcBorders>
                  <w:vAlign w:val="center"/>
                </w:tcPr>
                <w:p w14:paraId="2B3EB8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36" w:type="pct"/>
                  <w:vMerge w:val="continue"/>
                  <w:tcBorders>
                    <w:tl2br w:val="nil"/>
                    <w:tr2bl w:val="nil"/>
                  </w:tcBorders>
                  <w:vAlign w:val="center"/>
                </w:tcPr>
                <w:p w14:paraId="628116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07" w:type="pct"/>
                  <w:vMerge w:val="continue"/>
                  <w:tcBorders>
                    <w:tl2br w:val="nil"/>
                    <w:tr2bl w:val="nil"/>
                  </w:tcBorders>
                  <w:vAlign w:val="center"/>
                </w:tcPr>
                <w:p w14:paraId="67DC8F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58" w:type="pct"/>
                  <w:vMerge w:val="continue"/>
                  <w:tcBorders>
                    <w:tl2br w:val="nil"/>
                    <w:tr2bl w:val="nil"/>
                  </w:tcBorders>
                  <w:vAlign w:val="center"/>
                </w:tcPr>
                <w:p w14:paraId="73E831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45" w:type="pct"/>
                  <w:tcBorders>
                    <w:tl2br w:val="nil"/>
                    <w:tr2bl w:val="nil"/>
                  </w:tcBorders>
                  <w:vAlign w:val="center"/>
                </w:tcPr>
                <w:p w14:paraId="35278F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污染防治设施</w:t>
                  </w:r>
                </w:p>
              </w:tc>
              <w:tc>
                <w:tcPr>
                  <w:tcW w:w="260" w:type="pct"/>
                  <w:tcBorders>
                    <w:tl2br w:val="nil"/>
                    <w:tr2bl w:val="nil"/>
                  </w:tcBorders>
                  <w:vAlign w:val="center"/>
                </w:tcPr>
                <w:p w14:paraId="066262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风量</w:t>
                  </w:r>
                </w:p>
                <w:p w14:paraId="71B6E1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m</w:t>
                  </w:r>
                  <w:r>
                    <w:rPr>
                      <w:rFonts w:hint="default" w:ascii="Times New Roman" w:hAnsi="Times New Roman" w:eastAsia="宋体" w:cs="Times New Roman"/>
                      <w:b/>
                      <w:bCs/>
                      <w:color w:val="auto"/>
                      <w:kern w:val="2"/>
                      <w:sz w:val="21"/>
                      <w:szCs w:val="21"/>
                      <w:highlight w:val="none"/>
                      <w:vertAlign w:val="superscript"/>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t>/h</w:t>
                  </w:r>
                </w:p>
              </w:tc>
              <w:tc>
                <w:tcPr>
                  <w:tcW w:w="304" w:type="pct"/>
                  <w:tcBorders>
                    <w:tl2br w:val="nil"/>
                    <w:tr2bl w:val="nil"/>
                  </w:tcBorders>
                  <w:vAlign w:val="center"/>
                </w:tcPr>
                <w:p w14:paraId="1B1B38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收集效率</w:t>
                  </w:r>
                  <w:r>
                    <w:rPr>
                      <w:rFonts w:hint="default" w:ascii="Times New Roman" w:hAnsi="Times New Roman" w:eastAsia="宋体" w:cs="Times New Roman"/>
                      <w:b w:val="0"/>
                      <w:bCs w:val="0"/>
                      <w:color w:val="auto"/>
                      <w:kern w:val="2"/>
                      <w:sz w:val="21"/>
                      <w:szCs w:val="21"/>
                      <w:highlight w:val="none"/>
                      <w:lang w:val="en-US" w:eastAsia="zh-CN" w:bidi="ar-SA"/>
                    </w:rPr>
                    <w:t>%</w:t>
                  </w:r>
                </w:p>
              </w:tc>
              <w:tc>
                <w:tcPr>
                  <w:tcW w:w="352" w:type="pct"/>
                  <w:tcBorders>
                    <w:tl2br w:val="nil"/>
                    <w:tr2bl w:val="nil"/>
                  </w:tcBorders>
                  <w:vAlign w:val="center"/>
                </w:tcPr>
                <w:p w14:paraId="5A3373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治理工艺去除率</w:t>
                  </w:r>
                  <w:r>
                    <w:rPr>
                      <w:rFonts w:hint="default" w:ascii="Times New Roman" w:hAnsi="Times New Roman" w:eastAsia="宋体" w:cs="Times New Roman"/>
                      <w:b w:val="0"/>
                      <w:bCs w:val="0"/>
                      <w:color w:val="auto"/>
                      <w:kern w:val="2"/>
                      <w:sz w:val="21"/>
                      <w:szCs w:val="21"/>
                      <w:highlight w:val="none"/>
                      <w:lang w:val="en-US" w:eastAsia="zh-CN" w:bidi="ar-SA"/>
                    </w:rPr>
                    <w:t>%</w:t>
                  </w:r>
                </w:p>
              </w:tc>
              <w:tc>
                <w:tcPr>
                  <w:tcW w:w="320" w:type="pct"/>
                  <w:tcBorders>
                    <w:tl2br w:val="nil"/>
                    <w:tr2bl w:val="nil"/>
                  </w:tcBorders>
                  <w:vAlign w:val="center"/>
                </w:tcPr>
                <w:p w14:paraId="7CB01C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是否为可行技术</w:t>
                  </w:r>
                </w:p>
              </w:tc>
              <w:tc>
                <w:tcPr>
                  <w:tcW w:w="325" w:type="pct"/>
                  <w:vMerge w:val="continue"/>
                  <w:tcBorders>
                    <w:tl2br w:val="nil"/>
                    <w:tr2bl w:val="nil"/>
                  </w:tcBorders>
                  <w:vAlign w:val="center"/>
                </w:tcPr>
                <w:p w14:paraId="665B50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81" w:type="pct"/>
                  <w:vMerge w:val="continue"/>
                  <w:tcBorders>
                    <w:tl2br w:val="nil"/>
                    <w:tr2bl w:val="nil"/>
                  </w:tcBorders>
                  <w:vAlign w:val="center"/>
                </w:tcPr>
                <w:p w14:paraId="5AFB4D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06" w:type="pct"/>
                  <w:vMerge w:val="continue"/>
                  <w:tcBorders>
                    <w:tl2br w:val="nil"/>
                    <w:tr2bl w:val="nil"/>
                  </w:tcBorders>
                  <w:vAlign w:val="center"/>
                </w:tcPr>
                <w:p w14:paraId="713531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67" w:type="pct"/>
                  <w:vMerge w:val="continue"/>
                  <w:tcBorders>
                    <w:tl2br w:val="nil"/>
                    <w:tr2bl w:val="nil"/>
                  </w:tcBorders>
                  <w:vAlign w:val="center"/>
                </w:tcPr>
                <w:p w14:paraId="574C04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59" w:type="pct"/>
                  <w:vMerge w:val="continue"/>
                  <w:tcBorders>
                    <w:tl2br w:val="nil"/>
                    <w:tr2bl w:val="nil"/>
                  </w:tcBorders>
                  <w:vAlign w:val="center"/>
                </w:tcPr>
                <w:p w14:paraId="58940F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25" w:type="pct"/>
                  <w:vMerge w:val="continue"/>
                  <w:tcBorders>
                    <w:tl2br w:val="nil"/>
                    <w:tr2bl w:val="nil"/>
                  </w:tcBorders>
                  <w:vAlign w:val="center"/>
                </w:tcPr>
                <w:p w14:paraId="2C574E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r>
            <w:tr w14:paraId="3035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tcBorders>
                    <w:tl2br w:val="nil"/>
                    <w:tr2bl w:val="nil"/>
                  </w:tcBorders>
                  <w:vAlign w:val="center"/>
                </w:tcPr>
                <w:p w14:paraId="55DE45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w:t>
                  </w:r>
                </w:p>
              </w:tc>
              <w:tc>
                <w:tcPr>
                  <w:tcW w:w="370" w:type="pct"/>
                  <w:tcBorders>
                    <w:tl2br w:val="nil"/>
                    <w:tr2bl w:val="nil"/>
                  </w:tcBorders>
                  <w:shd w:val="clear" w:color="auto" w:fill="auto"/>
                  <w:vAlign w:val="center"/>
                </w:tcPr>
                <w:p w14:paraId="2CDCC2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运输扬尘</w:t>
                  </w:r>
                </w:p>
              </w:tc>
              <w:tc>
                <w:tcPr>
                  <w:tcW w:w="322" w:type="pct"/>
                  <w:tcBorders>
                    <w:tl2br w:val="nil"/>
                    <w:tr2bl w:val="nil"/>
                  </w:tcBorders>
                  <w:shd w:val="clear" w:color="auto" w:fill="auto"/>
                  <w:vAlign w:val="center"/>
                </w:tcPr>
                <w:p w14:paraId="151308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336" w:type="pct"/>
                  <w:tcBorders>
                    <w:tl2br w:val="nil"/>
                    <w:tr2bl w:val="nil"/>
                  </w:tcBorders>
                  <w:shd w:val="clear" w:color="auto" w:fill="auto"/>
                  <w:vAlign w:val="center"/>
                </w:tcPr>
                <w:p w14:paraId="7378D4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w:t>
                  </w:r>
                </w:p>
              </w:tc>
              <w:tc>
                <w:tcPr>
                  <w:tcW w:w="307" w:type="pct"/>
                  <w:tcBorders>
                    <w:tl2br w:val="nil"/>
                    <w:tr2bl w:val="nil"/>
                  </w:tcBorders>
                  <w:shd w:val="clear" w:color="auto" w:fill="auto"/>
                  <w:vAlign w:val="center"/>
                </w:tcPr>
                <w:p w14:paraId="2A9FC4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58" w:type="pct"/>
                  <w:tcBorders>
                    <w:tl2br w:val="nil"/>
                    <w:tr2bl w:val="nil"/>
                  </w:tcBorders>
                  <w:shd w:val="clear" w:color="auto" w:fill="auto"/>
                  <w:vAlign w:val="center"/>
                </w:tcPr>
                <w:p w14:paraId="51120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无组织</w:t>
                  </w:r>
                </w:p>
              </w:tc>
              <w:tc>
                <w:tcPr>
                  <w:tcW w:w="1261" w:type="pct"/>
                  <w:gridSpan w:val="4"/>
                  <w:tcBorders>
                    <w:tl2br w:val="nil"/>
                    <w:tr2bl w:val="nil"/>
                  </w:tcBorders>
                  <w:shd w:val="clear" w:color="auto" w:fill="auto"/>
                  <w:vAlign w:val="center"/>
                </w:tcPr>
                <w:p w14:paraId="352EB7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sz w:val="21"/>
                      <w:szCs w:val="21"/>
                      <w:highlight w:val="none"/>
                      <w:lang w:val="en-US" w:eastAsia="zh-CN"/>
                    </w:rPr>
                    <w:t>厂区</w:t>
                  </w:r>
                  <w:r>
                    <w:rPr>
                      <w:rFonts w:hint="eastAsia" w:ascii="Times New Roman" w:hAnsi="Times New Roman" w:eastAsia="宋体" w:cs="Times New Roman"/>
                      <w:b w:val="0"/>
                      <w:bCs w:val="0"/>
                      <w:color w:val="auto"/>
                      <w:sz w:val="21"/>
                      <w:szCs w:val="21"/>
                      <w:highlight w:val="none"/>
                      <w:lang w:val="en-US" w:eastAsia="zh-CN"/>
                    </w:rPr>
                    <w:t>东侧主入口新建1座全自动</w:t>
                  </w:r>
                  <w:r>
                    <w:rPr>
                      <w:rFonts w:hint="default" w:ascii="Times New Roman" w:hAnsi="Times New Roman" w:eastAsia="宋体" w:cs="Times New Roman"/>
                      <w:b w:val="0"/>
                      <w:bCs w:val="0"/>
                      <w:color w:val="auto"/>
                      <w:sz w:val="21"/>
                      <w:szCs w:val="21"/>
                      <w:highlight w:val="none"/>
                      <w:lang w:val="en-US" w:eastAsia="zh-CN"/>
                    </w:rPr>
                    <w:t>洗车平台，出厂对车辆轮胎清洗</w:t>
                  </w:r>
                  <w:r>
                    <w:rPr>
                      <w:rFonts w:hint="default" w:ascii="Times New Roman" w:hAnsi="Times New Roman" w:eastAsia="宋体" w:cs="Times New Roman"/>
                      <w:b w:val="0"/>
                      <w:bCs w:val="0"/>
                      <w:color w:val="auto"/>
                      <w:sz w:val="21"/>
                      <w:szCs w:val="21"/>
                      <w:highlight w:val="none"/>
                      <w:lang w:eastAsia="zh-CN"/>
                    </w:rPr>
                    <w:t>；对厂区地面、道路全部进行硬化，道路定时洒水；</w:t>
                  </w:r>
                  <w:r>
                    <w:rPr>
                      <w:rFonts w:hint="default" w:ascii="Times New Roman" w:hAnsi="Times New Roman" w:eastAsia="宋体" w:cs="Times New Roman"/>
                      <w:b w:val="0"/>
                      <w:bCs w:val="0"/>
                      <w:color w:val="auto"/>
                      <w:sz w:val="21"/>
                      <w:szCs w:val="21"/>
                      <w:highlight w:val="none"/>
                    </w:rPr>
                    <w:t>限制汽车超载，采用箱式车</w:t>
                  </w:r>
                  <w:r>
                    <w:rPr>
                      <w:rFonts w:hint="default" w:ascii="Times New Roman" w:hAnsi="Times New Roman" w:eastAsia="宋体" w:cs="Times New Roman"/>
                      <w:b w:val="0"/>
                      <w:bCs w:val="0"/>
                      <w:color w:val="auto"/>
                      <w:sz w:val="21"/>
                      <w:szCs w:val="21"/>
                      <w:highlight w:val="none"/>
                      <w:lang w:val="en-US" w:eastAsia="zh-CN"/>
                    </w:rPr>
                    <w:t>运输，采取篷布苫盖</w:t>
                  </w:r>
                  <w:r>
                    <w:rPr>
                      <w:rFonts w:hint="eastAsia" w:ascii="Times New Roman" w:hAnsi="Times New Roman" w:eastAsia="宋体" w:cs="Times New Roman"/>
                      <w:b w:val="0"/>
                      <w:bCs w:val="0"/>
                      <w:color w:val="auto"/>
                      <w:sz w:val="21"/>
                      <w:szCs w:val="21"/>
                      <w:highlight w:val="none"/>
                      <w:lang w:val="en-US" w:eastAsia="zh-CN"/>
                    </w:rPr>
                    <w:t>；车间大门为红外不锈钢自动启闭门；厂区出入口要安装门禁系统，配套相关视频监控</w:t>
                  </w:r>
                </w:p>
              </w:tc>
              <w:tc>
                <w:tcPr>
                  <w:tcW w:w="320" w:type="pct"/>
                  <w:tcBorders>
                    <w:tl2br w:val="nil"/>
                    <w:tr2bl w:val="nil"/>
                  </w:tcBorders>
                  <w:shd w:val="clear" w:color="auto" w:fill="auto"/>
                  <w:vAlign w:val="center"/>
                </w:tcPr>
                <w:p w14:paraId="1A77EF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是</w:t>
                  </w:r>
                </w:p>
              </w:tc>
              <w:tc>
                <w:tcPr>
                  <w:tcW w:w="325" w:type="pct"/>
                  <w:tcBorders>
                    <w:tl2br w:val="nil"/>
                    <w:tr2bl w:val="nil"/>
                  </w:tcBorders>
                  <w:shd w:val="clear" w:color="auto" w:fill="auto"/>
                  <w:vAlign w:val="center"/>
                </w:tcPr>
                <w:p w14:paraId="36DD9E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81" w:type="pct"/>
                  <w:tcBorders>
                    <w:tl2br w:val="nil"/>
                    <w:tr2bl w:val="nil"/>
                  </w:tcBorders>
                  <w:shd w:val="clear" w:color="auto" w:fill="auto"/>
                  <w:vAlign w:val="center"/>
                </w:tcPr>
                <w:p w14:paraId="258525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306" w:type="pct"/>
                  <w:tcBorders>
                    <w:tl2br w:val="nil"/>
                    <w:tr2bl w:val="nil"/>
                  </w:tcBorders>
                  <w:shd w:val="clear" w:color="auto" w:fill="auto"/>
                  <w:vAlign w:val="center"/>
                </w:tcPr>
                <w:p w14:paraId="4CAA44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67" w:type="pct"/>
                  <w:tcBorders>
                    <w:tl2br w:val="nil"/>
                    <w:tr2bl w:val="nil"/>
                  </w:tcBorders>
                  <w:shd w:val="clear" w:color="auto" w:fill="auto"/>
                  <w:vAlign w:val="center"/>
                </w:tcPr>
                <w:p w14:paraId="58BB2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0.06</w:t>
                  </w:r>
                  <w:r>
                    <w:rPr>
                      <w:rFonts w:hint="eastAsia" w:ascii="Times New Roman" w:hAnsi="Times New Roman" w:eastAsia="宋体" w:cs="Times New Roman"/>
                      <w:b w:val="0"/>
                      <w:bCs w:val="0"/>
                      <w:color w:val="auto"/>
                      <w:kern w:val="2"/>
                      <w:sz w:val="21"/>
                      <w:szCs w:val="21"/>
                      <w:highlight w:val="none"/>
                      <w:lang w:val="en-US" w:eastAsia="zh-CN" w:bidi="ar-SA"/>
                    </w:rPr>
                    <w:t>6</w:t>
                  </w:r>
                </w:p>
              </w:tc>
              <w:tc>
                <w:tcPr>
                  <w:tcW w:w="259" w:type="pct"/>
                  <w:tcBorders>
                    <w:tl2br w:val="nil"/>
                    <w:tr2bl w:val="nil"/>
                  </w:tcBorders>
                  <w:shd w:val="clear" w:color="auto" w:fill="auto"/>
                  <w:vAlign w:val="center"/>
                </w:tcPr>
                <w:p w14:paraId="45184C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25" w:type="pct"/>
                  <w:tcBorders>
                    <w:tl2br w:val="nil"/>
                    <w:tr2bl w:val="nil"/>
                  </w:tcBorders>
                  <w:shd w:val="clear" w:color="auto" w:fill="auto"/>
                  <w:vAlign w:val="center"/>
                </w:tcPr>
                <w:p w14:paraId="2DF1CA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1.0</w:t>
                  </w:r>
                </w:p>
              </w:tc>
            </w:tr>
            <w:tr w14:paraId="7A52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tcBorders>
                    <w:tl2br w:val="nil"/>
                    <w:tr2bl w:val="nil"/>
                  </w:tcBorders>
                  <w:vAlign w:val="center"/>
                </w:tcPr>
                <w:p w14:paraId="32E643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2</w:t>
                  </w:r>
                </w:p>
              </w:tc>
              <w:tc>
                <w:tcPr>
                  <w:tcW w:w="370" w:type="pct"/>
                  <w:tcBorders>
                    <w:tl2br w:val="nil"/>
                    <w:tr2bl w:val="nil"/>
                  </w:tcBorders>
                  <w:shd w:val="clear" w:color="auto" w:fill="auto"/>
                  <w:vAlign w:val="center"/>
                </w:tcPr>
                <w:p w14:paraId="1DF909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原料及成品堆放、装卸粉尘</w:t>
                  </w:r>
                </w:p>
              </w:tc>
              <w:tc>
                <w:tcPr>
                  <w:tcW w:w="322" w:type="pct"/>
                  <w:tcBorders>
                    <w:tl2br w:val="nil"/>
                    <w:tr2bl w:val="nil"/>
                  </w:tcBorders>
                  <w:shd w:val="clear" w:color="auto" w:fill="auto"/>
                  <w:vAlign w:val="center"/>
                </w:tcPr>
                <w:p w14:paraId="6221AD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336" w:type="pct"/>
                  <w:tcBorders>
                    <w:tl2br w:val="nil"/>
                    <w:tr2bl w:val="nil"/>
                  </w:tcBorders>
                  <w:shd w:val="clear" w:color="auto" w:fill="auto"/>
                  <w:vAlign w:val="center"/>
                </w:tcPr>
                <w:p w14:paraId="7084F2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w:t>
                  </w:r>
                </w:p>
              </w:tc>
              <w:tc>
                <w:tcPr>
                  <w:tcW w:w="307" w:type="pct"/>
                  <w:tcBorders>
                    <w:tl2br w:val="nil"/>
                    <w:tr2bl w:val="nil"/>
                  </w:tcBorders>
                  <w:shd w:val="clear" w:color="auto" w:fill="auto"/>
                  <w:vAlign w:val="center"/>
                </w:tcPr>
                <w:p w14:paraId="289B17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58" w:type="pct"/>
                  <w:tcBorders>
                    <w:tl2br w:val="nil"/>
                    <w:tr2bl w:val="nil"/>
                  </w:tcBorders>
                  <w:shd w:val="clear" w:color="auto" w:fill="auto"/>
                  <w:vAlign w:val="center"/>
                </w:tcPr>
                <w:p w14:paraId="00A8DD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无组织</w:t>
                  </w:r>
                </w:p>
              </w:tc>
              <w:tc>
                <w:tcPr>
                  <w:tcW w:w="1261" w:type="pct"/>
                  <w:gridSpan w:val="4"/>
                  <w:tcBorders>
                    <w:tl2br w:val="nil"/>
                    <w:tr2bl w:val="nil"/>
                  </w:tcBorders>
                  <w:shd w:val="clear" w:color="auto" w:fill="auto"/>
                  <w:vAlign w:val="center"/>
                </w:tcPr>
                <w:p w14:paraId="1D8F3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全封闭储库，库顶设置喷雾洒水抑尘措施，设置2台移动式雾炮机抑尘</w:t>
                  </w:r>
                </w:p>
              </w:tc>
              <w:tc>
                <w:tcPr>
                  <w:tcW w:w="320" w:type="pct"/>
                  <w:tcBorders>
                    <w:tl2br w:val="nil"/>
                    <w:tr2bl w:val="nil"/>
                  </w:tcBorders>
                  <w:shd w:val="clear" w:color="auto" w:fill="auto"/>
                  <w:vAlign w:val="center"/>
                </w:tcPr>
                <w:p w14:paraId="443C96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是</w:t>
                  </w:r>
                </w:p>
              </w:tc>
              <w:tc>
                <w:tcPr>
                  <w:tcW w:w="325" w:type="pct"/>
                  <w:tcBorders>
                    <w:tl2br w:val="nil"/>
                    <w:tr2bl w:val="nil"/>
                  </w:tcBorders>
                  <w:shd w:val="clear" w:color="auto" w:fill="auto"/>
                  <w:vAlign w:val="center"/>
                </w:tcPr>
                <w:p w14:paraId="123441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81" w:type="pct"/>
                  <w:tcBorders>
                    <w:tl2br w:val="nil"/>
                    <w:tr2bl w:val="nil"/>
                  </w:tcBorders>
                  <w:shd w:val="clear" w:color="auto" w:fill="auto"/>
                  <w:vAlign w:val="center"/>
                </w:tcPr>
                <w:p w14:paraId="1187FA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306" w:type="pct"/>
                  <w:tcBorders>
                    <w:tl2br w:val="nil"/>
                    <w:tr2bl w:val="nil"/>
                  </w:tcBorders>
                  <w:shd w:val="clear" w:color="auto" w:fill="auto"/>
                  <w:vAlign w:val="center"/>
                </w:tcPr>
                <w:p w14:paraId="4C435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67" w:type="pct"/>
                  <w:tcBorders>
                    <w:tl2br w:val="nil"/>
                    <w:tr2bl w:val="nil"/>
                  </w:tcBorders>
                  <w:shd w:val="clear" w:color="auto" w:fill="auto"/>
                  <w:vAlign w:val="center"/>
                </w:tcPr>
                <w:p w14:paraId="5041C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315</w:t>
                  </w:r>
                </w:p>
              </w:tc>
              <w:tc>
                <w:tcPr>
                  <w:tcW w:w="259" w:type="pct"/>
                  <w:tcBorders>
                    <w:tl2br w:val="nil"/>
                    <w:tr2bl w:val="nil"/>
                  </w:tcBorders>
                  <w:shd w:val="clear" w:color="auto" w:fill="auto"/>
                  <w:vAlign w:val="center"/>
                </w:tcPr>
                <w:p w14:paraId="66A356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25" w:type="pct"/>
                  <w:tcBorders>
                    <w:tl2br w:val="nil"/>
                    <w:tr2bl w:val="nil"/>
                  </w:tcBorders>
                  <w:shd w:val="clear" w:color="auto" w:fill="auto"/>
                  <w:vAlign w:val="center"/>
                </w:tcPr>
                <w:p w14:paraId="18925C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1.0</w:t>
                  </w:r>
                </w:p>
              </w:tc>
            </w:tr>
            <w:tr w14:paraId="0D19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restart"/>
                  <w:tcBorders>
                    <w:tl2br w:val="nil"/>
                    <w:tr2bl w:val="nil"/>
                  </w:tcBorders>
                  <w:shd w:val="clear" w:color="auto" w:fill="auto"/>
                  <w:vAlign w:val="center"/>
                </w:tcPr>
                <w:p w14:paraId="2B4694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3</w:t>
                  </w:r>
                </w:p>
              </w:tc>
              <w:tc>
                <w:tcPr>
                  <w:tcW w:w="370" w:type="pct"/>
                  <w:tcBorders>
                    <w:tl2br w:val="nil"/>
                    <w:tr2bl w:val="nil"/>
                  </w:tcBorders>
                  <w:vAlign w:val="center"/>
                </w:tcPr>
                <w:p w14:paraId="083EF7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给料</w:t>
                  </w:r>
                  <w:r>
                    <w:rPr>
                      <w:rFonts w:hint="default" w:ascii="Times New Roman" w:hAnsi="Times New Roman" w:eastAsia="宋体" w:cs="Times New Roman"/>
                      <w:color w:val="auto"/>
                      <w:sz w:val="21"/>
                      <w:szCs w:val="21"/>
                      <w:highlight w:val="none"/>
                      <w:lang w:val="en-US" w:eastAsia="zh-CN"/>
                    </w:rPr>
                    <w:t>粉尘</w:t>
                  </w:r>
                </w:p>
              </w:tc>
              <w:tc>
                <w:tcPr>
                  <w:tcW w:w="322" w:type="pct"/>
                  <w:vMerge w:val="restart"/>
                  <w:tcBorders>
                    <w:tl2br w:val="nil"/>
                    <w:tr2bl w:val="nil"/>
                  </w:tcBorders>
                  <w:vAlign w:val="center"/>
                </w:tcPr>
                <w:p w14:paraId="205C67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336" w:type="pct"/>
                  <w:vMerge w:val="restart"/>
                  <w:tcBorders>
                    <w:tl2br w:val="nil"/>
                    <w:tr2bl w:val="nil"/>
                  </w:tcBorders>
                  <w:vAlign w:val="center"/>
                </w:tcPr>
                <w:p w14:paraId="759F48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2238</w:t>
                  </w:r>
                </w:p>
              </w:tc>
              <w:tc>
                <w:tcPr>
                  <w:tcW w:w="307" w:type="pct"/>
                  <w:tcBorders>
                    <w:tl2br w:val="nil"/>
                    <w:tr2bl w:val="nil"/>
                  </w:tcBorders>
                  <w:vAlign w:val="center"/>
                </w:tcPr>
                <w:p w14:paraId="6D8659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9.09</w:t>
                  </w:r>
                </w:p>
              </w:tc>
              <w:tc>
                <w:tcPr>
                  <w:tcW w:w="258" w:type="pct"/>
                  <w:vMerge w:val="restart"/>
                  <w:tcBorders>
                    <w:tl2br w:val="nil"/>
                    <w:tr2bl w:val="nil"/>
                  </w:tcBorders>
                  <w:vAlign w:val="center"/>
                </w:tcPr>
                <w:p w14:paraId="3A5A91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有组织</w:t>
                  </w:r>
                </w:p>
              </w:tc>
              <w:tc>
                <w:tcPr>
                  <w:tcW w:w="345" w:type="pct"/>
                  <w:vMerge w:val="restart"/>
                  <w:tcBorders>
                    <w:tl2br w:val="nil"/>
                    <w:tr2bl w:val="nil"/>
                  </w:tcBorders>
                  <w:vAlign w:val="center"/>
                </w:tcPr>
                <w:p w14:paraId="0C3D02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袋式除尘</w:t>
                  </w:r>
                </w:p>
              </w:tc>
              <w:tc>
                <w:tcPr>
                  <w:tcW w:w="260" w:type="pct"/>
                  <w:vMerge w:val="restart"/>
                  <w:tcBorders>
                    <w:tl2br w:val="nil"/>
                    <w:tr2bl w:val="nil"/>
                  </w:tcBorders>
                  <w:vAlign w:val="center"/>
                </w:tcPr>
                <w:p w14:paraId="3D7D66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snapToGrid w:val="0"/>
                      <w:color w:val="auto"/>
                      <w:sz w:val="21"/>
                      <w:szCs w:val="21"/>
                      <w:highlight w:val="none"/>
                      <w:lang w:val="en-US" w:eastAsia="zh-CN"/>
                    </w:rPr>
                    <w:t>30060</w:t>
                  </w:r>
                </w:p>
              </w:tc>
              <w:tc>
                <w:tcPr>
                  <w:tcW w:w="304" w:type="pct"/>
                  <w:tcBorders>
                    <w:tl2br w:val="nil"/>
                    <w:tr2bl w:val="nil"/>
                  </w:tcBorders>
                  <w:vAlign w:val="center"/>
                </w:tcPr>
                <w:p w14:paraId="5D78D6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90</w:t>
                  </w:r>
                </w:p>
              </w:tc>
              <w:tc>
                <w:tcPr>
                  <w:tcW w:w="352" w:type="pct"/>
                  <w:vMerge w:val="restart"/>
                  <w:tcBorders>
                    <w:tl2br w:val="nil"/>
                    <w:tr2bl w:val="nil"/>
                  </w:tcBorders>
                  <w:vAlign w:val="center"/>
                </w:tcPr>
                <w:p w14:paraId="6B9DEC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99.6</w:t>
                  </w:r>
                </w:p>
              </w:tc>
              <w:tc>
                <w:tcPr>
                  <w:tcW w:w="320" w:type="pct"/>
                  <w:vMerge w:val="restart"/>
                  <w:tcBorders>
                    <w:tl2br w:val="nil"/>
                    <w:tr2bl w:val="nil"/>
                  </w:tcBorders>
                  <w:vAlign w:val="center"/>
                </w:tcPr>
                <w:p w14:paraId="566561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是</w:t>
                  </w:r>
                </w:p>
              </w:tc>
              <w:tc>
                <w:tcPr>
                  <w:tcW w:w="325" w:type="pct"/>
                  <w:vMerge w:val="restart"/>
                  <w:tcBorders>
                    <w:tl2br w:val="nil"/>
                    <w:tr2bl w:val="nil"/>
                  </w:tcBorders>
                  <w:vAlign w:val="center"/>
                </w:tcPr>
                <w:p w14:paraId="0A7889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rPr>
                    <w:t>10</w:t>
                  </w:r>
                </w:p>
              </w:tc>
              <w:tc>
                <w:tcPr>
                  <w:tcW w:w="281" w:type="pct"/>
                  <w:vMerge w:val="restart"/>
                  <w:tcBorders>
                    <w:tl2br w:val="nil"/>
                    <w:tr2bl w:val="nil"/>
                  </w:tcBorders>
                  <w:vAlign w:val="center"/>
                </w:tcPr>
                <w:p w14:paraId="57411F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b w:val="0"/>
                      <w:bCs w:val="0"/>
                      <w:color w:val="auto"/>
                      <w:kern w:val="2"/>
                      <w:sz w:val="21"/>
                      <w:szCs w:val="21"/>
                      <w:highlight w:val="none"/>
                      <w:u w:val="none"/>
                      <w:lang w:val="en-US" w:eastAsia="zh-CN"/>
                    </w:rPr>
                    <w:t>0.</w:t>
                  </w:r>
                  <w:r>
                    <w:rPr>
                      <w:rFonts w:hint="eastAsia" w:ascii="Times New Roman" w:hAnsi="Times New Roman" w:eastAsia="宋体" w:cs="Times New Roman"/>
                      <w:b w:val="0"/>
                      <w:bCs w:val="0"/>
                      <w:color w:val="auto"/>
                      <w:kern w:val="2"/>
                      <w:sz w:val="21"/>
                      <w:szCs w:val="21"/>
                      <w:highlight w:val="none"/>
                      <w:u w:val="none"/>
                      <w:lang w:val="en-US" w:eastAsia="zh-CN"/>
                    </w:rPr>
                    <w:t>3</w:t>
                  </w:r>
                </w:p>
              </w:tc>
              <w:tc>
                <w:tcPr>
                  <w:tcW w:w="306" w:type="pct"/>
                  <w:vMerge w:val="restart"/>
                  <w:tcBorders>
                    <w:tl2br w:val="nil"/>
                    <w:tr2bl w:val="nil"/>
                  </w:tcBorders>
                  <w:vAlign w:val="center"/>
                </w:tcPr>
                <w:p w14:paraId="4355BD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b w:val="0"/>
                      <w:bCs w:val="0"/>
                      <w:color w:val="auto"/>
                      <w:kern w:val="2"/>
                      <w:sz w:val="21"/>
                      <w:szCs w:val="21"/>
                      <w:highlight w:val="none"/>
                      <w:u w:val="none"/>
                      <w:lang w:val="en-US" w:eastAsia="zh-CN"/>
                    </w:rPr>
                    <w:t>3300</w:t>
                  </w:r>
                </w:p>
              </w:tc>
              <w:tc>
                <w:tcPr>
                  <w:tcW w:w="267" w:type="pct"/>
                  <w:vMerge w:val="restart"/>
                  <w:tcBorders>
                    <w:tl2br w:val="nil"/>
                    <w:tr2bl w:val="nil"/>
                  </w:tcBorders>
                  <w:vAlign w:val="center"/>
                </w:tcPr>
                <w:p w14:paraId="163B20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0.9</w:t>
                  </w:r>
                  <w:r>
                    <w:rPr>
                      <w:rFonts w:hint="eastAsia" w:ascii="Times New Roman" w:hAnsi="Times New Roman" w:eastAsia="宋体" w:cs="Times New Roman"/>
                      <w:b w:val="0"/>
                      <w:bCs w:val="0"/>
                      <w:color w:val="auto"/>
                      <w:kern w:val="0"/>
                      <w:sz w:val="21"/>
                      <w:szCs w:val="21"/>
                      <w:highlight w:val="none"/>
                      <w:lang w:val="en-US" w:eastAsia="zh-CN" w:bidi="ar-SA"/>
                    </w:rPr>
                    <w:t>92</w:t>
                  </w:r>
                </w:p>
              </w:tc>
              <w:tc>
                <w:tcPr>
                  <w:tcW w:w="259" w:type="pct"/>
                  <w:vMerge w:val="restart"/>
                  <w:tcBorders>
                    <w:tl2br w:val="nil"/>
                    <w:tr2bl w:val="nil"/>
                  </w:tcBorders>
                  <w:vAlign w:val="center"/>
                </w:tcPr>
                <w:p w14:paraId="773DC6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DA001</w:t>
                  </w:r>
                </w:p>
              </w:tc>
              <w:tc>
                <w:tcPr>
                  <w:tcW w:w="225" w:type="pct"/>
                  <w:vMerge w:val="restart"/>
                  <w:tcBorders>
                    <w:tl2br w:val="nil"/>
                    <w:tr2bl w:val="nil"/>
                  </w:tcBorders>
                  <w:vAlign w:val="center"/>
                </w:tcPr>
                <w:p w14:paraId="2D6CD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bidi="ar-SA"/>
                    </w:rPr>
                  </w:pPr>
                  <w:r>
                    <w:rPr>
                      <w:rFonts w:hint="default" w:ascii="Times New Roman" w:hAnsi="Times New Roman" w:eastAsia="宋体" w:cs="Times New Roman"/>
                      <w:b w:val="0"/>
                      <w:bCs w:val="0"/>
                      <w:color w:val="auto"/>
                      <w:kern w:val="2"/>
                      <w:sz w:val="21"/>
                      <w:szCs w:val="21"/>
                      <w:highlight w:val="none"/>
                      <w:u w:val="none"/>
                      <w:lang w:val="en-US" w:eastAsia="zh-CN"/>
                    </w:rPr>
                    <w:t>10</w:t>
                  </w:r>
                </w:p>
              </w:tc>
            </w:tr>
            <w:tr w14:paraId="3EF6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continue"/>
                  <w:tcBorders>
                    <w:tl2br w:val="nil"/>
                    <w:tr2bl w:val="nil"/>
                  </w:tcBorders>
                  <w:shd w:val="clear" w:color="auto" w:fill="auto"/>
                  <w:vAlign w:val="center"/>
                </w:tcPr>
                <w:p w14:paraId="2F1906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70" w:type="pct"/>
                  <w:tcBorders>
                    <w:tl2br w:val="nil"/>
                    <w:tr2bl w:val="nil"/>
                  </w:tcBorders>
                  <w:vAlign w:val="center"/>
                </w:tcPr>
                <w:p w14:paraId="3BF545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破碎粉尘</w:t>
                  </w:r>
                </w:p>
              </w:tc>
              <w:tc>
                <w:tcPr>
                  <w:tcW w:w="322" w:type="pct"/>
                  <w:vMerge w:val="continue"/>
                  <w:tcBorders>
                    <w:tl2br w:val="nil"/>
                    <w:tr2bl w:val="nil"/>
                  </w:tcBorders>
                  <w:vAlign w:val="center"/>
                </w:tcPr>
                <w:p w14:paraId="7CBA93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36" w:type="pct"/>
                  <w:vMerge w:val="continue"/>
                  <w:tcBorders>
                    <w:tl2br w:val="nil"/>
                    <w:tr2bl w:val="nil"/>
                  </w:tcBorders>
                  <w:vAlign w:val="center"/>
                </w:tcPr>
                <w:p w14:paraId="178604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7" w:type="pct"/>
                  <w:tcBorders>
                    <w:tl2br w:val="nil"/>
                    <w:tr2bl w:val="nil"/>
                  </w:tcBorders>
                  <w:vAlign w:val="center"/>
                </w:tcPr>
                <w:p w14:paraId="0DE1C8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lang w:val="en-US" w:eastAsia="zh-CN"/>
                    </w:rPr>
                    <w:t>18.18</w:t>
                  </w:r>
                </w:p>
              </w:tc>
              <w:tc>
                <w:tcPr>
                  <w:tcW w:w="258" w:type="pct"/>
                  <w:vMerge w:val="continue"/>
                  <w:tcBorders>
                    <w:tl2br w:val="nil"/>
                    <w:tr2bl w:val="nil"/>
                  </w:tcBorders>
                  <w:vAlign w:val="center"/>
                </w:tcPr>
                <w:p w14:paraId="72E082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45" w:type="pct"/>
                  <w:vMerge w:val="continue"/>
                  <w:tcBorders>
                    <w:tl2br w:val="nil"/>
                    <w:tr2bl w:val="nil"/>
                  </w:tcBorders>
                  <w:vAlign w:val="center"/>
                </w:tcPr>
                <w:p w14:paraId="30925E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0" w:type="pct"/>
                  <w:vMerge w:val="continue"/>
                  <w:tcBorders>
                    <w:tl2br w:val="nil"/>
                    <w:tr2bl w:val="nil"/>
                  </w:tcBorders>
                  <w:vAlign w:val="center"/>
                </w:tcPr>
                <w:p w14:paraId="0DB7B9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4" w:type="pct"/>
                  <w:tcBorders>
                    <w:tl2br w:val="nil"/>
                    <w:tr2bl w:val="nil"/>
                  </w:tcBorders>
                  <w:vAlign w:val="center"/>
                </w:tcPr>
                <w:p w14:paraId="53750C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100</w:t>
                  </w:r>
                </w:p>
              </w:tc>
              <w:tc>
                <w:tcPr>
                  <w:tcW w:w="352" w:type="pct"/>
                  <w:vMerge w:val="continue"/>
                  <w:tcBorders>
                    <w:tl2br w:val="nil"/>
                    <w:tr2bl w:val="nil"/>
                  </w:tcBorders>
                  <w:vAlign w:val="center"/>
                </w:tcPr>
                <w:p w14:paraId="24CCAA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0" w:type="pct"/>
                  <w:vMerge w:val="continue"/>
                  <w:tcBorders>
                    <w:tl2br w:val="nil"/>
                    <w:tr2bl w:val="nil"/>
                  </w:tcBorders>
                  <w:vAlign w:val="center"/>
                </w:tcPr>
                <w:p w14:paraId="4BBF73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5" w:type="pct"/>
                  <w:vMerge w:val="continue"/>
                  <w:tcBorders>
                    <w:tl2br w:val="nil"/>
                    <w:tr2bl w:val="nil"/>
                  </w:tcBorders>
                  <w:vAlign w:val="center"/>
                </w:tcPr>
                <w:p w14:paraId="0A9B59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81" w:type="pct"/>
                  <w:vMerge w:val="continue"/>
                  <w:tcBorders>
                    <w:tl2br w:val="nil"/>
                    <w:tr2bl w:val="nil"/>
                  </w:tcBorders>
                  <w:vAlign w:val="center"/>
                </w:tcPr>
                <w:p w14:paraId="6B165B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6" w:type="pct"/>
                  <w:vMerge w:val="continue"/>
                  <w:tcBorders>
                    <w:tl2br w:val="nil"/>
                    <w:tr2bl w:val="nil"/>
                  </w:tcBorders>
                  <w:vAlign w:val="center"/>
                </w:tcPr>
                <w:p w14:paraId="1EBF7C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7" w:type="pct"/>
                  <w:vMerge w:val="continue"/>
                  <w:tcBorders>
                    <w:tl2br w:val="nil"/>
                    <w:tr2bl w:val="nil"/>
                  </w:tcBorders>
                  <w:vAlign w:val="center"/>
                </w:tcPr>
                <w:p w14:paraId="4E13CE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59" w:type="pct"/>
                  <w:vMerge w:val="continue"/>
                  <w:tcBorders>
                    <w:tl2br w:val="nil"/>
                    <w:tr2bl w:val="nil"/>
                  </w:tcBorders>
                  <w:vAlign w:val="center"/>
                </w:tcPr>
                <w:p w14:paraId="182735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25" w:type="pct"/>
                  <w:vMerge w:val="continue"/>
                  <w:tcBorders>
                    <w:tl2br w:val="nil"/>
                    <w:tr2bl w:val="nil"/>
                  </w:tcBorders>
                  <w:vAlign w:val="center"/>
                </w:tcPr>
                <w:p w14:paraId="5361C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r>
            <w:tr w14:paraId="5B5A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continue"/>
                  <w:tcBorders>
                    <w:tl2br w:val="nil"/>
                    <w:tr2bl w:val="nil"/>
                  </w:tcBorders>
                  <w:shd w:val="clear" w:color="auto" w:fill="auto"/>
                  <w:vAlign w:val="center"/>
                </w:tcPr>
                <w:p w14:paraId="236277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70" w:type="pct"/>
                  <w:tcBorders>
                    <w:tl2br w:val="nil"/>
                    <w:tr2bl w:val="nil"/>
                  </w:tcBorders>
                  <w:vAlign w:val="center"/>
                </w:tcPr>
                <w:p w14:paraId="345FB6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筛分粉尘</w:t>
                  </w:r>
                </w:p>
              </w:tc>
              <w:tc>
                <w:tcPr>
                  <w:tcW w:w="322" w:type="pct"/>
                  <w:vMerge w:val="continue"/>
                  <w:tcBorders>
                    <w:tl2br w:val="nil"/>
                    <w:tr2bl w:val="nil"/>
                  </w:tcBorders>
                  <w:vAlign w:val="center"/>
                </w:tcPr>
                <w:p w14:paraId="48BDA1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36" w:type="pct"/>
                  <w:vMerge w:val="continue"/>
                  <w:tcBorders>
                    <w:tl2br w:val="nil"/>
                    <w:tr2bl w:val="nil"/>
                  </w:tcBorders>
                  <w:vAlign w:val="center"/>
                </w:tcPr>
                <w:p w14:paraId="10927B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7" w:type="pct"/>
                  <w:tcBorders>
                    <w:tl2br w:val="nil"/>
                    <w:tr2bl w:val="nil"/>
                  </w:tcBorders>
                  <w:vAlign w:val="center"/>
                </w:tcPr>
                <w:p w14:paraId="3FB547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20</w:t>
                  </w:r>
                </w:p>
              </w:tc>
              <w:tc>
                <w:tcPr>
                  <w:tcW w:w="258" w:type="pct"/>
                  <w:vMerge w:val="continue"/>
                  <w:tcBorders>
                    <w:tl2br w:val="nil"/>
                    <w:tr2bl w:val="nil"/>
                  </w:tcBorders>
                  <w:vAlign w:val="center"/>
                </w:tcPr>
                <w:p w14:paraId="432F64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45" w:type="pct"/>
                  <w:vMerge w:val="continue"/>
                  <w:tcBorders>
                    <w:tl2br w:val="nil"/>
                    <w:tr2bl w:val="nil"/>
                  </w:tcBorders>
                  <w:vAlign w:val="center"/>
                </w:tcPr>
                <w:p w14:paraId="4CFEFF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0" w:type="pct"/>
                  <w:vMerge w:val="continue"/>
                  <w:tcBorders>
                    <w:tl2br w:val="nil"/>
                    <w:tr2bl w:val="nil"/>
                  </w:tcBorders>
                  <w:vAlign w:val="center"/>
                </w:tcPr>
                <w:p w14:paraId="53FDFB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4" w:type="pct"/>
                  <w:tcBorders>
                    <w:tl2br w:val="nil"/>
                    <w:tr2bl w:val="nil"/>
                  </w:tcBorders>
                  <w:vAlign w:val="center"/>
                </w:tcPr>
                <w:p w14:paraId="1184AD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100</w:t>
                  </w:r>
                </w:p>
              </w:tc>
              <w:tc>
                <w:tcPr>
                  <w:tcW w:w="352" w:type="pct"/>
                  <w:vMerge w:val="continue"/>
                  <w:tcBorders>
                    <w:tl2br w:val="nil"/>
                    <w:tr2bl w:val="nil"/>
                  </w:tcBorders>
                  <w:vAlign w:val="center"/>
                </w:tcPr>
                <w:p w14:paraId="1A111E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0" w:type="pct"/>
                  <w:vMerge w:val="continue"/>
                  <w:tcBorders>
                    <w:tl2br w:val="nil"/>
                    <w:tr2bl w:val="nil"/>
                  </w:tcBorders>
                  <w:vAlign w:val="center"/>
                </w:tcPr>
                <w:p w14:paraId="7E27C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5" w:type="pct"/>
                  <w:vMerge w:val="continue"/>
                  <w:tcBorders>
                    <w:tl2br w:val="nil"/>
                    <w:tr2bl w:val="nil"/>
                  </w:tcBorders>
                  <w:vAlign w:val="center"/>
                </w:tcPr>
                <w:p w14:paraId="67A06A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81" w:type="pct"/>
                  <w:vMerge w:val="continue"/>
                  <w:tcBorders>
                    <w:tl2br w:val="nil"/>
                    <w:tr2bl w:val="nil"/>
                  </w:tcBorders>
                  <w:vAlign w:val="center"/>
                </w:tcPr>
                <w:p w14:paraId="773E77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6" w:type="pct"/>
                  <w:vMerge w:val="continue"/>
                  <w:tcBorders>
                    <w:tl2br w:val="nil"/>
                    <w:tr2bl w:val="nil"/>
                  </w:tcBorders>
                  <w:vAlign w:val="center"/>
                </w:tcPr>
                <w:p w14:paraId="741896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7" w:type="pct"/>
                  <w:vMerge w:val="continue"/>
                  <w:tcBorders>
                    <w:tl2br w:val="nil"/>
                    <w:tr2bl w:val="nil"/>
                  </w:tcBorders>
                  <w:vAlign w:val="center"/>
                </w:tcPr>
                <w:p w14:paraId="73DBF6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59" w:type="pct"/>
                  <w:vMerge w:val="continue"/>
                  <w:tcBorders>
                    <w:tl2br w:val="nil"/>
                    <w:tr2bl w:val="nil"/>
                  </w:tcBorders>
                  <w:vAlign w:val="center"/>
                </w:tcPr>
                <w:p w14:paraId="066FB2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25" w:type="pct"/>
                  <w:vMerge w:val="continue"/>
                  <w:tcBorders>
                    <w:tl2br w:val="nil"/>
                    <w:tr2bl w:val="nil"/>
                  </w:tcBorders>
                  <w:vAlign w:val="center"/>
                </w:tcPr>
                <w:p w14:paraId="4C1C3E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r>
            <w:tr w14:paraId="1D88A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continue"/>
                  <w:tcBorders>
                    <w:tl2br w:val="nil"/>
                    <w:tr2bl w:val="nil"/>
                  </w:tcBorders>
                  <w:shd w:val="clear" w:color="auto" w:fill="auto"/>
                  <w:vAlign w:val="center"/>
                </w:tcPr>
                <w:p w14:paraId="6E371C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70" w:type="pct"/>
                  <w:tcBorders>
                    <w:tl2br w:val="nil"/>
                    <w:tr2bl w:val="nil"/>
                  </w:tcBorders>
                  <w:vAlign w:val="center"/>
                </w:tcPr>
                <w:p w14:paraId="4EA6CB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破碎粉尘</w:t>
                  </w:r>
                </w:p>
              </w:tc>
              <w:tc>
                <w:tcPr>
                  <w:tcW w:w="322" w:type="pct"/>
                  <w:vMerge w:val="continue"/>
                  <w:tcBorders>
                    <w:tl2br w:val="nil"/>
                    <w:tr2bl w:val="nil"/>
                  </w:tcBorders>
                  <w:vAlign w:val="center"/>
                </w:tcPr>
                <w:p w14:paraId="521B5A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p>
              </w:tc>
              <w:tc>
                <w:tcPr>
                  <w:tcW w:w="336" w:type="pct"/>
                  <w:vMerge w:val="continue"/>
                  <w:tcBorders>
                    <w:tl2br w:val="nil"/>
                    <w:tr2bl w:val="nil"/>
                  </w:tcBorders>
                  <w:vAlign w:val="center"/>
                </w:tcPr>
                <w:p w14:paraId="0524EE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7" w:type="pct"/>
                  <w:tcBorders>
                    <w:tl2br w:val="nil"/>
                    <w:tr2bl w:val="nil"/>
                  </w:tcBorders>
                  <w:vAlign w:val="center"/>
                </w:tcPr>
                <w:p w14:paraId="0EF7DC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20</w:t>
                  </w:r>
                </w:p>
              </w:tc>
              <w:tc>
                <w:tcPr>
                  <w:tcW w:w="258" w:type="pct"/>
                  <w:vMerge w:val="continue"/>
                  <w:tcBorders>
                    <w:tl2br w:val="nil"/>
                    <w:tr2bl w:val="nil"/>
                  </w:tcBorders>
                  <w:vAlign w:val="center"/>
                </w:tcPr>
                <w:p w14:paraId="3FA11F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45" w:type="pct"/>
                  <w:vMerge w:val="continue"/>
                  <w:tcBorders>
                    <w:tl2br w:val="nil"/>
                    <w:tr2bl w:val="nil"/>
                  </w:tcBorders>
                  <w:vAlign w:val="center"/>
                </w:tcPr>
                <w:p w14:paraId="6EA054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0" w:type="pct"/>
                  <w:vMerge w:val="continue"/>
                  <w:tcBorders>
                    <w:tl2br w:val="nil"/>
                    <w:tr2bl w:val="nil"/>
                  </w:tcBorders>
                  <w:vAlign w:val="center"/>
                </w:tcPr>
                <w:p w14:paraId="1DC57F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4" w:type="pct"/>
                  <w:tcBorders>
                    <w:tl2br w:val="nil"/>
                    <w:tr2bl w:val="nil"/>
                  </w:tcBorders>
                  <w:vAlign w:val="center"/>
                </w:tcPr>
                <w:p w14:paraId="6FCE0F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100</w:t>
                  </w:r>
                </w:p>
              </w:tc>
              <w:tc>
                <w:tcPr>
                  <w:tcW w:w="352" w:type="pct"/>
                  <w:vMerge w:val="continue"/>
                  <w:tcBorders>
                    <w:tl2br w:val="nil"/>
                    <w:tr2bl w:val="nil"/>
                  </w:tcBorders>
                  <w:vAlign w:val="center"/>
                </w:tcPr>
                <w:p w14:paraId="3CF347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0" w:type="pct"/>
                  <w:vMerge w:val="continue"/>
                  <w:tcBorders>
                    <w:tl2br w:val="nil"/>
                    <w:tr2bl w:val="nil"/>
                  </w:tcBorders>
                  <w:vAlign w:val="center"/>
                </w:tcPr>
                <w:p w14:paraId="501CB3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25" w:type="pct"/>
                  <w:vMerge w:val="continue"/>
                  <w:tcBorders>
                    <w:tl2br w:val="nil"/>
                    <w:tr2bl w:val="nil"/>
                  </w:tcBorders>
                  <w:vAlign w:val="center"/>
                </w:tcPr>
                <w:p w14:paraId="609721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81" w:type="pct"/>
                  <w:vMerge w:val="continue"/>
                  <w:tcBorders>
                    <w:tl2br w:val="nil"/>
                    <w:tr2bl w:val="nil"/>
                  </w:tcBorders>
                  <w:vAlign w:val="center"/>
                </w:tcPr>
                <w:p w14:paraId="48EEE8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306" w:type="pct"/>
                  <w:vMerge w:val="continue"/>
                  <w:tcBorders>
                    <w:tl2br w:val="nil"/>
                    <w:tr2bl w:val="nil"/>
                  </w:tcBorders>
                  <w:vAlign w:val="center"/>
                </w:tcPr>
                <w:p w14:paraId="1090CB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67" w:type="pct"/>
                  <w:vMerge w:val="continue"/>
                  <w:tcBorders>
                    <w:tl2br w:val="nil"/>
                    <w:tr2bl w:val="nil"/>
                  </w:tcBorders>
                  <w:vAlign w:val="center"/>
                </w:tcPr>
                <w:p w14:paraId="30D787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59" w:type="pct"/>
                  <w:vMerge w:val="continue"/>
                  <w:tcBorders>
                    <w:tl2br w:val="nil"/>
                    <w:tr2bl w:val="nil"/>
                  </w:tcBorders>
                  <w:vAlign w:val="center"/>
                </w:tcPr>
                <w:p w14:paraId="7EBEE5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225" w:type="pct"/>
                  <w:vMerge w:val="continue"/>
                  <w:tcBorders>
                    <w:tl2br w:val="nil"/>
                    <w:tr2bl w:val="nil"/>
                  </w:tcBorders>
                  <w:vAlign w:val="center"/>
                </w:tcPr>
                <w:p w14:paraId="328AE4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r>
            <w:tr w14:paraId="40295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restart"/>
                  <w:tcBorders>
                    <w:tl2br w:val="nil"/>
                    <w:tr2bl w:val="nil"/>
                  </w:tcBorders>
                  <w:shd w:val="clear" w:color="auto" w:fill="auto"/>
                  <w:vAlign w:val="center"/>
                </w:tcPr>
                <w:p w14:paraId="09A19E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4</w:t>
                  </w:r>
                </w:p>
              </w:tc>
              <w:tc>
                <w:tcPr>
                  <w:tcW w:w="370" w:type="pct"/>
                  <w:tcBorders>
                    <w:tl2br w:val="nil"/>
                    <w:tr2bl w:val="nil"/>
                  </w:tcBorders>
                  <w:vAlign w:val="center"/>
                </w:tcPr>
                <w:p w14:paraId="191E22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制砂废气</w:t>
                  </w:r>
                </w:p>
              </w:tc>
              <w:tc>
                <w:tcPr>
                  <w:tcW w:w="322" w:type="pct"/>
                  <w:vMerge w:val="restart"/>
                  <w:tcBorders>
                    <w:tl2br w:val="nil"/>
                    <w:tr2bl w:val="nil"/>
                  </w:tcBorders>
                  <w:vAlign w:val="center"/>
                </w:tcPr>
                <w:p w14:paraId="598460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336" w:type="pct"/>
                  <w:vMerge w:val="restart"/>
                  <w:tcBorders>
                    <w:tl2br w:val="nil"/>
                    <w:tr2bl w:val="nil"/>
                  </w:tcBorders>
                  <w:vAlign w:val="center"/>
                </w:tcPr>
                <w:p w14:paraId="2D9873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1914</w:t>
                  </w:r>
                </w:p>
              </w:tc>
              <w:tc>
                <w:tcPr>
                  <w:tcW w:w="307" w:type="pct"/>
                  <w:tcBorders>
                    <w:tl2br w:val="nil"/>
                    <w:tr2bl w:val="nil"/>
                  </w:tcBorders>
                  <w:vAlign w:val="center"/>
                </w:tcPr>
                <w:p w14:paraId="407D2A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20</w:t>
                  </w:r>
                </w:p>
              </w:tc>
              <w:tc>
                <w:tcPr>
                  <w:tcW w:w="258" w:type="pct"/>
                  <w:vMerge w:val="restart"/>
                  <w:tcBorders>
                    <w:tl2br w:val="nil"/>
                    <w:tr2bl w:val="nil"/>
                  </w:tcBorders>
                  <w:vAlign w:val="center"/>
                </w:tcPr>
                <w:p w14:paraId="316872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有组织</w:t>
                  </w:r>
                </w:p>
              </w:tc>
              <w:tc>
                <w:tcPr>
                  <w:tcW w:w="345" w:type="pct"/>
                  <w:vMerge w:val="restart"/>
                  <w:tcBorders>
                    <w:tl2br w:val="nil"/>
                    <w:tr2bl w:val="nil"/>
                  </w:tcBorders>
                  <w:vAlign w:val="center"/>
                </w:tcPr>
                <w:p w14:paraId="0453D5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袋式除尘</w:t>
                  </w:r>
                </w:p>
              </w:tc>
              <w:tc>
                <w:tcPr>
                  <w:tcW w:w="260" w:type="pct"/>
                  <w:vMerge w:val="restart"/>
                  <w:tcBorders>
                    <w:tl2br w:val="nil"/>
                    <w:tr2bl w:val="nil"/>
                  </w:tcBorders>
                  <w:vAlign w:val="center"/>
                </w:tcPr>
                <w:p w14:paraId="6879CD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snapToGrid w:val="0"/>
                      <w:color w:val="auto"/>
                      <w:sz w:val="21"/>
                      <w:szCs w:val="21"/>
                      <w:highlight w:val="none"/>
                      <w:lang w:val="en-US" w:eastAsia="zh-CN"/>
                    </w:rPr>
                    <w:t>20900</w:t>
                  </w:r>
                </w:p>
              </w:tc>
              <w:tc>
                <w:tcPr>
                  <w:tcW w:w="304" w:type="pct"/>
                  <w:vMerge w:val="restart"/>
                  <w:tcBorders>
                    <w:tl2br w:val="nil"/>
                    <w:tr2bl w:val="nil"/>
                  </w:tcBorders>
                  <w:vAlign w:val="center"/>
                </w:tcPr>
                <w:p w14:paraId="540ECD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100</w:t>
                  </w:r>
                </w:p>
              </w:tc>
              <w:tc>
                <w:tcPr>
                  <w:tcW w:w="352" w:type="pct"/>
                  <w:vMerge w:val="restart"/>
                  <w:tcBorders>
                    <w:tl2br w:val="nil"/>
                    <w:tr2bl w:val="nil"/>
                  </w:tcBorders>
                  <w:vAlign w:val="center"/>
                </w:tcPr>
                <w:p w14:paraId="50FD9A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99.5</w:t>
                  </w:r>
                </w:p>
              </w:tc>
              <w:tc>
                <w:tcPr>
                  <w:tcW w:w="320" w:type="pct"/>
                  <w:vMerge w:val="restart"/>
                  <w:tcBorders>
                    <w:tl2br w:val="nil"/>
                    <w:tr2bl w:val="nil"/>
                  </w:tcBorders>
                  <w:vAlign w:val="center"/>
                </w:tcPr>
                <w:p w14:paraId="54ECF1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是</w:t>
                  </w:r>
                </w:p>
              </w:tc>
              <w:tc>
                <w:tcPr>
                  <w:tcW w:w="325" w:type="pct"/>
                  <w:vMerge w:val="restart"/>
                  <w:tcBorders>
                    <w:tl2br w:val="nil"/>
                    <w:tr2bl w:val="nil"/>
                  </w:tcBorders>
                  <w:vAlign w:val="center"/>
                </w:tcPr>
                <w:p w14:paraId="00B8A0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b w:val="0"/>
                      <w:bCs w:val="0"/>
                      <w:color w:val="auto"/>
                      <w:kern w:val="2"/>
                      <w:sz w:val="21"/>
                      <w:szCs w:val="21"/>
                      <w:highlight w:val="none"/>
                      <w:u w:val="none"/>
                      <w:lang w:val="en-US" w:eastAsia="zh-CN"/>
                    </w:rPr>
                    <w:t>10</w:t>
                  </w:r>
                </w:p>
              </w:tc>
              <w:tc>
                <w:tcPr>
                  <w:tcW w:w="281" w:type="pct"/>
                  <w:vMerge w:val="restart"/>
                  <w:tcBorders>
                    <w:tl2br w:val="nil"/>
                    <w:tr2bl w:val="nil"/>
                  </w:tcBorders>
                  <w:vAlign w:val="center"/>
                </w:tcPr>
                <w:p w14:paraId="2DDBF8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0.2</w:t>
                  </w:r>
                </w:p>
              </w:tc>
              <w:tc>
                <w:tcPr>
                  <w:tcW w:w="306" w:type="pct"/>
                  <w:vMerge w:val="restart"/>
                  <w:tcBorders>
                    <w:tl2br w:val="nil"/>
                    <w:tr2bl w:val="nil"/>
                  </w:tcBorders>
                  <w:vAlign w:val="center"/>
                </w:tcPr>
                <w:p w14:paraId="5604CE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b w:val="0"/>
                      <w:bCs w:val="0"/>
                      <w:color w:val="auto"/>
                      <w:kern w:val="2"/>
                      <w:sz w:val="21"/>
                      <w:szCs w:val="21"/>
                      <w:highlight w:val="none"/>
                      <w:u w:val="none"/>
                      <w:lang w:val="en-US" w:eastAsia="zh-CN"/>
                    </w:rPr>
                    <w:t>3300</w:t>
                  </w:r>
                </w:p>
              </w:tc>
              <w:tc>
                <w:tcPr>
                  <w:tcW w:w="267" w:type="pct"/>
                  <w:vMerge w:val="restart"/>
                  <w:tcBorders>
                    <w:tl2br w:val="nil"/>
                    <w:tr2bl w:val="nil"/>
                  </w:tcBorders>
                  <w:vAlign w:val="center"/>
                </w:tcPr>
                <w:p w14:paraId="15EFD9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Cs/>
                      <w:color w:val="auto"/>
                      <w:sz w:val="21"/>
                      <w:szCs w:val="21"/>
                      <w:lang w:val="en-US" w:eastAsia="zh-CN"/>
                    </w:rPr>
                    <w:t>0.69</w:t>
                  </w:r>
                </w:p>
              </w:tc>
              <w:tc>
                <w:tcPr>
                  <w:tcW w:w="259" w:type="pct"/>
                  <w:vMerge w:val="restart"/>
                  <w:tcBorders>
                    <w:tl2br w:val="nil"/>
                    <w:tr2bl w:val="nil"/>
                  </w:tcBorders>
                  <w:vAlign w:val="center"/>
                </w:tcPr>
                <w:p w14:paraId="59BE07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DA002</w:t>
                  </w:r>
                </w:p>
              </w:tc>
              <w:tc>
                <w:tcPr>
                  <w:tcW w:w="225" w:type="pct"/>
                  <w:vMerge w:val="restart"/>
                  <w:tcBorders>
                    <w:tl2br w:val="nil"/>
                    <w:tr2bl w:val="nil"/>
                  </w:tcBorders>
                  <w:vAlign w:val="center"/>
                </w:tcPr>
                <w:p w14:paraId="1AFF08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val="0"/>
                      <w:color w:val="auto"/>
                      <w:kern w:val="2"/>
                      <w:sz w:val="21"/>
                      <w:szCs w:val="21"/>
                      <w:highlight w:val="none"/>
                      <w:u w:val="none"/>
                      <w:lang w:val="en-US" w:eastAsia="zh-CN"/>
                    </w:rPr>
                  </w:pPr>
                  <w:r>
                    <w:rPr>
                      <w:rFonts w:hint="default" w:ascii="Times New Roman" w:hAnsi="Times New Roman" w:eastAsia="宋体" w:cs="Times New Roman"/>
                      <w:b w:val="0"/>
                      <w:bCs w:val="0"/>
                      <w:color w:val="auto"/>
                      <w:kern w:val="2"/>
                      <w:sz w:val="21"/>
                      <w:szCs w:val="21"/>
                      <w:highlight w:val="none"/>
                      <w:u w:val="none"/>
                      <w:lang w:val="en-US" w:eastAsia="zh-CN"/>
                    </w:rPr>
                    <w:t>10</w:t>
                  </w:r>
                </w:p>
              </w:tc>
            </w:tr>
            <w:tr w14:paraId="3F4D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vMerge w:val="continue"/>
                  <w:tcBorders>
                    <w:tl2br w:val="nil"/>
                    <w:tr2bl w:val="nil"/>
                  </w:tcBorders>
                  <w:shd w:val="clear" w:color="auto" w:fill="auto"/>
                  <w:vAlign w:val="center"/>
                </w:tcPr>
                <w:p w14:paraId="5AE3D1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370" w:type="pct"/>
                  <w:tcBorders>
                    <w:tl2br w:val="nil"/>
                    <w:tr2bl w:val="nil"/>
                  </w:tcBorders>
                  <w:vAlign w:val="center"/>
                </w:tcPr>
                <w:p w14:paraId="1E6010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2"/>
                      <w:sz w:val="21"/>
                      <w:szCs w:val="21"/>
                      <w:highlight w:val="none"/>
                      <w:lang w:val="en-US" w:eastAsia="zh-CN" w:bidi="ar-SA"/>
                    </w:rPr>
                    <w:t>筛分废气</w:t>
                  </w:r>
                </w:p>
              </w:tc>
              <w:tc>
                <w:tcPr>
                  <w:tcW w:w="322" w:type="pct"/>
                  <w:vMerge w:val="continue"/>
                  <w:tcBorders>
                    <w:tl2br w:val="nil"/>
                    <w:tr2bl w:val="nil"/>
                  </w:tcBorders>
                  <w:vAlign w:val="center"/>
                </w:tcPr>
                <w:p w14:paraId="644E76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336" w:type="pct"/>
                  <w:vMerge w:val="continue"/>
                  <w:tcBorders>
                    <w:tl2br w:val="nil"/>
                    <w:tr2bl w:val="nil"/>
                  </w:tcBorders>
                  <w:vAlign w:val="center"/>
                </w:tcPr>
                <w:p w14:paraId="623027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rPr>
                  </w:pPr>
                </w:p>
              </w:tc>
              <w:tc>
                <w:tcPr>
                  <w:tcW w:w="307" w:type="pct"/>
                  <w:tcBorders>
                    <w:tl2br w:val="nil"/>
                    <w:tr2bl w:val="nil"/>
                  </w:tcBorders>
                  <w:vAlign w:val="center"/>
                </w:tcPr>
                <w:p w14:paraId="2AFB16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kern w:val="2"/>
                      <w:sz w:val="21"/>
                      <w:szCs w:val="21"/>
                      <w:highlight w:val="none"/>
                      <w:lang w:val="en-US" w:eastAsia="zh-CN" w:bidi="ar-SA"/>
                    </w:rPr>
                    <w:t>20</w:t>
                  </w:r>
                </w:p>
              </w:tc>
              <w:tc>
                <w:tcPr>
                  <w:tcW w:w="258" w:type="pct"/>
                  <w:vMerge w:val="continue"/>
                  <w:tcBorders>
                    <w:tl2br w:val="nil"/>
                    <w:tr2bl w:val="nil"/>
                  </w:tcBorders>
                  <w:vAlign w:val="center"/>
                </w:tcPr>
                <w:p w14:paraId="00628D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45" w:type="pct"/>
                  <w:vMerge w:val="continue"/>
                  <w:tcBorders>
                    <w:tl2br w:val="nil"/>
                    <w:tr2bl w:val="nil"/>
                  </w:tcBorders>
                  <w:vAlign w:val="center"/>
                </w:tcPr>
                <w:p w14:paraId="0BDF1A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60" w:type="pct"/>
                  <w:vMerge w:val="continue"/>
                  <w:tcBorders>
                    <w:tl2br w:val="nil"/>
                    <w:tr2bl w:val="nil"/>
                  </w:tcBorders>
                  <w:vAlign w:val="center"/>
                </w:tcPr>
                <w:p w14:paraId="46CA2B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04" w:type="pct"/>
                  <w:vMerge w:val="continue"/>
                  <w:tcBorders>
                    <w:tl2br w:val="nil"/>
                    <w:tr2bl w:val="nil"/>
                  </w:tcBorders>
                  <w:vAlign w:val="center"/>
                </w:tcPr>
                <w:p w14:paraId="09507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52" w:type="pct"/>
                  <w:vMerge w:val="continue"/>
                  <w:tcBorders>
                    <w:tl2br w:val="nil"/>
                    <w:tr2bl w:val="nil"/>
                  </w:tcBorders>
                  <w:vAlign w:val="center"/>
                </w:tcPr>
                <w:p w14:paraId="584C04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20" w:type="pct"/>
                  <w:vMerge w:val="continue"/>
                  <w:tcBorders>
                    <w:tl2br w:val="nil"/>
                    <w:tr2bl w:val="nil"/>
                  </w:tcBorders>
                  <w:vAlign w:val="center"/>
                </w:tcPr>
                <w:p w14:paraId="0507BA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25" w:type="pct"/>
                  <w:vMerge w:val="continue"/>
                  <w:tcBorders>
                    <w:tl2br w:val="nil"/>
                    <w:tr2bl w:val="nil"/>
                  </w:tcBorders>
                  <w:vAlign w:val="center"/>
                </w:tcPr>
                <w:p w14:paraId="0DB18A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81" w:type="pct"/>
                  <w:vMerge w:val="continue"/>
                  <w:tcBorders>
                    <w:tl2br w:val="nil"/>
                    <w:tr2bl w:val="nil"/>
                  </w:tcBorders>
                  <w:vAlign w:val="center"/>
                </w:tcPr>
                <w:p w14:paraId="5BCD27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306" w:type="pct"/>
                  <w:vMerge w:val="continue"/>
                  <w:tcBorders>
                    <w:tl2br w:val="nil"/>
                    <w:tr2bl w:val="nil"/>
                  </w:tcBorders>
                  <w:vAlign w:val="center"/>
                </w:tcPr>
                <w:p w14:paraId="0912CE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67" w:type="pct"/>
                  <w:vMerge w:val="continue"/>
                  <w:tcBorders>
                    <w:tl2br w:val="nil"/>
                    <w:tr2bl w:val="nil"/>
                  </w:tcBorders>
                  <w:vAlign w:val="center"/>
                </w:tcPr>
                <w:p w14:paraId="27E78F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59" w:type="pct"/>
                  <w:vMerge w:val="continue"/>
                  <w:tcBorders>
                    <w:tl2br w:val="nil"/>
                    <w:tr2bl w:val="nil"/>
                  </w:tcBorders>
                  <w:vAlign w:val="center"/>
                </w:tcPr>
                <w:p w14:paraId="64431E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225" w:type="pct"/>
                  <w:vMerge w:val="continue"/>
                  <w:tcBorders>
                    <w:tl2br w:val="nil"/>
                    <w:tr2bl w:val="nil"/>
                  </w:tcBorders>
                  <w:vAlign w:val="center"/>
                </w:tcPr>
                <w:p w14:paraId="5C4B72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r>
            <w:tr w14:paraId="377B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157" w:type="pct"/>
                  <w:tcBorders>
                    <w:tl2br w:val="nil"/>
                    <w:tr2bl w:val="nil"/>
                  </w:tcBorders>
                  <w:shd w:val="clear" w:color="auto" w:fill="auto"/>
                  <w:vAlign w:val="center"/>
                </w:tcPr>
                <w:p w14:paraId="3351AA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2"/>
                      <w:sz w:val="21"/>
                      <w:szCs w:val="21"/>
                      <w:highlight w:val="none"/>
                      <w:lang w:val="en-US" w:eastAsia="zh-CN" w:bidi="ar-SA"/>
                    </w:rPr>
                    <w:t>5</w:t>
                  </w:r>
                </w:p>
              </w:tc>
              <w:tc>
                <w:tcPr>
                  <w:tcW w:w="370" w:type="pct"/>
                  <w:tcBorders>
                    <w:tl2br w:val="nil"/>
                    <w:tr2bl w:val="nil"/>
                  </w:tcBorders>
                  <w:vAlign w:val="center"/>
                </w:tcPr>
                <w:p w14:paraId="7D6C3E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物料转载输送废气</w:t>
                  </w:r>
                </w:p>
              </w:tc>
              <w:tc>
                <w:tcPr>
                  <w:tcW w:w="322" w:type="pct"/>
                  <w:tcBorders>
                    <w:tl2br w:val="nil"/>
                    <w:tr2bl w:val="nil"/>
                  </w:tcBorders>
                  <w:vAlign w:val="center"/>
                </w:tcPr>
                <w:p w14:paraId="14CA4F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2"/>
                      <w:sz w:val="21"/>
                      <w:szCs w:val="21"/>
                      <w:highlight w:val="none"/>
                      <w:lang w:val="en-US" w:eastAsia="zh-CN" w:bidi="ar-SA"/>
                    </w:rPr>
                    <w:t>颗粒物</w:t>
                  </w:r>
                </w:p>
              </w:tc>
              <w:tc>
                <w:tcPr>
                  <w:tcW w:w="336" w:type="pct"/>
                  <w:tcBorders>
                    <w:tl2br w:val="nil"/>
                    <w:tr2bl w:val="nil"/>
                  </w:tcBorders>
                  <w:vAlign w:val="center"/>
                </w:tcPr>
                <w:p w14:paraId="021765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307" w:type="pct"/>
                  <w:tcBorders>
                    <w:tl2br w:val="nil"/>
                    <w:tr2bl w:val="nil"/>
                  </w:tcBorders>
                  <w:vAlign w:val="center"/>
                </w:tcPr>
                <w:p w14:paraId="62A50A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58" w:type="pct"/>
                  <w:tcBorders>
                    <w:tl2br w:val="nil"/>
                    <w:tr2bl w:val="nil"/>
                  </w:tcBorders>
                  <w:vAlign w:val="center"/>
                </w:tcPr>
                <w:p w14:paraId="1CFE6A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无组织</w:t>
                  </w:r>
                </w:p>
              </w:tc>
              <w:tc>
                <w:tcPr>
                  <w:tcW w:w="1261" w:type="pct"/>
                  <w:gridSpan w:val="4"/>
                  <w:tcBorders>
                    <w:tl2br w:val="nil"/>
                    <w:tr2bl w:val="nil"/>
                  </w:tcBorders>
                  <w:vAlign w:val="center"/>
                </w:tcPr>
                <w:p w14:paraId="6B72E2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采用全封闭皮带输送，皮带转运跌落点降低高度，并设置固定式雾化喷头</w:t>
                  </w:r>
                </w:p>
              </w:tc>
              <w:tc>
                <w:tcPr>
                  <w:tcW w:w="320" w:type="pct"/>
                  <w:tcBorders>
                    <w:tl2br w:val="nil"/>
                    <w:tr2bl w:val="nil"/>
                  </w:tcBorders>
                  <w:vAlign w:val="center"/>
                </w:tcPr>
                <w:p w14:paraId="2AC0C8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是</w:t>
                  </w:r>
                </w:p>
              </w:tc>
              <w:tc>
                <w:tcPr>
                  <w:tcW w:w="325" w:type="pct"/>
                  <w:tcBorders>
                    <w:tl2br w:val="nil"/>
                    <w:tr2bl w:val="nil"/>
                  </w:tcBorders>
                  <w:vAlign w:val="center"/>
                </w:tcPr>
                <w:p w14:paraId="07D118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81" w:type="pct"/>
                  <w:tcBorders>
                    <w:tl2br w:val="nil"/>
                    <w:tr2bl w:val="nil"/>
                  </w:tcBorders>
                  <w:vAlign w:val="center"/>
                </w:tcPr>
                <w:p w14:paraId="2599F4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306" w:type="pct"/>
                  <w:tcBorders>
                    <w:tl2br w:val="nil"/>
                    <w:tr2bl w:val="nil"/>
                  </w:tcBorders>
                  <w:vAlign w:val="center"/>
                </w:tcPr>
                <w:p w14:paraId="25A7B0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67" w:type="pct"/>
                  <w:tcBorders>
                    <w:tl2br w:val="nil"/>
                    <w:tr2bl w:val="nil"/>
                  </w:tcBorders>
                  <w:vAlign w:val="center"/>
                </w:tcPr>
                <w:p w14:paraId="4775F2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59" w:type="pct"/>
                  <w:tcBorders>
                    <w:tl2br w:val="nil"/>
                    <w:tr2bl w:val="nil"/>
                  </w:tcBorders>
                  <w:vAlign w:val="center"/>
                </w:tcPr>
                <w:p w14:paraId="4C092F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w:t>
                  </w:r>
                </w:p>
              </w:tc>
              <w:tc>
                <w:tcPr>
                  <w:tcW w:w="225" w:type="pct"/>
                  <w:tcBorders>
                    <w:tl2br w:val="nil"/>
                    <w:tr2bl w:val="nil"/>
                  </w:tcBorders>
                  <w:vAlign w:val="center"/>
                </w:tcPr>
                <w:p w14:paraId="302400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1.0</w:t>
                  </w:r>
                </w:p>
              </w:tc>
            </w:tr>
          </w:tbl>
          <w:p w14:paraId="78AAA9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z w:val="21"/>
                <w:szCs w:val="16"/>
                <w:highlight w:val="none"/>
                <w:lang w:val="en-US" w:eastAsia="zh-CN"/>
              </w:rPr>
            </w:pPr>
          </w:p>
          <w:p w14:paraId="1DA57D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20476838">
      <w:pPr>
        <w:rPr>
          <w:color w:val="auto"/>
          <w:highlight w:val="none"/>
        </w:rPr>
        <w:sectPr>
          <w:headerReference r:id="rId9" w:type="default"/>
          <w:pgSz w:w="16840" w:h="11907" w:orient="landscape"/>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7"/>
        <w:tblW w:w="931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8757"/>
      </w:tblGrid>
      <w:tr w14:paraId="36A567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8" w:type="dxa"/>
            <w:tcBorders>
              <w:tl2br w:val="nil"/>
              <w:tr2bl w:val="nil"/>
            </w:tcBorders>
            <w:tcMar>
              <w:left w:w="28" w:type="dxa"/>
              <w:right w:w="28" w:type="dxa"/>
            </w:tcMar>
            <w:vAlign w:val="center"/>
          </w:tcPr>
          <w:p w14:paraId="4631D91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val="0"/>
                <w:color w:val="auto"/>
                <w:kern w:val="2"/>
                <w:sz w:val="21"/>
                <w:szCs w:val="21"/>
                <w:highlight w:val="none"/>
              </w:rPr>
            </w:pPr>
            <w:r>
              <w:rPr>
                <w:rFonts w:hint="default" w:ascii="Times New Roman" w:hAnsi="Times New Roman" w:cs="Times New Roman"/>
                <w:b/>
                <w:bCs w:val="0"/>
                <w:color w:val="auto"/>
                <w:szCs w:val="21"/>
                <w:highlight w:val="none"/>
              </w:rPr>
              <w:t>运</w:t>
            </w:r>
            <w:r>
              <w:rPr>
                <w:rFonts w:hint="default" w:ascii="Times New Roman" w:hAnsi="Times New Roman" w:eastAsia="宋体" w:cs="Times New Roman"/>
                <w:b/>
                <w:bCs w:val="0"/>
                <w:color w:val="auto"/>
                <w:szCs w:val="21"/>
                <w:highlight w:val="none"/>
              </w:rPr>
              <w:t>营期环境影响和保护措施</w:t>
            </w:r>
          </w:p>
        </w:tc>
        <w:tc>
          <w:tcPr>
            <w:tcW w:w="8757" w:type="dxa"/>
            <w:tcBorders>
              <w:tl2br w:val="nil"/>
              <w:tr2bl w:val="nil"/>
            </w:tcBorders>
            <w:vAlign w:val="center"/>
          </w:tcPr>
          <w:p w14:paraId="02377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z w:val="24"/>
                <w:highlight w:val="none"/>
                <w:lang w:val="en-US" w:eastAsia="zh-CN"/>
              </w:rPr>
            </w:pPr>
            <w:r>
              <w:rPr>
                <w:rFonts w:hint="eastAsia" w:cs="Times New Roman"/>
                <w:b/>
                <w:bCs/>
                <w:color w:val="auto"/>
                <w:sz w:val="24"/>
                <w:highlight w:val="none"/>
                <w:lang w:val="en-US" w:eastAsia="zh-CN"/>
              </w:rPr>
              <w:t>4.5.</w:t>
            </w:r>
            <w:r>
              <w:rPr>
                <w:rFonts w:hint="default" w:ascii="Times New Roman" w:hAnsi="Times New Roman" w:eastAsia="宋体" w:cs="Times New Roman"/>
                <w:b/>
                <w:bCs/>
                <w:color w:val="auto"/>
                <w:sz w:val="24"/>
                <w:highlight w:val="none"/>
                <w:lang w:val="en-US" w:eastAsia="zh-CN"/>
              </w:rPr>
              <w:t>1污染物源强计算及防治措施</w:t>
            </w:r>
          </w:p>
          <w:p w14:paraId="35D7A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eastAsia" w:cs="Times New Roman"/>
                <w:color w:val="auto"/>
                <w:sz w:val="24"/>
                <w:highlight w:val="none"/>
                <w:lang w:val="en-US" w:eastAsia="zh-CN"/>
              </w:rPr>
              <w:t>道路运输扬尘</w:t>
            </w:r>
          </w:p>
          <w:p w14:paraId="7EAB4D3E">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default" w:ascii="Times New Roman" w:hAnsi="Times New Roman"/>
                <w:color w:val="auto"/>
                <w:sz w:val="24"/>
              </w:rPr>
              <w:drawing>
                <wp:anchor distT="0" distB="0" distL="114300" distR="114300" simplePos="0" relativeHeight="251667456" behindDoc="0" locked="0" layoutInCell="1" allowOverlap="1">
                  <wp:simplePos x="0" y="0"/>
                  <wp:positionH relativeFrom="column">
                    <wp:posOffset>1353185</wp:posOffset>
                  </wp:positionH>
                  <wp:positionV relativeFrom="paragraph">
                    <wp:posOffset>574675</wp:posOffset>
                  </wp:positionV>
                  <wp:extent cx="2505075" cy="514350"/>
                  <wp:effectExtent l="0" t="0" r="0" b="0"/>
                  <wp:wrapNone/>
                  <wp:docPr id="185" name="Object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Object 863"/>
                          <pic:cNvPicPr>
                            <a:picLocks noChangeAspect="1"/>
                          </pic:cNvPicPr>
                        </pic:nvPicPr>
                        <pic:blipFill>
                          <a:blip r:embed="rId23"/>
                          <a:stretch>
                            <a:fillRect/>
                          </a:stretch>
                        </pic:blipFill>
                        <pic:spPr>
                          <a:xfrm>
                            <a:off x="0" y="0"/>
                            <a:ext cx="2505075" cy="514350"/>
                          </a:xfrm>
                          <a:prstGeom prst="rect">
                            <a:avLst/>
                          </a:prstGeom>
                          <a:noFill/>
                          <a:ln>
                            <a:noFill/>
                          </a:ln>
                        </pic:spPr>
                      </pic:pic>
                    </a:graphicData>
                  </a:graphic>
                </wp:anchor>
              </w:drawing>
            </w:r>
            <w:r>
              <w:rPr>
                <w:rFonts w:hint="default" w:ascii="Times New Roman" w:hAnsi="Times New Roman"/>
                <w:color w:val="auto"/>
                <w:sz w:val="24"/>
                <w:lang w:eastAsia="zh-CN"/>
              </w:rPr>
              <w:t>运输扬尘采用上海港环境保护中心和武汉水运工程学院提出的经验公式进行估算：</w:t>
            </w:r>
          </w:p>
          <w:p w14:paraId="5F29E842">
            <w:pPr>
              <w:pStyle w:val="5"/>
              <w:keepNext w:val="0"/>
              <w:keepLines w:val="0"/>
              <w:suppressLineNumbers w:val="0"/>
              <w:spacing w:before="0" w:beforeAutospacing="0" w:after="0" w:afterAutospacing="0" w:line="480" w:lineRule="exact"/>
              <w:ind w:left="0" w:right="0" w:firstLine="480"/>
              <w:rPr>
                <w:rFonts w:hint="default" w:ascii="Times New Roman" w:hAnsi="Times New Roman"/>
                <w:color w:val="auto"/>
                <w:sz w:val="24"/>
                <w:lang w:eastAsia="zh-CN"/>
              </w:rPr>
            </w:pPr>
          </w:p>
          <w:p w14:paraId="46A7D8E7">
            <w:pPr>
              <w:pStyle w:val="5"/>
              <w:keepNext w:val="0"/>
              <w:keepLines w:val="0"/>
              <w:suppressLineNumbers w:val="0"/>
              <w:spacing w:before="0" w:beforeAutospacing="0" w:after="0" w:afterAutospacing="0" w:line="480" w:lineRule="exact"/>
              <w:ind w:left="0" w:right="0" w:firstLine="480"/>
              <w:rPr>
                <w:rFonts w:hint="default" w:ascii="Times New Roman" w:hAnsi="Times New Roman"/>
                <w:color w:val="auto"/>
                <w:sz w:val="24"/>
                <w:lang w:eastAsia="zh-CN"/>
              </w:rPr>
            </w:pPr>
            <w:r>
              <w:rPr>
                <w:rFonts w:hint="default" w:ascii="Times New Roman" w:hAnsi="Times New Roman"/>
                <w:color w:val="auto"/>
                <w:sz w:val="24"/>
              </w:rPr>
              <w:drawing>
                <wp:anchor distT="0" distB="0" distL="114300" distR="114300" simplePos="0" relativeHeight="251666432" behindDoc="0" locked="0" layoutInCell="1" allowOverlap="1">
                  <wp:simplePos x="0" y="0"/>
                  <wp:positionH relativeFrom="column">
                    <wp:posOffset>1770380</wp:posOffset>
                  </wp:positionH>
                  <wp:positionV relativeFrom="paragraph">
                    <wp:posOffset>187325</wp:posOffset>
                  </wp:positionV>
                  <wp:extent cx="1619885" cy="545465"/>
                  <wp:effectExtent l="0" t="0" r="0" b="0"/>
                  <wp:wrapNone/>
                  <wp:docPr id="184" name="对象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对象 1385"/>
                          <pic:cNvPicPr>
                            <a:picLocks noChangeAspect="1"/>
                          </pic:cNvPicPr>
                        </pic:nvPicPr>
                        <pic:blipFill>
                          <a:blip r:embed="rId24"/>
                          <a:stretch>
                            <a:fillRect/>
                          </a:stretch>
                        </pic:blipFill>
                        <pic:spPr>
                          <a:xfrm>
                            <a:off x="0" y="0"/>
                            <a:ext cx="1619885" cy="545465"/>
                          </a:xfrm>
                          <a:prstGeom prst="rect">
                            <a:avLst/>
                          </a:prstGeom>
                          <a:noFill/>
                          <a:ln>
                            <a:noFill/>
                          </a:ln>
                        </pic:spPr>
                      </pic:pic>
                    </a:graphicData>
                  </a:graphic>
                </wp:anchor>
              </w:drawing>
            </w:r>
          </w:p>
          <w:p w14:paraId="315B6A1A">
            <w:pPr>
              <w:pStyle w:val="5"/>
              <w:keepNext w:val="0"/>
              <w:keepLines w:val="0"/>
              <w:suppressLineNumbers w:val="0"/>
              <w:spacing w:before="0" w:beforeAutospacing="0" w:after="0" w:afterAutospacing="0" w:line="480" w:lineRule="exact"/>
              <w:ind w:left="0" w:right="0" w:firstLine="0" w:firstLineChars="0"/>
              <w:rPr>
                <w:rFonts w:hint="default" w:ascii="Times New Roman" w:hAnsi="Times New Roman"/>
                <w:color w:val="auto"/>
                <w:sz w:val="24"/>
                <w:lang w:eastAsia="zh-CN"/>
              </w:rPr>
            </w:pPr>
          </w:p>
          <w:p w14:paraId="5CE097FA">
            <w:pPr>
              <w:pStyle w:val="5"/>
              <w:keepNext w:val="0"/>
              <w:keepLines w:val="0"/>
              <w:suppressLineNumbers w:val="0"/>
              <w:spacing w:before="0" w:beforeAutospacing="0" w:after="0" w:afterAutospacing="0" w:line="480" w:lineRule="exact"/>
              <w:ind w:left="0" w:right="0"/>
              <w:rPr>
                <w:rFonts w:hint="default" w:ascii="Times New Roman" w:hAnsi="Times New Roman"/>
                <w:color w:val="auto"/>
                <w:sz w:val="24"/>
                <w:lang w:eastAsia="zh-CN"/>
              </w:rPr>
            </w:pPr>
            <w:r>
              <w:rPr>
                <w:rFonts w:hint="default" w:ascii="Times New Roman" w:hAnsi="Times New Roman"/>
                <w:color w:val="auto"/>
                <w:sz w:val="24"/>
                <w:lang w:eastAsia="zh-CN"/>
              </w:rPr>
              <w:t>式中：</w:t>
            </w:r>
          </w:p>
          <w:p w14:paraId="02F4019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Qy——交通运输起尘量，kg/km·辆；</w:t>
            </w:r>
          </w:p>
          <w:p w14:paraId="3F275B0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Qt——运输途中起尘量，t/a；</w:t>
            </w:r>
          </w:p>
          <w:p w14:paraId="56F7392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V——车辆行驶速度，20km/h；</w:t>
            </w:r>
          </w:p>
          <w:p w14:paraId="33A6D5E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P——路面状况，以每平方米路面灰尘覆盖率表示</w:t>
            </w:r>
            <w:r>
              <w:rPr>
                <w:rFonts w:hint="default" w:ascii="Times New Roman" w:hAnsi="Times New Roman"/>
                <w:color w:val="auto"/>
                <w:sz w:val="24"/>
                <w:highlight w:val="none"/>
                <w:lang w:eastAsia="zh-CN"/>
              </w:rPr>
              <w:t>，0.</w:t>
            </w:r>
            <w:r>
              <w:rPr>
                <w:rFonts w:hint="eastAsia"/>
                <w:color w:val="auto"/>
                <w:sz w:val="24"/>
                <w:highlight w:val="none"/>
                <w:lang w:val="en-US" w:eastAsia="zh-CN"/>
              </w:rPr>
              <w:t>05</w:t>
            </w:r>
            <w:r>
              <w:rPr>
                <w:rFonts w:hint="default" w:ascii="Times New Roman" w:hAnsi="Times New Roman"/>
                <w:color w:val="auto"/>
                <w:sz w:val="24"/>
                <w:highlight w:val="none"/>
                <w:lang w:eastAsia="zh-CN"/>
              </w:rPr>
              <w:t>kg/m</w:t>
            </w:r>
            <w:r>
              <w:rPr>
                <w:rFonts w:hint="default" w:ascii="Times New Roman" w:hAnsi="Times New Roman"/>
                <w:color w:val="auto"/>
                <w:sz w:val="24"/>
                <w:highlight w:val="none"/>
                <w:vertAlign w:val="superscript"/>
                <w:lang w:eastAsia="zh-CN"/>
              </w:rPr>
              <w:t>2</w:t>
            </w:r>
            <w:r>
              <w:rPr>
                <w:rFonts w:hint="default" w:ascii="Times New Roman" w:hAnsi="Times New Roman"/>
                <w:color w:val="auto"/>
                <w:sz w:val="24"/>
                <w:highlight w:val="none"/>
                <w:lang w:eastAsia="zh-CN"/>
              </w:rPr>
              <w:t>；</w:t>
            </w:r>
          </w:p>
          <w:p w14:paraId="5F88987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M——汽车载重量，</w:t>
            </w:r>
            <w:r>
              <w:rPr>
                <w:rFonts w:hint="eastAsia"/>
                <w:color w:val="auto"/>
                <w:sz w:val="24"/>
                <w:lang w:val="en-US" w:eastAsia="zh-CN"/>
              </w:rPr>
              <w:t>3</w:t>
            </w:r>
            <w:r>
              <w:rPr>
                <w:rFonts w:hint="default" w:ascii="Times New Roman" w:hAnsi="Times New Roman"/>
                <w:color w:val="auto"/>
                <w:sz w:val="24"/>
                <w:lang w:eastAsia="zh-CN"/>
              </w:rPr>
              <w:t>0t/辆；</w:t>
            </w:r>
          </w:p>
          <w:p w14:paraId="7B019EE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L——运输距离，取</w:t>
            </w:r>
            <w:r>
              <w:rPr>
                <w:rFonts w:hint="eastAsia"/>
                <w:color w:val="auto"/>
                <w:sz w:val="24"/>
                <w:lang w:val="en-US" w:eastAsia="zh-CN"/>
              </w:rPr>
              <w:t>0.1</w:t>
            </w:r>
            <w:r>
              <w:rPr>
                <w:rFonts w:hint="default" w:ascii="Times New Roman" w:hAnsi="Times New Roman"/>
                <w:color w:val="auto"/>
                <w:sz w:val="24"/>
                <w:lang w:eastAsia="zh-CN"/>
              </w:rPr>
              <w:t>km；</w:t>
            </w:r>
          </w:p>
          <w:p w14:paraId="57BFF5A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960" w:firstLineChars="4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Q——运输量，</w:t>
            </w:r>
            <w:r>
              <w:rPr>
                <w:rFonts w:hint="eastAsia"/>
                <w:color w:val="auto"/>
                <w:sz w:val="24"/>
                <w:highlight w:val="none"/>
                <w:lang w:val="en-US" w:eastAsia="zh-CN"/>
              </w:rPr>
              <w:t>60</w:t>
            </w:r>
            <w:r>
              <w:rPr>
                <w:rFonts w:hint="default" w:ascii="Times New Roman" w:hAnsi="Times New Roman"/>
                <w:color w:val="auto"/>
                <w:sz w:val="24"/>
                <w:highlight w:val="none"/>
                <w:lang w:eastAsia="zh-CN"/>
              </w:rPr>
              <w:t>万t/a。</w:t>
            </w:r>
          </w:p>
          <w:p w14:paraId="2BD773E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综合考虑粒径、密度、硬度、风速、风频等因素，在露天堆放、不采取任何措施的情形下，运输</w:t>
            </w:r>
            <w:r>
              <w:rPr>
                <w:rFonts w:hint="eastAsia"/>
                <w:color w:val="auto"/>
                <w:sz w:val="24"/>
                <w:lang w:val="en-US" w:eastAsia="zh-CN"/>
              </w:rPr>
              <w:t>扬尘产生量</w:t>
            </w:r>
            <w:r>
              <w:rPr>
                <w:rFonts w:hint="default" w:ascii="Times New Roman" w:hAnsi="Times New Roman"/>
                <w:color w:val="auto"/>
                <w:sz w:val="24"/>
                <w:lang w:eastAsia="zh-CN"/>
              </w:rPr>
              <w:t>为</w:t>
            </w:r>
            <w:r>
              <w:rPr>
                <w:rFonts w:hint="eastAsia"/>
                <w:color w:val="auto"/>
                <w:sz w:val="24"/>
                <w:lang w:val="en-US" w:eastAsia="zh-CN"/>
              </w:rPr>
              <w:t>0.66</w:t>
            </w:r>
            <w:r>
              <w:rPr>
                <w:rFonts w:hint="default" w:ascii="Times New Roman" w:hAnsi="Times New Roman"/>
                <w:color w:val="auto"/>
                <w:sz w:val="24"/>
                <w:lang w:val="en-US" w:eastAsia="zh-CN"/>
              </w:rPr>
              <w:t>t</w:t>
            </w:r>
            <w:r>
              <w:rPr>
                <w:rFonts w:hint="default" w:ascii="Times New Roman" w:hAnsi="Times New Roman"/>
                <w:color w:val="auto"/>
                <w:sz w:val="24"/>
                <w:lang w:eastAsia="zh-CN"/>
              </w:rPr>
              <w:t>/a。</w:t>
            </w:r>
          </w:p>
          <w:p w14:paraId="267156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eastAsia="宋体" w:cs="Times New Roman"/>
                <w:color w:val="auto"/>
                <w:sz w:val="24"/>
                <w:highlight w:val="none"/>
                <w:lang w:val="en-US" w:eastAsia="zh-CN"/>
              </w:rPr>
            </w:pPr>
            <w:r>
              <w:rPr>
                <w:rFonts w:hint="eastAsia"/>
                <w:color w:val="auto"/>
                <w:sz w:val="24"/>
                <w:lang w:val="en-US" w:eastAsia="zh-CN"/>
              </w:rPr>
              <w:t>环评提出以下防治措施：</w:t>
            </w:r>
          </w:p>
          <w:p w14:paraId="726A6A39">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eastAsia" w:ascii="宋体" w:hAnsi="宋体" w:cs="宋体"/>
                <w:color w:val="auto"/>
                <w:sz w:val="24"/>
                <w:lang w:eastAsia="zh-CN"/>
              </w:rPr>
              <w:t>①</w:t>
            </w:r>
            <w:r>
              <w:rPr>
                <w:rFonts w:hint="eastAsia"/>
                <w:color w:val="auto"/>
                <w:sz w:val="24"/>
                <w:lang w:val="en-US" w:eastAsia="zh-CN"/>
              </w:rPr>
              <w:t>厂区东侧出入口建设1座全自动</w:t>
            </w:r>
            <w:r>
              <w:rPr>
                <w:rFonts w:hint="default" w:ascii="Times New Roman" w:hAnsi="Times New Roman"/>
                <w:color w:val="auto"/>
                <w:sz w:val="24"/>
                <w:lang w:eastAsia="zh-CN"/>
              </w:rPr>
              <w:t>车辆清洗平台，对进出厂车辆轮胎及车身进行清洗；</w:t>
            </w:r>
          </w:p>
          <w:p w14:paraId="25DF0E2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eastAsia" w:ascii="宋体" w:hAnsi="宋体" w:cs="宋体"/>
                <w:color w:val="auto"/>
                <w:sz w:val="24"/>
                <w:lang w:eastAsia="zh-CN"/>
              </w:rPr>
              <w:t>②</w:t>
            </w:r>
            <w:r>
              <w:rPr>
                <w:rFonts w:hint="default" w:ascii="Times New Roman" w:hAnsi="Times New Roman"/>
                <w:color w:val="auto"/>
                <w:sz w:val="24"/>
                <w:lang w:eastAsia="zh-CN"/>
              </w:rPr>
              <w:t>对厂区内及周边道路定时洒水，厂区</w:t>
            </w:r>
            <w:r>
              <w:rPr>
                <w:rFonts w:hint="eastAsia"/>
                <w:color w:val="auto"/>
                <w:sz w:val="24"/>
                <w:lang w:val="en-US" w:eastAsia="zh-CN"/>
              </w:rPr>
              <w:t>内生产车间</w:t>
            </w:r>
            <w:r>
              <w:rPr>
                <w:rFonts w:hint="default" w:ascii="Times New Roman" w:hAnsi="Times New Roman"/>
                <w:color w:val="auto"/>
                <w:sz w:val="24"/>
                <w:lang w:eastAsia="zh-CN"/>
              </w:rPr>
              <w:t>及</w:t>
            </w:r>
            <w:r>
              <w:rPr>
                <w:rFonts w:hint="eastAsia"/>
                <w:color w:val="auto"/>
                <w:sz w:val="24"/>
                <w:lang w:val="en-US" w:eastAsia="zh-CN"/>
              </w:rPr>
              <w:t>堆放区</w:t>
            </w:r>
            <w:r>
              <w:rPr>
                <w:rFonts w:hint="default" w:ascii="Times New Roman" w:hAnsi="Times New Roman"/>
                <w:color w:val="auto"/>
                <w:sz w:val="24"/>
                <w:lang w:eastAsia="zh-CN"/>
              </w:rPr>
              <w:t>地面积尘定期清理，减少二次扬尘；</w:t>
            </w:r>
          </w:p>
          <w:p w14:paraId="3A0AEB3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val="en-US" w:eastAsia="zh-CN"/>
              </w:rPr>
            </w:pPr>
            <w:r>
              <w:rPr>
                <w:rFonts w:hint="eastAsia" w:ascii="宋体" w:hAnsi="宋体" w:cs="宋体"/>
                <w:color w:val="auto"/>
                <w:sz w:val="24"/>
                <w:lang w:eastAsia="zh-CN"/>
              </w:rPr>
              <w:t>③</w:t>
            </w:r>
            <w:r>
              <w:rPr>
                <w:rFonts w:hint="default" w:ascii="Times New Roman" w:hAnsi="Times New Roman"/>
                <w:color w:val="auto"/>
                <w:sz w:val="24"/>
              </w:rPr>
              <w:t>限制汽车超载，采用</w:t>
            </w:r>
            <w:r>
              <w:rPr>
                <w:rFonts w:hint="eastAsia"/>
                <w:color w:val="auto"/>
                <w:sz w:val="24"/>
                <w:lang w:eastAsia="zh-CN"/>
              </w:rPr>
              <w:t>厢式车</w:t>
            </w:r>
            <w:r>
              <w:rPr>
                <w:rFonts w:hint="default" w:ascii="Times New Roman" w:hAnsi="Times New Roman"/>
                <w:color w:val="auto"/>
                <w:sz w:val="24"/>
                <w:lang w:eastAsia="zh-CN"/>
              </w:rPr>
              <w:t>，</w:t>
            </w:r>
            <w:r>
              <w:rPr>
                <w:rFonts w:hint="eastAsia"/>
                <w:color w:val="auto"/>
                <w:sz w:val="24"/>
                <w:lang w:val="en-US" w:eastAsia="zh-CN"/>
              </w:rPr>
              <w:t>篷布苫盖，</w:t>
            </w:r>
            <w:r>
              <w:rPr>
                <w:rFonts w:hint="default" w:ascii="Times New Roman" w:hAnsi="Times New Roman"/>
                <w:color w:val="auto"/>
                <w:sz w:val="24"/>
                <w:lang w:eastAsia="zh-CN"/>
              </w:rPr>
              <w:t>物料及产品运输车辆采用新能源车辆，</w:t>
            </w:r>
            <w:r>
              <w:rPr>
                <w:rFonts w:hint="eastAsia" w:ascii="Times New Roman" w:hAnsi="Times New Roman"/>
                <w:color w:val="auto"/>
                <w:sz w:val="24"/>
                <w:lang w:val="en-US" w:eastAsia="zh-CN"/>
              </w:rPr>
              <w:t>按照“长治市生态环境局关于贯彻落实《长治市大气和水污染物排放管控要求》的通知”（长环函〔2023〕106号），</w:t>
            </w:r>
            <w:r>
              <w:rPr>
                <w:rFonts w:hint="default" w:ascii="Times New Roman" w:hAnsi="Times New Roman"/>
                <w:color w:val="auto"/>
                <w:sz w:val="24"/>
                <w:lang w:eastAsia="zh-CN"/>
              </w:rPr>
              <w:t>厂区内非道路移动机械采用国</w:t>
            </w:r>
            <w:r>
              <w:rPr>
                <w:rFonts w:hint="eastAsia" w:ascii="Times New Roman" w:hAnsi="Times New Roman"/>
                <w:color w:val="auto"/>
                <w:sz w:val="24"/>
                <w:lang w:val="en-US" w:eastAsia="zh-CN"/>
              </w:rPr>
              <w:t>四</w:t>
            </w:r>
            <w:r>
              <w:rPr>
                <w:rFonts w:hint="default" w:ascii="Times New Roman" w:hAnsi="Times New Roman"/>
                <w:color w:val="auto"/>
                <w:sz w:val="24"/>
                <w:lang w:eastAsia="zh-CN"/>
              </w:rPr>
              <w:t>及以上标准或新能源机械。</w:t>
            </w:r>
            <w:r>
              <w:rPr>
                <w:rFonts w:hint="default" w:ascii="Times New Roman" w:hAnsi="Times New Roman"/>
                <w:color w:val="auto"/>
                <w:sz w:val="24"/>
                <w:lang w:val="en-US" w:eastAsia="zh-CN"/>
              </w:rPr>
              <w:t>运输车辆使用国六标准以上的运输车辆或新能源清洁燃料车辆。</w:t>
            </w:r>
          </w:p>
          <w:p w14:paraId="1361F392">
            <w:pPr>
              <w:pStyle w:val="5"/>
              <w:keepNext w:val="0"/>
              <w:keepLines w:val="0"/>
              <w:suppressLineNumbers w:val="0"/>
              <w:spacing w:before="0" w:beforeAutospacing="0" w:after="0" w:afterAutospacing="0" w:line="480" w:lineRule="exact"/>
              <w:ind w:left="0" w:right="0" w:firstLine="480"/>
              <w:rPr>
                <w:rFonts w:hint="default" w:ascii="Times New Roman" w:hAnsi="Times New Roman"/>
                <w:color w:val="auto"/>
                <w:sz w:val="24"/>
                <w:lang w:eastAsia="zh-CN"/>
              </w:rPr>
            </w:pPr>
            <w:r>
              <w:rPr>
                <w:rFonts w:hint="default" w:ascii="Times New Roman" w:hAnsi="Times New Roman"/>
                <w:color w:val="auto"/>
                <w:sz w:val="24"/>
                <w:lang w:val="en-US" w:eastAsia="zh-CN"/>
              </w:rPr>
              <w:t>采取以上措施，</w:t>
            </w:r>
            <w:r>
              <w:rPr>
                <w:rFonts w:hint="default" w:ascii="Times New Roman" w:hAnsi="Times New Roman"/>
                <w:color w:val="auto"/>
                <w:sz w:val="24"/>
                <w:lang w:eastAsia="zh-CN"/>
              </w:rPr>
              <w:t>抑尘效率</w:t>
            </w:r>
            <w:r>
              <w:rPr>
                <w:rFonts w:hint="default" w:ascii="Times New Roman" w:hAnsi="Times New Roman"/>
                <w:color w:val="auto"/>
                <w:sz w:val="24"/>
                <w:lang w:val="en-US" w:eastAsia="zh-CN"/>
              </w:rPr>
              <w:t>可达</w:t>
            </w:r>
            <w:r>
              <w:rPr>
                <w:rFonts w:hint="default" w:ascii="Times New Roman" w:hAnsi="Times New Roman"/>
                <w:color w:val="auto"/>
                <w:sz w:val="24"/>
                <w:lang w:eastAsia="zh-CN"/>
              </w:rPr>
              <w:t>90%以上，则无组织扬尘排放量约为</w:t>
            </w:r>
            <w:r>
              <w:rPr>
                <w:rFonts w:hint="eastAsia" w:ascii="Times New Roman" w:hAnsi="Times New Roman"/>
                <w:color w:val="auto"/>
                <w:sz w:val="24"/>
                <w:lang w:val="en-US" w:eastAsia="zh-CN"/>
              </w:rPr>
              <w:t>0.</w:t>
            </w:r>
            <w:r>
              <w:rPr>
                <w:rFonts w:hint="eastAsia"/>
                <w:color w:val="auto"/>
                <w:sz w:val="24"/>
                <w:lang w:val="en-US" w:eastAsia="zh-CN"/>
              </w:rPr>
              <w:t>066</w:t>
            </w:r>
            <w:r>
              <w:rPr>
                <w:rFonts w:hint="default" w:ascii="Times New Roman" w:hAnsi="Times New Roman"/>
                <w:color w:val="auto"/>
                <w:sz w:val="24"/>
                <w:lang w:eastAsia="zh-CN"/>
              </w:rPr>
              <w:t>t/a。</w:t>
            </w:r>
          </w:p>
          <w:p w14:paraId="0E4545E0">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b/>
                <w:bCs/>
                <w:color w:val="auto"/>
                <w:sz w:val="24"/>
                <w:highlight w:val="none"/>
                <w:lang w:eastAsia="zh-CN"/>
              </w:rPr>
            </w:pPr>
            <w:r>
              <w:rPr>
                <w:rFonts w:hint="eastAsia" w:ascii="Times New Roman" w:hAnsi="Times New Roman"/>
                <w:b/>
                <w:bCs/>
                <w:color w:val="auto"/>
                <w:sz w:val="24"/>
                <w:highlight w:val="none"/>
                <w:lang w:val="en-US" w:eastAsia="zh-CN"/>
              </w:rPr>
              <w:t>厂区无组织污染物管控、清洁运输、厂内非道路移动机械等控制措施及噪声防治措施</w:t>
            </w:r>
            <w:r>
              <w:rPr>
                <w:rFonts w:hint="eastAsia" w:ascii="Times New Roman" w:hAnsi="Times New Roman"/>
                <w:b/>
                <w:bCs/>
                <w:color w:val="auto"/>
                <w:sz w:val="24"/>
                <w:highlight w:val="none"/>
                <w:lang w:eastAsia="zh-CN"/>
              </w:rPr>
              <w:t>：</w:t>
            </w:r>
          </w:p>
          <w:p w14:paraId="2CF5FB8E">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A</w:t>
            </w:r>
            <w:r>
              <w:rPr>
                <w:rFonts w:hint="eastAsia"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非道路移动机械管控措施</w:t>
            </w:r>
          </w:p>
          <w:p w14:paraId="5CE904B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①施工单位应严格按照生态环境部《关于加快推进非道路移动机械摸底调查和编码登记工作的通知》(环办大气函(2019]655号)等文件要求，规范在用非道路移动机械编码登记工作等；厂内转运车辆</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装载机</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采用国</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四</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及以上排放标准的重型车或新能源，严格执行《非道路移动机械用柴油机排气污染物排放限值及测量方法</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中国第三、四阶段</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GB20891-2014</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及其修改单中相关排放限值标准</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外部运输全部采用新能源汽车或达到国六排放标准的全封闭绿色厢车运输；禁止使用国三及以下非道路移动机械、专项作业车</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工程机械车，</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厂区</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使用非道路柴油移动机械设备必须达到《非道路移动柴油机械排气烟度限值及测量方法》(GB36886-2018)要求的相关排放标准，积极完成环保信息的注册登记、尾气检测、环保号牌安装、北斗定位系统安装等，同时连接当地移动源监管平台等登记备案工作。</w:t>
            </w:r>
          </w:p>
          <w:p w14:paraId="0E10FB52">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②建设单位在采购装载机时，优先考虑采购装用机械安装壁流式颗粒物捕集器</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DPF</w:t>
            </w:r>
            <w:r>
              <w:rPr>
                <w:rFonts w:hint="eastAsia"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p>
          <w:p w14:paraId="679077D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③加强装载机的排放检测和维修。加强机械的维修、保养，使其保持良好的技术状态。进行装载机检测，排放不达标强制进行维修、保养，保证装载机环保污染控制装置处于正常技术状态。</w:t>
            </w:r>
          </w:p>
          <w:p w14:paraId="3958F4D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④加强装载机的噪声控制。禁止任何单位或个人擅自拆除弃用非道路移动机械的消声、隔声和吸声装置，加强对噪声控制装置的维护保养。</w:t>
            </w:r>
          </w:p>
          <w:p w14:paraId="4DD8336A">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B</w:t>
            </w:r>
            <w:r>
              <w:rPr>
                <w:rFonts w:hint="eastAsia"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color w:val="auto"/>
                <w:sz w:val="24"/>
                <w:szCs w:val="24"/>
                <w:highlight w:val="none"/>
                <w:lang w:val="en-US" w:eastAsia="zh-CN"/>
              </w:rPr>
              <w:t>厂区、</w:t>
            </w:r>
            <w:r>
              <w:rPr>
                <w:rFonts w:hint="eastAsia" w:ascii="Times New Roman" w:hAnsi="Times New Roman" w:eastAsia="宋体" w:cs="Times New Roman"/>
                <w:color w:val="auto"/>
                <w:sz w:val="24"/>
                <w:szCs w:val="24"/>
                <w:highlight w:val="none"/>
                <w:lang w:val="en-US" w:eastAsia="zh-CN"/>
              </w:rPr>
              <w:t>生产</w:t>
            </w:r>
            <w:r>
              <w:rPr>
                <w:rFonts w:hint="default" w:ascii="Times New Roman" w:hAnsi="Times New Roman" w:eastAsia="宋体" w:cs="Times New Roman"/>
                <w:color w:val="auto"/>
                <w:sz w:val="24"/>
                <w:szCs w:val="24"/>
                <w:highlight w:val="none"/>
                <w:lang w:val="en-US" w:eastAsia="zh-CN"/>
              </w:rPr>
              <w:t>车间、原料</w:t>
            </w:r>
            <w:r>
              <w:rPr>
                <w:rFonts w:hint="eastAsia" w:ascii="Times New Roman" w:hAnsi="Times New Roman" w:eastAsia="宋体" w:cs="Times New Roman"/>
                <w:color w:val="auto"/>
                <w:sz w:val="24"/>
                <w:szCs w:val="24"/>
                <w:highlight w:val="none"/>
                <w:lang w:val="en-US" w:eastAsia="zh-CN"/>
              </w:rPr>
              <w:t>堆放区</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成品</w:t>
            </w:r>
            <w:r>
              <w:rPr>
                <w:rFonts w:hint="eastAsia" w:ascii="Times New Roman" w:hAnsi="Times New Roman" w:eastAsia="宋体" w:cs="Times New Roman"/>
                <w:color w:val="auto"/>
                <w:sz w:val="24"/>
                <w:szCs w:val="24"/>
                <w:highlight w:val="none"/>
                <w:lang w:val="en-US" w:eastAsia="zh-CN"/>
              </w:rPr>
              <w:t>堆放区</w:t>
            </w:r>
            <w:r>
              <w:rPr>
                <w:rFonts w:hint="eastAsia"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厂内道路及厂内连接道路管理要求：</w:t>
            </w:r>
          </w:p>
          <w:p w14:paraId="60A9DEFF">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w:t>
            </w:r>
            <w:r>
              <w:rPr>
                <w:rFonts w:hint="eastAsia" w:ascii="Times New Roman" w:hAnsi="Times New Roman" w:eastAsia="宋体" w:cs="Times New Roman"/>
                <w:color w:val="auto"/>
                <w:sz w:val="24"/>
                <w:szCs w:val="24"/>
                <w:highlight w:val="none"/>
                <w:lang w:val="en-US" w:eastAsia="zh-CN"/>
              </w:rPr>
              <w:t>原料堆放区、</w:t>
            </w:r>
            <w:r>
              <w:rPr>
                <w:rFonts w:hint="default" w:ascii="Times New Roman" w:hAnsi="Times New Roman" w:eastAsia="宋体" w:cs="Times New Roman"/>
                <w:color w:val="auto"/>
                <w:sz w:val="24"/>
                <w:szCs w:val="24"/>
                <w:highlight w:val="none"/>
                <w:lang w:val="en-US" w:eastAsia="zh-CN"/>
              </w:rPr>
              <w:t>成品</w:t>
            </w:r>
            <w:r>
              <w:rPr>
                <w:rFonts w:hint="eastAsia" w:ascii="Times New Roman" w:hAnsi="Times New Roman" w:cs="Times New Roman"/>
                <w:color w:val="auto"/>
                <w:sz w:val="24"/>
                <w:szCs w:val="24"/>
                <w:highlight w:val="none"/>
                <w:lang w:val="en-US" w:eastAsia="zh-CN"/>
              </w:rPr>
              <w:t>堆放区</w:t>
            </w:r>
            <w:r>
              <w:rPr>
                <w:rFonts w:hint="eastAsia" w:ascii="Times New Roman" w:hAnsi="Times New Roman" w:eastAsia="宋体" w:cs="Times New Roman"/>
                <w:color w:val="auto"/>
                <w:sz w:val="24"/>
                <w:szCs w:val="24"/>
                <w:highlight w:val="none"/>
                <w:lang w:val="en-US" w:eastAsia="zh-CN"/>
              </w:rPr>
              <w:t>位于</w:t>
            </w:r>
            <w:r>
              <w:rPr>
                <w:rFonts w:hint="default" w:ascii="Times New Roman" w:hAnsi="Times New Roman" w:eastAsia="宋体" w:cs="Times New Roman"/>
                <w:color w:val="auto"/>
                <w:sz w:val="24"/>
                <w:szCs w:val="24"/>
                <w:highlight w:val="none"/>
                <w:lang w:val="en-US" w:eastAsia="zh-CN"/>
              </w:rPr>
              <w:t>生产车间</w:t>
            </w:r>
            <w:r>
              <w:rPr>
                <w:rFonts w:hint="eastAsia" w:ascii="Times New Roman" w:hAnsi="Times New Roman" w:eastAsia="宋体" w:cs="Times New Roman"/>
                <w:color w:val="auto"/>
                <w:sz w:val="24"/>
                <w:szCs w:val="24"/>
                <w:highlight w:val="none"/>
                <w:lang w:val="en-US" w:eastAsia="zh-CN"/>
              </w:rPr>
              <w:t>内，车间</w:t>
            </w:r>
            <w:r>
              <w:rPr>
                <w:rFonts w:hint="default" w:ascii="Times New Roman" w:hAnsi="Times New Roman" w:eastAsia="宋体" w:cs="Times New Roman"/>
                <w:color w:val="auto"/>
                <w:sz w:val="24"/>
                <w:szCs w:val="24"/>
                <w:highlight w:val="none"/>
                <w:lang w:val="en-US" w:eastAsia="zh-CN"/>
              </w:rPr>
              <w:t>地面平整</w:t>
            </w:r>
            <w:r>
              <w:rPr>
                <w:rFonts w:hint="eastAsia" w:ascii="Times New Roman" w:hAnsi="Times New Roman" w:eastAsia="宋体" w:cs="Times New Roman"/>
                <w:color w:val="auto"/>
                <w:sz w:val="24"/>
                <w:szCs w:val="24"/>
                <w:highlight w:val="none"/>
                <w:lang w:val="en-US" w:eastAsia="zh-CN"/>
              </w:rPr>
              <w:t>已做硬化处理</w:t>
            </w:r>
            <w:r>
              <w:rPr>
                <w:rFonts w:hint="default" w:ascii="Times New Roman" w:hAnsi="Times New Roman" w:eastAsia="宋体" w:cs="Times New Roman"/>
                <w:color w:val="auto"/>
                <w:sz w:val="24"/>
                <w:szCs w:val="24"/>
                <w:highlight w:val="none"/>
                <w:lang w:val="en-US" w:eastAsia="zh-CN"/>
              </w:rPr>
              <w:t>。</w:t>
            </w:r>
          </w:p>
          <w:p w14:paraId="7FF7C4C7">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②生产车间为全封闭钢</w:t>
            </w:r>
            <w:r>
              <w:rPr>
                <w:rFonts w:hint="eastAsia" w:ascii="Times New Roman" w:hAnsi="Times New Roman" w:eastAsia="宋体" w:cs="Times New Roman"/>
                <w:color w:val="auto"/>
                <w:sz w:val="24"/>
                <w:szCs w:val="24"/>
                <w:highlight w:val="none"/>
                <w:lang w:val="en-US" w:eastAsia="zh-CN"/>
              </w:rPr>
              <w:t>混</w:t>
            </w:r>
            <w:r>
              <w:rPr>
                <w:rFonts w:hint="default" w:ascii="Times New Roman" w:hAnsi="Times New Roman" w:eastAsia="宋体" w:cs="Times New Roman"/>
                <w:color w:val="auto"/>
                <w:sz w:val="24"/>
                <w:szCs w:val="24"/>
                <w:highlight w:val="none"/>
                <w:lang w:val="en-US" w:eastAsia="zh-CN"/>
              </w:rPr>
              <w:t>结构厂房，车间大门为</w:t>
            </w:r>
            <w:r>
              <w:rPr>
                <w:rFonts w:hint="eastAsia" w:ascii="Times New Roman" w:hAnsi="Times New Roman" w:eastAsia="宋体" w:cs="Times New Roman"/>
                <w:color w:val="auto"/>
                <w:sz w:val="24"/>
                <w:szCs w:val="24"/>
                <w:highlight w:val="none"/>
                <w:lang w:val="en-US" w:eastAsia="zh-CN"/>
              </w:rPr>
              <w:t>红外不锈钢自动启闭门</w:t>
            </w:r>
            <w:r>
              <w:rPr>
                <w:rFonts w:hint="default" w:ascii="Times New Roman" w:hAnsi="Times New Roman" w:eastAsia="宋体" w:cs="Times New Roman"/>
                <w:color w:val="auto"/>
                <w:sz w:val="24"/>
                <w:szCs w:val="24"/>
                <w:highlight w:val="none"/>
                <w:lang w:val="en-US" w:eastAsia="zh-CN"/>
              </w:rPr>
              <w:t>，无车辆出入时应保持关闭状态。</w:t>
            </w:r>
          </w:p>
          <w:p w14:paraId="23E9132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③原料</w:t>
            </w:r>
            <w:r>
              <w:rPr>
                <w:rFonts w:hint="eastAsia" w:ascii="Times New Roman" w:hAnsi="Times New Roman" w:eastAsia="宋体" w:cs="Times New Roman"/>
                <w:color w:val="auto"/>
                <w:sz w:val="24"/>
                <w:szCs w:val="24"/>
                <w:highlight w:val="none"/>
                <w:lang w:val="en-US" w:eastAsia="zh-CN"/>
              </w:rPr>
              <w:t>堆</w:t>
            </w:r>
            <w:r>
              <w:rPr>
                <w:rFonts w:hint="default" w:ascii="Times New Roman" w:hAnsi="Times New Roman" w:eastAsia="宋体" w:cs="Times New Roman"/>
                <w:color w:val="auto"/>
                <w:sz w:val="24"/>
                <w:szCs w:val="24"/>
                <w:highlight w:val="none"/>
                <w:lang w:val="en-US" w:eastAsia="zh-CN"/>
              </w:rPr>
              <w:t>放区</w:t>
            </w:r>
            <w:r>
              <w:rPr>
                <w:rFonts w:hint="eastAsia" w:ascii="Times New Roman" w:hAnsi="Times New Roman" w:eastAsia="宋体" w:cs="Times New Roman"/>
                <w:color w:val="auto"/>
                <w:sz w:val="24"/>
                <w:szCs w:val="24"/>
                <w:highlight w:val="none"/>
                <w:lang w:val="en-US" w:eastAsia="zh-CN"/>
              </w:rPr>
              <w:t>、成品堆放区顶部</w:t>
            </w:r>
            <w:r>
              <w:rPr>
                <w:rFonts w:hint="default" w:ascii="Times New Roman" w:hAnsi="Times New Roman" w:eastAsia="宋体" w:cs="Times New Roman"/>
                <w:color w:val="auto"/>
                <w:sz w:val="24"/>
                <w:szCs w:val="24"/>
                <w:highlight w:val="none"/>
                <w:lang w:val="en-US" w:eastAsia="zh-CN"/>
              </w:rPr>
              <w:t>应设置</w:t>
            </w:r>
            <w:r>
              <w:rPr>
                <w:rFonts w:hint="eastAsia" w:ascii="Times New Roman" w:hAnsi="Times New Roman" w:eastAsia="宋体" w:cs="Times New Roman"/>
                <w:color w:val="auto"/>
                <w:sz w:val="24"/>
                <w:szCs w:val="24"/>
                <w:highlight w:val="none"/>
                <w:lang w:val="en-US" w:eastAsia="zh-CN"/>
              </w:rPr>
              <w:t>喷雾抑尘</w:t>
            </w:r>
            <w:r>
              <w:rPr>
                <w:rFonts w:hint="default" w:ascii="Times New Roman" w:hAnsi="Times New Roman" w:eastAsia="宋体" w:cs="Times New Roman"/>
                <w:color w:val="auto"/>
                <w:sz w:val="24"/>
                <w:szCs w:val="24"/>
                <w:highlight w:val="none"/>
                <w:lang w:val="en-US" w:eastAsia="zh-CN"/>
              </w:rPr>
              <w:t>系统，卸料时同步开启</w:t>
            </w:r>
            <w:r>
              <w:rPr>
                <w:rFonts w:hint="eastAsia" w:ascii="Times New Roman" w:hAnsi="Times New Roman" w:eastAsia="宋体" w:cs="Times New Roman"/>
                <w:color w:val="auto"/>
                <w:sz w:val="24"/>
                <w:szCs w:val="24"/>
                <w:highlight w:val="none"/>
                <w:lang w:val="en-US" w:eastAsia="zh-CN"/>
              </w:rPr>
              <w:t>移动式雾炮机</w:t>
            </w:r>
            <w:r>
              <w:rPr>
                <w:rFonts w:hint="default" w:ascii="Times New Roman" w:hAnsi="Times New Roman" w:eastAsia="宋体" w:cs="Times New Roman"/>
                <w:color w:val="auto"/>
                <w:sz w:val="24"/>
                <w:szCs w:val="24"/>
                <w:highlight w:val="none"/>
                <w:lang w:val="en-US" w:eastAsia="zh-CN"/>
              </w:rPr>
              <w:t>抑尘</w:t>
            </w:r>
            <w:r>
              <w:rPr>
                <w:rFonts w:hint="eastAsia" w:ascii="Times New Roman" w:hAnsi="Times New Roman" w:cs="Times New Roman"/>
                <w:color w:val="auto"/>
                <w:sz w:val="24"/>
                <w:szCs w:val="24"/>
                <w:highlight w:val="none"/>
                <w:lang w:val="en-US" w:eastAsia="zh-CN"/>
              </w:rPr>
              <w:t>，有效减小粉尘产生。</w:t>
            </w:r>
          </w:p>
          <w:p w14:paraId="0A3630BA">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④厂内道路路面宽度根据现场情况而定，道路转弯处应充分考虑车辆转弯半径的要求，混凝土应分幅分段浇筑，分幅尺寸宜采用6～8m。</w:t>
            </w:r>
          </w:p>
          <w:p w14:paraId="5A7C7ABD">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⑤设置清扫车，对厂区及厂内道路的尘土等进行及时清扫，确保厂区和厂内道路无积尘，每日对厂区及厂内道路进行洒水一次。</w:t>
            </w:r>
          </w:p>
          <w:p w14:paraId="26B6B3B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⑥定时对布袋除尘器进行卸灰，卸灰时将</w:t>
            </w:r>
            <w:r>
              <w:rPr>
                <w:rFonts w:hint="eastAsia" w:ascii="Times New Roman" w:hAnsi="Times New Roman" w:cs="Times New Roman"/>
                <w:color w:val="auto"/>
                <w:sz w:val="24"/>
                <w:szCs w:val="24"/>
                <w:highlight w:val="none"/>
                <w:lang w:val="en-US" w:eastAsia="zh-CN"/>
              </w:rPr>
              <w:t>吨袋</w:t>
            </w:r>
            <w:r>
              <w:rPr>
                <w:rFonts w:hint="default" w:ascii="Times New Roman" w:hAnsi="Times New Roman" w:eastAsia="宋体" w:cs="Times New Roman"/>
                <w:color w:val="auto"/>
                <w:sz w:val="24"/>
                <w:szCs w:val="24"/>
                <w:highlight w:val="none"/>
                <w:lang w:val="en-US" w:eastAsia="zh-CN"/>
              </w:rPr>
              <w:t>套在卸灰口上，然后进行卸灰，卸灰完成后及时对包装袋进行封口，并对卸灰场地进行清扫，不得在地面留有灰尘。</w:t>
            </w:r>
          </w:p>
          <w:p w14:paraId="1457C77A">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⑦厂内空地使用当地常见草种进行绿化，</w:t>
            </w:r>
            <w:r>
              <w:rPr>
                <w:rFonts w:hint="eastAsia" w:ascii="Times New Roman" w:hAnsi="Times New Roman" w:cs="Times New Roman"/>
                <w:color w:val="auto"/>
                <w:sz w:val="24"/>
                <w:szCs w:val="24"/>
                <w:highlight w:val="none"/>
                <w:lang w:val="en-US" w:eastAsia="zh-CN"/>
              </w:rPr>
              <w:t>除绿化区域均已做硬化处理</w:t>
            </w:r>
            <w:r>
              <w:rPr>
                <w:rFonts w:hint="default" w:ascii="Times New Roman" w:hAnsi="Times New Roman" w:eastAsia="宋体" w:cs="Times New Roman"/>
                <w:color w:val="auto"/>
                <w:sz w:val="24"/>
                <w:szCs w:val="24"/>
                <w:highlight w:val="none"/>
                <w:lang w:val="en-US" w:eastAsia="zh-CN"/>
              </w:rPr>
              <w:t>。</w:t>
            </w:r>
          </w:p>
          <w:p w14:paraId="79AD673B">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C</w:t>
            </w:r>
            <w:r>
              <w:rPr>
                <w:rFonts w:hint="eastAsia" w:cs="Times New Roman"/>
                <w:i w:val="0"/>
                <w:iCs w:val="0"/>
                <w:caps w:val="0"/>
                <w:color w:val="auto"/>
                <w:spacing w:val="0"/>
                <w:kern w:val="0"/>
                <w:sz w:val="24"/>
                <w:szCs w:val="24"/>
                <w:highlight w:val="none"/>
                <w:shd w:val="clear" w:color="auto" w:fill="FFFFFF"/>
                <w:lang w:val="en-US" w:eastAsia="zh-CN" w:bidi="ar"/>
              </w:rPr>
              <w:t>.</w:t>
            </w:r>
            <w:r>
              <w:rPr>
                <w:rFonts w:hint="default" w:ascii="Times New Roman" w:hAnsi="Times New Roman" w:eastAsia="宋体" w:cs="Times New Roman"/>
                <w:color w:val="auto"/>
                <w:sz w:val="24"/>
                <w:szCs w:val="24"/>
                <w:highlight w:val="none"/>
                <w:lang w:val="en-US" w:eastAsia="zh-CN"/>
              </w:rPr>
              <w:t>运输车辆防治要求：</w:t>
            </w:r>
          </w:p>
          <w:p w14:paraId="49B9CCBD">
            <w:pPr>
              <w:pStyle w:val="5"/>
              <w:keepNext w:val="0"/>
              <w:keepLines w:val="0"/>
              <w:pageBreakBefore w:val="0"/>
              <w:widowControl w:val="0"/>
              <w:suppressLineNumbers w:val="0"/>
              <w:shd w:val="clear"/>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b/>
                <w:bCs/>
                <w:color w:val="auto"/>
                <w:sz w:val="24"/>
                <w:lang w:eastAsia="zh-CN"/>
              </w:rPr>
            </w:pPr>
            <w:r>
              <w:rPr>
                <w:rFonts w:hint="default" w:ascii="Times New Roman" w:hAnsi="Times New Roman" w:eastAsia="宋体" w:cs="Times New Roman"/>
                <w:color w:val="auto"/>
                <w:sz w:val="24"/>
                <w:szCs w:val="24"/>
                <w:highlight w:val="none"/>
                <w:lang w:val="en-US" w:eastAsia="zh-CN"/>
              </w:rPr>
              <w:t>本项目年运输量不足150万吨，不需要建设铁路专用运输线。本项目运输车辆均依靠社会运输车队进行运输，环评要求涉及的原料及成品运输车辆需全部使用达到国六排放标准的重型载货车辆（含燃气）或新能源车辆。厂区出入口处设置标准化</w:t>
            </w:r>
            <w:r>
              <w:rPr>
                <w:rFonts w:hint="eastAsia" w:ascii="Times New Roman" w:hAnsi="Times New Roman" w:cs="Times New Roman"/>
                <w:color w:val="auto"/>
                <w:sz w:val="24"/>
                <w:szCs w:val="24"/>
                <w:highlight w:val="none"/>
                <w:lang w:val="en-US" w:eastAsia="zh-CN"/>
              </w:rPr>
              <w:t>站房式</w:t>
            </w:r>
            <w:r>
              <w:rPr>
                <w:rFonts w:hint="default" w:ascii="Times New Roman" w:hAnsi="Times New Roman" w:eastAsia="宋体" w:cs="Times New Roman"/>
                <w:color w:val="auto"/>
                <w:sz w:val="24"/>
                <w:szCs w:val="24"/>
                <w:highlight w:val="none"/>
                <w:lang w:val="en-US" w:eastAsia="zh-CN"/>
              </w:rPr>
              <w:t>洗车平台，对进出厂车辆进行冲洗</w:t>
            </w:r>
            <w:r>
              <w:rPr>
                <w:rFonts w:hint="default" w:ascii="Times New Roman" w:hAnsi="Times New Roman" w:eastAsia="宋体" w:cs="Times New Roman"/>
                <w:color w:val="auto"/>
                <w:sz w:val="24"/>
                <w:szCs w:val="24"/>
                <w:highlight w:val="none"/>
              </w:rPr>
              <w:t>，厂区出入口要安装门禁系统，配套相关视频监控</w:t>
            </w:r>
            <w:r>
              <w:rPr>
                <w:rFonts w:hint="default" w:ascii="Times New Roman" w:hAnsi="Times New Roman" w:eastAsia="宋体" w:cs="Times New Roman"/>
                <w:color w:val="auto"/>
                <w:sz w:val="24"/>
                <w:szCs w:val="24"/>
              </w:rPr>
              <w:t>。</w:t>
            </w:r>
          </w:p>
          <w:p w14:paraId="6A827E7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b w:val="0"/>
                <w:bCs w:val="0"/>
                <w:color w:val="auto"/>
                <w:sz w:val="24"/>
                <w:lang w:eastAsia="zh-CN"/>
              </w:rPr>
            </w:pPr>
            <w:r>
              <w:rPr>
                <w:rFonts w:hint="eastAsia"/>
                <w:b w:val="0"/>
                <w:bCs w:val="0"/>
                <w:color w:val="auto"/>
                <w:sz w:val="24"/>
                <w:lang w:val="en-US" w:eastAsia="zh-CN"/>
              </w:rPr>
              <w:t>D</w:t>
            </w:r>
            <w:r>
              <w:rPr>
                <w:rFonts w:hint="eastAsia" w:cs="Times New Roman"/>
                <w:i w:val="0"/>
                <w:iCs w:val="0"/>
                <w:caps w:val="0"/>
                <w:color w:val="auto"/>
                <w:spacing w:val="0"/>
                <w:kern w:val="0"/>
                <w:sz w:val="24"/>
                <w:szCs w:val="24"/>
                <w:highlight w:val="none"/>
                <w:shd w:val="clear" w:color="auto" w:fill="FFFFFF"/>
                <w:lang w:val="en-US" w:eastAsia="zh-CN" w:bidi="ar"/>
              </w:rPr>
              <w:t>.</w:t>
            </w:r>
            <w:r>
              <w:rPr>
                <w:rFonts w:hint="eastAsia" w:ascii="Times New Roman" w:hAnsi="Times New Roman"/>
                <w:b w:val="0"/>
                <w:bCs w:val="0"/>
                <w:color w:val="auto"/>
                <w:sz w:val="24"/>
                <w:lang w:eastAsia="zh-CN"/>
              </w:rPr>
              <w:t>运输沿线影响分析</w:t>
            </w:r>
            <w:r>
              <w:rPr>
                <w:rFonts w:hint="default" w:ascii="Times New Roman" w:hAnsi="Times New Roman" w:eastAsia="宋体" w:cs="Times New Roman"/>
                <w:color w:val="auto"/>
                <w:sz w:val="24"/>
                <w:szCs w:val="24"/>
                <w:highlight w:val="none"/>
                <w:lang w:val="en-US" w:eastAsia="zh-CN"/>
              </w:rPr>
              <w:t>：</w:t>
            </w:r>
          </w:p>
          <w:p w14:paraId="7D6FCB3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color w:val="auto"/>
                <w:sz w:val="24"/>
                <w:lang w:eastAsia="zh-CN"/>
              </w:rPr>
            </w:pPr>
            <w:r>
              <w:rPr>
                <w:rFonts w:hint="eastAsia" w:cs="Times New Roman"/>
                <w:color w:val="auto"/>
                <w:sz w:val="24"/>
                <w:highlight w:val="none"/>
                <w:lang w:val="en-US" w:eastAsia="zh-CN"/>
              </w:rPr>
              <w:t>煤矸石来源为屯留区周边煤矿，原料由封闭式厢式运输车运输至本项目原料堆放区。产品机制砂石骨料外售用于市政修路铺路，通过厂区东侧、南侧等乡村道路运输，运输最远距离10km，出入厂区道路现状均为硬化处理，进出厂道路与交通干线连接点上下各2km范围内的道路为本单位卫生责任区，每日开展道路清洗工作，厂区配备新能源喷雾降尘设施以及新能源洗扫吸尘设施，</w:t>
            </w:r>
            <w:r>
              <w:rPr>
                <w:rFonts w:hint="eastAsia" w:ascii="Times New Roman" w:hAnsi="Times New Roman"/>
                <w:color w:val="auto"/>
                <w:sz w:val="24"/>
                <w:lang w:eastAsia="zh-CN"/>
              </w:rPr>
              <w:t>运输路线距离最近的村庄为</w:t>
            </w:r>
            <w:r>
              <w:rPr>
                <w:rFonts w:hint="eastAsia"/>
                <w:color w:val="auto"/>
                <w:sz w:val="24"/>
                <w:lang w:val="en-US" w:eastAsia="zh-CN"/>
              </w:rPr>
              <w:t>常西</w:t>
            </w:r>
            <w:r>
              <w:rPr>
                <w:rFonts w:hint="eastAsia" w:ascii="Times New Roman" w:hAnsi="Times New Roman"/>
                <w:color w:val="auto"/>
                <w:sz w:val="24"/>
                <w:lang w:val="en-US" w:eastAsia="zh-CN"/>
              </w:rPr>
              <w:t>村</w:t>
            </w:r>
            <w:r>
              <w:rPr>
                <w:rFonts w:hint="eastAsia" w:ascii="Times New Roman" w:hAnsi="Times New Roman"/>
                <w:color w:val="auto"/>
                <w:sz w:val="24"/>
                <w:lang w:eastAsia="zh-CN"/>
              </w:rPr>
              <w:t>，提出减轻运输扬尘的防治措施如下：</w:t>
            </w:r>
          </w:p>
          <w:p w14:paraId="4DD62410">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①本次拟建项目可以控制的运输道路为厂区的道路，评价要求要注意保持该路面的清洁和相对湿度，当路面出现损坏及时修复，同时对该道路要进行定时洒水，并应视路面状况调整洒水频次，厂区配置路面清扫车及洒水车各一台，对厂区及出厂道路进行清扫。</w:t>
            </w:r>
          </w:p>
          <w:p w14:paraId="5459726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②对于厂区外的运输道路，</w:t>
            </w:r>
            <w:r>
              <w:rPr>
                <w:rFonts w:hint="eastAsia"/>
                <w:color w:val="auto"/>
                <w:sz w:val="24"/>
                <w:lang w:val="en-US" w:eastAsia="zh-CN"/>
              </w:rPr>
              <w:t>原料及产品</w:t>
            </w:r>
            <w:r>
              <w:rPr>
                <w:rFonts w:hint="default" w:ascii="Times New Roman" w:hAnsi="Times New Roman"/>
                <w:color w:val="auto"/>
                <w:sz w:val="24"/>
                <w:lang w:eastAsia="zh-CN"/>
              </w:rPr>
              <w:t>进出厂均要经过部分村庄，因此，</w:t>
            </w:r>
            <w:r>
              <w:rPr>
                <w:rFonts w:hint="eastAsia"/>
                <w:color w:val="auto"/>
                <w:sz w:val="24"/>
                <w:lang w:val="en-US" w:eastAsia="zh-CN"/>
              </w:rPr>
              <w:t>该厂</w:t>
            </w:r>
            <w:r>
              <w:rPr>
                <w:rFonts w:hint="default" w:ascii="Times New Roman" w:hAnsi="Times New Roman"/>
                <w:color w:val="auto"/>
                <w:sz w:val="24"/>
                <w:lang w:eastAsia="zh-CN"/>
              </w:rPr>
              <w:t>应严格控制运输扬尘的污染，厂方应要求运输单位采取以下措施：</w:t>
            </w:r>
          </w:p>
          <w:p w14:paraId="459FB7B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eastAsia"/>
                <w:color w:val="auto"/>
                <w:sz w:val="24"/>
                <w:lang w:val="en-US" w:eastAsia="zh-CN"/>
              </w:rPr>
              <w:t>1）</w:t>
            </w:r>
            <w:r>
              <w:rPr>
                <w:rFonts w:hint="default" w:ascii="Times New Roman" w:hAnsi="Times New Roman"/>
                <w:color w:val="auto"/>
                <w:sz w:val="24"/>
                <w:lang w:eastAsia="zh-CN"/>
              </w:rPr>
              <w:t>严格控制汽车装载量；</w:t>
            </w:r>
          </w:p>
          <w:p w14:paraId="709B764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eastAsia"/>
                <w:color w:val="auto"/>
                <w:sz w:val="24"/>
                <w:lang w:val="en-US" w:eastAsia="zh-CN"/>
              </w:rPr>
              <w:t>2）</w:t>
            </w:r>
            <w:r>
              <w:rPr>
                <w:rFonts w:hint="default" w:ascii="Times New Roman" w:hAnsi="Times New Roman"/>
                <w:color w:val="auto"/>
                <w:sz w:val="24"/>
                <w:lang w:eastAsia="zh-CN"/>
              </w:rPr>
              <w:t>煤炭运输车辆采用厢式货车</w:t>
            </w:r>
            <w:r>
              <w:rPr>
                <w:rFonts w:hint="eastAsia" w:ascii="Times New Roman" w:hAnsi="Times New Roman"/>
                <w:color w:val="auto"/>
                <w:sz w:val="24"/>
                <w:lang w:val="en-US" w:eastAsia="zh-CN"/>
              </w:rPr>
              <w:t>密闭运输</w:t>
            </w:r>
            <w:r>
              <w:rPr>
                <w:rFonts w:hint="default" w:ascii="Times New Roman" w:hAnsi="Times New Roman"/>
                <w:color w:val="auto"/>
                <w:sz w:val="24"/>
                <w:lang w:eastAsia="zh-CN"/>
              </w:rPr>
              <w:t>；</w:t>
            </w:r>
          </w:p>
          <w:p w14:paraId="3A2F825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b/>
                <w:bCs/>
                <w:color w:val="auto"/>
                <w:sz w:val="24"/>
                <w:lang w:val="en-US" w:eastAsia="zh-CN"/>
              </w:rPr>
            </w:pPr>
            <w:r>
              <w:rPr>
                <w:rFonts w:hint="eastAsia"/>
                <w:color w:val="auto"/>
                <w:sz w:val="24"/>
                <w:lang w:val="en-US" w:eastAsia="zh-CN"/>
              </w:rPr>
              <w:t>3）</w:t>
            </w:r>
            <w:r>
              <w:rPr>
                <w:rFonts w:hint="default" w:ascii="Times New Roman" w:hAnsi="Times New Roman"/>
                <w:color w:val="auto"/>
                <w:sz w:val="24"/>
                <w:lang w:eastAsia="zh-CN"/>
              </w:rPr>
              <w:t>限制车速，特别是经过村庄时，要低速行驶，最大限度减少车辆煤尘抛洒。</w:t>
            </w:r>
          </w:p>
          <w:p w14:paraId="67E8D912">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2</w:t>
            </w:r>
            <w:r>
              <w:rPr>
                <w:rFonts w:hint="eastAsia" w:cs="Times New Roman"/>
                <w:color w:val="auto"/>
                <w:sz w:val="24"/>
                <w:highlight w:val="none"/>
                <w:lang w:eastAsia="zh-CN"/>
              </w:rPr>
              <w:t>）</w:t>
            </w:r>
            <w:r>
              <w:rPr>
                <w:rFonts w:hint="eastAsia" w:cs="Times New Roman"/>
                <w:color w:val="auto"/>
                <w:sz w:val="24"/>
                <w:highlight w:val="none"/>
                <w:lang w:val="en-US" w:eastAsia="zh-CN"/>
              </w:rPr>
              <w:t>原料及成品堆放、</w:t>
            </w:r>
            <w:r>
              <w:rPr>
                <w:rFonts w:hint="default"/>
                <w:bCs/>
                <w:color w:val="auto"/>
                <w:sz w:val="24"/>
              </w:rPr>
              <w:t>装卸</w:t>
            </w:r>
            <w:r>
              <w:rPr>
                <w:rFonts w:hint="eastAsia"/>
                <w:bCs/>
                <w:color w:val="auto"/>
                <w:sz w:val="24"/>
                <w:lang w:val="en-US" w:eastAsia="zh-CN"/>
              </w:rPr>
              <w:t>粉尘</w:t>
            </w:r>
          </w:p>
          <w:p w14:paraId="5948BB6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jc w:val="both"/>
              <w:textAlignment w:val="auto"/>
              <w:rPr>
                <w:rFonts w:hint="default" w:ascii="Times New Roman" w:hAnsi="Times New Roman"/>
                <w:color w:val="auto"/>
                <w:sz w:val="24"/>
                <w:lang w:eastAsia="zh-CN"/>
              </w:rPr>
            </w:pPr>
            <w:r>
              <w:rPr>
                <w:rFonts w:hint="default" w:ascii="Times New Roman" w:hAnsi="Times New Roman"/>
                <w:color w:val="auto"/>
                <w:sz w:val="24"/>
                <w:lang w:val="en-US" w:eastAsia="zh-CN"/>
              </w:rPr>
              <w:t>物料堆存、装卸粉尘产生量计算根据《固体物料堆存粉尘产排污核算系数手册》</w:t>
            </w:r>
            <w:r>
              <w:rPr>
                <w:rFonts w:hint="default" w:ascii="Times New Roman" w:hAnsi="Times New Roman"/>
                <w:color w:val="auto"/>
                <w:sz w:val="24"/>
                <w:lang w:eastAsia="zh-CN"/>
              </w:rPr>
              <w:t>，计算公式如下：</w:t>
            </w:r>
          </w:p>
          <w:p w14:paraId="5A96EB5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P=ZC</w:t>
            </w:r>
            <w:r>
              <w:rPr>
                <w:rFonts w:hint="default" w:ascii="Times New Roman" w:hAnsi="Times New Roman"/>
                <w:color w:val="auto"/>
                <w:sz w:val="24"/>
                <w:vertAlign w:val="subscript"/>
                <w:lang w:val="en-US" w:eastAsia="zh-CN"/>
              </w:rPr>
              <w:t>y</w:t>
            </w:r>
            <w:r>
              <w:rPr>
                <w:rFonts w:hint="default" w:ascii="Times New Roman" w:hAnsi="Times New Roman"/>
                <w:color w:val="auto"/>
                <w:sz w:val="24"/>
                <w:lang w:val="en-US" w:eastAsia="zh-CN"/>
              </w:rPr>
              <w:t>+FC</w:t>
            </w:r>
            <w:r>
              <w:rPr>
                <w:rFonts w:hint="default" w:ascii="Times New Roman" w:hAnsi="Times New Roman"/>
                <w:color w:val="auto"/>
                <w:sz w:val="24"/>
                <w:vertAlign w:val="subscript"/>
                <w:lang w:val="en-US" w:eastAsia="zh-CN"/>
              </w:rPr>
              <w:t>y</w:t>
            </w:r>
            <w:r>
              <w:rPr>
                <w:rFonts w:hint="default" w:ascii="Times New Roman" w:hAnsi="Times New Roman"/>
                <w:color w:val="auto"/>
                <w:sz w:val="24"/>
                <w:lang w:val="en-US" w:eastAsia="zh-CN"/>
              </w:rPr>
              <w:t>={N</w:t>
            </w:r>
            <w:r>
              <w:rPr>
                <w:rFonts w:hint="default" w:ascii="Times New Roman" w:hAnsi="Times New Roman"/>
                <w:color w:val="auto"/>
                <w:sz w:val="24"/>
                <w:vertAlign w:val="subscript"/>
                <w:lang w:val="en-US" w:eastAsia="zh-CN"/>
              </w:rPr>
              <w:t>c</w:t>
            </w:r>
            <w:r>
              <w:rPr>
                <w:rFonts w:hint="default" w:ascii="Times New Roman" w:hAnsi="Times New Roman"/>
                <w:color w:val="auto"/>
                <w:sz w:val="24"/>
                <w:lang w:val="en-US" w:eastAsia="zh-CN"/>
              </w:rPr>
              <w:t>×D×</w:t>
            </w:r>
            <w:r>
              <w:rPr>
                <w:rFonts w:hint="eastAsia"/>
                <w:color w:val="auto"/>
                <w:sz w:val="24"/>
                <w:lang w:val="en-US" w:eastAsia="zh-CN"/>
              </w:rPr>
              <w:t>（</w:t>
            </w:r>
            <w:r>
              <w:rPr>
                <w:rFonts w:hint="default" w:ascii="Times New Roman" w:hAnsi="Times New Roman"/>
                <w:color w:val="auto"/>
                <w:sz w:val="24"/>
                <w:lang w:val="en-US" w:eastAsia="zh-CN"/>
              </w:rPr>
              <w:t>a/b</w:t>
            </w:r>
            <w:r>
              <w:rPr>
                <w:rFonts w:hint="eastAsia"/>
                <w:color w:val="auto"/>
                <w:sz w:val="24"/>
                <w:lang w:val="en-US" w:eastAsia="zh-CN"/>
              </w:rPr>
              <w:t>）</w:t>
            </w:r>
            <w:r>
              <w:rPr>
                <w:rFonts w:hint="default" w:ascii="Times New Roman" w:hAnsi="Times New Roman"/>
                <w:color w:val="auto"/>
                <w:sz w:val="24"/>
                <w:lang w:val="en-US" w:eastAsia="zh-CN"/>
              </w:rPr>
              <w:t>+2×E</w:t>
            </w:r>
            <w:r>
              <w:rPr>
                <w:rFonts w:hint="default" w:ascii="Times New Roman" w:hAnsi="Times New Roman"/>
                <w:color w:val="auto"/>
                <w:sz w:val="24"/>
                <w:vertAlign w:val="subscript"/>
                <w:lang w:val="en-US" w:eastAsia="zh-CN"/>
              </w:rPr>
              <w:t>f</w:t>
            </w:r>
            <w:r>
              <w:rPr>
                <w:rFonts w:hint="default" w:ascii="Times New Roman" w:hAnsi="Times New Roman"/>
                <w:color w:val="auto"/>
                <w:sz w:val="24"/>
                <w:lang w:val="en-US" w:eastAsia="zh-CN"/>
              </w:rPr>
              <w:t>×S}×10</w:t>
            </w:r>
            <w:r>
              <w:rPr>
                <w:rFonts w:hint="default" w:ascii="Times New Roman" w:hAnsi="Times New Roman"/>
                <w:color w:val="auto"/>
                <w:sz w:val="24"/>
                <w:vertAlign w:val="superscript"/>
                <w:lang w:val="en-US" w:eastAsia="zh-CN"/>
              </w:rPr>
              <w:t>-3</w:t>
            </w:r>
          </w:p>
          <w:p w14:paraId="3387632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式中：P—粉尘产生量，t/a；</w:t>
            </w:r>
          </w:p>
          <w:p w14:paraId="4D2539E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ZC</w:t>
            </w:r>
            <w:r>
              <w:rPr>
                <w:rFonts w:hint="default" w:ascii="Times New Roman" w:hAnsi="Times New Roman"/>
                <w:color w:val="auto"/>
                <w:sz w:val="24"/>
                <w:vertAlign w:val="subscript"/>
                <w:lang w:val="en-US" w:eastAsia="zh-CN"/>
              </w:rPr>
              <w:t>y</w:t>
            </w:r>
            <w:r>
              <w:rPr>
                <w:rFonts w:hint="default" w:ascii="Times New Roman" w:hAnsi="Times New Roman"/>
                <w:color w:val="auto"/>
                <w:sz w:val="24"/>
                <w:lang w:val="en-US" w:eastAsia="zh-CN"/>
              </w:rPr>
              <w:t>—装卸扬尘产生量，t/a；</w:t>
            </w:r>
          </w:p>
          <w:p w14:paraId="1E763E9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FC</w:t>
            </w:r>
            <w:r>
              <w:rPr>
                <w:rFonts w:hint="default" w:ascii="Times New Roman" w:hAnsi="Times New Roman"/>
                <w:color w:val="auto"/>
                <w:sz w:val="24"/>
                <w:vertAlign w:val="subscript"/>
                <w:lang w:val="en-US" w:eastAsia="zh-CN"/>
              </w:rPr>
              <w:t>y</w:t>
            </w:r>
            <w:r>
              <w:rPr>
                <w:rFonts w:hint="default" w:ascii="Times New Roman" w:hAnsi="Times New Roman"/>
                <w:color w:val="auto"/>
                <w:sz w:val="24"/>
                <w:lang w:val="en-US" w:eastAsia="zh-CN"/>
              </w:rPr>
              <w:t>—风蚀扬尘产生量，t/a；</w:t>
            </w:r>
          </w:p>
          <w:p w14:paraId="502B618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N</w:t>
            </w:r>
            <w:r>
              <w:rPr>
                <w:rFonts w:hint="default" w:ascii="Times New Roman" w:hAnsi="Times New Roman"/>
                <w:color w:val="auto"/>
                <w:sz w:val="24"/>
                <w:vertAlign w:val="subscript"/>
                <w:lang w:val="en-US" w:eastAsia="zh-CN"/>
              </w:rPr>
              <w:t>c</w:t>
            </w:r>
            <w:r>
              <w:rPr>
                <w:rFonts w:hint="default" w:ascii="Times New Roman" w:hAnsi="Times New Roman"/>
                <w:color w:val="auto"/>
                <w:sz w:val="24"/>
                <w:lang w:val="en-US" w:eastAsia="zh-CN"/>
              </w:rPr>
              <w:t>—年物料运载车次，车；</w:t>
            </w:r>
          </w:p>
          <w:p w14:paraId="5926195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D—单车平均运载量，t/车</w:t>
            </w:r>
            <w:r>
              <w:rPr>
                <w:rFonts w:hint="eastAsia"/>
                <w:color w:val="auto"/>
                <w:sz w:val="24"/>
                <w:lang w:val="en-US" w:eastAsia="zh-CN"/>
              </w:rPr>
              <w:t>；</w:t>
            </w:r>
          </w:p>
          <w:p w14:paraId="0046843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eastAsia"/>
                <w:color w:val="auto"/>
                <w:sz w:val="24"/>
                <w:lang w:val="en-US" w:eastAsia="zh-CN"/>
              </w:rPr>
              <w:t>（</w:t>
            </w:r>
            <w:r>
              <w:rPr>
                <w:rFonts w:hint="default" w:ascii="Times New Roman" w:hAnsi="Times New Roman"/>
                <w:color w:val="auto"/>
                <w:sz w:val="24"/>
                <w:lang w:val="en-US" w:eastAsia="zh-CN"/>
              </w:rPr>
              <w:t>a/b</w:t>
            </w:r>
            <w:r>
              <w:rPr>
                <w:rFonts w:hint="eastAsia"/>
                <w:color w:val="auto"/>
                <w:sz w:val="24"/>
                <w:lang w:val="en-US" w:eastAsia="zh-CN"/>
              </w:rPr>
              <w:t>）</w:t>
            </w:r>
            <w:r>
              <w:rPr>
                <w:rFonts w:hint="default" w:ascii="Times New Roman" w:hAnsi="Times New Roman"/>
                <w:color w:val="auto"/>
                <w:sz w:val="24"/>
                <w:lang w:val="en-US" w:eastAsia="zh-CN"/>
              </w:rPr>
              <w:t>—装卸扬尘概化系数，kg/m</w:t>
            </w:r>
            <w:r>
              <w:rPr>
                <w:rFonts w:hint="default" w:ascii="Times New Roman" w:hAnsi="Times New Roman"/>
                <w:color w:val="auto"/>
                <w:sz w:val="24"/>
                <w:vertAlign w:val="superscript"/>
                <w:lang w:val="en-US" w:eastAsia="zh-CN"/>
              </w:rPr>
              <w:t>2</w:t>
            </w:r>
            <w:r>
              <w:rPr>
                <w:rFonts w:hint="default" w:ascii="Times New Roman" w:hAnsi="Times New Roman"/>
                <w:color w:val="auto"/>
                <w:sz w:val="24"/>
                <w:lang w:val="en-US" w:eastAsia="zh-CN"/>
              </w:rPr>
              <w:t>；a取0.001，b取0.0049；</w:t>
            </w:r>
          </w:p>
          <w:p w14:paraId="1E92D6A8">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lang w:val="en-US" w:eastAsia="zh-CN"/>
              </w:rPr>
            </w:pPr>
            <w:r>
              <w:rPr>
                <w:rFonts w:hint="default" w:ascii="Times New Roman" w:hAnsi="Times New Roman"/>
                <w:color w:val="auto"/>
                <w:sz w:val="24"/>
                <w:lang w:val="en-US" w:eastAsia="zh-CN"/>
              </w:rPr>
              <w:t>S—堆场占地面积，m</w:t>
            </w:r>
            <w:r>
              <w:rPr>
                <w:rFonts w:hint="default" w:ascii="Times New Roman" w:hAnsi="Times New Roman"/>
                <w:color w:val="auto"/>
                <w:sz w:val="24"/>
                <w:vertAlign w:val="superscript"/>
                <w:lang w:val="en-US" w:eastAsia="zh-CN"/>
              </w:rPr>
              <w:t>2</w:t>
            </w:r>
            <w:r>
              <w:rPr>
                <w:rFonts w:hint="default" w:ascii="Times New Roman" w:hAnsi="Times New Roman"/>
                <w:color w:val="auto"/>
                <w:sz w:val="24"/>
                <w:lang w:val="en-US" w:eastAsia="zh-CN"/>
              </w:rPr>
              <w:t>；</w:t>
            </w:r>
            <w:r>
              <w:rPr>
                <w:rFonts w:hint="eastAsia" w:ascii="Times New Roman" w:hAnsi="Times New Roman"/>
                <w:color w:val="auto"/>
                <w:sz w:val="24"/>
                <w:lang w:val="en-US" w:eastAsia="zh-CN"/>
              </w:rPr>
              <w:t>原料</w:t>
            </w:r>
            <w:r>
              <w:rPr>
                <w:rFonts w:hint="eastAsia"/>
                <w:color w:val="auto"/>
                <w:sz w:val="24"/>
                <w:lang w:val="en-US" w:eastAsia="zh-CN"/>
              </w:rPr>
              <w:t>、</w:t>
            </w:r>
            <w:r>
              <w:rPr>
                <w:rFonts w:hint="eastAsia" w:ascii="Times New Roman" w:hAnsi="Times New Roman"/>
                <w:color w:val="auto"/>
                <w:sz w:val="24"/>
                <w:lang w:val="en-US" w:eastAsia="zh-CN"/>
              </w:rPr>
              <w:t>成品</w:t>
            </w:r>
            <w:r>
              <w:rPr>
                <w:rFonts w:hint="eastAsia"/>
                <w:color w:val="auto"/>
                <w:sz w:val="24"/>
                <w:lang w:val="en-US" w:eastAsia="zh-CN"/>
              </w:rPr>
              <w:t>堆放区取45</w:t>
            </w:r>
            <w:r>
              <w:rPr>
                <w:rFonts w:hint="default" w:ascii="Times New Roman" w:hAnsi="Times New Roman"/>
                <w:color w:val="auto"/>
                <w:sz w:val="24"/>
                <w:lang w:val="en-US" w:eastAsia="zh-CN"/>
              </w:rPr>
              <w:t>00；</w:t>
            </w:r>
          </w:p>
          <w:p w14:paraId="7D5B7B56">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default" w:ascii="Times New Roman" w:hAnsi="Times New Roman"/>
                <w:color w:val="auto"/>
                <w:sz w:val="24"/>
                <w:vertAlign w:val="superscript"/>
                <w:lang w:val="en-US" w:eastAsia="zh-CN"/>
              </w:rPr>
            </w:pPr>
            <w:r>
              <w:rPr>
                <w:rFonts w:hint="default" w:ascii="Times New Roman" w:hAnsi="Times New Roman"/>
                <w:color w:val="auto"/>
                <w:sz w:val="24"/>
                <w:lang w:val="en-US" w:eastAsia="zh-CN"/>
              </w:rPr>
              <w:t>E</w:t>
            </w:r>
            <w:r>
              <w:rPr>
                <w:rFonts w:hint="default" w:ascii="Times New Roman" w:hAnsi="Times New Roman"/>
                <w:color w:val="auto"/>
                <w:sz w:val="24"/>
                <w:vertAlign w:val="subscript"/>
                <w:lang w:val="en-US" w:eastAsia="zh-CN"/>
              </w:rPr>
              <w:t>f</w:t>
            </w:r>
            <w:r>
              <w:rPr>
                <w:rFonts w:hint="default" w:ascii="Times New Roman" w:hAnsi="Times New Roman"/>
                <w:color w:val="auto"/>
                <w:sz w:val="24"/>
                <w:lang w:val="en-US" w:eastAsia="zh-CN"/>
              </w:rPr>
              <w:t>—堆场风蚀扬尘概化系数，kg/m</w:t>
            </w:r>
            <w:r>
              <w:rPr>
                <w:rFonts w:hint="default" w:ascii="Times New Roman" w:hAnsi="Times New Roman"/>
                <w:color w:val="auto"/>
                <w:sz w:val="24"/>
                <w:vertAlign w:val="superscript"/>
                <w:lang w:val="en-US" w:eastAsia="zh-CN"/>
              </w:rPr>
              <w:t>2</w:t>
            </w:r>
            <w:r>
              <w:rPr>
                <w:rFonts w:hint="default" w:ascii="Times New Roman" w:hAnsi="Times New Roman"/>
                <w:color w:val="auto"/>
                <w:sz w:val="24"/>
                <w:lang w:val="en-US" w:eastAsia="zh-CN"/>
              </w:rPr>
              <w:t>，</w:t>
            </w:r>
            <w:r>
              <w:rPr>
                <w:rFonts w:hint="eastAsia"/>
                <w:color w:val="auto"/>
                <w:sz w:val="24"/>
                <w:lang w:val="en-US" w:eastAsia="zh-CN"/>
              </w:rPr>
              <w:t>全封闭储库取0；</w:t>
            </w:r>
          </w:p>
          <w:p w14:paraId="4A804AA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olor w:val="auto"/>
                <w:sz w:val="24"/>
                <w:lang w:eastAsia="zh-CN"/>
              </w:rPr>
            </w:pPr>
            <w:r>
              <w:rPr>
                <w:rFonts w:hint="default" w:ascii="Times New Roman" w:hAnsi="Times New Roman"/>
                <w:color w:val="auto"/>
                <w:sz w:val="24"/>
                <w:lang w:eastAsia="zh-CN"/>
              </w:rPr>
              <w:t>经计算，</w:t>
            </w:r>
            <w:r>
              <w:rPr>
                <w:rFonts w:hint="eastAsia" w:ascii="Times New Roman" w:hAnsi="Times New Roman"/>
                <w:color w:val="auto"/>
                <w:sz w:val="24"/>
                <w:lang w:val="en-US" w:eastAsia="zh-CN"/>
              </w:rPr>
              <w:t>原料</w:t>
            </w:r>
            <w:r>
              <w:rPr>
                <w:rFonts w:hint="eastAsia"/>
                <w:color w:val="auto"/>
                <w:sz w:val="24"/>
                <w:lang w:val="en-US" w:eastAsia="zh-CN"/>
              </w:rPr>
              <w:t>及成品堆放区</w:t>
            </w:r>
            <w:r>
              <w:rPr>
                <w:rFonts w:hint="default" w:ascii="Times New Roman" w:hAnsi="Times New Roman"/>
                <w:color w:val="auto"/>
                <w:sz w:val="24"/>
                <w:lang w:val="en-US" w:eastAsia="zh-CN"/>
              </w:rPr>
              <w:t>堆存装卸粉尘</w:t>
            </w:r>
            <w:r>
              <w:rPr>
                <w:rFonts w:hint="eastAsia"/>
                <w:color w:val="auto"/>
                <w:sz w:val="24"/>
                <w:lang w:val="en-US" w:eastAsia="zh-CN"/>
              </w:rPr>
              <w:t>产生量约</w:t>
            </w:r>
            <w:r>
              <w:rPr>
                <w:rFonts w:hint="default" w:ascii="Times New Roman" w:hAnsi="Times New Roman"/>
                <w:color w:val="auto"/>
                <w:sz w:val="24"/>
                <w:lang w:eastAsia="zh-CN"/>
              </w:rPr>
              <w:t>为</w:t>
            </w:r>
            <w:r>
              <w:rPr>
                <w:rFonts w:hint="eastAsia"/>
                <w:color w:val="auto"/>
                <w:sz w:val="24"/>
                <w:lang w:val="en-US" w:eastAsia="zh-CN"/>
              </w:rPr>
              <w:t>121.22</w:t>
            </w:r>
            <w:r>
              <w:rPr>
                <w:rFonts w:hint="default" w:ascii="Times New Roman" w:hAnsi="Times New Roman"/>
                <w:color w:val="auto"/>
                <w:sz w:val="24"/>
                <w:lang w:eastAsia="zh-CN"/>
              </w:rPr>
              <w:t>t/a。</w:t>
            </w:r>
          </w:p>
          <w:p w14:paraId="36B08F1C">
            <w:pPr>
              <w:keepNext w:val="0"/>
              <w:keepLines w:val="0"/>
              <w:suppressLineNumbers w:val="0"/>
              <w:spacing w:before="0" w:beforeAutospacing="0" w:after="0" w:afterAutospacing="0" w:line="480" w:lineRule="exact"/>
              <w:ind w:left="0" w:right="0" w:firstLine="480" w:firstLineChars="200"/>
              <w:rPr>
                <w:rFonts w:hint="default" w:ascii="Times New Roman Regular" w:hAnsi="Times New Roman Regular" w:cs="Times New Roman Regular"/>
                <w:color w:val="auto"/>
                <w:sz w:val="24"/>
                <w:szCs w:val="24"/>
                <w:highlight w:val="none"/>
                <w:lang w:val="en-US" w:eastAsia="zh-CN"/>
              </w:rPr>
            </w:pPr>
            <w:r>
              <w:rPr>
                <w:rFonts w:hint="default" w:ascii="Times New Roman Regular" w:hAnsi="Times New Roman Regular" w:cs="Times New Roman Regular"/>
                <w:bCs/>
                <w:color w:val="auto"/>
                <w:sz w:val="24"/>
                <w:highlight w:val="none"/>
              </w:rPr>
              <w:t>根据《中华人民共和国大气污染防治法》（2015年修订）“第七十二条贮存煤炭、煤矸石、煤渣、煤灰、水泥、石灰、石膏、砂土等易产生扬尘的物料应当密闭；不能密闭的</w:t>
            </w:r>
            <w:r>
              <w:rPr>
                <w:rFonts w:hint="default" w:ascii="Times New Roman Regular" w:hAnsi="Times New Roman Regular" w:cs="Times New Roman Regular"/>
                <w:color w:val="auto"/>
                <w:sz w:val="24"/>
                <w:highlight w:val="none"/>
              </w:rPr>
              <w:t>，应当设置不低于堆放物高度的严密围挡，并采取有效覆盖措施防治扬尘污染”，本次评价要求</w:t>
            </w:r>
            <w:r>
              <w:rPr>
                <w:rFonts w:hint="default" w:ascii="Times New Roman Regular" w:hAnsi="Times New Roman Regular" w:cs="Times New Roman Regular"/>
                <w:color w:val="auto"/>
                <w:sz w:val="24"/>
                <w:highlight w:val="none"/>
                <w:lang w:val="en-US" w:eastAsia="zh-CN"/>
              </w:rPr>
              <w:t>对</w:t>
            </w:r>
            <w:r>
              <w:rPr>
                <w:rFonts w:hint="default" w:ascii="Times New Roman Regular" w:hAnsi="Times New Roman Regular" w:cs="Times New Roman Regular"/>
                <w:color w:val="auto"/>
                <w:sz w:val="24"/>
                <w:highlight w:val="none"/>
              </w:rPr>
              <w:t>全封闭</w:t>
            </w:r>
            <w:r>
              <w:rPr>
                <w:rFonts w:hint="eastAsia" w:ascii="Times New Roman Regular" w:hAnsi="Times New Roman Regular" w:cs="Times New Roman Regular"/>
                <w:color w:val="auto"/>
                <w:sz w:val="24"/>
                <w:highlight w:val="none"/>
                <w:lang w:val="en-US" w:eastAsia="zh-CN"/>
              </w:rPr>
              <w:t>生产</w:t>
            </w:r>
            <w:r>
              <w:rPr>
                <w:rFonts w:hint="default" w:ascii="Times New Roman Regular" w:hAnsi="Times New Roman Regular" w:cs="Times New Roman Regular"/>
                <w:color w:val="auto"/>
                <w:sz w:val="24"/>
                <w:highlight w:val="none"/>
                <w:lang w:val="en-US" w:eastAsia="zh-CN"/>
              </w:rPr>
              <w:t>车间进行分区</w:t>
            </w:r>
            <w:r>
              <w:rPr>
                <w:rFonts w:hint="default" w:ascii="Times New Roman Regular" w:hAnsi="Times New Roman Regular" w:cs="Times New Roman Regular"/>
                <w:color w:val="auto"/>
                <w:sz w:val="24"/>
                <w:highlight w:val="none"/>
              </w:rPr>
              <w:t>，在各</w:t>
            </w:r>
            <w:r>
              <w:rPr>
                <w:rFonts w:hint="eastAsia" w:ascii="Times New Roman Regular" w:hAnsi="Times New Roman Regular" w:cs="Times New Roman Regular"/>
                <w:color w:val="auto"/>
                <w:sz w:val="24"/>
                <w:highlight w:val="none"/>
                <w:lang w:val="en-US" w:eastAsia="zh-CN"/>
              </w:rPr>
              <w:t>存储区域</w:t>
            </w:r>
            <w:r>
              <w:rPr>
                <w:rFonts w:hint="default" w:ascii="Times New Roman Regular" w:hAnsi="Times New Roman Regular" w:cs="Times New Roman Regular"/>
                <w:color w:val="auto"/>
                <w:sz w:val="24"/>
                <w:highlight w:val="none"/>
              </w:rPr>
              <w:t>顶部</w:t>
            </w:r>
            <w:r>
              <w:rPr>
                <w:rFonts w:hint="default" w:ascii="Times New Roman Regular" w:hAnsi="Times New Roman Regular" w:cs="Times New Roman Regular"/>
                <w:color w:val="auto"/>
                <w:sz w:val="24"/>
                <w:highlight w:val="none"/>
                <w:lang w:val="en-US" w:eastAsia="zh-CN"/>
              </w:rPr>
              <w:t>合理</w:t>
            </w:r>
            <w:r>
              <w:rPr>
                <w:rFonts w:hint="default" w:ascii="Times New Roman Regular" w:hAnsi="Times New Roman Regular" w:cs="Times New Roman Regular"/>
                <w:color w:val="auto"/>
                <w:sz w:val="24"/>
                <w:highlight w:val="none"/>
              </w:rPr>
              <w:t>加装喷雾</w:t>
            </w:r>
            <w:r>
              <w:rPr>
                <w:rFonts w:hint="eastAsia" w:ascii="Times New Roman Regular" w:hAnsi="Times New Roman Regular" w:cs="Times New Roman Regular"/>
                <w:color w:val="auto"/>
                <w:sz w:val="24"/>
                <w:highlight w:val="none"/>
                <w:lang w:val="en-US" w:eastAsia="zh-CN"/>
              </w:rPr>
              <w:t>抑尘</w:t>
            </w:r>
            <w:r>
              <w:rPr>
                <w:rFonts w:hint="default" w:ascii="Times New Roman Regular" w:hAnsi="Times New Roman Regular" w:cs="Times New Roman Regular"/>
                <w:color w:val="auto"/>
                <w:sz w:val="24"/>
                <w:highlight w:val="none"/>
              </w:rPr>
              <w:t>装置，确保可以覆盖整个物料表面，有效</w:t>
            </w:r>
            <w:r>
              <w:rPr>
                <w:rFonts w:hint="eastAsia" w:ascii="Times New Roman Regular" w:hAnsi="Times New Roman Regular" w:cs="Times New Roman Regular"/>
                <w:color w:val="auto"/>
                <w:sz w:val="24"/>
                <w:highlight w:val="none"/>
                <w:lang w:eastAsia="zh-CN"/>
              </w:rPr>
              <w:t>抑制</w:t>
            </w:r>
            <w:r>
              <w:rPr>
                <w:rFonts w:hint="default" w:ascii="Times New Roman Regular" w:hAnsi="Times New Roman Regular" w:cs="Times New Roman Regular"/>
                <w:color w:val="auto"/>
                <w:sz w:val="24"/>
                <w:highlight w:val="none"/>
              </w:rPr>
              <w:t>扬尘的产生。物料装卸时，装载机应尽量靠近运输车辆，并尽可能缩小装卸时的高差，同时使用雾炮车进行喷雾抑尘，喷枪、喷头洒水雨雾均匀并自动旋转，角度可调</w:t>
            </w:r>
            <w:r>
              <w:rPr>
                <w:rFonts w:hint="default" w:ascii="Times New Roman Regular" w:hAnsi="Times New Roman Regular" w:cs="Times New Roman Regular"/>
                <w:color w:val="auto"/>
                <w:sz w:val="24"/>
                <w:highlight w:val="none"/>
                <w:lang w:eastAsia="zh-CN"/>
              </w:rPr>
              <w:t>，</w:t>
            </w:r>
            <w:r>
              <w:rPr>
                <w:rFonts w:hint="default" w:ascii="Times New Roman Regular" w:hAnsi="Times New Roman Regular" w:cs="Times New Roman Regular"/>
                <w:color w:val="auto"/>
                <w:sz w:val="24"/>
                <w:highlight w:val="none"/>
                <w:lang w:val="en-US" w:eastAsia="zh-CN"/>
              </w:rPr>
              <w:t>喷雾水罐位于车间内，定期加水，</w:t>
            </w:r>
            <w:r>
              <w:rPr>
                <w:rFonts w:hint="default" w:ascii="Times New Roman Regular" w:hAnsi="Times New Roman Regular" w:cs="Times New Roman Regular"/>
                <w:color w:val="auto"/>
                <w:sz w:val="24"/>
                <w:highlight w:val="none"/>
                <w:lang w:eastAsia="zh-CN"/>
              </w:rPr>
              <w:t>为了防止喷雾装置冬季不能正常工作，要求在</w:t>
            </w:r>
            <w:r>
              <w:rPr>
                <w:rFonts w:hint="default" w:ascii="Times New Roman Regular" w:hAnsi="Times New Roman Regular" w:cs="Times New Roman Regular"/>
                <w:color w:val="auto"/>
                <w:sz w:val="24"/>
                <w:highlight w:val="none"/>
                <w:lang w:val="en-US" w:eastAsia="zh-CN"/>
              </w:rPr>
              <w:t>罐体设置保温措施，</w:t>
            </w:r>
            <w:r>
              <w:rPr>
                <w:rFonts w:hint="default" w:ascii="Times New Roman Regular" w:hAnsi="Times New Roman Regular" w:cs="Times New Roman Regular"/>
                <w:color w:val="auto"/>
                <w:sz w:val="24"/>
                <w:highlight w:val="none"/>
                <w:lang w:eastAsia="zh-CN"/>
              </w:rPr>
              <w:t>输水管道上增加一层保温层，在管线的尾部加装放水阀，维持一直流水的状态，放水经收集后可用于洒水抑尘</w:t>
            </w:r>
            <w:r>
              <w:rPr>
                <w:rFonts w:hint="default" w:ascii="Times New Roman Regular" w:hAnsi="Times New Roman Regular" w:cs="Times New Roman Regular"/>
                <w:color w:val="auto"/>
                <w:sz w:val="24"/>
                <w:szCs w:val="24"/>
                <w:highlight w:val="none"/>
                <w:lang w:val="en-US" w:eastAsia="zh-CN"/>
              </w:rPr>
              <w:t>。</w:t>
            </w:r>
          </w:p>
          <w:p w14:paraId="73D5C51E">
            <w:pPr>
              <w:keepNext w:val="0"/>
              <w:keepLines w:val="0"/>
              <w:suppressLineNumbers w:val="0"/>
              <w:spacing w:before="0" w:beforeAutospacing="0" w:after="0" w:afterAutospacing="0" w:line="480" w:lineRule="exact"/>
              <w:ind w:left="0" w:right="0" w:firstLine="480" w:firstLineChars="200"/>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工业固体物料堆存颗粒物排放量核算公式如下：</w:t>
            </w:r>
          </w:p>
          <w:p w14:paraId="1F3F7320">
            <w:pPr>
              <w:pStyle w:val="20"/>
              <w:keepNext w:val="0"/>
              <w:keepLines w:val="0"/>
              <w:suppressLineNumbers w:val="0"/>
              <w:spacing w:before="0" w:beforeAutospacing="0" w:after="0" w:afterAutospacing="0" w:line="480" w:lineRule="exact"/>
              <w:ind w:left="0" w:right="0"/>
              <w:jc w:val="center"/>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U</w:t>
            </w:r>
            <w:r>
              <w:rPr>
                <w:rFonts w:hint="default" w:ascii="Times New Roman Regular" w:hAnsi="Times New Roman Regular" w:cs="Times New Roman Regular"/>
                <w:color w:val="auto"/>
                <w:sz w:val="24"/>
                <w:highlight w:val="none"/>
                <w:vertAlign w:val="subscript"/>
              </w:rPr>
              <w:t>c</w:t>
            </w:r>
            <w:r>
              <w:rPr>
                <w:rFonts w:hint="default" w:ascii="Times New Roman Regular" w:hAnsi="Times New Roman Regular" w:cs="Times New Roman Regular"/>
                <w:color w:val="auto"/>
                <w:sz w:val="24"/>
                <w:highlight w:val="none"/>
              </w:rPr>
              <w:t>=P×(1-C</w:t>
            </w:r>
            <w:r>
              <w:rPr>
                <w:rFonts w:hint="default" w:ascii="Times New Roman Regular" w:hAnsi="Times New Roman Regular" w:cs="Times New Roman Regular"/>
                <w:color w:val="auto"/>
                <w:sz w:val="24"/>
                <w:highlight w:val="none"/>
                <w:vertAlign w:val="subscript"/>
              </w:rPr>
              <w:t>m</w:t>
            </w:r>
            <w:r>
              <w:rPr>
                <w:rFonts w:hint="default" w:ascii="Times New Roman Regular" w:hAnsi="Times New Roman Regular" w:cs="Times New Roman Regular"/>
                <w:color w:val="auto"/>
                <w:sz w:val="24"/>
                <w:highlight w:val="none"/>
              </w:rPr>
              <w:t>)×(1-T</w:t>
            </w:r>
            <w:r>
              <w:rPr>
                <w:rFonts w:hint="default" w:ascii="Times New Roman Regular" w:hAnsi="Times New Roman Regular" w:cs="Times New Roman Regular"/>
                <w:color w:val="auto"/>
                <w:sz w:val="24"/>
                <w:highlight w:val="none"/>
                <w:vertAlign w:val="subscript"/>
              </w:rPr>
              <w:t>m</w:t>
            </w:r>
            <w:r>
              <w:rPr>
                <w:rFonts w:hint="default" w:ascii="Times New Roman Regular" w:hAnsi="Times New Roman Regular" w:cs="Times New Roman Regular"/>
                <w:color w:val="auto"/>
                <w:sz w:val="24"/>
                <w:highlight w:val="none"/>
              </w:rPr>
              <w:t>)</w:t>
            </w:r>
          </w:p>
          <w:p w14:paraId="662578C0">
            <w:pPr>
              <w:keepNext w:val="0"/>
              <w:keepLines w:val="0"/>
              <w:suppressLineNumbers w:val="0"/>
              <w:spacing w:before="0" w:beforeAutospacing="0" w:after="0" w:afterAutospacing="0" w:line="480" w:lineRule="exact"/>
              <w:ind w:left="0" w:right="0" w:firstLine="480" w:firstLineChars="200"/>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式中：P指颗粒物产生量（单位：吨）；</w:t>
            </w:r>
          </w:p>
          <w:p w14:paraId="3607BCB3">
            <w:pPr>
              <w:keepNext w:val="0"/>
              <w:keepLines w:val="0"/>
              <w:suppressLineNumbers w:val="0"/>
              <w:spacing w:before="0" w:beforeAutospacing="0" w:after="0" w:afterAutospacing="0" w:line="480" w:lineRule="exact"/>
              <w:ind w:left="0" w:right="0" w:firstLine="1200" w:firstLineChars="500"/>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U</w:t>
            </w:r>
            <w:r>
              <w:rPr>
                <w:rFonts w:hint="default" w:ascii="Times New Roman Regular" w:hAnsi="Times New Roman Regular" w:cs="Times New Roman Regular"/>
                <w:color w:val="auto"/>
                <w:sz w:val="24"/>
                <w:highlight w:val="none"/>
                <w:vertAlign w:val="subscript"/>
              </w:rPr>
              <w:t>c</w:t>
            </w:r>
            <w:r>
              <w:rPr>
                <w:rFonts w:hint="default" w:ascii="Times New Roman Regular" w:hAnsi="Times New Roman Regular" w:cs="Times New Roman Regular"/>
                <w:color w:val="auto"/>
                <w:sz w:val="24"/>
                <w:highlight w:val="none"/>
              </w:rPr>
              <w:t>指颗粒物排放量（单位：吨）；</w:t>
            </w:r>
          </w:p>
          <w:p w14:paraId="06867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C</w:t>
            </w:r>
            <w:r>
              <w:rPr>
                <w:rFonts w:hint="default" w:ascii="Times New Roman Regular" w:hAnsi="Times New Roman Regular" w:cs="Times New Roman Regular"/>
                <w:color w:val="auto"/>
                <w:sz w:val="24"/>
                <w:highlight w:val="none"/>
                <w:vertAlign w:val="subscript"/>
              </w:rPr>
              <w:t>m</w:t>
            </w:r>
            <w:r>
              <w:rPr>
                <w:rFonts w:hint="default" w:ascii="Times New Roman Regular" w:hAnsi="Times New Roman Regular" w:cs="Times New Roman Regular"/>
                <w:color w:val="auto"/>
                <w:sz w:val="24"/>
                <w:highlight w:val="none"/>
              </w:rPr>
              <w:t>指颗粒物控制措施控制效率（单位：%）（本项目采用洒水抑尘措施，控制效率取值74%）；</w:t>
            </w:r>
          </w:p>
          <w:p w14:paraId="0C101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ascii="Times New Roman Regular" w:hAnsi="Times New Roman Regular" w:cs="Times New Roman Regular"/>
                <w:color w:val="auto"/>
                <w:sz w:val="24"/>
                <w:highlight w:val="none"/>
              </w:rPr>
            </w:pPr>
            <w:r>
              <w:rPr>
                <w:rFonts w:hint="default" w:ascii="Times New Roman Regular" w:hAnsi="Times New Roman Regular" w:cs="Times New Roman Regular"/>
                <w:color w:val="auto"/>
                <w:sz w:val="24"/>
                <w:highlight w:val="none"/>
              </w:rPr>
              <w:t>T</w:t>
            </w:r>
            <w:r>
              <w:rPr>
                <w:rFonts w:hint="default" w:ascii="Times New Roman Regular" w:hAnsi="Times New Roman Regular" w:cs="Times New Roman Regular"/>
                <w:color w:val="auto"/>
                <w:sz w:val="24"/>
                <w:highlight w:val="none"/>
                <w:vertAlign w:val="subscript"/>
              </w:rPr>
              <w:t>m</w:t>
            </w:r>
            <w:r>
              <w:rPr>
                <w:rFonts w:hint="default" w:ascii="Times New Roman Regular" w:hAnsi="Times New Roman Regular" w:cs="Times New Roman Regular"/>
                <w:color w:val="auto"/>
                <w:sz w:val="24"/>
                <w:highlight w:val="none"/>
              </w:rPr>
              <w:t>指堆场类型控制效率（单位：%）（本项目采用全封闭式储库储存，属于密闭式，取值99%）；</w:t>
            </w:r>
          </w:p>
          <w:p w14:paraId="18501C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Regular" w:hAnsi="Times New Roman Regular" w:eastAsia="宋体" w:cs="Times New Roman Regular"/>
                <w:color w:val="auto"/>
                <w:sz w:val="24"/>
                <w:highlight w:val="none"/>
                <w:lang w:eastAsia="zh-CN"/>
              </w:rPr>
            </w:pPr>
            <w:r>
              <w:rPr>
                <w:rFonts w:hint="default" w:ascii="Times New Roman Regular" w:hAnsi="Times New Roman Regular" w:cs="Times New Roman Regular"/>
                <w:color w:val="auto"/>
                <w:sz w:val="24"/>
                <w:highlight w:val="none"/>
              </w:rPr>
              <w:t>经过上述计算，采取措施后，原料和成品堆存颗粒物排放量为</w:t>
            </w:r>
            <w:r>
              <w:rPr>
                <w:rFonts w:hint="default" w:ascii="Times New Roman Regular" w:hAnsi="Times New Roman Regular" w:cs="Times New Roman Regular"/>
                <w:color w:val="auto"/>
                <w:sz w:val="24"/>
                <w:highlight w:val="none"/>
                <w:lang w:eastAsia="zh-CN"/>
              </w:rPr>
              <w:t>：</w:t>
            </w:r>
          </w:p>
          <w:p w14:paraId="314EC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Regular" w:hAnsi="Times New Roman Regular" w:cs="Times New Roman Regular"/>
                <w:color w:val="auto"/>
                <w:sz w:val="24"/>
                <w:szCs w:val="24"/>
                <w:lang w:val="en-US" w:eastAsia="zh-CN"/>
              </w:rPr>
            </w:pPr>
            <w:r>
              <w:rPr>
                <w:rFonts w:hint="eastAsia" w:ascii="Times New Roman" w:eastAsia="宋体"/>
                <w:color w:val="auto"/>
                <w:sz w:val="24"/>
                <w:lang w:val="en-US" w:eastAsia="zh-CN"/>
              </w:rPr>
              <w:t>121.22</w:t>
            </w:r>
            <w:r>
              <w:rPr>
                <w:rFonts w:hint="eastAsia"/>
                <w:color w:val="auto"/>
                <w:sz w:val="24"/>
                <w:lang w:val="en-US" w:eastAsia="zh-CN"/>
              </w:rPr>
              <w:t>t/a</w:t>
            </w:r>
            <w:r>
              <w:rPr>
                <w:rFonts w:hint="default" w:ascii="Times New Roman Regular" w:hAnsi="Times New Roman Regular" w:cs="Times New Roman Regular"/>
                <w:color w:val="auto"/>
                <w:sz w:val="24"/>
                <w:highlight w:val="none"/>
              </w:rPr>
              <w:t>×</w:t>
            </w:r>
            <w:r>
              <w:rPr>
                <w:rFonts w:hint="eastAsia" w:ascii="Times New Roman Regular" w:hAnsi="Times New Roman Regular" w:cs="Times New Roman Regular"/>
                <w:color w:val="auto"/>
                <w:sz w:val="24"/>
                <w:highlight w:val="none"/>
                <w:lang w:val="en-US" w:eastAsia="zh-CN"/>
              </w:rPr>
              <w:t>（</w:t>
            </w:r>
            <w:r>
              <w:rPr>
                <w:rFonts w:hint="default" w:ascii="Times New Roman Regular" w:hAnsi="Times New Roman Regular" w:cs="Times New Roman Regular"/>
                <w:color w:val="auto"/>
                <w:sz w:val="24"/>
                <w:highlight w:val="none"/>
              </w:rPr>
              <w:t>1-</w:t>
            </w:r>
            <w:r>
              <w:rPr>
                <w:rFonts w:hint="default" w:ascii="Times New Roman Regular" w:hAnsi="Times New Roman Regular" w:cs="Times New Roman Regular"/>
                <w:color w:val="auto"/>
                <w:sz w:val="24"/>
                <w:highlight w:val="none"/>
                <w:lang w:val="en-US" w:eastAsia="zh-CN"/>
              </w:rPr>
              <w:t>74%</w:t>
            </w:r>
            <w:r>
              <w:rPr>
                <w:rFonts w:hint="eastAsia" w:ascii="Times New Roman Regular" w:hAnsi="Times New Roman Regular" w:cs="Times New Roman Regular"/>
                <w:color w:val="auto"/>
                <w:sz w:val="24"/>
                <w:highlight w:val="none"/>
                <w:lang w:val="en-US" w:eastAsia="zh-CN"/>
              </w:rPr>
              <w:t>）</w:t>
            </w:r>
            <w:r>
              <w:rPr>
                <w:rFonts w:hint="default" w:ascii="Times New Roman Regular" w:hAnsi="Times New Roman Regular" w:cs="Times New Roman Regular"/>
                <w:color w:val="auto"/>
                <w:sz w:val="24"/>
                <w:highlight w:val="none"/>
              </w:rPr>
              <w:t>×</w:t>
            </w:r>
            <w:r>
              <w:rPr>
                <w:rFonts w:hint="eastAsia" w:ascii="Times New Roman Regular" w:hAnsi="Times New Roman Regular" w:cs="Times New Roman Regular"/>
                <w:color w:val="auto"/>
                <w:sz w:val="24"/>
                <w:highlight w:val="none"/>
                <w:lang w:val="en-US" w:eastAsia="zh-CN"/>
              </w:rPr>
              <w:t>（</w:t>
            </w:r>
            <w:r>
              <w:rPr>
                <w:rFonts w:hint="default" w:ascii="Times New Roman Regular" w:hAnsi="Times New Roman Regular" w:cs="Times New Roman Regular"/>
                <w:color w:val="auto"/>
                <w:sz w:val="24"/>
                <w:highlight w:val="none"/>
              </w:rPr>
              <w:t>1-99%</w:t>
            </w:r>
            <w:r>
              <w:rPr>
                <w:rFonts w:hint="default" w:ascii="Times New Roman Regular" w:hAnsi="Times New Roman Regular" w:cs="Times New Roman Regular"/>
                <w:color w:val="auto"/>
                <w:sz w:val="24"/>
                <w:highlight w:val="none"/>
                <w:lang w:eastAsia="zh-CN"/>
              </w:rPr>
              <w:t>）</w:t>
            </w:r>
            <w:r>
              <w:rPr>
                <w:rFonts w:hint="eastAsia" w:ascii="Times New Roman Regular" w:hAnsi="Times New Roman Regular" w:cs="Times New Roman Regular"/>
                <w:color w:val="auto"/>
                <w:sz w:val="24"/>
                <w:highlight w:val="none"/>
                <w:lang w:val="en-US" w:eastAsia="zh-CN"/>
              </w:rPr>
              <w:t>=0.315</w:t>
            </w:r>
            <w:r>
              <w:rPr>
                <w:rFonts w:hint="default" w:ascii="Times New Roman Regular" w:hAnsi="Times New Roman Regular" w:cs="Times New Roman Regular"/>
                <w:color w:val="auto"/>
                <w:sz w:val="24"/>
                <w:highlight w:val="none"/>
                <w:lang w:eastAsia="zh-CN"/>
              </w:rPr>
              <w:t>t/a</w:t>
            </w:r>
          </w:p>
          <w:p w14:paraId="6CF7B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eastAsia="zh-CN"/>
              </w:rPr>
              <w:t>（</w:t>
            </w:r>
            <w:r>
              <w:rPr>
                <w:rFonts w:hint="eastAsia" w:cs="Times New Roman"/>
                <w:color w:val="auto"/>
                <w:sz w:val="24"/>
                <w:highlight w:val="none"/>
                <w:lang w:val="en-US" w:eastAsia="zh-CN"/>
              </w:rPr>
              <w:t>3</w:t>
            </w:r>
            <w:r>
              <w:rPr>
                <w:rFonts w:hint="eastAsia" w:cs="Times New Roman"/>
                <w:color w:val="auto"/>
                <w:sz w:val="24"/>
                <w:highlight w:val="none"/>
                <w:lang w:eastAsia="zh-CN"/>
              </w:rPr>
              <w:t>）</w:t>
            </w:r>
            <w:r>
              <w:rPr>
                <w:rFonts w:hint="default"/>
                <w:bCs/>
                <w:color w:val="auto"/>
                <w:sz w:val="24"/>
              </w:rPr>
              <w:t>给料、</w:t>
            </w:r>
            <w:r>
              <w:rPr>
                <w:rFonts w:hint="eastAsia"/>
                <w:bCs/>
                <w:color w:val="auto"/>
                <w:sz w:val="24"/>
                <w:lang w:val="en-US" w:eastAsia="zh-CN"/>
              </w:rPr>
              <w:t>破碎、筛分粉尘</w:t>
            </w:r>
          </w:p>
          <w:p w14:paraId="79F253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eastAsia="黑体"/>
                <w:color w:val="auto"/>
                <w:sz w:val="24"/>
                <w:lang w:val="en-US" w:eastAsia="zh-CN"/>
              </w:rPr>
            </w:pPr>
            <w:r>
              <w:rPr>
                <w:rFonts w:hint="eastAsia" w:cs="Times New Roman"/>
                <w:color w:val="auto"/>
                <w:sz w:val="24"/>
                <w:highlight w:val="none"/>
                <w:lang w:val="en-US" w:eastAsia="zh-CN"/>
              </w:rPr>
              <w:t>本项目原料在上料工序会有粉尘产生，年工作时间3300h，</w:t>
            </w:r>
            <w:bookmarkStart w:id="12" w:name="OLE_LINK183"/>
            <w:r>
              <w:rPr>
                <w:rFonts w:hint="eastAsia"/>
                <w:color w:val="auto"/>
                <w:sz w:val="24"/>
              </w:rPr>
              <w:t>建设单位拟在料斗上方设置</w:t>
            </w:r>
            <w:r>
              <w:rPr>
                <w:rFonts w:hint="eastAsia"/>
                <w:color w:val="auto"/>
                <w:sz w:val="24"/>
                <w:lang w:val="en-US" w:eastAsia="zh-CN"/>
              </w:rPr>
              <w:t>1个</w:t>
            </w:r>
            <w:r>
              <w:rPr>
                <w:rFonts w:hint="eastAsia"/>
                <w:color w:val="auto"/>
                <w:sz w:val="24"/>
              </w:rPr>
              <w:t>柜式集气罩，</w:t>
            </w:r>
            <w:bookmarkStart w:id="13" w:name="OLE_LINK191"/>
            <w:bookmarkStart w:id="14" w:name="OLE_LINK190"/>
            <w:r>
              <w:rPr>
                <w:rFonts w:hint="eastAsia"/>
                <w:color w:val="auto"/>
                <w:sz w:val="24"/>
              </w:rPr>
              <w:t>三面围挡</w:t>
            </w:r>
            <w:bookmarkEnd w:id="13"/>
            <w:bookmarkEnd w:id="14"/>
            <w:r>
              <w:rPr>
                <w:rFonts w:hint="eastAsia"/>
                <w:color w:val="auto"/>
                <w:sz w:val="24"/>
              </w:rPr>
              <w:t>，仅入料侧</w:t>
            </w:r>
            <w:bookmarkStart w:id="15" w:name="OLE_LINK193"/>
            <w:bookmarkStart w:id="16" w:name="OLE_LINK192"/>
            <w:r>
              <w:rPr>
                <w:rFonts w:hint="eastAsia"/>
                <w:color w:val="auto"/>
                <w:sz w:val="24"/>
              </w:rPr>
              <w:t>留有工作口</w:t>
            </w:r>
            <w:bookmarkEnd w:id="12"/>
            <w:r>
              <w:rPr>
                <w:rFonts w:hint="eastAsia"/>
                <w:color w:val="auto"/>
                <w:sz w:val="24"/>
              </w:rPr>
              <w:t>，工作口处设软帘</w:t>
            </w:r>
            <w:bookmarkEnd w:id="15"/>
            <w:bookmarkEnd w:id="16"/>
            <w:r>
              <w:rPr>
                <w:rFonts w:hint="eastAsia"/>
                <w:color w:val="auto"/>
                <w:sz w:val="24"/>
              </w:rPr>
              <w:t>。废气经</w:t>
            </w:r>
            <w:r>
              <w:rPr>
                <w:rFonts w:hint="eastAsia"/>
                <w:color w:val="auto"/>
                <w:sz w:val="24"/>
                <w:lang w:val="en-US" w:eastAsia="zh-CN"/>
              </w:rPr>
              <w:t>集气罩</w:t>
            </w:r>
            <w:r>
              <w:rPr>
                <w:rFonts w:hint="eastAsia"/>
                <w:color w:val="auto"/>
                <w:sz w:val="24"/>
              </w:rPr>
              <w:t>收集后</w:t>
            </w:r>
            <w:r>
              <w:rPr>
                <w:rFonts w:hint="eastAsia"/>
                <w:color w:val="auto"/>
                <w:sz w:val="24"/>
                <w:highlight w:val="none"/>
                <w:lang w:val="en-US" w:eastAsia="zh-CN"/>
              </w:rPr>
              <w:t>引入1台</w:t>
            </w:r>
            <w:r>
              <w:rPr>
                <w:rFonts w:hint="eastAsia"/>
                <w:color w:val="auto"/>
                <w:sz w:val="24"/>
                <w:highlight w:val="none"/>
              </w:rPr>
              <w:t>布袋除尘器</w:t>
            </w:r>
            <w:r>
              <w:rPr>
                <w:rFonts w:hint="eastAsia"/>
                <w:color w:val="auto"/>
                <w:sz w:val="24"/>
                <w:highlight w:val="none"/>
                <w:lang w:eastAsia="zh-CN"/>
              </w:rPr>
              <w:t>（</w:t>
            </w:r>
            <w:r>
              <w:rPr>
                <w:rFonts w:hint="eastAsia"/>
                <w:color w:val="auto"/>
                <w:sz w:val="24"/>
                <w:highlight w:val="none"/>
                <w:lang w:val="en-US" w:eastAsia="zh-CN"/>
              </w:rPr>
              <w:t>TA001</w:t>
            </w:r>
            <w:r>
              <w:rPr>
                <w:rFonts w:hint="eastAsia"/>
                <w:color w:val="auto"/>
                <w:sz w:val="24"/>
                <w:highlight w:val="none"/>
                <w:lang w:eastAsia="zh-CN"/>
              </w:rPr>
              <w:t>）</w:t>
            </w:r>
            <w:r>
              <w:rPr>
                <w:rFonts w:hint="eastAsia"/>
                <w:color w:val="auto"/>
                <w:sz w:val="24"/>
              </w:rPr>
              <w:t>处理，</w:t>
            </w:r>
            <w:r>
              <w:rPr>
                <w:rFonts w:hint="eastAsia"/>
                <w:color w:val="auto"/>
                <w:sz w:val="24"/>
                <w:lang w:val="en-US" w:eastAsia="zh-CN"/>
              </w:rPr>
              <w:t>由</w:t>
            </w:r>
            <w:r>
              <w:rPr>
                <w:rFonts w:hint="default"/>
                <w:color w:val="auto"/>
                <w:sz w:val="24"/>
              </w:rPr>
              <w:t>1根</w:t>
            </w:r>
            <w:r>
              <w:rPr>
                <w:rFonts w:hint="eastAsia"/>
                <w:color w:val="auto"/>
                <w:sz w:val="24"/>
                <w:lang w:val="en-US" w:eastAsia="zh-CN"/>
              </w:rPr>
              <w:t>20</w:t>
            </w:r>
            <w:r>
              <w:rPr>
                <w:rFonts w:hint="default"/>
                <w:color w:val="auto"/>
                <w:sz w:val="24"/>
              </w:rPr>
              <w:t>m高排气筒（</w:t>
            </w:r>
            <w:r>
              <w:rPr>
                <w:rFonts w:hint="eastAsia"/>
                <w:color w:val="auto"/>
                <w:sz w:val="24"/>
              </w:rPr>
              <w:t>D</w:t>
            </w:r>
            <w:r>
              <w:rPr>
                <w:rFonts w:hint="default"/>
                <w:color w:val="auto"/>
                <w:sz w:val="24"/>
              </w:rPr>
              <w:t>A001）排放</w:t>
            </w:r>
            <w:r>
              <w:rPr>
                <w:rFonts w:hint="eastAsia"/>
                <w:color w:val="auto"/>
                <w:sz w:val="24"/>
                <w:lang w:eastAsia="zh-CN"/>
              </w:rPr>
              <w:t>（</w:t>
            </w:r>
            <w:r>
              <w:rPr>
                <w:rFonts w:hint="eastAsia" w:ascii="Times New Roman" w:eastAsia="宋体"/>
                <w:color w:val="auto"/>
                <w:sz w:val="24"/>
                <w:lang w:val="en-US" w:eastAsia="zh-CN"/>
              </w:rPr>
              <w:t>生产车间高度为1</w:t>
            </w:r>
            <w:r>
              <w:rPr>
                <w:rFonts w:hint="eastAsia"/>
                <w:color w:val="auto"/>
                <w:sz w:val="24"/>
                <w:lang w:val="en-US" w:eastAsia="zh-CN"/>
              </w:rPr>
              <w:t>7</w:t>
            </w:r>
            <w:r>
              <w:rPr>
                <w:rFonts w:hint="eastAsia" w:ascii="Times New Roman" w:eastAsia="宋体"/>
                <w:color w:val="auto"/>
                <w:sz w:val="24"/>
                <w:lang w:val="en-US" w:eastAsia="zh-CN"/>
              </w:rPr>
              <w:t>m，因此排气筒应高于车间顶部</w:t>
            </w:r>
            <w:r>
              <w:rPr>
                <w:rFonts w:hint="eastAsia"/>
                <w:color w:val="auto"/>
                <w:sz w:val="24"/>
                <w:lang w:eastAsia="zh-CN"/>
              </w:rPr>
              <w:t>）</w:t>
            </w:r>
            <w:r>
              <w:rPr>
                <w:rFonts w:hint="default"/>
                <w:color w:val="auto"/>
                <w:sz w:val="24"/>
              </w:rPr>
              <w:t>。</w:t>
            </w:r>
            <w:r>
              <w:rPr>
                <w:rFonts w:hint="eastAsia"/>
                <w:color w:val="auto"/>
                <w:sz w:val="24"/>
                <w:lang w:val="en-US" w:eastAsia="zh-CN"/>
              </w:rPr>
              <w:t>给料</w:t>
            </w:r>
            <w:r>
              <w:rPr>
                <w:rFonts w:hint="default"/>
                <w:color w:val="auto"/>
                <w:sz w:val="24"/>
              </w:rPr>
              <w:t>工序集气罩技术参数表见表</w:t>
            </w:r>
            <w:r>
              <w:rPr>
                <w:rFonts w:hint="default"/>
                <w:b w:val="0"/>
                <w:bCs/>
                <w:color w:val="auto"/>
                <w:sz w:val="24"/>
                <w:szCs w:val="24"/>
                <w:lang w:val="en-US" w:eastAsia="zh-CN"/>
              </w:rPr>
              <w:t>4</w:t>
            </w:r>
            <w:r>
              <w:rPr>
                <w:rFonts w:hint="eastAsia"/>
                <w:b w:val="0"/>
                <w:bCs/>
                <w:color w:val="auto"/>
                <w:sz w:val="24"/>
                <w:szCs w:val="24"/>
                <w:lang w:val="en-US" w:eastAsia="zh-CN"/>
              </w:rPr>
              <w:t>.5-2</w:t>
            </w:r>
            <w:r>
              <w:rPr>
                <w:rFonts w:hint="eastAsia" w:eastAsia="黑体" w:cs="Times New Roman"/>
                <w:b w:val="0"/>
                <w:bCs w:val="0"/>
                <w:color w:val="auto"/>
                <w:lang w:eastAsia="zh-CN"/>
              </w:rPr>
              <w:t>。</w:t>
            </w:r>
          </w:p>
          <w:p w14:paraId="54860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eastAsia" w:ascii="黑体" w:hAnsi="黑体" w:eastAsia="黑体" w:cs="黑体"/>
                <w:b w:val="0"/>
                <w:bCs w:val="0"/>
                <w:color w:val="auto"/>
              </w:rPr>
            </w:pPr>
            <w:r>
              <w:rPr>
                <w:rFonts w:hint="eastAsia" w:ascii="Times New Roman" w:hAnsi="Times New Roman" w:eastAsia="宋体" w:cs="Times New Roman"/>
                <w:b/>
                <w:bCs w:val="0"/>
                <w:color w:val="auto"/>
                <w:sz w:val="21"/>
                <w:szCs w:val="16"/>
                <w:highlight w:val="none"/>
                <w:lang w:val="en-US" w:eastAsia="zh-CN"/>
              </w:rPr>
              <w:t>表</w:t>
            </w:r>
            <w:r>
              <w:rPr>
                <w:rFonts w:hint="default"/>
                <w:b/>
                <w:bCs w:val="0"/>
                <w:color w:val="auto"/>
                <w:sz w:val="21"/>
                <w:szCs w:val="21"/>
                <w:lang w:val="en-US" w:eastAsia="zh-CN"/>
              </w:rPr>
              <w:t>4</w:t>
            </w:r>
            <w:r>
              <w:rPr>
                <w:rFonts w:hint="eastAsia"/>
                <w:b/>
                <w:bCs w:val="0"/>
                <w:color w:val="auto"/>
                <w:sz w:val="21"/>
                <w:szCs w:val="21"/>
                <w:lang w:val="en-US" w:eastAsia="zh-CN"/>
              </w:rPr>
              <w:t>.5-2</w:t>
            </w:r>
            <w:r>
              <w:rPr>
                <w:rFonts w:hint="eastAsia" w:ascii="Times New Roman" w:hAnsi="Times New Roman" w:eastAsia="宋体" w:cs="Times New Roman"/>
                <w:b/>
                <w:bCs w:val="0"/>
                <w:color w:val="auto"/>
                <w:sz w:val="21"/>
                <w:szCs w:val="16"/>
                <w:highlight w:val="none"/>
                <w:lang w:val="en-US" w:eastAsia="zh-CN"/>
              </w:rPr>
              <w:t xml:space="preserve">  集气罩设置参数一览表</w:t>
            </w:r>
          </w:p>
          <w:tbl>
            <w:tblPr>
              <w:tblStyle w:val="27"/>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7"/>
              <w:gridCol w:w="1526"/>
              <w:gridCol w:w="1482"/>
              <w:gridCol w:w="2119"/>
              <w:gridCol w:w="1272"/>
            </w:tblGrid>
            <w:tr w14:paraId="2197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24" w:type="pct"/>
                  <w:tcBorders>
                    <w:tl2br w:val="nil"/>
                    <w:tr2bl w:val="nil"/>
                  </w:tcBorders>
                  <w:noWrap w:val="0"/>
                  <w:vAlign w:val="center"/>
                </w:tcPr>
                <w:p w14:paraId="062AD829">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b/>
                      <w:bCs/>
                      <w:color w:val="auto"/>
                      <w:szCs w:val="21"/>
                    </w:rPr>
                  </w:pPr>
                  <w:r>
                    <w:rPr>
                      <w:rFonts w:hint="default"/>
                      <w:b/>
                      <w:bCs/>
                      <w:color w:val="auto"/>
                      <w:szCs w:val="21"/>
                    </w:rPr>
                    <w:t>设备名称</w:t>
                  </w:r>
                </w:p>
              </w:tc>
              <w:tc>
                <w:tcPr>
                  <w:tcW w:w="625" w:type="pct"/>
                  <w:tcBorders>
                    <w:tl2br w:val="nil"/>
                    <w:tr2bl w:val="nil"/>
                  </w:tcBorders>
                  <w:noWrap w:val="0"/>
                  <w:vAlign w:val="center"/>
                </w:tcPr>
                <w:p w14:paraId="5DC05293">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b/>
                      <w:bCs/>
                      <w:color w:val="auto"/>
                      <w:szCs w:val="21"/>
                    </w:rPr>
                  </w:pPr>
                  <w:r>
                    <w:rPr>
                      <w:rFonts w:hint="default"/>
                      <w:b/>
                      <w:bCs/>
                      <w:color w:val="auto"/>
                      <w:szCs w:val="21"/>
                    </w:rPr>
                    <w:t>风罩位置</w:t>
                  </w:r>
                </w:p>
              </w:tc>
              <w:tc>
                <w:tcPr>
                  <w:tcW w:w="894" w:type="pct"/>
                  <w:tcBorders>
                    <w:tl2br w:val="nil"/>
                    <w:tr2bl w:val="nil"/>
                  </w:tcBorders>
                  <w:noWrap w:val="0"/>
                  <w:vAlign w:val="center"/>
                </w:tcPr>
                <w:p w14:paraId="65C14331">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b/>
                      <w:bCs/>
                      <w:color w:val="auto"/>
                      <w:szCs w:val="21"/>
                    </w:rPr>
                  </w:pPr>
                  <w:r>
                    <w:rPr>
                      <w:rFonts w:hint="default"/>
                      <w:b/>
                      <w:bCs/>
                      <w:color w:val="auto"/>
                      <w:szCs w:val="21"/>
                    </w:rPr>
                    <w:t>进料口尺寸m</w:t>
                  </w:r>
                </w:p>
              </w:tc>
              <w:tc>
                <w:tcPr>
                  <w:tcW w:w="868" w:type="pct"/>
                  <w:tcBorders>
                    <w:tl2br w:val="nil"/>
                    <w:tr2bl w:val="nil"/>
                  </w:tcBorders>
                  <w:noWrap w:val="0"/>
                  <w:vAlign w:val="center"/>
                </w:tcPr>
                <w:p w14:paraId="5ED48777">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eastAsia="宋体"/>
                      <w:b/>
                      <w:bCs/>
                      <w:color w:val="auto"/>
                      <w:szCs w:val="21"/>
                      <w:lang w:val="en-US" w:eastAsia="zh-CN"/>
                    </w:rPr>
                  </w:pPr>
                  <w:r>
                    <w:rPr>
                      <w:rFonts w:hint="eastAsia"/>
                      <w:b/>
                      <w:bCs/>
                      <w:color w:val="auto"/>
                      <w:szCs w:val="21"/>
                      <w:lang w:val="en-US" w:eastAsia="zh-CN"/>
                    </w:rPr>
                    <w:t>集气效率%</w:t>
                  </w:r>
                </w:p>
              </w:tc>
              <w:tc>
                <w:tcPr>
                  <w:tcW w:w="1241" w:type="pct"/>
                  <w:tcBorders>
                    <w:tl2br w:val="nil"/>
                    <w:tr2bl w:val="nil"/>
                  </w:tcBorders>
                  <w:noWrap w:val="0"/>
                  <w:vAlign w:val="center"/>
                </w:tcPr>
                <w:p w14:paraId="6CC66E6C">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b/>
                      <w:bCs/>
                      <w:color w:val="auto"/>
                      <w:szCs w:val="21"/>
                    </w:rPr>
                  </w:pPr>
                  <w:r>
                    <w:rPr>
                      <w:rFonts w:hint="default"/>
                      <w:b/>
                      <w:bCs/>
                      <w:color w:val="auto"/>
                      <w:szCs w:val="21"/>
                    </w:rPr>
                    <w:t>处理设备</w:t>
                  </w:r>
                </w:p>
              </w:tc>
              <w:tc>
                <w:tcPr>
                  <w:tcW w:w="745" w:type="pct"/>
                  <w:tcBorders>
                    <w:tl2br w:val="nil"/>
                    <w:tr2bl w:val="nil"/>
                  </w:tcBorders>
                  <w:noWrap w:val="0"/>
                  <w:vAlign w:val="center"/>
                </w:tcPr>
                <w:p w14:paraId="37B9B3DE">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b/>
                      <w:bCs/>
                      <w:color w:val="auto"/>
                      <w:szCs w:val="21"/>
                    </w:rPr>
                  </w:pPr>
                  <w:r>
                    <w:rPr>
                      <w:rFonts w:hint="default"/>
                      <w:b/>
                      <w:bCs/>
                      <w:color w:val="auto"/>
                      <w:szCs w:val="21"/>
                    </w:rPr>
                    <w:t>排气筒编号</w:t>
                  </w:r>
                </w:p>
              </w:tc>
            </w:tr>
            <w:tr w14:paraId="1814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24" w:type="pct"/>
                  <w:tcBorders>
                    <w:tl2br w:val="nil"/>
                    <w:tr2bl w:val="nil"/>
                  </w:tcBorders>
                  <w:noWrap w:val="0"/>
                  <w:vAlign w:val="center"/>
                </w:tcPr>
                <w:p w14:paraId="2FF04147">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color w:val="auto"/>
                      <w:szCs w:val="21"/>
                    </w:rPr>
                  </w:pPr>
                  <w:r>
                    <w:rPr>
                      <w:rFonts w:hint="eastAsia"/>
                      <w:color w:val="auto"/>
                      <w:szCs w:val="21"/>
                      <w:lang w:val="en-US" w:eastAsia="zh-CN"/>
                    </w:rPr>
                    <w:t>给料机</w:t>
                  </w:r>
                </w:p>
              </w:tc>
              <w:tc>
                <w:tcPr>
                  <w:tcW w:w="625" w:type="pct"/>
                  <w:tcBorders>
                    <w:tl2br w:val="nil"/>
                    <w:tr2bl w:val="nil"/>
                  </w:tcBorders>
                  <w:noWrap w:val="0"/>
                  <w:vAlign w:val="center"/>
                </w:tcPr>
                <w:p w14:paraId="59B2C735">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color w:val="auto"/>
                      <w:szCs w:val="21"/>
                    </w:rPr>
                  </w:pPr>
                  <w:r>
                    <w:rPr>
                      <w:rFonts w:hint="eastAsia"/>
                      <w:color w:val="auto"/>
                      <w:szCs w:val="21"/>
                      <w:lang w:val="en-US" w:eastAsia="zh-CN"/>
                    </w:rPr>
                    <w:t>柜式</w:t>
                  </w:r>
                  <w:r>
                    <w:rPr>
                      <w:rFonts w:hint="default"/>
                      <w:color w:val="auto"/>
                      <w:szCs w:val="21"/>
                    </w:rPr>
                    <w:t>罩</w:t>
                  </w:r>
                </w:p>
              </w:tc>
              <w:tc>
                <w:tcPr>
                  <w:tcW w:w="894" w:type="pct"/>
                  <w:tcBorders>
                    <w:tl2br w:val="nil"/>
                    <w:tr2bl w:val="nil"/>
                  </w:tcBorders>
                  <w:noWrap w:val="0"/>
                  <w:vAlign w:val="center"/>
                </w:tcPr>
                <w:p w14:paraId="15F4943F">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eastAsia="宋体"/>
                      <w:color w:val="auto"/>
                      <w:szCs w:val="21"/>
                      <w:lang w:val="en-US" w:eastAsia="zh-CN"/>
                    </w:rPr>
                  </w:pPr>
                  <w:r>
                    <w:rPr>
                      <w:rFonts w:hint="eastAsia"/>
                      <w:color w:val="auto"/>
                      <w:szCs w:val="21"/>
                      <w:highlight w:val="none"/>
                      <w:lang w:val="en-US" w:eastAsia="zh-CN"/>
                    </w:rPr>
                    <w:t>2.0</w:t>
                  </w:r>
                  <w:r>
                    <w:rPr>
                      <w:rFonts w:hint="default"/>
                      <w:color w:val="auto"/>
                      <w:szCs w:val="21"/>
                      <w:highlight w:val="none"/>
                    </w:rPr>
                    <w:t>×</w:t>
                  </w:r>
                  <w:r>
                    <w:rPr>
                      <w:rFonts w:hint="eastAsia"/>
                      <w:color w:val="auto"/>
                      <w:szCs w:val="21"/>
                      <w:highlight w:val="none"/>
                      <w:lang w:val="en-US" w:eastAsia="zh-CN"/>
                    </w:rPr>
                    <w:t>1.5</w:t>
                  </w:r>
                </w:p>
              </w:tc>
              <w:tc>
                <w:tcPr>
                  <w:tcW w:w="868" w:type="pct"/>
                  <w:tcBorders>
                    <w:tl2br w:val="nil"/>
                    <w:tr2bl w:val="nil"/>
                  </w:tcBorders>
                  <w:noWrap w:val="0"/>
                  <w:vAlign w:val="center"/>
                </w:tcPr>
                <w:p w14:paraId="2545B353">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eastAsia="宋体"/>
                      <w:color w:val="auto"/>
                      <w:szCs w:val="21"/>
                      <w:lang w:val="en-US" w:eastAsia="zh-CN"/>
                    </w:rPr>
                  </w:pPr>
                  <w:r>
                    <w:rPr>
                      <w:rFonts w:hint="eastAsia"/>
                      <w:color w:val="auto"/>
                      <w:szCs w:val="21"/>
                      <w:lang w:val="en-US" w:eastAsia="zh-CN"/>
                    </w:rPr>
                    <w:t>90</w:t>
                  </w:r>
                </w:p>
              </w:tc>
              <w:tc>
                <w:tcPr>
                  <w:tcW w:w="1241" w:type="pct"/>
                  <w:tcBorders>
                    <w:tl2br w:val="nil"/>
                    <w:tr2bl w:val="nil"/>
                  </w:tcBorders>
                  <w:noWrap w:val="0"/>
                  <w:vAlign w:val="center"/>
                </w:tcPr>
                <w:p w14:paraId="17884CBD">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eastAsia" w:eastAsia="宋体"/>
                      <w:color w:val="auto"/>
                      <w:szCs w:val="21"/>
                      <w:lang w:eastAsia="zh-CN"/>
                    </w:rPr>
                  </w:pPr>
                  <w:r>
                    <w:rPr>
                      <w:rFonts w:hint="default"/>
                      <w:color w:val="auto"/>
                      <w:szCs w:val="21"/>
                    </w:rPr>
                    <w:t>布袋除尘器</w:t>
                  </w:r>
                  <w:r>
                    <w:rPr>
                      <w:rFonts w:hint="eastAsia"/>
                      <w:color w:val="auto"/>
                      <w:szCs w:val="21"/>
                      <w:lang w:eastAsia="zh-CN"/>
                    </w:rPr>
                    <w:t>（</w:t>
                  </w:r>
                  <w:r>
                    <w:rPr>
                      <w:rFonts w:hint="eastAsia"/>
                      <w:color w:val="auto"/>
                      <w:szCs w:val="21"/>
                      <w:lang w:val="en-US" w:eastAsia="zh-CN"/>
                    </w:rPr>
                    <w:t>TA001</w:t>
                  </w:r>
                  <w:r>
                    <w:rPr>
                      <w:rFonts w:hint="eastAsia"/>
                      <w:color w:val="auto"/>
                      <w:szCs w:val="21"/>
                      <w:lang w:eastAsia="zh-CN"/>
                    </w:rPr>
                    <w:t>）</w:t>
                  </w:r>
                </w:p>
              </w:tc>
              <w:tc>
                <w:tcPr>
                  <w:tcW w:w="745" w:type="pct"/>
                  <w:tcBorders>
                    <w:tl2br w:val="nil"/>
                    <w:tr2bl w:val="nil"/>
                  </w:tcBorders>
                  <w:noWrap w:val="0"/>
                  <w:vAlign w:val="center"/>
                </w:tcPr>
                <w:p w14:paraId="6B7A8021">
                  <w:pPr>
                    <w:pStyle w:val="12"/>
                    <w:keepNext w:val="0"/>
                    <w:keepLines w:val="0"/>
                    <w:pageBreakBefore w:val="0"/>
                    <w:widowControl w:val="0"/>
                    <w:suppressLineNumbers w:val="0"/>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rPr>
                      <w:rFonts w:hint="default"/>
                      <w:color w:val="auto"/>
                      <w:szCs w:val="21"/>
                    </w:rPr>
                  </w:pPr>
                  <w:r>
                    <w:rPr>
                      <w:rFonts w:hint="default"/>
                      <w:color w:val="auto"/>
                      <w:szCs w:val="21"/>
                    </w:rPr>
                    <w:t>DA001</w:t>
                  </w:r>
                </w:p>
              </w:tc>
            </w:tr>
          </w:tbl>
          <w:p w14:paraId="5CDEAD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根据《排风罩的分类及技术条件》（GB/T 16758-2008）附录A中排风罩的排风量计算公式：</w:t>
            </w:r>
          </w:p>
          <w:p w14:paraId="388BC3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snapToGrid w:val="0"/>
                <w:color w:val="auto"/>
                <w:position w:val="-10"/>
                <w:sz w:val="24"/>
                <w:szCs w:val="20"/>
                <w:highlight w:val="none"/>
                <w:lang w:val="en-US" w:eastAsia="zh-CN"/>
              </w:rPr>
              <w:object>
                <v:shape id="_x0000_i1025" o:spt="75" type="#_x0000_t75" style="height:16pt;width:38pt;" o:ole="t" filled="f" o:preferrelative="t" stroked="f" coordsize="21600,21600">
                  <v:path/>
                  <v:fill on="f" focussize="0,0"/>
                  <v:stroke on="f"/>
                  <v:imagedata r:id="rId26" o:title=""/>
                  <o:lock v:ext="edit" aspectratio="t"/>
                  <w10:wrap type="none"/>
                  <w10:anchorlock/>
                </v:shape>
                <o:OLEObject Type="Embed" ProgID="Equation.KSEE3" ShapeID="_x0000_i1025" DrawAspect="Content" ObjectID="_1468075725" r:id="rId25">
                  <o:LockedField>false</o:LockedField>
                </o:OLEObject>
              </w:object>
            </w:r>
          </w:p>
          <w:p w14:paraId="5A734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式中：Q—</w:t>
            </w:r>
            <w:r>
              <w:rPr>
                <w:rFonts w:hint="eastAsia" w:cs="Times New Roman"/>
                <w:color w:val="auto"/>
                <w:sz w:val="24"/>
                <w:highlight w:val="none"/>
                <w:lang w:val="en-US" w:eastAsia="zh-CN"/>
              </w:rPr>
              <w:t>排风罩的</w:t>
            </w:r>
            <w:r>
              <w:rPr>
                <w:rFonts w:hint="eastAsia" w:ascii="Times New Roman" w:hAnsi="Times New Roman" w:eastAsia="宋体" w:cs="Times New Roman"/>
                <w:color w:val="auto"/>
                <w:sz w:val="24"/>
                <w:highlight w:val="none"/>
                <w:lang w:val="en-US" w:eastAsia="zh-CN"/>
              </w:rPr>
              <w:t>排气量，m</w:t>
            </w:r>
            <w:r>
              <w:rPr>
                <w:rFonts w:hint="eastAsia" w:ascii="Times New Roman" w:hAnsi="Times New Roman" w:eastAsia="宋体"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/h；</w:t>
            </w:r>
          </w:p>
          <w:p w14:paraId="2CC8E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F—</w:t>
            </w:r>
            <w:r>
              <w:rPr>
                <w:rFonts w:hint="eastAsia" w:cs="Times New Roman"/>
                <w:color w:val="auto"/>
                <w:sz w:val="24"/>
                <w:highlight w:val="none"/>
                <w:lang w:val="en-US" w:eastAsia="zh-CN"/>
              </w:rPr>
              <w:t>排风罩罩口面积</w:t>
            </w:r>
            <w:r>
              <w:rPr>
                <w:rFonts w:hint="eastAsia" w:ascii="Times New Roman" w:hAnsi="Times New Roman" w:eastAsia="宋体" w:cs="Times New Roman"/>
                <w:color w:val="auto"/>
                <w:sz w:val="24"/>
                <w:highlight w:val="none"/>
                <w:lang w:val="en-US" w:eastAsia="zh-CN"/>
              </w:rPr>
              <w:t>，m；</w:t>
            </w:r>
          </w:p>
          <w:p w14:paraId="573F8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snapToGrid w:val="0"/>
                <w:color w:val="auto"/>
                <w:position w:val="-6"/>
                <w:sz w:val="24"/>
                <w:szCs w:val="20"/>
                <w:highlight w:val="none"/>
                <w:lang w:val="en-US" w:eastAsia="zh-CN"/>
              </w:rPr>
              <w:object>
                <v:shape id="_x0000_i1026" o:spt="75" type="#_x0000_t75" style="height:13pt;width:10pt;" o:ole="t" filled="f" o:preferrelative="t" stroked="f" coordsize="21600,21600">
                  <v:path/>
                  <v:fill on="f" focussize="0,0"/>
                  <v:stroke on="f"/>
                  <v:imagedata r:id="rId28" o:title=""/>
                  <o:lock v:ext="edit" aspectratio="t"/>
                  <w10:wrap type="none"/>
                  <w10:anchorlock/>
                </v:shape>
                <o:OLEObject Type="Embed" ProgID="Equation.KSEE3" ShapeID="_x0000_i1026" DrawAspect="Content" ObjectID="_1468075726" r:id="rId27">
                  <o:LockedField>false</o:LockedField>
                </o:OLEObject>
              </w:objec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排风罩罩口平均</w:t>
            </w:r>
            <w:r>
              <w:rPr>
                <w:rFonts w:hint="eastAsia" w:ascii="Times New Roman" w:hAnsi="Times New Roman" w:eastAsia="宋体" w:cs="Times New Roman"/>
                <w:color w:val="auto"/>
                <w:sz w:val="24"/>
                <w:highlight w:val="none"/>
                <w:lang w:val="en-US" w:eastAsia="zh-CN"/>
              </w:rPr>
              <w:t>风速，m/s。</w:t>
            </w:r>
          </w:p>
          <w:p w14:paraId="1429040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ascii="Times New Roman" w:hAnsi="Times New Roman" w:eastAsia="宋体" w:cs="Times New Roman"/>
                <w:snapToGrid w:val="0"/>
                <w:color w:val="auto"/>
                <w:sz w:val="24"/>
                <w:szCs w:val="20"/>
                <w:highlight w:val="none"/>
                <w:lang w:val="en-US" w:eastAsia="zh-CN"/>
              </w:rPr>
            </w:pPr>
            <w:r>
              <w:rPr>
                <w:rFonts w:hint="eastAsia" w:ascii="Times New Roman" w:hAnsi="Times New Roman" w:eastAsia="宋体" w:cs="Times New Roman"/>
                <w:snapToGrid w:val="0"/>
                <w:color w:val="auto"/>
                <w:sz w:val="24"/>
                <w:szCs w:val="20"/>
                <w:highlight w:val="none"/>
                <w:lang w:val="en-US" w:eastAsia="zh-CN"/>
              </w:rPr>
              <w:t>根据《局部排风设施控制风速检测与评估技术规范》（AO/T 4274-2016）中要求，本项目</w:t>
            </w:r>
            <w:r>
              <w:rPr>
                <w:rFonts w:hint="eastAsia" w:cs="Times New Roman"/>
                <w:snapToGrid w:val="0"/>
                <w:color w:val="auto"/>
                <w:sz w:val="24"/>
                <w:szCs w:val="20"/>
                <w:highlight w:val="none"/>
                <w:lang w:val="en-US" w:eastAsia="zh-CN"/>
              </w:rPr>
              <w:t>给料机柜式</w:t>
            </w:r>
            <w:r>
              <w:rPr>
                <w:rFonts w:hint="eastAsia" w:ascii="Times New Roman" w:hAnsi="Times New Roman" w:eastAsia="宋体" w:cs="Times New Roman"/>
                <w:snapToGrid w:val="0"/>
                <w:color w:val="auto"/>
                <w:sz w:val="24"/>
                <w:szCs w:val="20"/>
                <w:highlight w:val="none"/>
                <w:lang w:val="en-US" w:eastAsia="zh-CN"/>
              </w:rPr>
              <w:t>罩罩口风速取1.2m/s。</w:t>
            </w:r>
          </w:p>
          <w:p w14:paraId="7E548F7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color w:val="auto"/>
                <w:sz w:val="24"/>
              </w:rPr>
            </w:pPr>
            <w:r>
              <w:rPr>
                <w:rFonts w:hint="eastAsia" w:cs="Times New Roman"/>
                <w:color w:val="auto"/>
                <w:sz w:val="24"/>
                <w:highlight w:val="none"/>
                <w:lang w:val="en-US" w:eastAsia="zh-CN"/>
              </w:rPr>
              <w:t>本项目设置1台</w:t>
            </w:r>
            <w:r>
              <w:rPr>
                <w:rFonts w:hint="eastAsia"/>
                <w:color w:val="auto"/>
                <w:sz w:val="24"/>
                <w:lang w:val="en-US" w:eastAsia="zh-CN"/>
              </w:rPr>
              <w:t>颚式破碎机、1#振动筛和2台细颚式破碎机，均为全封闭式，</w:t>
            </w:r>
            <w:r>
              <w:rPr>
                <w:rFonts w:hint="eastAsia" w:cs="Times New Roman"/>
                <w:color w:val="auto"/>
                <w:sz w:val="24"/>
                <w:highlight w:val="none"/>
                <w:lang w:val="en-US" w:eastAsia="zh-CN"/>
              </w:rPr>
              <w:t>原料在破碎、筛分工序会有粉尘产生，年运行3300h。</w:t>
            </w:r>
            <w:r>
              <w:rPr>
                <w:rFonts w:hint="default"/>
                <w:color w:val="auto"/>
                <w:sz w:val="24"/>
              </w:rPr>
              <w:t>评价要求</w:t>
            </w:r>
            <w:r>
              <w:rPr>
                <w:rFonts w:hint="eastAsia"/>
                <w:color w:val="auto"/>
                <w:sz w:val="24"/>
                <w:lang w:val="en-US" w:eastAsia="zh-CN"/>
              </w:rPr>
              <w:t>颚式破碎机、</w:t>
            </w:r>
            <w:r>
              <w:rPr>
                <w:rFonts w:hint="eastAsia" w:ascii="Times New Roman" w:eastAsia="宋体"/>
                <w:color w:val="auto"/>
                <w:sz w:val="24"/>
                <w:lang w:val="en-US" w:eastAsia="zh-CN"/>
              </w:rPr>
              <w:t>1#振动筛、细颚式破碎机</w:t>
            </w:r>
            <w:r>
              <w:rPr>
                <w:rFonts w:hint="eastAsia"/>
                <w:color w:val="auto"/>
                <w:sz w:val="24"/>
                <w:lang w:val="en-US" w:eastAsia="zh-CN"/>
              </w:rPr>
              <w:t>上方</w:t>
            </w:r>
            <w:r>
              <w:rPr>
                <w:rFonts w:hint="default"/>
                <w:color w:val="auto"/>
                <w:sz w:val="24"/>
              </w:rPr>
              <w:t>设置</w:t>
            </w:r>
            <w:r>
              <w:rPr>
                <w:rFonts w:hint="eastAsia"/>
                <w:color w:val="auto"/>
                <w:sz w:val="24"/>
                <w:lang w:val="en-US" w:eastAsia="zh-CN"/>
              </w:rPr>
              <w:t>集气管道</w:t>
            </w:r>
            <w:r>
              <w:rPr>
                <w:rFonts w:hint="eastAsia"/>
                <w:color w:val="auto"/>
                <w:sz w:val="24"/>
              </w:rPr>
              <w:t>，废气经集气</w:t>
            </w:r>
            <w:r>
              <w:rPr>
                <w:rFonts w:hint="eastAsia"/>
                <w:color w:val="auto"/>
                <w:sz w:val="24"/>
                <w:lang w:val="en-US" w:eastAsia="zh-CN"/>
              </w:rPr>
              <w:t>管道收集引入</w:t>
            </w:r>
            <w:r>
              <w:rPr>
                <w:rFonts w:hint="eastAsia"/>
                <w:color w:val="auto"/>
                <w:sz w:val="24"/>
                <w:highlight w:val="none"/>
                <w:lang w:val="en-US" w:eastAsia="zh-CN"/>
              </w:rPr>
              <w:t>1台</w:t>
            </w:r>
            <w:r>
              <w:rPr>
                <w:rFonts w:hint="eastAsia"/>
                <w:color w:val="auto"/>
                <w:sz w:val="24"/>
                <w:highlight w:val="none"/>
              </w:rPr>
              <w:t>布袋除尘器</w:t>
            </w:r>
            <w:r>
              <w:rPr>
                <w:rFonts w:hint="eastAsia"/>
                <w:color w:val="auto"/>
                <w:sz w:val="24"/>
                <w:highlight w:val="none"/>
                <w:lang w:eastAsia="zh-CN"/>
              </w:rPr>
              <w:t>（</w:t>
            </w:r>
            <w:r>
              <w:rPr>
                <w:rFonts w:hint="eastAsia"/>
                <w:color w:val="auto"/>
                <w:sz w:val="24"/>
                <w:highlight w:val="none"/>
                <w:lang w:val="en-US" w:eastAsia="zh-CN"/>
              </w:rPr>
              <w:t>TA001</w:t>
            </w:r>
            <w:r>
              <w:rPr>
                <w:rFonts w:hint="eastAsia"/>
                <w:color w:val="auto"/>
                <w:sz w:val="24"/>
                <w:highlight w:val="none"/>
                <w:lang w:eastAsia="zh-CN"/>
              </w:rPr>
              <w:t>）</w:t>
            </w:r>
            <w:r>
              <w:rPr>
                <w:rFonts w:hint="eastAsia"/>
                <w:color w:val="auto"/>
                <w:sz w:val="24"/>
              </w:rPr>
              <w:t>处理</w:t>
            </w:r>
            <w:r>
              <w:rPr>
                <w:rFonts w:hint="eastAsia"/>
                <w:color w:val="auto"/>
                <w:sz w:val="24"/>
                <w:lang w:val="en-US" w:eastAsia="zh-CN"/>
              </w:rPr>
              <w:t>后</w:t>
            </w:r>
            <w:r>
              <w:rPr>
                <w:rFonts w:hint="eastAsia"/>
                <w:color w:val="auto"/>
                <w:sz w:val="24"/>
              </w:rPr>
              <w:t>，</w:t>
            </w:r>
            <w:r>
              <w:rPr>
                <w:rFonts w:hint="eastAsia"/>
                <w:color w:val="auto"/>
                <w:sz w:val="24"/>
                <w:lang w:val="en-US" w:eastAsia="zh-CN"/>
              </w:rPr>
              <w:t>由</w:t>
            </w:r>
            <w:r>
              <w:rPr>
                <w:rFonts w:hint="default"/>
                <w:color w:val="auto"/>
                <w:sz w:val="24"/>
              </w:rPr>
              <w:t>1根</w:t>
            </w:r>
            <w:r>
              <w:rPr>
                <w:rFonts w:hint="eastAsia"/>
                <w:color w:val="auto"/>
                <w:sz w:val="24"/>
                <w:lang w:val="en-US" w:eastAsia="zh-CN"/>
              </w:rPr>
              <w:t>20</w:t>
            </w:r>
            <w:r>
              <w:rPr>
                <w:rFonts w:hint="default"/>
                <w:color w:val="auto"/>
                <w:sz w:val="24"/>
              </w:rPr>
              <w:t>m高排气筒（</w:t>
            </w:r>
            <w:r>
              <w:rPr>
                <w:rFonts w:hint="eastAsia"/>
                <w:color w:val="auto"/>
                <w:sz w:val="24"/>
              </w:rPr>
              <w:t>D</w:t>
            </w:r>
            <w:r>
              <w:rPr>
                <w:rFonts w:hint="default"/>
                <w:color w:val="auto"/>
                <w:sz w:val="24"/>
              </w:rPr>
              <w:t>A00</w:t>
            </w:r>
            <w:r>
              <w:rPr>
                <w:rFonts w:hint="eastAsia"/>
                <w:color w:val="auto"/>
                <w:sz w:val="24"/>
                <w:lang w:val="en-US" w:eastAsia="zh-CN"/>
              </w:rPr>
              <w:t>1</w:t>
            </w:r>
            <w:r>
              <w:rPr>
                <w:rFonts w:hint="default"/>
                <w:color w:val="auto"/>
                <w:sz w:val="24"/>
              </w:rPr>
              <w:t>）排放</w:t>
            </w:r>
            <w:r>
              <w:rPr>
                <w:rFonts w:hint="eastAsia" w:eastAsia="宋体"/>
                <w:color w:val="auto"/>
                <w:sz w:val="24"/>
                <w:lang w:eastAsia="zh-CN"/>
              </w:rPr>
              <w:t>（</w:t>
            </w:r>
            <w:r>
              <w:rPr>
                <w:rFonts w:hint="eastAsia" w:ascii="Times New Roman" w:eastAsia="宋体"/>
                <w:color w:val="auto"/>
                <w:sz w:val="24"/>
                <w:lang w:val="en-US" w:eastAsia="zh-CN"/>
              </w:rPr>
              <w:t>生产车间高度为1</w:t>
            </w:r>
            <w:r>
              <w:rPr>
                <w:rFonts w:hint="eastAsia"/>
                <w:color w:val="auto"/>
                <w:sz w:val="24"/>
                <w:lang w:val="en-US" w:eastAsia="zh-CN"/>
              </w:rPr>
              <w:t>7</w:t>
            </w:r>
            <w:r>
              <w:rPr>
                <w:rFonts w:hint="eastAsia" w:ascii="Times New Roman" w:eastAsia="宋体"/>
                <w:color w:val="auto"/>
                <w:sz w:val="24"/>
                <w:lang w:val="en-US" w:eastAsia="zh-CN"/>
              </w:rPr>
              <w:t>m，因此排气筒应高于车间顶部</w:t>
            </w:r>
            <w:r>
              <w:rPr>
                <w:rFonts w:hint="eastAsia" w:eastAsia="宋体"/>
                <w:color w:val="auto"/>
                <w:sz w:val="24"/>
                <w:lang w:eastAsia="zh-CN"/>
              </w:rPr>
              <w:t>）</w:t>
            </w:r>
            <w:r>
              <w:rPr>
                <w:rFonts w:hint="default"/>
                <w:color w:val="auto"/>
                <w:sz w:val="24"/>
              </w:rPr>
              <w:t>。</w:t>
            </w:r>
          </w:p>
          <w:p w14:paraId="5C4CBC6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z w:val="24"/>
                <w:lang w:val="en-US" w:eastAsia="zh-CN"/>
              </w:rPr>
            </w:pPr>
            <w:r>
              <w:rPr>
                <w:rFonts w:hint="eastAsia" w:cs="Times New Roman"/>
                <w:snapToGrid w:val="0"/>
                <w:color w:val="auto"/>
                <w:sz w:val="24"/>
                <w:szCs w:val="20"/>
                <w:highlight w:val="none"/>
                <w:lang w:val="en-US" w:eastAsia="zh-CN"/>
              </w:rPr>
              <w:t>根据建设单位提供的资料，</w:t>
            </w:r>
            <w:r>
              <w:rPr>
                <w:rFonts w:hint="eastAsia"/>
                <w:color w:val="auto"/>
                <w:sz w:val="24"/>
                <w:lang w:val="en-US" w:eastAsia="zh-CN"/>
              </w:rPr>
              <w:t>颚式破碎机所需风量为1500</w:t>
            </w:r>
            <w:r>
              <w:rPr>
                <w:rFonts w:hint="eastAsia" w:ascii="Times New Roman" w:hAnsi="Times New Roman"/>
                <w:color w:val="auto"/>
                <w:sz w:val="24"/>
                <w:lang w:val="en-US" w:eastAsia="zh-CN"/>
              </w:rPr>
              <w:t>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val="en-US" w:eastAsia="zh-CN"/>
              </w:rPr>
              <w:t>/h</w:t>
            </w:r>
            <w:r>
              <w:rPr>
                <w:rFonts w:hint="eastAsia"/>
                <w:color w:val="auto"/>
                <w:sz w:val="24"/>
                <w:lang w:val="en-US" w:eastAsia="zh-CN"/>
              </w:rPr>
              <w:t>，2台细颚式破碎机所需风量均为1500</w:t>
            </w:r>
            <w:r>
              <w:rPr>
                <w:rFonts w:hint="eastAsia" w:ascii="Times New Roman" w:hAnsi="Times New Roman"/>
                <w:color w:val="auto"/>
                <w:sz w:val="24"/>
                <w:lang w:val="en-US" w:eastAsia="zh-CN"/>
              </w:rPr>
              <w:t>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val="en-US" w:eastAsia="zh-CN"/>
              </w:rPr>
              <w:t>/h</w:t>
            </w:r>
            <w:r>
              <w:rPr>
                <w:rFonts w:hint="eastAsia"/>
                <w:color w:val="auto"/>
                <w:sz w:val="24"/>
                <w:lang w:val="en-US" w:eastAsia="zh-CN"/>
              </w:rPr>
              <w:t>。</w:t>
            </w:r>
          </w:p>
          <w:p w14:paraId="6A67B99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z w:val="24"/>
                <w:lang w:val="en-US" w:eastAsia="zh-CN"/>
              </w:rPr>
            </w:pPr>
            <w:r>
              <w:rPr>
                <w:rFonts w:hint="eastAsia" w:ascii="Times New Roman" w:eastAsia="宋体"/>
                <w:color w:val="auto"/>
                <w:sz w:val="24"/>
                <w:highlight w:val="none"/>
                <w:lang w:val="en-US" w:eastAsia="zh-CN"/>
              </w:rPr>
              <w:t>1#振动筛单层</w:t>
            </w:r>
            <w:r>
              <w:rPr>
                <w:rFonts w:hint="eastAsia" w:ascii="Times New Roman" w:hAnsi="Times New Roman"/>
                <w:color w:val="auto"/>
                <w:sz w:val="24"/>
                <w:highlight w:val="none"/>
                <w:lang w:val="en-US" w:eastAsia="zh-CN"/>
              </w:rPr>
              <w:t>筛面面积</w:t>
            </w:r>
            <w:r>
              <w:rPr>
                <w:rFonts w:hint="eastAsia" w:ascii="Times New Roman" w:eastAsia="宋体"/>
                <w:color w:val="auto"/>
                <w:sz w:val="24"/>
                <w:highlight w:val="none"/>
                <w:lang w:val="en-US" w:eastAsia="zh-CN"/>
              </w:rPr>
              <w:t>约12.6</w:t>
            </w:r>
            <w:r>
              <w:rPr>
                <w:rFonts w:hint="eastAsia" w:ascii="Times New Roman" w:hAnsi="Times New Roman"/>
                <w:color w:val="auto"/>
                <w:sz w:val="24"/>
                <w:highlight w:val="none"/>
                <w:lang w:val="en-US" w:eastAsia="zh-CN"/>
              </w:rPr>
              <w:t>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，共2层筛，总筛面面积为25.2m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，依据《煤炭工业供暖通风与空气调节设计标准》</w:t>
            </w:r>
            <w:r>
              <w:rPr>
                <w:rFonts w:hint="eastAsia" w:ascii="Times New Roman" w:eastAsia="宋体"/>
                <w:color w:val="auto"/>
                <w:sz w:val="24"/>
                <w:highlight w:val="none"/>
                <w:lang w:val="en-US" w:eastAsia="zh-CN"/>
              </w:rPr>
              <w:t>（</w:t>
            </w:r>
            <w:r>
              <w:rPr>
                <w:rFonts w:hint="eastAsia" w:ascii="Times New Roman" w:hAnsi="Times New Roman"/>
                <w:color w:val="auto"/>
                <w:sz w:val="24"/>
                <w:highlight w:val="none"/>
                <w:lang w:val="en-US" w:eastAsia="zh-CN"/>
              </w:rPr>
              <w:t>GB/T50466-2018</w:t>
            </w:r>
            <w:r>
              <w:rPr>
                <w:rFonts w:hint="eastAsia" w:ascii="Times New Roman" w:eastAsia="宋体"/>
                <w:color w:val="auto"/>
                <w:sz w:val="24"/>
                <w:highlight w:val="none"/>
                <w:lang w:val="en-US" w:eastAsia="zh-CN"/>
              </w:rPr>
              <w:t>），每平方米筛面</w:t>
            </w:r>
            <w:r>
              <w:rPr>
                <w:rFonts w:hint="eastAsia" w:ascii="Times New Roman" w:hAnsi="Times New Roman"/>
                <w:color w:val="auto"/>
                <w:sz w:val="24"/>
                <w:highlight w:val="none"/>
                <w:lang w:val="en-US" w:eastAsia="zh-CN"/>
              </w:rPr>
              <w:t>上部</w:t>
            </w:r>
            <w:r>
              <w:rPr>
                <w:rFonts w:hint="eastAsia" w:ascii="Times New Roman" w:eastAsia="宋体"/>
                <w:color w:val="auto"/>
                <w:sz w:val="24"/>
                <w:highlight w:val="none"/>
                <w:lang w:val="en-US" w:eastAsia="zh-CN"/>
              </w:rPr>
              <w:t>抽风</w:t>
            </w:r>
            <w:r>
              <w:rPr>
                <w:rFonts w:hint="eastAsia" w:ascii="Times New Roman" w:hAnsi="Times New Roman"/>
                <w:color w:val="auto"/>
                <w:sz w:val="24"/>
                <w:highlight w:val="none"/>
                <w:lang w:val="en-US" w:eastAsia="zh-CN"/>
              </w:rPr>
              <w:t>量</w:t>
            </w:r>
            <w:r>
              <w:rPr>
                <w:rFonts w:hint="eastAsia" w:ascii="Times New Roman" w:eastAsia="宋体"/>
                <w:color w:val="auto"/>
                <w:sz w:val="24"/>
                <w:highlight w:val="none"/>
                <w:lang w:val="en-US" w:eastAsia="zh-CN"/>
              </w:rPr>
              <w:t>按5</w:t>
            </w:r>
            <w:r>
              <w:rPr>
                <w:rFonts w:hint="eastAsia" w:ascii="Times New Roman" w:hAnsi="Times New Roman"/>
                <w:color w:val="auto"/>
                <w:sz w:val="24"/>
                <w:highlight w:val="none"/>
                <w:lang w:val="en-US" w:eastAsia="zh-CN"/>
              </w:rPr>
              <w:t>00m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/h计</w:t>
            </w:r>
            <w:r>
              <w:rPr>
                <w:rFonts w:hint="eastAsia" w:ascii="Times New Roman" w:eastAsia="宋体"/>
                <w:color w:val="auto"/>
                <w:sz w:val="24"/>
                <w:highlight w:val="none"/>
                <w:lang w:val="en-US" w:eastAsia="zh-CN"/>
              </w:rPr>
              <w:t>，则1#振动筛</w:t>
            </w:r>
            <w:r>
              <w:rPr>
                <w:rFonts w:hint="eastAsia" w:ascii="Times New Roman" w:hAnsi="Times New Roman"/>
                <w:color w:val="auto"/>
                <w:sz w:val="24"/>
                <w:highlight w:val="none"/>
                <w:lang w:val="en-US" w:eastAsia="zh-CN"/>
              </w:rPr>
              <w:t>设计风量为25.2m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w:t>
            </w:r>
            <w:r>
              <w:rPr>
                <w:rFonts w:hint="eastAsia" w:ascii="Times New Roman" w:eastAsia="宋体"/>
                <w:color w:val="auto"/>
                <w:sz w:val="24"/>
                <w:highlight w:val="none"/>
                <w:lang w:val="en-US" w:eastAsia="zh-CN"/>
              </w:rPr>
              <w:t>5</w:t>
            </w:r>
            <w:r>
              <w:rPr>
                <w:rFonts w:hint="eastAsia" w:ascii="Times New Roman" w:hAnsi="Times New Roman"/>
                <w:color w:val="auto"/>
                <w:sz w:val="24"/>
                <w:highlight w:val="none"/>
                <w:lang w:val="en-US" w:eastAsia="zh-CN"/>
              </w:rPr>
              <w:t>00m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w:t>
            </w:r>
            <w:r>
              <w:rPr>
                <w:rFonts w:hint="eastAsia" w:ascii="Times New Roman" w:eastAsia="宋体"/>
                <w:color w:val="auto"/>
                <w:sz w:val="24"/>
                <w:highlight w:val="none"/>
                <w:lang w:val="en-US" w:eastAsia="zh-CN"/>
              </w:rPr>
              <w:t>=12600</w:t>
            </w:r>
            <w:r>
              <w:rPr>
                <w:rFonts w:hint="eastAsia" w:ascii="Times New Roman" w:hAnsi="Times New Roman"/>
                <w:color w:val="auto"/>
                <w:sz w:val="24"/>
                <w:highlight w:val="none"/>
                <w:lang w:val="en-US" w:eastAsia="zh-CN"/>
              </w:rPr>
              <w:t>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w:t>
            </w:r>
            <w:r>
              <w:rPr>
                <w:rFonts w:hint="eastAsia" w:ascii="Times New Roman" w:hAnsi="Times New Roman"/>
                <w:color w:val="auto"/>
                <w:sz w:val="24"/>
                <w:lang w:val="en-US" w:eastAsia="zh-CN"/>
              </w:rPr>
              <w:t>。</w:t>
            </w:r>
          </w:p>
          <w:p w14:paraId="22BB659B">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z w:val="24"/>
              </w:rPr>
            </w:pPr>
            <w:r>
              <w:rPr>
                <w:rFonts w:hint="eastAsia"/>
                <w:color w:val="auto"/>
                <w:sz w:val="24"/>
                <w:lang w:val="en-US" w:eastAsia="zh-CN"/>
              </w:rPr>
              <w:t>给料、破碎、筛分工序</w:t>
            </w:r>
            <w:r>
              <w:rPr>
                <w:rFonts w:hint="eastAsia"/>
                <w:color w:val="auto"/>
                <w:sz w:val="24"/>
              </w:rPr>
              <w:t>需配套的风量见下表</w:t>
            </w:r>
            <w:r>
              <w:rPr>
                <w:rFonts w:hint="default"/>
                <w:b w:val="0"/>
                <w:bCs/>
                <w:color w:val="auto"/>
                <w:sz w:val="24"/>
                <w:szCs w:val="24"/>
                <w:lang w:val="en-US" w:eastAsia="zh-CN"/>
              </w:rPr>
              <w:t>4</w:t>
            </w:r>
            <w:r>
              <w:rPr>
                <w:rFonts w:hint="eastAsia"/>
                <w:b w:val="0"/>
                <w:bCs/>
                <w:color w:val="auto"/>
                <w:sz w:val="24"/>
                <w:szCs w:val="24"/>
                <w:lang w:val="en-US" w:eastAsia="zh-CN"/>
              </w:rPr>
              <w:t>.5-3</w:t>
            </w:r>
            <w:r>
              <w:rPr>
                <w:rFonts w:hint="eastAsia"/>
                <w:color w:val="auto"/>
                <w:sz w:val="24"/>
              </w:rPr>
              <w:t>。</w:t>
            </w:r>
          </w:p>
          <w:p w14:paraId="58FE5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z w:val="21"/>
                <w:szCs w:val="16"/>
                <w:highlight w:val="none"/>
                <w:lang w:val="en-US" w:eastAsia="zh-CN"/>
              </w:rPr>
            </w:pPr>
            <w:r>
              <w:rPr>
                <w:rFonts w:hint="eastAsia" w:ascii="Times New Roman" w:hAnsi="Times New Roman" w:eastAsia="宋体" w:cs="Times New Roman"/>
                <w:b/>
                <w:bCs w:val="0"/>
                <w:color w:val="auto"/>
                <w:sz w:val="21"/>
                <w:szCs w:val="16"/>
                <w:highlight w:val="none"/>
                <w:lang w:val="en-US" w:eastAsia="zh-CN"/>
              </w:rPr>
              <w:t>表4</w:t>
            </w:r>
            <w:r>
              <w:rPr>
                <w:rFonts w:hint="eastAsia" w:cs="Times New Roman"/>
                <w:b/>
                <w:bCs w:val="0"/>
                <w:color w:val="auto"/>
                <w:sz w:val="21"/>
                <w:szCs w:val="16"/>
                <w:highlight w:val="none"/>
                <w:lang w:val="en-US" w:eastAsia="zh-CN"/>
              </w:rPr>
              <w:t>.5-3</w:t>
            </w:r>
            <w:r>
              <w:rPr>
                <w:rFonts w:hint="default" w:ascii="Times New Roman" w:hAnsi="Times New Roman" w:eastAsia="宋体" w:cs="Times New Roman"/>
                <w:b/>
                <w:bCs w:val="0"/>
                <w:color w:val="auto"/>
                <w:sz w:val="21"/>
                <w:szCs w:val="16"/>
                <w:highlight w:val="none"/>
                <w:lang w:val="en-US" w:eastAsia="zh-CN"/>
              </w:rPr>
              <w:t xml:space="preserve"> </w:t>
            </w:r>
            <w:r>
              <w:rPr>
                <w:rFonts w:hint="eastAsia" w:ascii="Times New Roman" w:hAnsi="Times New Roman" w:eastAsia="宋体" w:cs="Times New Roman"/>
                <w:b/>
                <w:bCs w:val="0"/>
                <w:color w:val="auto"/>
                <w:sz w:val="21"/>
                <w:szCs w:val="16"/>
                <w:highlight w:val="none"/>
                <w:lang w:val="en-US" w:eastAsia="zh-CN"/>
              </w:rPr>
              <w:t xml:space="preserve"> 该工序需配套的风量一览表</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6"/>
              <w:gridCol w:w="2430"/>
              <w:gridCol w:w="1973"/>
              <w:gridCol w:w="1640"/>
            </w:tblGrid>
            <w:tr w14:paraId="7F3A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02E57329">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eastAsia="宋体"/>
                      <w:b/>
                      <w:bCs/>
                      <w:color w:val="auto"/>
                      <w:szCs w:val="21"/>
                      <w:lang w:val="en-US" w:eastAsia="zh-CN"/>
                    </w:rPr>
                  </w:pPr>
                  <w:r>
                    <w:rPr>
                      <w:rFonts w:hint="default"/>
                      <w:b/>
                      <w:bCs/>
                      <w:color w:val="auto"/>
                      <w:szCs w:val="21"/>
                    </w:rPr>
                    <w:t>设备名称</w:t>
                  </w:r>
                </w:p>
              </w:tc>
              <w:tc>
                <w:tcPr>
                  <w:tcW w:w="1424" w:type="pct"/>
                  <w:tcBorders>
                    <w:tl2br w:val="nil"/>
                    <w:tr2bl w:val="nil"/>
                  </w:tcBorders>
                  <w:noWrap w:val="0"/>
                  <w:vAlign w:val="center"/>
                </w:tcPr>
                <w:p w14:paraId="51D48BB4">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计算风量（m</w:t>
                  </w:r>
                  <w:r>
                    <w:rPr>
                      <w:rFonts w:hint="default"/>
                      <w:b/>
                      <w:bCs/>
                      <w:color w:val="auto"/>
                      <w:szCs w:val="21"/>
                      <w:vertAlign w:val="superscript"/>
                    </w:rPr>
                    <w:t>3</w:t>
                  </w:r>
                  <w:r>
                    <w:rPr>
                      <w:rFonts w:hint="default"/>
                      <w:b/>
                      <w:bCs/>
                      <w:color w:val="auto"/>
                      <w:szCs w:val="21"/>
                    </w:rPr>
                    <w:t>/h）</w:t>
                  </w:r>
                </w:p>
              </w:tc>
              <w:tc>
                <w:tcPr>
                  <w:tcW w:w="1156" w:type="pct"/>
                  <w:tcBorders>
                    <w:tl2br w:val="nil"/>
                    <w:tr2bl w:val="nil"/>
                  </w:tcBorders>
                  <w:noWrap w:val="0"/>
                  <w:vAlign w:val="center"/>
                </w:tcPr>
                <w:p w14:paraId="41779D69">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处理设备</w:t>
                  </w:r>
                </w:p>
              </w:tc>
              <w:tc>
                <w:tcPr>
                  <w:tcW w:w="961" w:type="pct"/>
                  <w:tcBorders>
                    <w:tl2br w:val="nil"/>
                    <w:tr2bl w:val="nil"/>
                  </w:tcBorders>
                  <w:noWrap w:val="0"/>
                  <w:vAlign w:val="center"/>
                </w:tcPr>
                <w:p w14:paraId="40A4FC4E">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排气筒编号</w:t>
                  </w:r>
                </w:p>
              </w:tc>
            </w:tr>
            <w:tr w14:paraId="135C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3F0916AA">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r>
                    <w:rPr>
                      <w:rFonts w:hint="eastAsia"/>
                      <w:color w:val="auto"/>
                      <w:szCs w:val="21"/>
                      <w:lang w:val="en-US" w:eastAsia="zh-CN"/>
                    </w:rPr>
                    <w:t>给料机</w:t>
                  </w:r>
                </w:p>
              </w:tc>
              <w:tc>
                <w:tcPr>
                  <w:tcW w:w="1424" w:type="pct"/>
                  <w:tcBorders>
                    <w:tl2br w:val="nil"/>
                    <w:tr2bl w:val="nil"/>
                  </w:tcBorders>
                  <w:noWrap w:val="0"/>
                  <w:vAlign w:val="center"/>
                </w:tcPr>
                <w:p w14:paraId="5499F86C">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eastAsia="宋体"/>
                      <w:color w:val="auto"/>
                      <w:szCs w:val="21"/>
                      <w:lang w:val="en-US" w:eastAsia="zh-CN"/>
                    </w:rPr>
                  </w:pPr>
                  <w:r>
                    <w:rPr>
                      <w:rFonts w:hint="eastAsia"/>
                      <w:color w:val="auto"/>
                      <w:szCs w:val="21"/>
                      <w:lang w:val="en-US" w:eastAsia="zh-CN"/>
                    </w:rPr>
                    <w:t>12960</w:t>
                  </w:r>
                </w:p>
              </w:tc>
              <w:tc>
                <w:tcPr>
                  <w:tcW w:w="1156" w:type="pct"/>
                  <w:vMerge w:val="restart"/>
                  <w:tcBorders>
                    <w:tl2br w:val="nil"/>
                    <w:tr2bl w:val="nil"/>
                  </w:tcBorders>
                  <w:noWrap w:val="0"/>
                  <w:vAlign w:val="center"/>
                </w:tcPr>
                <w:p w14:paraId="0C867C1B">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eastAsia" w:eastAsia="宋体"/>
                      <w:color w:val="auto"/>
                      <w:szCs w:val="21"/>
                      <w:lang w:val="en-US" w:eastAsia="zh-CN"/>
                    </w:rPr>
                  </w:pPr>
                  <w:r>
                    <w:rPr>
                      <w:rFonts w:hint="default"/>
                      <w:color w:val="auto"/>
                      <w:szCs w:val="21"/>
                    </w:rPr>
                    <w:t>布袋除尘器</w:t>
                  </w:r>
                  <w:r>
                    <w:rPr>
                      <w:rFonts w:hint="eastAsia"/>
                      <w:color w:val="auto"/>
                      <w:szCs w:val="21"/>
                      <w:lang w:eastAsia="zh-CN"/>
                    </w:rPr>
                    <w:t>（</w:t>
                  </w:r>
                  <w:r>
                    <w:rPr>
                      <w:rFonts w:hint="eastAsia"/>
                      <w:color w:val="auto"/>
                      <w:szCs w:val="21"/>
                      <w:lang w:val="en-US" w:eastAsia="zh-CN"/>
                    </w:rPr>
                    <w:t>TA001</w:t>
                  </w:r>
                  <w:r>
                    <w:rPr>
                      <w:rFonts w:hint="eastAsia"/>
                      <w:color w:val="auto"/>
                      <w:szCs w:val="21"/>
                      <w:lang w:eastAsia="zh-CN"/>
                    </w:rPr>
                    <w:t>）</w:t>
                  </w:r>
                </w:p>
              </w:tc>
              <w:tc>
                <w:tcPr>
                  <w:tcW w:w="961" w:type="pct"/>
                  <w:vMerge w:val="restart"/>
                  <w:tcBorders>
                    <w:tl2br w:val="nil"/>
                    <w:tr2bl w:val="nil"/>
                  </w:tcBorders>
                  <w:noWrap w:val="0"/>
                  <w:vAlign w:val="center"/>
                </w:tcPr>
                <w:p w14:paraId="1CC8CE7E">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r>
                    <w:rPr>
                      <w:rFonts w:hint="default"/>
                      <w:color w:val="auto"/>
                      <w:szCs w:val="21"/>
                    </w:rPr>
                    <w:t>DA001</w:t>
                  </w:r>
                </w:p>
              </w:tc>
            </w:tr>
            <w:tr w14:paraId="3EE6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389DB873">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r>
                    <w:rPr>
                      <w:rFonts w:hint="eastAsia"/>
                      <w:color w:val="auto"/>
                      <w:szCs w:val="21"/>
                      <w:lang w:val="en-US" w:eastAsia="zh-CN"/>
                    </w:rPr>
                    <w:t>颚式破碎机</w:t>
                  </w:r>
                </w:p>
              </w:tc>
              <w:tc>
                <w:tcPr>
                  <w:tcW w:w="1424" w:type="pct"/>
                  <w:tcBorders>
                    <w:tl2br w:val="nil"/>
                    <w:tr2bl w:val="nil"/>
                  </w:tcBorders>
                  <w:noWrap w:val="0"/>
                  <w:vAlign w:val="center"/>
                </w:tcPr>
                <w:p w14:paraId="29461A7A">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eastAsia="宋体"/>
                      <w:color w:val="auto"/>
                      <w:szCs w:val="21"/>
                      <w:lang w:val="en-US" w:eastAsia="zh-CN"/>
                    </w:rPr>
                  </w:pPr>
                  <w:r>
                    <w:rPr>
                      <w:rFonts w:hint="eastAsia"/>
                      <w:color w:val="auto"/>
                      <w:szCs w:val="21"/>
                      <w:lang w:val="en-US" w:eastAsia="zh-CN"/>
                    </w:rPr>
                    <w:t>1500</w:t>
                  </w:r>
                </w:p>
              </w:tc>
              <w:tc>
                <w:tcPr>
                  <w:tcW w:w="1156" w:type="pct"/>
                  <w:vMerge w:val="continue"/>
                  <w:tcBorders>
                    <w:tl2br w:val="nil"/>
                    <w:tr2bl w:val="nil"/>
                  </w:tcBorders>
                  <w:noWrap w:val="0"/>
                  <w:vAlign w:val="center"/>
                </w:tcPr>
                <w:p w14:paraId="707A7C75">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961" w:type="pct"/>
                  <w:vMerge w:val="continue"/>
                  <w:tcBorders>
                    <w:tl2br w:val="nil"/>
                    <w:tr2bl w:val="nil"/>
                  </w:tcBorders>
                  <w:noWrap w:val="0"/>
                  <w:vAlign w:val="center"/>
                </w:tcPr>
                <w:p w14:paraId="242CC264">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r w14:paraId="6557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5549A936">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1#振动筛</w:t>
                  </w:r>
                </w:p>
              </w:tc>
              <w:tc>
                <w:tcPr>
                  <w:tcW w:w="1424" w:type="pct"/>
                  <w:tcBorders>
                    <w:tl2br w:val="nil"/>
                    <w:tr2bl w:val="nil"/>
                  </w:tcBorders>
                  <w:noWrap w:val="0"/>
                  <w:vAlign w:val="center"/>
                </w:tcPr>
                <w:p w14:paraId="471C5E8D">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eastAsia"/>
                      <w:color w:val="auto"/>
                      <w:szCs w:val="21"/>
                      <w:lang w:val="en-US" w:eastAsia="zh-CN"/>
                    </w:rPr>
                  </w:pPr>
                  <w:r>
                    <w:rPr>
                      <w:rFonts w:hint="eastAsia"/>
                      <w:color w:val="auto"/>
                      <w:szCs w:val="21"/>
                      <w:lang w:val="en-US" w:eastAsia="zh-CN"/>
                    </w:rPr>
                    <w:t>12600</w:t>
                  </w:r>
                </w:p>
              </w:tc>
              <w:tc>
                <w:tcPr>
                  <w:tcW w:w="1156" w:type="pct"/>
                  <w:vMerge w:val="continue"/>
                  <w:tcBorders>
                    <w:tl2br w:val="nil"/>
                    <w:tr2bl w:val="nil"/>
                  </w:tcBorders>
                  <w:noWrap w:val="0"/>
                  <w:vAlign w:val="center"/>
                </w:tcPr>
                <w:p w14:paraId="0B6AAB3D">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961" w:type="pct"/>
                  <w:vMerge w:val="continue"/>
                  <w:tcBorders>
                    <w:tl2br w:val="nil"/>
                    <w:tr2bl w:val="nil"/>
                  </w:tcBorders>
                  <w:noWrap w:val="0"/>
                  <w:vAlign w:val="center"/>
                </w:tcPr>
                <w:p w14:paraId="21065712">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r w14:paraId="7D59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2C696CDE">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1#细颚式破碎机</w:t>
                  </w:r>
                </w:p>
              </w:tc>
              <w:tc>
                <w:tcPr>
                  <w:tcW w:w="1424" w:type="pct"/>
                  <w:tcBorders>
                    <w:tl2br w:val="nil"/>
                    <w:tr2bl w:val="nil"/>
                  </w:tcBorders>
                  <w:noWrap w:val="0"/>
                  <w:vAlign w:val="center"/>
                </w:tcPr>
                <w:p w14:paraId="02AC9002">
                  <w:pPr>
                    <w:keepNext w:val="0"/>
                    <w:keepLines w:val="0"/>
                    <w:suppressLineNumbers w:val="0"/>
                    <w:spacing w:before="100" w:beforeAutospacing="1" w:after="100" w:afterAutospacing="1" w:line="240" w:lineRule="auto"/>
                    <w:ind w:left="0" w:leftChars="0" w:right="0" w:rightChars="0" w:firstLine="0" w:firstLineChars="0"/>
                    <w:jc w:val="center"/>
                    <w:rPr>
                      <w:rFonts w:hint="default" w:ascii="Times New Roman" w:eastAsia="宋体"/>
                      <w:color w:val="auto"/>
                      <w:szCs w:val="21"/>
                      <w:lang w:val="en-US" w:eastAsia="zh-CN"/>
                    </w:rPr>
                  </w:pPr>
                  <w:r>
                    <w:rPr>
                      <w:rFonts w:hint="eastAsia"/>
                      <w:color w:val="auto"/>
                      <w:szCs w:val="21"/>
                      <w:lang w:val="en-US" w:eastAsia="zh-CN"/>
                    </w:rPr>
                    <w:t>1500</w:t>
                  </w:r>
                </w:p>
              </w:tc>
              <w:tc>
                <w:tcPr>
                  <w:tcW w:w="1156" w:type="pct"/>
                  <w:vMerge w:val="continue"/>
                  <w:tcBorders>
                    <w:tl2br w:val="nil"/>
                    <w:tr2bl w:val="nil"/>
                  </w:tcBorders>
                  <w:noWrap w:val="0"/>
                  <w:vAlign w:val="center"/>
                </w:tcPr>
                <w:p w14:paraId="2C63ADA7">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961" w:type="pct"/>
                  <w:vMerge w:val="continue"/>
                  <w:tcBorders>
                    <w:tl2br w:val="nil"/>
                    <w:tr2bl w:val="nil"/>
                  </w:tcBorders>
                  <w:noWrap w:val="0"/>
                  <w:vAlign w:val="center"/>
                </w:tcPr>
                <w:p w14:paraId="309B4A34">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r w14:paraId="57E9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35D0B680">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2</w:t>
                  </w:r>
                  <w:r>
                    <w:rPr>
                      <w:rFonts w:hint="eastAsia" w:ascii="Times New Roman" w:eastAsia="宋体"/>
                      <w:color w:val="auto"/>
                      <w:szCs w:val="21"/>
                      <w:lang w:val="en-US" w:eastAsia="zh-CN"/>
                    </w:rPr>
                    <w:t>#细颚式破碎机</w:t>
                  </w:r>
                </w:p>
              </w:tc>
              <w:tc>
                <w:tcPr>
                  <w:tcW w:w="1424" w:type="pct"/>
                  <w:tcBorders>
                    <w:tl2br w:val="nil"/>
                    <w:tr2bl w:val="nil"/>
                  </w:tcBorders>
                  <w:noWrap w:val="0"/>
                  <w:vAlign w:val="center"/>
                </w:tcPr>
                <w:p w14:paraId="20081086">
                  <w:pPr>
                    <w:keepNext w:val="0"/>
                    <w:keepLines w:val="0"/>
                    <w:suppressLineNumbers w:val="0"/>
                    <w:spacing w:before="100" w:beforeAutospacing="1" w:after="100" w:afterAutospacing="1" w:line="240" w:lineRule="auto"/>
                    <w:ind w:left="0" w:leftChars="0" w:right="0" w:rightChars="0" w:firstLine="0" w:firstLineChars="0"/>
                    <w:jc w:val="center"/>
                    <w:rPr>
                      <w:rFonts w:hint="eastAsia" w:ascii="Times New Roman" w:eastAsia="宋体"/>
                      <w:color w:val="auto"/>
                      <w:szCs w:val="21"/>
                      <w:lang w:val="en-US" w:eastAsia="zh-CN"/>
                    </w:rPr>
                  </w:pPr>
                  <w:r>
                    <w:rPr>
                      <w:rFonts w:hint="eastAsia"/>
                      <w:color w:val="auto"/>
                      <w:szCs w:val="21"/>
                      <w:lang w:val="en-US" w:eastAsia="zh-CN"/>
                    </w:rPr>
                    <w:t>1500</w:t>
                  </w:r>
                </w:p>
              </w:tc>
              <w:tc>
                <w:tcPr>
                  <w:tcW w:w="1156" w:type="pct"/>
                  <w:vMerge w:val="continue"/>
                  <w:tcBorders>
                    <w:tl2br w:val="nil"/>
                    <w:tr2bl w:val="nil"/>
                  </w:tcBorders>
                  <w:noWrap w:val="0"/>
                  <w:vAlign w:val="center"/>
                </w:tcPr>
                <w:p w14:paraId="4884FF17">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961" w:type="pct"/>
                  <w:vMerge w:val="continue"/>
                  <w:tcBorders>
                    <w:tl2br w:val="nil"/>
                    <w:tr2bl w:val="nil"/>
                  </w:tcBorders>
                  <w:noWrap w:val="0"/>
                  <w:vAlign w:val="center"/>
                </w:tcPr>
                <w:p w14:paraId="653E8F57">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r w14:paraId="269B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57" w:type="pct"/>
                  <w:tcBorders>
                    <w:tl2br w:val="nil"/>
                    <w:tr2bl w:val="nil"/>
                  </w:tcBorders>
                  <w:noWrap w:val="0"/>
                  <w:vAlign w:val="center"/>
                </w:tcPr>
                <w:p w14:paraId="64F53019">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合计</w:t>
                  </w:r>
                </w:p>
              </w:tc>
              <w:tc>
                <w:tcPr>
                  <w:tcW w:w="1424" w:type="pct"/>
                  <w:tcBorders>
                    <w:tl2br w:val="nil"/>
                    <w:tr2bl w:val="nil"/>
                  </w:tcBorders>
                  <w:noWrap w:val="0"/>
                  <w:vAlign w:val="center"/>
                </w:tcPr>
                <w:p w14:paraId="7968AA5E">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30060</w:t>
                  </w:r>
                </w:p>
              </w:tc>
              <w:tc>
                <w:tcPr>
                  <w:tcW w:w="1156" w:type="pct"/>
                  <w:vMerge w:val="continue"/>
                  <w:tcBorders>
                    <w:tl2br w:val="nil"/>
                    <w:tr2bl w:val="nil"/>
                  </w:tcBorders>
                  <w:noWrap w:val="0"/>
                  <w:vAlign w:val="center"/>
                </w:tcPr>
                <w:p w14:paraId="7780CFBF">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961" w:type="pct"/>
                  <w:vMerge w:val="continue"/>
                  <w:tcBorders>
                    <w:tl2br w:val="nil"/>
                    <w:tr2bl w:val="nil"/>
                  </w:tcBorders>
                  <w:noWrap w:val="0"/>
                  <w:vAlign w:val="center"/>
                </w:tcPr>
                <w:p w14:paraId="2B73E920">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bl>
          <w:p w14:paraId="0046A95F">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color w:val="auto"/>
                <w:sz w:val="24"/>
                <w:highlight w:val="none"/>
              </w:rPr>
            </w:pPr>
            <w:r>
              <w:rPr>
                <w:rFonts w:hint="eastAsia" w:ascii="Times New Roman" w:hAnsi="Times New Roman" w:eastAsia="宋体" w:cs="Times New Roman"/>
                <w:snapToGrid w:val="0"/>
                <w:color w:val="auto"/>
                <w:sz w:val="24"/>
                <w:szCs w:val="20"/>
                <w:highlight w:val="none"/>
                <w:lang w:val="en-US" w:eastAsia="zh-CN"/>
              </w:rPr>
              <w:t>经计算：</w:t>
            </w:r>
            <w:r>
              <w:rPr>
                <w:rFonts w:hint="eastAsia"/>
                <w:color w:val="auto"/>
                <w:sz w:val="24"/>
                <w:highlight w:val="none"/>
                <w:lang w:val="en-US" w:eastAsia="zh-CN"/>
              </w:rPr>
              <w:t>给料、破碎、筛分工序</w:t>
            </w:r>
            <w:r>
              <w:rPr>
                <w:rFonts w:hint="eastAsia" w:cs="Times New Roman"/>
                <w:snapToGrid w:val="0"/>
                <w:color w:val="auto"/>
                <w:sz w:val="24"/>
                <w:szCs w:val="20"/>
                <w:highlight w:val="none"/>
                <w:lang w:val="en-US" w:eastAsia="zh-CN"/>
              </w:rPr>
              <w:t>所需</w:t>
            </w:r>
            <w:r>
              <w:rPr>
                <w:rFonts w:hint="eastAsia" w:ascii="Times New Roman" w:hAnsi="Times New Roman" w:eastAsia="宋体" w:cs="Times New Roman"/>
                <w:snapToGrid w:val="0"/>
                <w:color w:val="auto"/>
                <w:sz w:val="24"/>
                <w:szCs w:val="20"/>
                <w:highlight w:val="none"/>
                <w:lang w:val="en-US" w:eastAsia="zh-CN"/>
              </w:rPr>
              <w:t>风量为</w:t>
            </w:r>
            <w:r>
              <w:rPr>
                <w:rFonts w:hint="eastAsia" w:cs="Times New Roman"/>
                <w:snapToGrid w:val="0"/>
                <w:color w:val="auto"/>
                <w:sz w:val="24"/>
                <w:szCs w:val="20"/>
                <w:highlight w:val="none"/>
                <w:lang w:val="en-US" w:eastAsia="zh-CN"/>
              </w:rPr>
              <w:t>30060</w:t>
            </w:r>
            <w:r>
              <w:rPr>
                <w:rFonts w:hint="eastAsia" w:ascii="Times New Roman" w:hAnsi="Times New Roman" w:eastAsia="宋体" w:cs="Times New Roman"/>
                <w:snapToGrid w:val="0"/>
                <w:color w:val="auto"/>
                <w:sz w:val="24"/>
                <w:szCs w:val="20"/>
                <w:highlight w:val="none"/>
                <w:lang w:val="en-US" w:eastAsia="zh-CN"/>
              </w:rPr>
              <w:t>m</w:t>
            </w:r>
            <w:r>
              <w:rPr>
                <w:rFonts w:hint="eastAsia" w:ascii="Times New Roman" w:hAnsi="Times New Roman" w:eastAsia="宋体" w:cs="Times New Roman"/>
                <w:snapToGrid w:val="0"/>
                <w:color w:val="auto"/>
                <w:sz w:val="24"/>
                <w:szCs w:val="20"/>
                <w:highlight w:val="none"/>
                <w:vertAlign w:val="superscript"/>
                <w:lang w:val="en-US" w:eastAsia="zh-CN"/>
              </w:rPr>
              <w:t>3</w:t>
            </w:r>
            <w:r>
              <w:rPr>
                <w:rFonts w:hint="eastAsia" w:ascii="Times New Roman" w:hAnsi="Times New Roman" w:eastAsia="宋体" w:cs="Times New Roman"/>
                <w:snapToGrid w:val="0"/>
                <w:color w:val="auto"/>
                <w:sz w:val="24"/>
                <w:szCs w:val="20"/>
                <w:highlight w:val="none"/>
                <w:lang w:val="en-US" w:eastAsia="zh-CN"/>
              </w:rPr>
              <w:t>/h</w:t>
            </w:r>
            <w:r>
              <w:rPr>
                <w:rFonts w:hint="eastAsia" w:cs="Times New Roman"/>
                <w:snapToGrid w:val="0"/>
                <w:color w:val="auto"/>
                <w:sz w:val="24"/>
                <w:szCs w:val="20"/>
                <w:highlight w:val="none"/>
                <w:lang w:val="en-US" w:eastAsia="zh-CN"/>
              </w:rPr>
              <w:t>。</w:t>
            </w:r>
            <w:r>
              <w:rPr>
                <w:rFonts w:hint="eastAsia" w:ascii="Times New Roman" w:hAnsi="Times New Roman" w:eastAsia="宋体" w:cs="Times New Roman"/>
                <w:snapToGrid w:val="0"/>
                <w:color w:val="auto"/>
                <w:sz w:val="24"/>
                <w:szCs w:val="20"/>
                <w:highlight w:val="none"/>
                <w:lang w:val="en-US" w:eastAsia="zh-CN"/>
              </w:rPr>
              <w:t>布袋材质：覆膜（PTFE）涤纶针刺毡，过滤风速0.</w:t>
            </w:r>
            <w:r>
              <w:rPr>
                <w:rFonts w:hint="eastAsia" w:cs="Times New Roman"/>
                <w:snapToGrid w:val="0"/>
                <w:color w:val="auto"/>
                <w:sz w:val="24"/>
                <w:szCs w:val="20"/>
                <w:highlight w:val="none"/>
                <w:lang w:val="en-US" w:eastAsia="zh-CN"/>
              </w:rPr>
              <w:t>6</w:t>
            </w:r>
            <w:r>
              <w:rPr>
                <w:rFonts w:hint="eastAsia" w:ascii="Times New Roman" w:hAnsi="Times New Roman" w:eastAsia="宋体" w:cs="Times New Roman"/>
                <w:snapToGrid w:val="0"/>
                <w:color w:val="auto"/>
                <w:sz w:val="24"/>
                <w:szCs w:val="20"/>
                <w:highlight w:val="none"/>
                <w:lang w:val="en-US" w:eastAsia="zh-CN"/>
              </w:rPr>
              <w:t>m/min，过滤面积</w:t>
            </w:r>
            <w:r>
              <w:rPr>
                <w:rFonts w:hint="eastAsia" w:cs="Times New Roman"/>
                <w:snapToGrid w:val="0"/>
                <w:color w:val="auto"/>
                <w:sz w:val="24"/>
                <w:szCs w:val="20"/>
                <w:highlight w:val="none"/>
                <w:lang w:val="en-US" w:eastAsia="zh-CN"/>
              </w:rPr>
              <w:t>835</w:t>
            </w:r>
            <w:r>
              <w:rPr>
                <w:rFonts w:hint="eastAsia" w:ascii="Times New Roman" w:hAnsi="Times New Roman" w:eastAsia="宋体" w:cs="Times New Roman"/>
                <w:snapToGrid w:val="0"/>
                <w:color w:val="auto"/>
                <w:sz w:val="24"/>
                <w:szCs w:val="20"/>
                <w:highlight w:val="none"/>
                <w:lang w:val="en-US" w:eastAsia="zh-CN"/>
              </w:rPr>
              <w:t>m</w:t>
            </w:r>
            <w:r>
              <w:rPr>
                <w:rFonts w:hint="eastAsia" w:ascii="Times New Roman" w:hAnsi="Times New Roman" w:eastAsia="宋体" w:cs="Times New Roman"/>
                <w:snapToGrid w:val="0"/>
                <w:color w:val="auto"/>
                <w:sz w:val="24"/>
                <w:szCs w:val="20"/>
                <w:highlight w:val="none"/>
                <w:vertAlign w:val="superscript"/>
                <w:lang w:val="en-US" w:eastAsia="zh-CN"/>
              </w:rPr>
              <w:t>2</w:t>
            </w:r>
            <w:r>
              <w:rPr>
                <w:rFonts w:hint="eastAsia" w:cs="Times New Roman"/>
                <w:snapToGrid w:val="0"/>
                <w:color w:val="auto"/>
                <w:sz w:val="24"/>
                <w:szCs w:val="20"/>
                <w:highlight w:val="none"/>
                <w:lang w:val="en-US" w:eastAsia="zh-CN"/>
              </w:rPr>
              <w:t>。</w:t>
            </w:r>
          </w:p>
          <w:p w14:paraId="1958E5C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96" w:firstLineChars="200"/>
              <w:textAlignment w:val="auto"/>
              <w:rPr>
                <w:rFonts w:hint="default" w:ascii="Times New Roman" w:hAnsi="Times New Roman" w:cs="Times New Roman"/>
                <w:color w:val="auto"/>
                <w:sz w:val="24"/>
                <w:szCs w:val="24"/>
                <w:highlight w:val="none"/>
                <w:vertAlign w:val="baseline"/>
                <w:lang w:val="en-US" w:eastAsia="zh-CN"/>
              </w:rPr>
            </w:pPr>
            <w:r>
              <w:rPr>
                <w:rFonts w:hint="eastAsia"/>
                <w:color w:val="auto"/>
                <w:spacing w:val="4"/>
                <w:sz w:val="24"/>
                <w:highlight w:val="none"/>
                <w:lang w:val="en-US" w:eastAsia="zh-CN"/>
              </w:rPr>
              <w:t>给料</w:t>
            </w:r>
            <w:r>
              <w:rPr>
                <w:rFonts w:hint="eastAsia" w:ascii="Times New Roman" w:hAnsi="Times New Roman" w:eastAsia="宋体" w:cs="Times New Roman"/>
                <w:color w:val="auto"/>
                <w:kern w:val="2"/>
                <w:sz w:val="24"/>
                <w:szCs w:val="24"/>
                <w:highlight w:val="none"/>
                <w:lang w:val="en-US" w:eastAsia="zh-CN" w:bidi="ar-SA"/>
              </w:rPr>
              <w:t>粉尘参照《逸散性工业粉尘控制技术》，</w:t>
            </w:r>
            <w:r>
              <w:rPr>
                <w:rFonts w:hint="eastAsia" w:ascii="Times New Roman" w:eastAsia="宋体"/>
                <w:color w:val="auto"/>
                <w:spacing w:val="4"/>
                <w:sz w:val="24"/>
                <w:highlight w:val="none"/>
                <w:lang w:val="en-US" w:eastAsia="zh-CN"/>
              </w:rPr>
              <w:t>给</w:t>
            </w:r>
            <w:r>
              <w:rPr>
                <w:rFonts w:hint="eastAsia" w:ascii="Times New Roman" w:hAnsi="Times New Roman" w:eastAsia="宋体" w:cs="Times New Roman"/>
                <w:color w:val="auto"/>
                <w:kern w:val="2"/>
                <w:sz w:val="24"/>
                <w:szCs w:val="24"/>
                <w:highlight w:val="none"/>
                <w:lang w:val="en-US" w:eastAsia="zh-CN" w:bidi="ar-SA"/>
              </w:rPr>
              <w:t>料工序产尘系数0.1kg/t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eastAsia" w:cs="Times New Roman"/>
                <w:color w:val="auto"/>
                <w:kern w:val="2"/>
                <w:sz w:val="24"/>
                <w:szCs w:val="24"/>
                <w:highlight w:val="none"/>
                <w:lang w:val="en-US" w:eastAsia="zh-CN" w:bidi="ar-SA"/>
              </w:rPr>
              <w:t>，</w:t>
            </w:r>
            <w:r>
              <w:rPr>
                <w:rFonts w:hint="eastAsia" w:ascii="Times New Roman" w:hAnsi="Times New Roman" w:cs="Times New Roman"/>
                <w:color w:val="auto"/>
                <w:kern w:val="2"/>
                <w:sz w:val="24"/>
                <w:szCs w:val="24"/>
                <w:highlight w:val="none"/>
                <w:lang w:val="en-US" w:eastAsia="zh-CN" w:bidi="ar-SA"/>
              </w:rPr>
              <w:t>年</w:t>
            </w:r>
            <w:r>
              <w:rPr>
                <w:rFonts w:hint="eastAsia" w:cs="Times New Roman"/>
                <w:color w:val="auto"/>
                <w:kern w:val="2"/>
                <w:sz w:val="24"/>
                <w:szCs w:val="24"/>
                <w:highlight w:val="none"/>
                <w:lang w:val="en-US" w:eastAsia="zh-CN" w:bidi="ar-SA"/>
              </w:rPr>
              <w:t>处理煤矸石30万</w:t>
            </w:r>
            <w:r>
              <w:rPr>
                <w:rFonts w:hint="default" w:ascii="Times New Roman" w:hAnsi="Times New Roman" w:cs="Times New Roman"/>
                <w:color w:val="auto"/>
                <w:sz w:val="24"/>
                <w:szCs w:val="24"/>
                <w:highlight w:val="none"/>
                <w:vertAlign w:val="baseline"/>
                <w:lang w:val="en-US" w:eastAsia="zh-CN"/>
              </w:rPr>
              <w:t>t/a，</w:t>
            </w:r>
            <w:r>
              <w:rPr>
                <w:rFonts w:hint="eastAsia" w:ascii="Times New Roman" w:hAnsi="Times New Roman" w:cs="Times New Roman"/>
                <w:color w:val="auto"/>
                <w:sz w:val="24"/>
                <w:szCs w:val="24"/>
                <w:highlight w:val="none"/>
                <w:vertAlign w:val="baseline"/>
                <w:lang w:val="en-US" w:eastAsia="zh-CN"/>
              </w:rPr>
              <w:t>则有组织颗粒物产生量为</w:t>
            </w:r>
            <w:r>
              <w:rPr>
                <w:rFonts w:hint="eastAsia" w:cs="Times New Roman"/>
                <w:color w:val="auto"/>
                <w:sz w:val="24"/>
                <w:szCs w:val="24"/>
                <w:highlight w:val="none"/>
                <w:vertAlign w:val="baseline"/>
                <w:lang w:val="en-US" w:eastAsia="zh-CN"/>
              </w:rPr>
              <w:t>30</w:t>
            </w:r>
            <w:r>
              <w:rPr>
                <w:rFonts w:hint="default" w:ascii="Times New Roman" w:hAnsi="Times New Roman" w:cs="Times New Roman"/>
                <w:color w:val="auto"/>
                <w:sz w:val="24"/>
                <w:szCs w:val="24"/>
                <w:highlight w:val="none"/>
                <w:vertAlign w:val="baseline"/>
                <w:lang w:val="en-US" w:eastAsia="zh-CN"/>
              </w:rPr>
              <w:t>t/a</w:t>
            </w:r>
            <w:r>
              <w:rPr>
                <w:rFonts w:hint="eastAsia"/>
                <w:color w:val="auto"/>
                <w:sz w:val="24"/>
                <w:szCs w:val="24"/>
                <w:highlight w:val="none"/>
                <w:lang w:val="en-US" w:eastAsia="zh-CN"/>
              </w:rPr>
              <w:t>，产生速率</w:t>
            </w:r>
            <w:r>
              <w:rPr>
                <w:rFonts w:hint="eastAsia" w:cs="Times New Roman"/>
                <w:color w:val="auto"/>
                <w:sz w:val="24"/>
                <w:szCs w:val="24"/>
                <w:highlight w:val="none"/>
                <w:lang w:val="en-US" w:eastAsia="zh-CN"/>
              </w:rPr>
              <w:t>9.09</w:t>
            </w:r>
            <w:r>
              <w:rPr>
                <w:rFonts w:hint="default" w:ascii="Times New Roman" w:hAnsi="Times New Roman" w:cs="Times New Roman"/>
                <w:color w:val="auto"/>
                <w:sz w:val="24"/>
                <w:szCs w:val="24"/>
                <w:highlight w:val="none"/>
                <w:lang w:val="en-US" w:eastAsia="zh-CN"/>
              </w:rPr>
              <w:t>kg/h</w:t>
            </w:r>
            <w:r>
              <w:rPr>
                <w:rFonts w:hint="default" w:ascii="Times New Roman" w:hAnsi="Times New Roman" w:cs="Times New Roman"/>
                <w:color w:val="auto"/>
                <w:sz w:val="24"/>
                <w:szCs w:val="24"/>
                <w:highlight w:val="none"/>
                <w:vertAlign w:val="baseline"/>
                <w:lang w:val="en-US" w:eastAsia="zh-CN"/>
              </w:rPr>
              <w:t>。</w:t>
            </w:r>
          </w:p>
          <w:p w14:paraId="13664F1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ascii="Times New Roman" w:hAnsi="Times New Roman" w:cs="Times New Roman"/>
                <w:color w:val="auto"/>
                <w:sz w:val="24"/>
                <w:szCs w:val="24"/>
                <w:highlight w:val="none"/>
                <w:vertAlign w:val="baseline"/>
                <w:lang w:val="en-US" w:eastAsia="zh-CN"/>
              </w:rPr>
            </w:pPr>
            <w:r>
              <w:rPr>
                <w:rFonts w:hint="eastAsia"/>
                <w:color w:val="auto"/>
                <w:sz w:val="24"/>
                <w:lang w:val="en-US" w:eastAsia="zh-CN"/>
              </w:rPr>
              <w:t>一次</w:t>
            </w:r>
            <w:r>
              <w:rPr>
                <w:rFonts w:hint="eastAsia" w:ascii="Times New Roman" w:hAnsi="Times New Roman"/>
                <w:color w:val="auto"/>
                <w:sz w:val="24"/>
                <w:lang w:val="en-US" w:eastAsia="zh-CN"/>
              </w:rPr>
              <w:t>破碎粉尘</w:t>
            </w:r>
            <w:r>
              <w:rPr>
                <w:rFonts w:hint="default" w:ascii="Times New Roman" w:hAnsi="Times New Roman"/>
                <w:color w:val="auto"/>
                <w:sz w:val="24"/>
                <w:lang w:eastAsia="zh-CN"/>
              </w:rPr>
              <w:t>参照《逸散性工业粉尘控制技术》，破碎工段产尘系数0.2kg/t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eastAsia" w:cs="Times New Roman"/>
                <w:color w:val="auto"/>
                <w:kern w:val="2"/>
                <w:sz w:val="24"/>
                <w:szCs w:val="24"/>
                <w:highlight w:val="none"/>
                <w:lang w:val="en-US" w:eastAsia="zh-CN" w:bidi="ar-SA"/>
              </w:rPr>
              <w:t>，</w:t>
            </w:r>
            <w:r>
              <w:rPr>
                <w:rFonts w:hint="eastAsia"/>
                <w:color w:val="auto"/>
                <w:sz w:val="24"/>
                <w:lang w:val="en-US" w:eastAsia="zh-CN"/>
              </w:rPr>
              <w:t>颚式破碎机</w:t>
            </w:r>
            <w:r>
              <w:rPr>
                <w:rFonts w:hint="default" w:ascii="Times New Roman" w:hAnsi="Times New Roman"/>
                <w:color w:val="auto"/>
                <w:sz w:val="24"/>
                <w:lang w:eastAsia="zh-CN"/>
              </w:rPr>
              <w:t>进料量</w:t>
            </w:r>
            <w:r>
              <w:rPr>
                <w:rFonts w:hint="eastAsia"/>
                <w:color w:val="auto"/>
                <w:sz w:val="24"/>
                <w:lang w:val="en-US" w:eastAsia="zh-CN"/>
              </w:rPr>
              <w:t>30</w:t>
            </w:r>
            <w:r>
              <w:rPr>
                <w:rFonts w:hint="default" w:ascii="Times New Roman" w:hAnsi="Times New Roman"/>
                <w:color w:val="auto"/>
                <w:sz w:val="24"/>
                <w:lang w:eastAsia="zh-CN"/>
              </w:rPr>
              <w:t>万t/a，</w:t>
            </w:r>
            <w:r>
              <w:rPr>
                <w:rFonts w:hint="eastAsia"/>
                <w:color w:val="auto"/>
                <w:sz w:val="24"/>
                <w:lang w:val="en-US" w:eastAsia="zh-CN"/>
              </w:rPr>
              <w:t>一次</w:t>
            </w:r>
            <w:r>
              <w:rPr>
                <w:rFonts w:hint="default" w:ascii="Times New Roman" w:hAnsi="Times New Roman"/>
                <w:color w:val="auto"/>
                <w:sz w:val="24"/>
                <w:lang w:eastAsia="zh-CN"/>
              </w:rPr>
              <w:t>破碎粉尘产生量</w:t>
            </w:r>
            <w:r>
              <w:rPr>
                <w:rFonts w:hint="eastAsia"/>
                <w:color w:val="auto"/>
                <w:sz w:val="24"/>
                <w:lang w:val="en-US" w:eastAsia="zh-CN"/>
              </w:rPr>
              <w:t>60</w:t>
            </w:r>
            <w:r>
              <w:rPr>
                <w:rFonts w:hint="default" w:ascii="Times New Roman" w:hAnsi="Times New Roman"/>
                <w:color w:val="auto"/>
                <w:sz w:val="24"/>
                <w:lang w:eastAsia="zh-CN"/>
              </w:rPr>
              <w:t>t/a</w:t>
            </w:r>
            <w:r>
              <w:rPr>
                <w:rFonts w:hint="eastAsia" w:ascii="Times New Roman" w:hAnsi="Times New Roman"/>
                <w:color w:val="auto"/>
                <w:sz w:val="24"/>
                <w:lang w:eastAsia="zh-CN"/>
              </w:rPr>
              <w:t>，</w:t>
            </w:r>
            <w:r>
              <w:rPr>
                <w:rFonts w:hint="eastAsia" w:ascii="Times New Roman" w:hAnsi="Times New Roman"/>
                <w:color w:val="auto"/>
                <w:sz w:val="24"/>
                <w:lang w:val="en-US" w:eastAsia="zh-CN"/>
              </w:rPr>
              <w:t>产生速率</w:t>
            </w:r>
            <w:r>
              <w:rPr>
                <w:rFonts w:hint="eastAsia"/>
                <w:color w:val="auto"/>
                <w:sz w:val="24"/>
                <w:lang w:val="en-US" w:eastAsia="zh-CN"/>
              </w:rPr>
              <w:t>18.18</w:t>
            </w:r>
            <w:r>
              <w:rPr>
                <w:rFonts w:hint="default" w:ascii="Times New Roman" w:hAnsi="Times New Roman" w:cs="Times New Roman"/>
                <w:color w:val="auto"/>
                <w:sz w:val="24"/>
                <w:szCs w:val="24"/>
                <w:highlight w:val="none"/>
                <w:lang w:val="en-US" w:eastAsia="zh-CN"/>
              </w:rPr>
              <w:t>kg/h</w:t>
            </w:r>
            <w:r>
              <w:rPr>
                <w:rFonts w:hint="default" w:ascii="Times New Roman" w:hAnsi="Times New Roman" w:cs="Times New Roman"/>
                <w:color w:val="auto"/>
                <w:sz w:val="24"/>
                <w:szCs w:val="24"/>
                <w:highlight w:val="none"/>
                <w:vertAlign w:val="baseline"/>
                <w:lang w:val="en-US" w:eastAsia="zh-CN"/>
              </w:rPr>
              <w:t>。</w:t>
            </w:r>
          </w:p>
          <w:p w14:paraId="318E5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snapToGrid w:val="0"/>
                <w:color w:val="auto"/>
                <w:kern w:val="2"/>
                <w:sz w:val="24"/>
                <w:szCs w:val="20"/>
                <w:highlight w:val="none"/>
                <w:lang w:val="en-US" w:eastAsia="zh-CN" w:bidi="ar-SA"/>
              </w:rPr>
              <w:t>筛分粉尘</w:t>
            </w:r>
            <w:r>
              <w:rPr>
                <w:rFonts w:hint="default" w:ascii="Times New Roman" w:hAnsi="Times New Roman"/>
                <w:color w:val="auto"/>
                <w:sz w:val="24"/>
                <w:lang w:eastAsia="zh-CN"/>
              </w:rPr>
              <w:t>参照《逸散性工业粉尘控制技术》，</w:t>
            </w:r>
            <w:r>
              <w:rPr>
                <w:rFonts w:hint="eastAsia" w:ascii="Times New Roman" w:hAnsi="Times New Roman"/>
                <w:color w:val="auto"/>
                <w:sz w:val="24"/>
                <w:lang w:val="en-US" w:eastAsia="zh-CN"/>
              </w:rPr>
              <w:t>筛分工序产尘系数</w:t>
            </w:r>
            <w:r>
              <w:rPr>
                <w:rFonts w:hint="default" w:ascii="Times New Roman" w:hAnsi="Times New Roman"/>
                <w:color w:val="auto"/>
                <w:sz w:val="24"/>
                <w:lang w:eastAsia="zh-CN"/>
              </w:rPr>
              <w:t>0.2kg/t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snapToGrid w:val="0"/>
                <w:color w:val="auto"/>
                <w:kern w:val="2"/>
                <w:sz w:val="24"/>
                <w:szCs w:val="20"/>
                <w:highlight w:val="none"/>
                <w:lang w:val="en-US" w:eastAsia="zh-CN" w:bidi="ar-SA"/>
              </w:rPr>
              <w:t>1#振动筛进料量</w:t>
            </w:r>
            <w:r>
              <w:rPr>
                <w:rFonts w:hint="eastAsia" w:ascii="Times New Roman" w:hAnsi="Times New Roman" w:eastAsia="宋体" w:cs="Times New Roman"/>
                <w:color w:val="auto"/>
                <w:kern w:val="2"/>
                <w:sz w:val="24"/>
                <w:szCs w:val="24"/>
                <w:highlight w:val="none"/>
                <w:lang w:val="en-US" w:eastAsia="zh-CN" w:bidi="ar-SA"/>
              </w:rPr>
              <w:t>（考虑10%返料）</w:t>
            </w:r>
            <w:r>
              <w:rPr>
                <w:rFonts w:hint="eastAsia" w:ascii="Times New Roman" w:hAnsi="Times New Roman" w:eastAsia="宋体" w:cs="Times New Roman"/>
                <w:snapToGrid w:val="0"/>
                <w:color w:val="auto"/>
                <w:kern w:val="2"/>
                <w:sz w:val="24"/>
                <w:szCs w:val="20"/>
                <w:highlight w:val="none"/>
                <w:lang w:val="en-US" w:eastAsia="zh-CN" w:bidi="ar-SA"/>
              </w:rPr>
              <w:t>为</w:t>
            </w:r>
            <w:r>
              <w:rPr>
                <w:rFonts w:hint="eastAsia" w:ascii="Times New Roman" w:hAnsi="Times New Roman" w:eastAsia="宋体" w:cs="Times New Roman"/>
                <w:color w:val="auto"/>
                <w:kern w:val="2"/>
                <w:sz w:val="24"/>
                <w:szCs w:val="24"/>
                <w:highlight w:val="none"/>
                <w:lang w:val="en-US" w:eastAsia="zh-CN" w:bidi="ar-SA"/>
              </w:rPr>
              <w:t>33</w:t>
            </w:r>
            <w:r>
              <w:rPr>
                <w:rFonts w:hint="default" w:ascii="Times New Roman" w:hAnsi="Times New Roman" w:eastAsia="宋体" w:cs="Times New Roman"/>
                <w:color w:val="auto"/>
                <w:kern w:val="2"/>
                <w:sz w:val="24"/>
                <w:szCs w:val="24"/>
                <w:highlight w:val="none"/>
                <w:lang w:val="en-US" w:eastAsia="zh-CN" w:bidi="ar-SA"/>
              </w:rPr>
              <w:t>万t/a</w:t>
            </w:r>
            <w:r>
              <w:rPr>
                <w:rFonts w:hint="eastAsia" w:ascii="Times New Roman" w:hAnsi="Times New Roman" w:eastAsia="宋体" w:cs="Times New Roman"/>
                <w:color w:val="auto"/>
                <w:kern w:val="2"/>
                <w:sz w:val="24"/>
                <w:szCs w:val="24"/>
                <w:highlight w:val="none"/>
                <w:lang w:val="en-US" w:eastAsia="zh-CN" w:bidi="ar-SA"/>
              </w:rPr>
              <w:t>，一次筛分</w:t>
            </w:r>
            <w:r>
              <w:rPr>
                <w:rFonts w:hint="eastAsia" w:ascii="Times New Roman" w:hAnsi="Times New Roman" w:eastAsia="宋体" w:cs="Times New Roman"/>
                <w:color w:val="auto"/>
                <w:kern w:val="2"/>
                <w:sz w:val="24"/>
                <w:szCs w:val="24"/>
                <w:lang w:val="en-US" w:eastAsia="zh-CN" w:bidi="ar-SA"/>
              </w:rPr>
              <w:t>粉尘产生量为66</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，产生速率为</w:t>
            </w:r>
            <w:r>
              <w:rPr>
                <w:rFonts w:hint="eastAsia" w:ascii="Times New Roman" w:hAnsi="Times New Roman" w:eastAsia="宋体" w:cs="Times New Roman"/>
                <w:color w:val="auto"/>
                <w:kern w:val="2"/>
                <w:sz w:val="24"/>
                <w:szCs w:val="24"/>
                <w:lang w:val="en-US" w:eastAsia="zh-CN" w:bidi="ar-SA"/>
              </w:rPr>
              <w:t>20</w:t>
            </w:r>
            <w:r>
              <w:rPr>
                <w:rFonts w:hint="default" w:ascii="Times New Roman" w:hAnsi="Times New Roman" w:eastAsia="宋体" w:cs="Times New Roman"/>
                <w:color w:val="auto"/>
                <w:kern w:val="2"/>
                <w:sz w:val="24"/>
                <w:szCs w:val="24"/>
                <w:highlight w:val="none"/>
                <w:lang w:val="en-US" w:eastAsia="zh-CN" w:bidi="ar-SA"/>
              </w:rPr>
              <w:t>kg/h</w:t>
            </w:r>
            <w:r>
              <w:rPr>
                <w:rFonts w:hint="eastAsia" w:ascii="Times New Roman" w:hAnsi="Times New Roman" w:eastAsia="宋体" w:cs="Times New Roman"/>
                <w:color w:val="auto"/>
                <w:kern w:val="2"/>
                <w:sz w:val="24"/>
                <w:szCs w:val="24"/>
                <w:highlight w:val="none"/>
                <w:lang w:val="en-US" w:eastAsia="zh-CN" w:bidi="ar-SA"/>
              </w:rPr>
              <w:t>。</w:t>
            </w:r>
          </w:p>
          <w:p w14:paraId="102CF63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ascii="Times New Roman" w:hAnsi="Times New Roman" w:eastAsia="宋体" w:cs="Times New Roman"/>
                <w:color w:val="auto"/>
                <w:sz w:val="24"/>
                <w:szCs w:val="24"/>
                <w:highlight w:val="none"/>
                <w:vertAlign w:val="baseline"/>
                <w:lang w:val="en-US" w:eastAsia="zh-CN"/>
              </w:rPr>
            </w:pPr>
            <w:r>
              <w:rPr>
                <w:rFonts w:hint="eastAsia" w:ascii="Times New Roman" w:hAnsi="Times New Roman" w:eastAsia="宋体" w:cs="Times New Roman"/>
                <w:color w:val="auto"/>
                <w:kern w:val="2"/>
                <w:sz w:val="24"/>
                <w:szCs w:val="24"/>
                <w:highlight w:val="none"/>
                <w:lang w:val="en-US" w:eastAsia="zh-CN" w:bidi="ar-SA"/>
              </w:rPr>
              <w:t>二次破碎粉尘</w:t>
            </w:r>
            <w:r>
              <w:rPr>
                <w:rFonts w:hint="default" w:ascii="Times New Roman" w:hAnsi="Times New Roman" w:eastAsia="宋体" w:cs="Times New Roman"/>
                <w:color w:val="auto"/>
                <w:sz w:val="24"/>
                <w:lang w:eastAsia="zh-CN"/>
              </w:rPr>
              <w:t>参照《逸散性工业粉尘控制技术》，破碎工</w:t>
            </w:r>
            <w:r>
              <w:rPr>
                <w:rFonts w:hint="eastAsia" w:ascii="Times New Roman" w:hAnsi="Times New Roman"/>
                <w:color w:val="auto"/>
                <w:sz w:val="24"/>
                <w:lang w:val="en-US" w:eastAsia="zh-CN"/>
              </w:rPr>
              <w:t>序</w:t>
            </w:r>
            <w:r>
              <w:rPr>
                <w:rFonts w:hint="default" w:ascii="Times New Roman" w:hAnsi="Times New Roman" w:eastAsia="宋体" w:cs="Times New Roman"/>
                <w:color w:val="auto"/>
                <w:sz w:val="24"/>
                <w:lang w:eastAsia="zh-CN"/>
              </w:rPr>
              <w:t>产尘系数0.2kg/t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eastAsia" w:ascii="Times New Roman" w:hAnsi="Times New Roman" w:eastAsia="宋体" w:cs="Times New Roman"/>
                <w:color w:val="auto"/>
                <w:sz w:val="24"/>
                <w:lang w:val="en-US" w:eastAsia="zh-CN"/>
              </w:rPr>
              <w:t>2台细颚式破碎机并联使用</w:t>
            </w:r>
            <w:r>
              <w:rPr>
                <w:rFonts w:hint="default" w:ascii="Times New Roman" w:hAnsi="Times New Roman" w:eastAsia="宋体" w:cs="Times New Roman"/>
                <w:color w:val="auto"/>
                <w:sz w:val="24"/>
                <w:lang w:eastAsia="zh-CN"/>
              </w:rPr>
              <w:t>进料量</w:t>
            </w:r>
            <w:r>
              <w:rPr>
                <w:rFonts w:hint="eastAsia" w:ascii="Times New Roman" w:hAnsi="Times New Roman" w:eastAsia="宋体" w:cs="Times New Roman"/>
                <w:color w:val="auto"/>
                <w:kern w:val="2"/>
                <w:sz w:val="24"/>
                <w:szCs w:val="24"/>
                <w:highlight w:val="none"/>
                <w:lang w:val="en-US" w:eastAsia="zh-CN" w:bidi="ar-SA"/>
              </w:rPr>
              <w:t>（考虑10%返料）</w:t>
            </w:r>
            <w:r>
              <w:rPr>
                <w:rFonts w:hint="eastAsia" w:ascii="Times New Roman" w:hAnsi="Times New Roman" w:eastAsia="宋体" w:cs="Times New Roman"/>
                <w:color w:val="auto"/>
                <w:sz w:val="24"/>
                <w:lang w:val="en-US" w:eastAsia="zh-CN"/>
              </w:rPr>
              <w:t>为33</w:t>
            </w:r>
            <w:r>
              <w:rPr>
                <w:rFonts w:hint="default" w:ascii="Times New Roman" w:hAnsi="Times New Roman" w:eastAsia="宋体" w:cs="Times New Roman"/>
                <w:color w:val="auto"/>
                <w:sz w:val="24"/>
                <w:lang w:eastAsia="zh-CN"/>
              </w:rPr>
              <w:t>万t/a，</w:t>
            </w:r>
            <w:r>
              <w:rPr>
                <w:rFonts w:hint="eastAsia" w:ascii="Times New Roman" w:hAnsi="Times New Roman" w:eastAsia="宋体" w:cs="Times New Roman"/>
                <w:color w:val="auto"/>
                <w:sz w:val="24"/>
                <w:lang w:val="en-US" w:eastAsia="zh-CN"/>
              </w:rPr>
              <w:t>二次</w:t>
            </w:r>
            <w:r>
              <w:rPr>
                <w:rFonts w:hint="default" w:ascii="Times New Roman" w:hAnsi="Times New Roman" w:eastAsia="宋体" w:cs="Times New Roman"/>
                <w:color w:val="auto"/>
                <w:sz w:val="24"/>
                <w:lang w:eastAsia="zh-CN"/>
              </w:rPr>
              <w:t>破碎粉尘产生量</w:t>
            </w:r>
            <w:r>
              <w:rPr>
                <w:rFonts w:hint="eastAsia" w:ascii="Times New Roman" w:hAnsi="Times New Roman" w:eastAsia="宋体" w:cs="Times New Roman"/>
                <w:color w:val="auto"/>
                <w:sz w:val="24"/>
                <w:lang w:val="en-US" w:eastAsia="zh-CN"/>
              </w:rPr>
              <w:t>66</w:t>
            </w:r>
            <w:r>
              <w:rPr>
                <w:rFonts w:hint="default" w:ascii="Times New Roman" w:hAnsi="Times New Roman" w:eastAsia="宋体" w:cs="Times New Roman"/>
                <w:color w:val="auto"/>
                <w:sz w:val="24"/>
                <w:lang w:eastAsia="zh-CN"/>
              </w:rPr>
              <w:t>t/a</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产生速率20</w:t>
            </w:r>
            <w:r>
              <w:rPr>
                <w:rFonts w:hint="default" w:ascii="Times New Roman" w:hAnsi="Times New Roman" w:eastAsia="宋体" w:cs="Times New Roman"/>
                <w:color w:val="auto"/>
                <w:sz w:val="24"/>
                <w:szCs w:val="24"/>
                <w:highlight w:val="none"/>
                <w:lang w:val="en-US" w:eastAsia="zh-CN"/>
              </w:rPr>
              <w:t>kg/h</w:t>
            </w:r>
            <w:r>
              <w:rPr>
                <w:rFonts w:hint="default" w:ascii="Times New Roman" w:hAnsi="Times New Roman" w:eastAsia="宋体" w:cs="Times New Roman"/>
                <w:color w:val="auto"/>
                <w:sz w:val="24"/>
                <w:szCs w:val="24"/>
                <w:highlight w:val="none"/>
                <w:vertAlign w:val="baseline"/>
                <w:lang w:val="en-US" w:eastAsia="zh-CN"/>
              </w:rPr>
              <w:t>。</w:t>
            </w:r>
          </w:p>
          <w:p w14:paraId="116BB703">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则总产生速率为67.27</w:t>
            </w:r>
            <w:r>
              <w:rPr>
                <w:rFonts w:hint="default" w:ascii="Times New Roman" w:hAnsi="Times New Roman" w:cs="Times New Roman"/>
                <w:color w:val="auto"/>
                <w:sz w:val="24"/>
                <w:szCs w:val="24"/>
                <w:highlight w:val="none"/>
                <w:lang w:val="en-US" w:eastAsia="zh-CN"/>
              </w:rPr>
              <w:t>kg/h</w:t>
            </w:r>
            <w:r>
              <w:rPr>
                <w:rFonts w:hint="eastAsia" w:cs="Times New Roman"/>
                <w:color w:val="auto"/>
                <w:sz w:val="24"/>
                <w:szCs w:val="24"/>
                <w:highlight w:val="none"/>
                <w:lang w:val="en-US" w:eastAsia="zh-CN"/>
              </w:rPr>
              <w:t>，产生浓度为</w:t>
            </w:r>
            <w:r>
              <w:rPr>
                <w:rFonts w:hint="eastAsia" w:cs="Times New Roman"/>
                <w:color w:val="auto"/>
                <w:sz w:val="24"/>
                <w:szCs w:val="24"/>
                <w:highlight w:val="none"/>
                <w:vertAlign w:val="baseline"/>
                <w:lang w:val="en-US" w:eastAsia="zh-CN"/>
              </w:rPr>
              <w:t>2238</w:t>
            </w:r>
            <w:r>
              <w:rPr>
                <w:rFonts w:hint="default" w:ascii="Times New Roman" w:hAnsi="Times New Roman" w:eastAsia="宋体" w:cs="Times New Roman"/>
                <w:color w:val="auto"/>
                <w:spacing w:val="0"/>
                <w:position w:val="0"/>
                <w:sz w:val="24"/>
                <w:highlight w:val="none"/>
                <w:lang w:val="en-US" w:eastAsia="zh-CN"/>
              </w:rPr>
              <w:t>mg/m</w:t>
            </w:r>
            <w:r>
              <w:rPr>
                <w:rFonts w:hint="default" w:ascii="Times New Roman" w:hAnsi="Times New Roman" w:eastAsia="宋体" w:cs="Times New Roman"/>
                <w:color w:val="auto"/>
                <w:spacing w:val="0"/>
                <w:position w:val="0"/>
                <w:sz w:val="24"/>
                <w:highlight w:val="none"/>
                <w:vertAlign w:val="superscript"/>
                <w:lang w:val="en-US" w:eastAsia="zh-CN"/>
              </w:rPr>
              <w:t>3</w:t>
            </w:r>
            <w:r>
              <w:rPr>
                <w:rFonts w:hint="eastAsia" w:cs="Times New Roman"/>
                <w:color w:val="auto"/>
                <w:spacing w:val="0"/>
                <w:position w:val="0"/>
                <w:sz w:val="24"/>
                <w:highlight w:val="none"/>
                <w:vertAlign w:val="baseline"/>
                <w:lang w:val="en-US" w:eastAsia="zh-CN"/>
              </w:rPr>
              <w:t>。</w:t>
            </w:r>
          </w:p>
          <w:p w14:paraId="1DE0705D">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pacing w:val="4"/>
                <w:sz w:val="24"/>
                <w:lang w:eastAsia="zh-CN"/>
              </w:rPr>
            </w:pPr>
            <w:r>
              <w:rPr>
                <w:rFonts w:hint="eastAsia" w:cs="Times New Roman"/>
                <w:color w:val="auto"/>
                <w:spacing w:val="0"/>
                <w:position w:val="0"/>
                <w:sz w:val="24"/>
                <w:highlight w:val="none"/>
                <w:lang w:val="en-US" w:eastAsia="zh-CN"/>
              </w:rPr>
              <w:t>本项目</w:t>
            </w:r>
            <w:r>
              <w:rPr>
                <w:rFonts w:hint="eastAsia" w:ascii="Times New Roman" w:hAnsi="Times New Roman" w:eastAsia="宋体" w:cs="Times New Roman"/>
                <w:color w:val="auto"/>
                <w:spacing w:val="0"/>
                <w:position w:val="0"/>
                <w:sz w:val="24"/>
                <w:highlight w:val="none"/>
                <w:lang w:val="en-US" w:eastAsia="zh-CN"/>
              </w:rPr>
              <w:t>有组织颗粒物</w:t>
            </w:r>
            <w:r>
              <w:rPr>
                <w:rFonts w:hint="default" w:ascii="Times New Roman" w:hAnsi="Times New Roman" w:eastAsia="宋体" w:cs="Times New Roman"/>
                <w:color w:val="auto"/>
                <w:spacing w:val="0"/>
                <w:position w:val="0"/>
                <w:sz w:val="24"/>
                <w:highlight w:val="none"/>
              </w:rPr>
              <w:t>排放浓度</w:t>
            </w:r>
            <w:r>
              <w:rPr>
                <w:rFonts w:hint="default" w:ascii="Times New Roman" w:hAnsi="Times New Roman" w:eastAsia="宋体" w:cs="Times New Roman"/>
                <w:color w:val="auto"/>
                <w:spacing w:val="0"/>
                <w:position w:val="0"/>
                <w:sz w:val="24"/>
                <w:highlight w:val="none"/>
                <w:lang w:val="en-US" w:eastAsia="zh-CN"/>
              </w:rPr>
              <w:t>执行《长治市大气污染防治工作领导组办公室文件关于印发长治市工业企业无组织排放治理实施方案的通知》（长气防办[2019]9号）特别排放限值要求（颗粒物</w:t>
            </w:r>
            <w:r>
              <w:rPr>
                <w:rFonts w:hint="eastAsia" w:ascii="宋体" w:hAnsi="宋体" w:eastAsia="宋体" w:cs="宋体"/>
                <w:color w:val="auto"/>
                <w:spacing w:val="0"/>
                <w:position w:val="0"/>
                <w:sz w:val="24"/>
                <w:highlight w:val="none"/>
                <w:lang w:val="en-US" w:eastAsia="zh-CN"/>
              </w:rPr>
              <w:t>≤</w:t>
            </w:r>
            <w:r>
              <w:rPr>
                <w:rFonts w:hint="default" w:ascii="Times New Roman" w:hAnsi="Times New Roman" w:eastAsia="宋体" w:cs="Times New Roman"/>
                <w:color w:val="auto"/>
                <w:spacing w:val="0"/>
                <w:position w:val="0"/>
                <w:sz w:val="24"/>
                <w:highlight w:val="none"/>
                <w:lang w:val="en-US" w:eastAsia="zh-CN"/>
              </w:rPr>
              <w:t>10mg/m</w:t>
            </w:r>
            <w:r>
              <w:rPr>
                <w:rFonts w:hint="default" w:ascii="Times New Roman" w:hAnsi="Times New Roman" w:eastAsia="宋体" w:cs="Times New Roman"/>
                <w:color w:val="auto"/>
                <w:spacing w:val="0"/>
                <w:position w:val="0"/>
                <w:sz w:val="24"/>
                <w:highlight w:val="none"/>
                <w:vertAlign w:val="superscript"/>
                <w:lang w:val="en-US" w:eastAsia="zh-CN"/>
              </w:rPr>
              <w:t>3</w:t>
            </w:r>
            <w:r>
              <w:rPr>
                <w:rFonts w:hint="default" w:ascii="Times New Roman" w:hAnsi="Times New Roman" w:eastAsia="宋体" w:cs="Times New Roman"/>
                <w:color w:val="auto"/>
                <w:spacing w:val="0"/>
                <w:position w:val="0"/>
                <w:sz w:val="24"/>
                <w:highlight w:val="none"/>
                <w:lang w:val="en-US" w:eastAsia="zh-CN"/>
              </w:rPr>
              <w:t>）</w:t>
            </w:r>
            <w:r>
              <w:rPr>
                <w:rFonts w:hint="eastAsia"/>
                <w:color w:val="auto"/>
                <w:spacing w:val="4"/>
                <w:sz w:val="24"/>
                <w:lang w:eastAsia="zh-CN"/>
              </w:rPr>
              <w:t>。</w:t>
            </w:r>
          </w:p>
          <w:p w14:paraId="5B57A52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z w:val="24"/>
                <w:lang w:val="en-US" w:eastAsia="zh-CN"/>
              </w:rPr>
            </w:pPr>
            <w:r>
              <w:rPr>
                <w:rFonts w:hint="default"/>
                <w:bCs/>
                <w:color w:val="auto"/>
                <w:sz w:val="24"/>
              </w:rPr>
              <w:t>有组织</w:t>
            </w:r>
            <w:r>
              <w:rPr>
                <w:rFonts w:hint="eastAsia"/>
                <w:bCs/>
                <w:color w:val="auto"/>
                <w:sz w:val="24"/>
                <w:lang w:val="en-US" w:eastAsia="zh-CN"/>
              </w:rPr>
              <w:t>颗粒物</w:t>
            </w:r>
            <w:r>
              <w:rPr>
                <w:rFonts w:hint="default"/>
                <w:bCs/>
                <w:color w:val="auto"/>
                <w:sz w:val="24"/>
              </w:rPr>
              <w:t>排放量：10mg/m</w:t>
            </w:r>
            <w:r>
              <w:rPr>
                <w:rFonts w:hint="default"/>
                <w:bCs/>
                <w:color w:val="auto"/>
                <w:sz w:val="24"/>
                <w:vertAlign w:val="superscript"/>
              </w:rPr>
              <w:t>3</w:t>
            </w:r>
            <w:r>
              <w:rPr>
                <w:rFonts w:hint="default"/>
                <w:bCs/>
                <w:color w:val="auto"/>
                <w:sz w:val="24"/>
              </w:rPr>
              <w:t>×</w:t>
            </w:r>
            <w:r>
              <w:rPr>
                <w:rFonts w:hint="eastAsia" w:cs="Times New Roman"/>
                <w:snapToGrid w:val="0"/>
                <w:color w:val="auto"/>
                <w:sz w:val="24"/>
                <w:szCs w:val="20"/>
                <w:highlight w:val="none"/>
                <w:lang w:val="en-US" w:eastAsia="zh-CN"/>
              </w:rPr>
              <w:t>30060</w:t>
            </w:r>
            <w:r>
              <w:rPr>
                <w:rFonts w:hint="default"/>
                <w:color w:val="auto"/>
                <w:sz w:val="24"/>
              </w:rPr>
              <w:t>m</w:t>
            </w:r>
            <w:r>
              <w:rPr>
                <w:rFonts w:hint="default"/>
                <w:color w:val="auto"/>
                <w:sz w:val="24"/>
                <w:vertAlign w:val="superscript"/>
              </w:rPr>
              <w:t>3</w:t>
            </w:r>
            <w:r>
              <w:rPr>
                <w:rFonts w:hint="default"/>
                <w:color w:val="auto"/>
                <w:sz w:val="24"/>
              </w:rPr>
              <w:t>/h</w:t>
            </w:r>
            <w:r>
              <w:rPr>
                <w:rFonts w:hint="default"/>
                <w:bCs/>
                <w:color w:val="auto"/>
                <w:sz w:val="24"/>
              </w:rPr>
              <w:t>×</w:t>
            </w:r>
            <w:r>
              <w:rPr>
                <w:rFonts w:hint="eastAsia"/>
                <w:bCs/>
                <w:color w:val="auto"/>
                <w:sz w:val="24"/>
                <w:lang w:val="en-US" w:eastAsia="zh-CN"/>
              </w:rPr>
              <w:t>3300h</w:t>
            </w:r>
            <w:r>
              <w:rPr>
                <w:rFonts w:hint="default"/>
                <w:bCs/>
                <w:color w:val="auto"/>
                <w:sz w:val="24"/>
              </w:rPr>
              <w:t>÷10</w:t>
            </w:r>
            <w:r>
              <w:rPr>
                <w:rFonts w:hint="default"/>
                <w:bCs/>
                <w:color w:val="auto"/>
                <w:sz w:val="24"/>
                <w:vertAlign w:val="superscript"/>
              </w:rPr>
              <w:t>9</w:t>
            </w:r>
            <w:r>
              <w:rPr>
                <w:rFonts w:hint="default"/>
                <w:bCs/>
                <w:color w:val="auto"/>
                <w:sz w:val="24"/>
              </w:rPr>
              <w:t>=</w:t>
            </w:r>
            <w:r>
              <w:rPr>
                <w:rFonts w:hint="eastAsia"/>
                <w:bCs/>
                <w:color w:val="auto"/>
                <w:sz w:val="24"/>
                <w:lang w:val="en-US" w:eastAsia="zh-CN"/>
              </w:rPr>
              <w:t>0.992</w:t>
            </w:r>
            <w:r>
              <w:rPr>
                <w:rFonts w:hint="default"/>
                <w:bCs/>
                <w:color w:val="auto"/>
                <w:sz w:val="24"/>
              </w:rPr>
              <w:t>t/a</w:t>
            </w:r>
            <w:r>
              <w:rPr>
                <w:rFonts w:hint="eastAsia"/>
                <w:bCs/>
                <w:color w:val="auto"/>
                <w:sz w:val="24"/>
                <w:lang w:eastAsia="zh-CN"/>
              </w:rPr>
              <w:t>，</w:t>
            </w:r>
            <w:r>
              <w:rPr>
                <w:rFonts w:hint="default"/>
                <w:color w:val="auto"/>
                <w:sz w:val="24"/>
              </w:rPr>
              <w:t>排放</w:t>
            </w:r>
            <w:r>
              <w:rPr>
                <w:rFonts w:hint="eastAsia"/>
                <w:color w:val="auto"/>
                <w:sz w:val="24"/>
                <w:lang w:val="en-US" w:eastAsia="zh-CN"/>
              </w:rPr>
              <w:t>速率</w:t>
            </w:r>
            <w:r>
              <w:rPr>
                <w:rFonts w:hint="default"/>
                <w:color w:val="auto"/>
                <w:sz w:val="24"/>
              </w:rPr>
              <w:t>为</w:t>
            </w:r>
            <w:r>
              <w:rPr>
                <w:rFonts w:hint="eastAsia"/>
                <w:color w:val="auto"/>
                <w:sz w:val="24"/>
                <w:lang w:val="en-US" w:eastAsia="zh-CN"/>
              </w:rPr>
              <w:t>0.3kg/h</w:t>
            </w:r>
            <w:r>
              <w:rPr>
                <w:rFonts w:hint="default"/>
                <w:color w:val="auto"/>
                <w:sz w:val="24"/>
              </w:rPr>
              <w:t>。</w:t>
            </w:r>
          </w:p>
          <w:p w14:paraId="29B50DC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color w:val="auto"/>
                <w:sz w:val="24"/>
                <w:lang w:val="en-US" w:eastAsia="zh-CN"/>
              </w:rPr>
              <w:t>（4）</w:t>
            </w:r>
            <w:r>
              <w:rPr>
                <w:rFonts w:hint="eastAsia"/>
                <w:bCs/>
                <w:color w:val="auto"/>
                <w:sz w:val="24"/>
                <w:lang w:val="en-US" w:eastAsia="zh-CN"/>
              </w:rPr>
              <w:t>制砂、</w:t>
            </w:r>
            <w:r>
              <w:rPr>
                <w:rFonts w:hint="default"/>
                <w:bCs/>
                <w:color w:val="auto"/>
                <w:sz w:val="24"/>
              </w:rPr>
              <w:t>筛分工序</w:t>
            </w:r>
            <w:r>
              <w:rPr>
                <w:rFonts w:hint="eastAsia"/>
                <w:bCs/>
                <w:color w:val="auto"/>
                <w:sz w:val="24"/>
                <w:lang w:val="en-US" w:eastAsia="zh-CN"/>
              </w:rPr>
              <w:t>粉尘</w:t>
            </w:r>
          </w:p>
          <w:p w14:paraId="4AF717B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ascii="Times New Roman" w:hAnsi="Times New Roman"/>
                <w:color w:val="auto"/>
                <w:sz w:val="24"/>
                <w:lang w:val="en-US" w:eastAsia="zh-CN"/>
              </w:rPr>
            </w:pPr>
            <w:r>
              <w:rPr>
                <w:rFonts w:hint="eastAsia" w:cs="Times New Roman"/>
                <w:color w:val="auto"/>
                <w:sz w:val="24"/>
                <w:highlight w:val="none"/>
                <w:lang w:val="en-US" w:eastAsia="zh-CN"/>
              </w:rPr>
              <w:t>本项目制砂工序设置1台制砂机，二次筛分工序设置1台2#振动筛，均</w:t>
            </w:r>
            <w:r>
              <w:rPr>
                <w:rFonts w:hint="eastAsia"/>
                <w:color w:val="auto"/>
                <w:sz w:val="24"/>
                <w:lang w:val="en-US" w:eastAsia="zh-CN"/>
              </w:rPr>
              <w:t>为全封闭式，</w:t>
            </w:r>
            <w:r>
              <w:rPr>
                <w:rFonts w:hint="eastAsia" w:cs="Times New Roman"/>
                <w:color w:val="auto"/>
                <w:sz w:val="24"/>
                <w:highlight w:val="none"/>
                <w:lang w:val="en-US" w:eastAsia="zh-CN"/>
              </w:rPr>
              <w:t>原料在制砂、二次筛分工序会有粉尘产生，年运行3300h。</w:t>
            </w:r>
            <w:r>
              <w:rPr>
                <w:rFonts w:hint="default"/>
                <w:color w:val="auto"/>
                <w:sz w:val="24"/>
              </w:rPr>
              <w:t>评价要求</w:t>
            </w:r>
            <w:r>
              <w:rPr>
                <w:rFonts w:hint="eastAsia"/>
                <w:color w:val="auto"/>
                <w:sz w:val="24"/>
                <w:lang w:val="en-US" w:eastAsia="zh-CN"/>
              </w:rPr>
              <w:t>制砂机</w:t>
            </w:r>
            <w:r>
              <w:rPr>
                <w:rFonts w:hint="eastAsia" w:cs="Times New Roman"/>
                <w:color w:val="auto"/>
                <w:sz w:val="24"/>
                <w:highlight w:val="none"/>
                <w:lang w:val="en-US" w:eastAsia="zh-CN"/>
              </w:rPr>
              <w:t>、2#振动筛</w:t>
            </w:r>
            <w:r>
              <w:rPr>
                <w:rFonts w:hint="eastAsia"/>
                <w:color w:val="auto"/>
                <w:sz w:val="24"/>
                <w:lang w:val="en-US" w:eastAsia="zh-CN"/>
              </w:rPr>
              <w:t>上方</w:t>
            </w:r>
            <w:r>
              <w:rPr>
                <w:rFonts w:hint="default"/>
                <w:color w:val="auto"/>
                <w:sz w:val="24"/>
              </w:rPr>
              <w:t>设置</w:t>
            </w:r>
            <w:r>
              <w:rPr>
                <w:rFonts w:hint="eastAsia"/>
                <w:color w:val="auto"/>
                <w:sz w:val="24"/>
                <w:lang w:val="en-US" w:eastAsia="zh-CN"/>
              </w:rPr>
              <w:t>集气管道</w:t>
            </w:r>
            <w:r>
              <w:rPr>
                <w:rFonts w:hint="eastAsia"/>
                <w:color w:val="auto"/>
                <w:sz w:val="24"/>
              </w:rPr>
              <w:t>，废气经集气</w:t>
            </w:r>
            <w:r>
              <w:rPr>
                <w:rFonts w:hint="eastAsia"/>
                <w:color w:val="auto"/>
                <w:sz w:val="24"/>
                <w:lang w:val="en-US" w:eastAsia="zh-CN"/>
              </w:rPr>
              <w:t>管道收集引入</w:t>
            </w:r>
            <w:r>
              <w:rPr>
                <w:rFonts w:hint="eastAsia"/>
                <w:color w:val="auto"/>
                <w:sz w:val="24"/>
                <w:highlight w:val="none"/>
                <w:lang w:val="en-US" w:eastAsia="zh-CN"/>
              </w:rPr>
              <w:t>1台</w:t>
            </w:r>
            <w:r>
              <w:rPr>
                <w:rFonts w:hint="eastAsia"/>
                <w:color w:val="auto"/>
                <w:sz w:val="24"/>
                <w:highlight w:val="none"/>
              </w:rPr>
              <w:t>布袋除尘器</w:t>
            </w:r>
            <w:r>
              <w:rPr>
                <w:rFonts w:hint="eastAsia"/>
                <w:color w:val="auto"/>
                <w:sz w:val="24"/>
                <w:highlight w:val="none"/>
                <w:lang w:eastAsia="zh-CN"/>
              </w:rPr>
              <w:t>（</w:t>
            </w:r>
            <w:r>
              <w:rPr>
                <w:rFonts w:hint="eastAsia"/>
                <w:color w:val="auto"/>
                <w:sz w:val="24"/>
                <w:highlight w:val="none"/>
                <w:lang w:val="en-US" w:eastAsia="zh-CN"/>
              </w:rPr>
              <w:t>TA002</w:t>
            </w:r>
            <w:r>
              <w:rPr>
                <w:rFonts w:hint="eastAsia"/>
                <w:color w:val="auto"/>
                <w:sz w:val="24"/>
                <w:highlight w:val="none"/>
                <w:lang w:eastAsia="zh-CN"/>
              </w:rPr>
              <w:t>）</w:t>
            </w:r>
            <w:r>
              <w:rPr>
                <w:rFonts w:hint="eastAsia"/>
                <w:color w:val="auto"/>
                <w:sz w:val="24"/>
              </w:rPr>
              <w:t>处理</w:t>
            </w:r>
            <w:r>
              <w:rPr>
                <w:rFonts w:hint="eastAsia"/>
                <w:color w:val="auto"/>
                <w:sz w:val="24"/>
                <w:lang w:val="en-US" w:eastAsia="zh-CN"/>
              </w:rPr>
              <w:t>后</w:t>
            </w:r>
            <w:r>
              <w:rPr>
                <w:rFonts w:hint="eastAsia"/>
                <w:color w:val="auto"/>
                <w:sz w:val="24"/>
              </w:rPr>
              <w:t>，</w:t>
            </w:r>
            <w:r>
              <w:rPr>
                <w:rFonts w:hint="eastAsia"/>
                <w:color w:val="auto"/>
                <w:sz w:val="24"/>
                <w:lang w:val="en-US" w:eastAsia="zh-CN"/>
              </w:rPr>
              <w:t>由</w:t>
            </w:r>
            <w:r>
              <w:rPr>
                <w:rFonts w:hint="default"/>
                <w:color w:val="auto"/>
                <w:sz w:val="24"/>
              </w:rPr>
              <w:t>1根</w:t>
            </w:r>
            <w:r>
              <w:rPr>
                <w:rFonts w:hint="eastAsia"/>
                <w:color w:val="auto"/>
                <w:sz w:val="24"/>
                <w:lang w:val="en-US" w:eastAsia="zh-CN"/>
              </w:rPr>
              <w:t>20</w:t>
            </w:r>
            <w:r>
              <w:rPr>
                <w:rFonts w:hint="default"/>
                <w:color w:val="auto"/>
                <w:sz w:val="24"/>
              </w:rPr>
              <w:t>m高排气筒（</w:t>
            </w:r>
            <w:r>
              <w:rPr>
                <w:rFonts w:hint="eastAsia"/>
                <w:color w:val="auto"/>
                <w:sz w:val="24"/>
              </w:rPr>
              <w:t>D</w:t>
            </w:r>
            <w:r>
              <w:rPr>
                <w:rFonts w:hint="default"/>
                <w:color w:val="auto"/>
                <w:sz w:val="24"/>
              </w:rPr>
              <w:t>A00</w:t>
            </w:r>
            <w:r>
              <w:rPr>
                <w:rFonts w:hint="eastAsia"/>
                <w:color w:val="auto"/>
                <w:sz w:val="24"/>
                <w:lang w:val="en-US" w:eastAsia="zh-CN"/>
              </w:rPr>
              <w:t>2</w:t>
            </w:r>
            <w:r>
              <w:rPr>
                <w:rFonts w:hint="default"/>
                <w:color w:val="auto"/>
                <w:sz w:val="24"/>
              </w:rPr>
              <w:t>）排放</w:t>
            </w:r>
            <w:r>
              <w:rPr>
                <w:rFonts w:hint="eastAsia" w:eastAsia="宋体"/>
                <w:color w:val="auto"/>
                <w:sz w:val="24"/>
                <w:lang w:eastAsia="zh-CN"/>
              </w:rPr>
              <w:t>（</w:t>
            </w:r>
            <w:r>
              <w:rPr>
                <w:rFonts w:hint="eastAsia" w:ascii="Times New Roman" w:eastAsia="宋体"/>
                <w:color w:val="auto"/>
                <w:sz w:val="24"/>
                <w:lang w:val="en-US" w:eastAsia="zh-CN"/>
              </w:rPr>
              <w:t>生产车间高度为1</w:t>
            </w:r>
            <w:r>
              <w:rPr>
                <w:rFonts w:hint="eastAsia"/>
                <w:color w:val="auto"/>
                <w:sz w:val="24"/>
                <w:lang w:val="en-US" w:eastAsia="zh-CN"/>
              </w:rPr>
              <w:t>7</w:t>
            </w:r>
            <w:r>
              <w:rPr>
                <w:rFonts w:hint="eastAsia" w:ascii="Times New Roman" w:eastAsia="宋体"/>
                <w:color w:val="auto"/>
                <w:sz w:val="24"/>
                <w:lang w:val="en-US" w:eastAsia="zh-CN"/>
              </w:rPr>
              <w:t>m，因此排气筒应高于车间顶部</w:t>
            </w:r>
            <w:r>
              <w:rPr>
                <w:rFonts w:hint="eastAsia" w:eastAsia="宋体"/>
                <w:color w:val="auto"/>
                <w:sz w:val="24"/>
                <w:lang w:eastAsia="zh-CN"/>
              </w:rPr>
              <w:t>）</w:t>
            </w:r>
            <w:r>
              <w:rPr>
                <w:rFonts w:hint="default"/>
                <w:color w:val="auto"/>
                <w:sz w:val="24"/>
              </w:rPr>
              <w:t>。</w:t>
            </w:r>
          </w:p>
          <w:p w14:paraId="458EBA6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default" w:ascii="Times New Roman" w:hAnsi="Times New Roman"/>
                <w:color w:val="auto"/>
                <w:sz w:val="24"/>
                <w:lang w:val="en-US" w:eastAsia="zh-CN"/>
              </w:rPr>
            </w:pPr>
            <w:r>
              <w:rPr>
                <w:rFonts w:hint="eastAsia" w:cs="Times New Roman"/>
                <w:snapToGrid w:val="0"/>
                <w:color w:val="auto"/>
                <w:sz w:val="24"/>
                <w:szCs w:val="20"/>
                <w:highlight w:val="none"/>
                <w:lang w:val="en-US" w:eastAsia="zh-CN"/>
              </w:rPr>
              <w:t>根据建设单位提供的资料，制砂机</w:t>
            </w:r>
            <w:r>
              <w:rPr>
                <w:rFonts w:hint="eastAsia"/>
                <w:color w:val="auto"/>
                <w:sz w:val="24"/>
                <w:lang w:val="en-US" w:eastAsia="zh-CN"/>
              </w:rPr>
              <w:t>所需风量为2000</w:t>
            </w:r>
            <w:r>
              <w:rPr>
                <w:rFonts w:hint="eastAsia" w:ascii="Times New Roman" w:hAnsi="Times New Roman"/>
                <w:color w:val="auto"/>
                <w:sz w:val="24"/>
                <w:lang w:val="en-US" w:eastAsia="zh-CN"/>
              </w:rPr>
              <w:t>m</w:t>
            </w:r>
            <w:r>
              <w:rPr>
                <w:rFonts w:hint="eastAsia" w:ascii="Times New Roman" w:hAnsi="Times New Roman"/>
                <w:color w:val="auto"/>
                <w:sz w:val="24"/>
                <w:vertAlign w:val="superscript"/>
                <w:lang w:val="en-US" w:eastAsia="zh-CN"/>
              </w:rPr>
              <w:t>3</w:t>
            </w:r>
            <w:r>
              <w:rPr>
                <w:rFonts w:hint="eastAsia" w:ascii="Times New Roman" w:hAnsi="Times New Roman"/>
                <w:color w:val="auto"/>
                <w:sz w:val="24"/>
                <w:lang w:val="en-US" w:eastAsia="zh-CN"/>
              </w:rPr>
              <w:t>/h。</w:t>
            </w:r>
          </w:p>
          <w:p w14:paraId="08F2B13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ascii="Times New Roman" w:hAnsi="Times New Roman"/>
                <w:color w:val="auto"/>
                <w:sz w:val="24"/>
                <w:lang w:val="en-US" w:eastAsia="zh-CN"/>
              </w:rPr>
            </w:pPr>
            <w:r>
              <w:rPr>
                <w:rFonts w:hint="eastAsia" w:ascii="Times New Roman" w:eastAsia="宋体"/>
                <w:color w:val="auto"/>
                <w:sz w:val="24"/>
                <w:highlight w:val="none"/>
                <w:lang w:val="en-US" w:eastAsia="zh-CN"/>
              </w:rPr>
              <w:t>2#振动筛单层</w:t>
            </w:r>
            <w:r>
              <w:rPr>
                <w:rFonts w:hint="eastAsia" w:ascii="Times New Roman" w:hAnsi="Times New Roman"/>
                <w:color w:val="auto"/>
                <w:sz w:val="24"/>
                <w:highlight w:val="none"/>
                <w:lang w:val="en-US" w:eastAsia="zh-CN"/>
              </w:rPr>
              <w:t>筛面面积</w:t>
            </w:r>
            <w:r>
              <w:rPr>
                <w:rFonts w:hint="eastAsia" w:ascii="Times New Roman" w:eastAsia="宋体"/>
                <w:color w:val="auto"/>
                <w:sz w:val="24"/>
                <w:highlight w:val="none"/>
                <w:lang w:val="en-US" w:eastAsia="zh-CN"/>
              </w:rPr>
              <w:t>约12.6</w:t>
            </w:r>
            <w:r>
              <w:rPr>
                <w:rFonts w:hint="eastAsia" w:ascii="Times New Roman" w:hAnsi="Times New Roman"/>
                <w:color w:val="auto"/>
                <w:sz w:val="24"/>
                <w:highlight w:val="none"/>
                <w:lang w:val="en-US" w:eastAsia="zh-CN"/>
              </w:rPr>
              <w:t>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，共3层筛，总筛面面积为37.8m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，依据《煤炭工业供暖通风与空气调节设计标准》</w:t>
            </w:r>
            <w:r>
              <w:rPr>
                <w:rFonts w:hint="eastAsia" w:ascii="Times New Roman" w:eastAsia="宋体"/>
                <w:color w:val="auto"/>
                <w:sz w:val="24"/>
                <w:highlight w:val="none"/>
                <w:lang w:val="en-US" w:eastAsia="zh-CN"/>
              </w:rPr>
              <w:t>（</w:t>
            </w:r>
            <w:r>
              <w:rPr>
                <w:rFonts w:hint="eastAsia" w:ascii="Times New Roman" w:hAnsi="Times New Roman"/>
                <w:color w:val="auto"/>
                <w:sz w:val="24"/>
                <w:highlight w:val="none"/>
                <w:lang w:val="en-US" w:eastAsia="zh-CN"/>
              </w:rPr>
              <w:t>GB/T50466-2018</w:t>
            </w:r>
            <w:r>
              <w:rPr>
                <w:rFonts w:hint="eastAsia" w:ascii="Times New Roman" w:eastAsia="宋体"/>
                <w:color w:val="auto"/>
                <w:sz w:val="24"/>
                <w:highlight w:val="none"/>
                <w:lang w:val="en-US" w:eastAsia="zh-CN"/>
              </w:rPr>
              <w:t>），每平方米筛面</w:t>
            </w:r>
            <w:r>
              <w:rPr>
                <w:rFonts w:hint="eastAsia" w:ascii="Times New Roman" w:hAnsi="Times New Roman"/>
                <w:color w:val="auto"/>
                <w:sz w:val="24"/>
                <w:highlight w:val="none"/>
                <w:lang w:val="en-US" w:eastAsia="zh-CN"/>
              </w:rPr>
              <w:t>上部</w:t>
            </w:r>
            <w:r>
              <w:rPr>
                <w:rFonts w:hint="eastAsia" w:ascii="Times New Roman" w:eastAsia="宋体"/>
                <w:color w:val="auto"/>
                <w:sz w:val="24"/>
                <w:highlight w:val="none"/>
                <w:lang w:val="en-US" w:eastAsia="zh-CN"/>
              </w:rPr>
              <w:t>抽风</w:t>
            </w:r>
            <w:r>
              <w:rPr>
                <w:rFonts w:hint="eastAsia" w:ascii="Times New Roman" w:hAnsi="Times New Roman"/>
                <w:color w:val="auto"/>
                <w:sz w:val="24"/>
                <w:highlight w:val="none"/>
                <w:lang w:val="en-US" w:eastAsia="zh-CN"/>
              </w:rPr>
              <w:t>量</w:t>
            </w:r>
            <w:r>
              <w:rPr>
                <w:rFonts w:hint="eastAsia" w:ascii="Times New Roman" w:eastAsia="宋体"/>
                <w:color w:val="auto"/>
                <w:sz w:val="24"/>
                <w:highlight w:val="none"/>
                <w:lang w:val="en-US" w:eastAsia="zh-CN"/>
              </w:rPr>
              <w:t>按5</w:t>
            </w:r>
            <w:r>
              <w:rPr>
                <w:rFonts w:hint="eastAsia" w:ascii="Times New Roman" w:hAnsi="Times New Roman"/>
                <w:color w:val="auto"/>
                <w:sz w:val="24"/>
                <w:highlight w:val="none"/>
                <w:lang w:val="en-US" w:eastAsia="zh-CN"/>
              </w:rPr>
              <w:t>00m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/h计</w:t>
            </w:r>
            <w:r>
              <w:rPr>
                <w:rFonts w:hint="eastAsia" w:ascii="Times New Roman" w:eastAsia="宋体"/>
                <w:color w:val="auto"/>
                <w:sz w:val="24"/>
                <w:highlight w:val="none"/>
                <w:lang w:val="en-US" w:eastAsia="zh-CN"/>
              </w:rPr>
              <w:t>，则1#振动筛</w:t>
            </w:r>
            <w:r>
              <w:rPr>
                <w:rFonts w:hint="eastAsia" w:ascii="Times New Roman" w:hAnsi="Times New Roman"/>
                <w:color w:val="auto"/>
                <w:sz w:val="24"/>
                <w:highlight w:val="none"/>
                <w:lang w:val="en-US" w:eastAsia="zh-CN"/>
              </w:rPr>
              <w:t>设计风量为37.8m</w:t>
            </w:r>
            <w:r>
              <w:rPr>
                <w:rFonts w:hint="eastAsia" w:ascii="Times New Roman" w:hAnsi="Times New Roman"/>
                <w:color w:val="auto"/>
                <w:sz w:val="24"/>
                <w:highlight w:val="none"/>
                <w:vertAlign w:val="superscript"/>
                <w:lang w:val="en-US" w:eastAsia="zh-CN"/>
              </w:rPr>
              <w:t>2</w:t>
            </w:r>
            <w:r>
              <w:rPr>
                <w:rFonts w:hint="eastAsia" w:ascii="Times New Roman" w:hAnsi="Times New Roman"/>
                <w:color w:val="auto"/>
                <w:sz w:val="24"/>
                <w:highlight w:val="none"/>
                <w:lang w:val="en-US" w:eastAsia="zh-CN"/>
              </w:rPr>
              <w:t>×</w:t>
            </w:r>
            <w:r>
              <w:rPr>
                <w:rFonts w:hint="eastAsia" w:ascii="Times New Roman" w:eastAsia="宋体"/>
                <w:color w:val="auto"/>
                <w:sz w:val="24"/>
                <w:highlight w:val="none"/>
                <w:lang w:val="en-US" w:eastAsia="zh-CN"/>
              </w:rPr>
              <w:t>5</w:t>
            </w:r>
            <w:r>
              <w:rPr>
                <w:rFonts w:hint="eastAsia" w:ascii="Times New Roman" w:hAnsi="Times New Roman"/>
                <w:color w:val="auto"/>
                <w:sz w:val="24"/>
                <w:highlight w:val="none"/>
                <w:lang w:val="en-US" w:eastAsia="zh-CN"/>
              </w:rPr>
              <w:t>00m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w:t>
            </w:r>
            <w:r>
              <w:rPr>
                <w:rFonts w:hint="eastAsia" w:ascii="Times New Roman" w:eastAsia="宋体"/>
                <w:color w:val="auto"/>
                <w:sz w:val="24"/>
                <w:highlight w:val="none"/>
                <w:lang w:val="en-US" w:eastAsia="zh-CN"/>
              </w:rPr>
              <w:t>=18900</w:t>
            </w:r>
            <w:r>
              <w:rPr>
                <w:rFonts w:hint="eastAsia" w:ascii="Times New Roman" w:hAnsi="Times New Roman"/>
                <w:color w:val="auto"/>
                <w:sz w:val="24"/>
                <w:highlight w:val="none"/>
                <w:lang w:val="en-US" w:eastAsia="zh-CN"/>
              </w:rPr>
              <w:t>m</w:t>
            </w:r>
            <w:r>
              <w:rPr>
                <w:rFonts w:hint="eastAsia" w:ascii="Times New Roman" w:hAnsi="Times New Roman"/>
                <w:color w:val="auto"/>
                <w:sz w:val="24"/>
                <w:highlight w:val="none"/>
                <w:vertAlign w:val="superscript"/>
                <w:lang w:val="en-US" w:eastAsia="zh-CN"/>
              </w:rPr>
              <w:t>3</w:t>
            </w:r>
            <w:r>
              <w:rPr>
                <w:rFonts w:hint="eastAsia" w:ascii="Times New Roman" w:hAnsi="Times New Roman"/>
                <w:color w:val="auto"/>
                <w:sz w:val="24"/>
                <w:highlight w:val="none"/>
                <w:lang w:val="en-US" w:eastAsia="zh-CN"/>
              </w:rPr>
              <w:t>/h</w:t>
            </w:r>
            <w:r>
              <w:rPr>
                <w:rFonts w:hint="eastAsia" w:ascii="Times New Roman" w:hAnsi="Times New Roman"/>
                <w:color w:val="auto"/>
                <w:sz w:val="24"/>
                <w:lang w:val="en-US" w:eastAsia="zh-CN"/>
              </w:rPr>
              <w:t>。</w:t>
            </w:r>
          </w:p>
          <w:p w14:paraId="24F51AF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olor w:val="auto"/>
                <w:sz w:val="24"/>
              </w:rPr>
            </w:pPr>
            <w:r>
              <w:rPr>
                <w:rFonts w:hint="eastAsia"/>
                <w:color w:val="auto"/>
                <w:sz w:val="24"/>
                <w:lang w:val="en-US" w:eastAsia="zh-CN"/>
              </w:rPr>
              <w:t>制砂、</w:t>
            </w:r>
            <w:r>
              <w:rPr>
                <w:rFonts w:hint="eastAsia" w:cs="Times New Roman"/>
                <w:color w:val="auto"/>
                <w:sz w:val="24"/>
                <w:highlight w:val="none"/>
                <w:lang w:val="en-US" w:eastAsia="zh-CN"/>
              </w:rPr>
              <w:t>二次</w:t>
            </w:r>
            <w:r>
              <w:rPr>
                <w:rFonts w:hint="eastAsia"/>
                <w:color w:val="auto"/>
                <w:sz w:val="24"/>
                <w:lang w:val="en-US" w:eastAsia="zh-CN"/>
              </w:rPr>
              <w:t>筛分工序</w:t>
            </w:r>
            <w:r>
              <w:rPr>
                <w:rFonts w:hint="eastAsia"/>
                <w:color w:val="auto"/>
                <w:sz w:val="24"/>
              </w:rPr>
              <w:t>需配套的风量见下表</w:t>
            </w:r>
            <w:r>
              <w:rPr>
                <w:rFonts w:hint="default"/>
                <w:b w:val="0"/>
                <w:bCs/>
                <w:color w:val="auto"/>
                <w:sz w:val="24"/>
                <w:szCs w:val="24"/>
                <w:lang w:val="en-US" w:eastAsia="zh-CN"/>
              </w:rPr>
              <w:t>4</w:t>
            </w:r>
            <w:r>
              <w:rPr>
                <w:rFonts w:hint="eastAsia"/>
                <w:b w:val="0"/>
                <w:bCs/>
                <w:color w:val="auto"/>
                <w:sz w:val="24"/>
                <w:szCs w:val="24"/>
                <w:lang w:val="en-US" w:eastAsia="zh-CN"/>
              </w:rPr>
              <w:t>.5-4</w:t>
            </w:r>
            <w:r>
              <w:rPr>
                <w:rFonts w:hint="eastAsia"/>
                <w:color w:val="auto"/>
                <w:sz w:val="24"/>
              </w:rPr>
              <w:t>。</w:t>
            </w:r>
          </w:p>
          <w:p w14:paraId="35EC2C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z w:val="21"/>
                <w:szCs w:val="16"/>
                <w:highlight w:val="none"/>
                <w:lang w:val="en-US" w:eastAsia="zh-CN"/>
              </w:rPr>
            </w:pPr>
            <w:r>
              <w:rPr>
                <w:rFonts w:hint="eastAsia" w:ascii="Times New Roman" w:hAnsi="Times New Roman" w:eastAsia="宋体" w:cs="Times New Roman"/>
                <w:b/>
                <w:bCs w:val="0"/>
                <w:color w:val="auto"/>
                <w:sz w:val="21"/>
                <w:szCs w:val="16"/>
                <w:highlight w:val="none"/>
                <w:lang w:val="en-US" w:eastAsia="zh-CN"/>
              </w:rPr>
              <w:t>表4</w:t>
            </w:r>
            <w:r>
              <w:rPr>
                <w:rFonts w:hint="eastAsia" w:cs="Times New Roman"/>
                <w:b/>
                <w:bCs w:val="0"/>
                <w:color w:val="auto"/>
                <w:sz w:val="21"/>
                <w:szCs w:val="16"/>
                <w:highlight w:val="none"/>
                <w:lang w:val="en-US" w:eastAsia="zh-CN"/>
              </w:rPr>
              <w:t>.5-4</w:t>
            </w:r>
            <w:r>
              <w:rPr>
                <w:rFonts w:hint="default" w:ascii="Times New Roman" w:hAnsi="Times New Roman" w:eastAsia="宋体" w:cs="Times New Roman"/>
                <w:b/>
                <w:bCs w:val="0"/>
                <w:color w:val="auto"/>
                <w:sz w:val="21"/>
                <w:szCs w:val="16"/>
                <w:highlight w:val="none"/>
                <w:lang w:val="en-US" w:eastAsia="zh-CN"/>
              </w:rPr>
              <w:t xml:space="preserve"> </w:t>
            </w:r>
            <w:r>
              <w:rPr>
                <w:rFonts w:hint="eastAsia" w:ascii="Times New Roman" w:hAnsi="Times New Roman" w:eastAsia="宋体" w:cs="Times New Roman"/>
                <w:b/>
                <w:bCs w:val="0"/>
                <w:color w:val="auto"/>
                <w:sz w:val="21"/>
                <w:szCs w:val="16"/>
                <w:highlight w:val="none"/>
                <w:lang w:val="en-US" w:eastAsia="zh-CN"/>
              </w:rPr>
              <w:t xml:space="preserve"> 该工序需配套的风量一览表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8"/>
              <w:gridCol w:w="2514"/>
              <w:gridCol w:w="1749"/>
              <w:gridCol w:w="1870"/>
            </w:tblGrid>
            <w:tr w14:paraId="2392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05" w:type="pct"/>
                  <w:tcBorders>
                    <w:tl2br w:val="nil"/>
                    <w:tr2bl w:val="nil"/>
                  </w:tcBorders>
                  <w:noWrap w:val="0"/>
                  <w:vAlign w:val="center"/>
                </w:tcPr>
                <w:p w14:paraId="76581BBC">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eastAsia="宋体"/>
                      <w:b/>
                      <w:bCs/>
                      <w:color w:val="auto"/>
                      <w:szCs w:val="21"/>
                      <w:lang w:val="en-US" w:eastAsia="zh-CN"/>
                    </w:rPr>
                  </w:pPr>
                  <w:r>
                    <w:rPr>
                      <w:rFonts w:hint="default"/>
                      <w:b/>
                      <w:bCs/>
                      <w:color w:val="auto"/>
                      <w:szCs w:val="21"/>
                    </w:rPr>
                    <w:t>设备名称</w:t>
                  </w:r>
                </w:p>
              </w:tc>
              <w:tc>
                <w:tcPr>
                  <w:tcW w:w="1473" w:type="pct"/>
                  <w:tcBorders>
                    <w:tl2br w:val="nil"/>
                    <w:tr2bl w:val="nil"/>
                  </w:tcBorders>
                  <w:noWrap w:val="0"/>
                  <w:vAlign w:val="center"/>
                </w:tcPr>
                <w:p w14:paraId="5E1FC1A3">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计算风量（m</w:t>
                  </w:r>
                  <w:r>
                    <w:rPr>
                      <w:rFonts w:hint="default"/>
                      <w:b/>
                      <w:bCs/>
                      <w:color w:val="auto"/>
                      <w:szCs w:val="21"/>
                      <w:vertAlign w:val="superscript"/>
                    </w:rPr>
                    <w:t>3</w:t>
                  </w:r>
                  <w:r>
                    <w:rPr>
                      <w:rFonts w:hint="default"/>
                      <w:b/>
                      <w:bCs/>
                      <w:color w:val="auto"/>
                      <w:szCs w:val="21"/>
                    </w:rPr>
                    <w:t>/h）</w:t>
                  </w:r>
                </w:p>
              </w:tc>
              <w:tc>
                <w:tcPr>
                  <w:tcW w:w="1025" w:type="pct"/>
                  <w:tcBorders>
                    <w:tl2br w:val="nil"/>
                    <w:tr2bl w:val="nil"/>
                  </w:tcBorders>
                  <w:noWrap w:val="0"/>
                  <w:vAlign w:val="center"/>
                </w:tcPr>
                <w:p w14:paraId="513F33A9">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处理设备</w:t>
                  </w:r>
                </w:p>
              </w:tc>
              <w:tc>
                <w:tcPr>
                  <w:tcW w:w="1096" w:type="pct"/>
                  <w:tcBorders>
                    <w:tl2br w:val="nil"/>
                    <w:tr2bl w:val="nil"/>
                  </w:tcBorders>
                  <w:noWrap w:val="0"/>
                  <w:vAlign w:val="center"/>
                </w:tcPr>
                <w:p w14:paraId="0AE3DB5B">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b/>
                      <w:bCs/>
                      <w:color w:val="auto"/>
                      <w:szCs w:val="21"/>
                    </w:rPr>
                  </w:pPr>
                  <w:r>
                    <w:rPr>
                      <w:rFonts w:hint="default"/>
                      <w:b/>
                      <w:bCs/>
                      <w:color w:val="auto"/>
                      <w:szCs w:val="21"/>
                    </w:rPr>
                    <w:t>排气筒编号</w:t>
                  </w:r>
                </w:p>
              </w:tc>
            </w:tr>
            <w:tr w14:paraId="5A58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05" w:type="pct"/>
                  <w:tcBorders>
                    <w:tl2br w:val="nil"/>
                    <w:tr2bl w:val="nil"/>
                  </w:tcBorders>
                  <w:noWrap w:val="0"/>
                  <w:vAlign w:val="center"/>
                </w:tcPr>
                <w:p w14:paraId="4F53B16B">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 w:val="21"/>
                      <w:szCs w:val="21"/>
                    </w:rPr>
                  </w:pPr>
                  <w:r>
                    <w:rPr>
                      <w:rFonts w:hint="eastAsia" w:cs="Times New Roman"/>
                      <w:color w:val="auto"/>
                      <w:sz w:val="21"/>
                      <w:szCs w:val="21"/>
                      <w:highlight w:val="none"/>
                      <w:lang w:val="en-US" w:eastAsia="zh-CN"/>
                    </w:rPr>
                    <w:t>制砂机</w:t>
                  </w:r>
                </w:p>
              </w:tc>
              <w:tc>
                <w:tcPr>
                  <w:tcW w:w="1473" w:type="pct"/>
                  <w:tcBorders>
                    <w:tl2br w:val="nil"/>
                    <w:tr2bl w:val="nil"/>
                  </w:tcBorders>
                  <w:noWrap w:val="0"/>
                  <w:vAlign w:val="center"/>
                </w:tcPr>
                <w:p w14:paraId="494FB784">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eastAsia="宋体"/>
                      <w:color w:val="auto"/>
                      <w:sz w:val="21"/>
                      <w:szCs w:val="21"/>
                      <w:highlight w:val="yellow"/>
                      <w:lang w:val="en-US" w:eastAsia="zh-CN"/>
                    </w:rPr>
                  </w:pPr>
                  <w:r>
                    <w:rPr>
                      <w:rFonts w:hint="eastAsia"/>
                      <w:color w:val="auto"/>
                      <w:sz w:val="21"/>
                      <w:szCs w:val="21"/>
                      <w:highlight w:val="none"/>
                      <w:lang w:val="en-US" w:eastAsia="zh-CN"/>
                    </w:rPr>
                    <w:t>2000</w:t>
                  </w:r>
                </w:p>
              </w:tc>
              <w:tc>
                <w:tcPr>
                  <w:tcW w:w="1025" w:type="pct"/>
                  <w:vMerge w:val="restart"/>
                  <w:tcBorders>
                    <w:tl2br w:val="nil"/>
                    <w:tr2bl w:val="nil"/>
                  </w:tcBorders>
                  <w:noWrap w:val="0"/>
                  <w:vAlign w:val="center"/>
                </w:tcPr>
                <w:p w14:paraId="2004FF66">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eastAsia" w:eastAsia="宋体"/>
                      <w:color w:val="auto"/>
                      <w:szCs w:val="21"/>
                      <w:lang w:val="en-US" w:eastAsia="zh-CN"/>
                    </w:rPr>
                  </w:pPr>
                  <w:r>
                    <w:rPr>
                      <w:rFonts w:hint="default"/>
                      <w:color w:val="auto"/>
                      <w:szCs w:val="21"/>
                    </w:rPr>
                    <w:t>布袋除尘器</w:t>
                  </w:r>
                  <w:r>
                    <w:rPr>
                      <w:rFonts w:hint="eastAsia"/>
                      <w:color w:val="auto"/>
                      <w:szCs w:val="21"/>
                      <w:lang w:eastAsia="zh-CN"/>
                    </w:rPr>
                    <w:t>（</w:t>
                  </w:r>
                  <w:r>
                    <w:rPr>
                      <w:rFonts w:hint="eastAsia"/>
                      <w:color w:val="auto"/>
                      <w:szCs w:val="21"/>
                      <w:lang w:val="en-US" w:eastAsia="zh-CN"/>
                    </w:rPr>
                    <w:t>TA002</w:t>
                  </w:r>
                  <w:r>
                    <w:rPr>
                      <w:rFonts w:hint="eastAsia"/>
                      <w:color w:val="auto"/>
                      <w:szCs w:val="21"/>
                      <w:lang w:eastAsia="zh-CN"/>
                    </w:rPr>
                    <w:t>）</w:t>
                  </w:r>
                </w:p>
              </w:tc>
              <w:tc>
                <w:tcPr>
                  <w:tcW w:w="1096" w:type="pct"/>
                  <w:vMerge w:val="restart"/>
                  <w:tcBorders>
                    <w:tl2br w:val="nil"/>
                    <w:tr2bl w:val="nil"/>
                  </w:tcBorders>
                  <w:noWrap w:val="0"/>
                  <w:vAlign w:val="center"/>
                </w:tcPr>
                <w:p w14:paraId="05FEF36A">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eastAsia" w:eastAsia="宋体"/>
                      <w:color w:val="auto"/>
                      <w:szCs w:val="21"/>
                      <w:lang w:eastAsia="zh-CN"/>
                    </w:rPr>
                  </w:pPr>
                  <w:r>
                    <w:rPr>
                      <w:rFonts w:hint="default"/>
                      <w:color w:val="auto"/>
                      <w:szCs w:val="21"/>
                    </w:rPr>
                    <w:t>DA00</w:t>
                  </w:r>
                  <w:r>
                    <w:rPr>
                      <w:rFonts w:hint="eastAsia"/>
                      <w:color w:val="auto"/>
                      <w:szCs w:val="21"/>
                      <w:lang w:val="en-US" w:eastAsia="zh-CN"/>
                    </w:rPr>
                    <w:t>2</w:t>
                  </w:r>
                </w:p>
              </w:tc>
            </w:tr>
            <w:tr w14:paraId="3446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05" w:type="pct"/>
                  <w:tcBorders>
                    <w:tl2br w:val="nil"/>
                    <w:tr2bl w:val="nil"/>
                  </w:tcBorders>
                  <w:noWrap w:val="0"/>
                  <w:vAlign w:val="center"/>
                </w:tcPr>
                <w:p w14:paraId="2C2FC891">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2#振动筛</w:t>
                  </w:r>
                </w:p>
              </w:tc>
              <w:tc>
                <w:tcPr>
                  <w:tcW w:w="1473" w:type="pct"/>
                  <w:tcBorders>
                    <w:tl2br w:val="nil"/>
                    <w:tr2bl w:val="nil"/>
                  </w:tcBorders>
                  <w:noWrap w:val="0"/>
                  <w:vAlign w:val="center"/>
                </w:tcPr>
                <w:p w14:paraId="1269044F">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s="Times New Roman"/>
                      <w:color w:val="auto"/>
                      <w:sz w:val="21"/>
                      <w:szCs w:val="21"/>
                      <w:highlight w:val="yellow"/>
                      <w:lang w:val="en-US" w:eastAsia="zh-CN"/>
                    </w:rPr>
                  </w:pPr>
                  <w:r>
                    <w:rPr>
                      <w:rFonts w:hint="eastAsia" w:ascii="Times New Roman" w:hAnsi="Times New Roman"/>
                      <w:color w:val="auto"/>
                      <w:sz w:val="21"/>
                      <w:szCs w:val="21"/>
                      <w:highlight w:val="none"/>
                      <w:lang w:val="en-US" w:eastAsia="zh-CN"/>
                    </w:rPr>
                    <w:t>18900</w:t>
                  </w:r>
                </w:p>
              </w:tc>
              <w:tc>
                <w:tcPr>
                  <w:tcW w:w="1025" w:type="pct"/>
                  <w:vMerge w:val="continue"/>
                  <w:tcBorders>
                    <w:tl2br w:val="nil"/>
                    <w:tr2bl w:val="nil"/>
                  </w:tcBorders>
                  <w:noWrap w:val="0"/>
                  <w:vAlign w:val="center"/>
                </w:tcPr>
                <w:p w14:paraId="6246B6A8">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1096" w:type="pct"/>
                  <w:vMerge w:val="continue"/>
                  <w:tcBorders>
                    <w:tl2br w:val="nil"/>
                    <w:tr2bl w:val="nil"/>
                  </w:tcBorders>
                  <w:noWrap w:val="0"/>
                  <w:vAlign w:val="center"/>
                </w:tcPr>
                <w:p w14:paraId="6661E4C3">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r w14:paraId="733F9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405" w:type="pct"/>
                  <w:tcBorders>
                    <w:tl2br w:val="nil"/>
                    <w:tr2bl w:val="nil"/>
                  </w:tcBorders>
                  <w:noWrap w:val="0"/>
                  <w:vAlign w:val="center"/>
                </w:tcPr>
                <w:p w14:paraId="3BAA8C60">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lang w:val="en-US" w:eastAsia="zh-CN"/>
                    </w:rPr>
                  </w:pPr>
                  <w:r>
                    <w:rPr>
                      <w:rFonts w:hint="eastAsia"/>
                      <w:color w:val="auto"/>
                      <w:szCs w:val="21"/>
                      <w:lang w:val="en-US" w:eastAsia="zh-CN"/>
                    </w:rPr>
                    <w:t>合计</w:t>
                  </w:r>
                </w:p>
              </w:tc>
              <w:tc>
                <w:tcPr>
                  <w:tcW w:w="1473" w:type="pct"/>
                  <w:tcBorders>
                    <w:tl2br w:val="nil"/>
                    <w:tr2bl w:val="nil"/>
                  </w:tcBorders>
                  <w:noWrap w:val="0"/>
                  <w:vAlign w:val="center"/>
                </w:tcPr>
                <w:p w14:paraId="3616FE13">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highlight w:val="yellow"/>
                      <w:lang w:val="en-US" w:eastAsia="zh-CN"/>
                    </w:rPr>
                  </w:pPr>
                  <w:r>
                    <w:rPr>
                      <w:rFonts w:hint="eastAsia"/>
                      <w:color w:val="auto"/>
                      <w:szCs w:val="21"/>
                      <w:highlight w:val="none"/>
                      <w:lang w:val="en-US" w:eastAsia="zh-CN"/>
                    </w:rPr>
                    <w:t>20900</w:t>
                  </w:r>
                </w:p>
              </w:tc>
              <w:tc>
                <w:tcPr>
                  <w:tcW w:w="1025" w:type="pct"/>
                  <w:vMerge w:val="continue"/>
                  <w:tcBorders>
                    <w:tl2br w:val="nil"/>
                    <w:tr2bl w:val="nil"/>
                  </w:tcBorders>
                  <w:noWrap w:val="0"/>
                  <w:vAlign w:val="center"/>
                </w:tcPr>
                <w:p w14:paraId="0438B19C">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c>
                <w:tcPr>
                  <w:tcW w:w="1096" w:type="pct"/>
                  <w:vMerge w:val="continue"/>
                  <w:tcBorders>
                    <w:tl2br w:val="nil"/>
                    <w:tr2bl w:val="nil"/>
                  </w:tcBorders>
                  <w:noWrap w:val="0"/>
                  <w:vAlign w:val="center"/>
                </w:tcPr>
                <w:p w14:paraId="18D02EEF">
                  <w:pPr>
                    <w:pStyle w:val="12"/>
                    <w:keepNext w:val="0"/>
                    <w:keepLines w:val="0"/>
                    <w:suppressLineNumbers w:val="0"/>
                    <w:spacing w:before="100" w:beforeAutospacing="1" w:after="100" w:afterAutospacing="1" w:line="240" w:lineRule="auto"/>
                    <w:ind w:left="0" w:leftChars="0" w:right="0" w:rightChars="0" w:firstLine="0" w:firstLineChars="0"/>
                    <w:jc w:val="center"/>
                    <w:rPr>
                      <w:rFonts w:hint="default"/>
                      <w:color w:val="auto"/>
                      <w:szCs w:val="21"/>
                    </w:rPr>
                  </w:pPr>
                </w:p>
              </w:tc>
            </w:tr>
          </w:tbl>
          <w:p w14:paraId="431E6FF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textAlignment w:val="auto"/>
              <w:rPr>
                <w:rFonts w:hint="eastAsia" w:cs="Times New Roman"/>
                <w:snapToGrid w:val="0"/>
                <w:color w:val="auto"/>
                <w:sz w:val="24"/>
                <w:szCs w:val="20"/>
                <w:highlight w:val="none"/>
                <w:lang w:val="en-US" w:eastAsia="zh-CN"/>
              </w:rPr>
            </w:pPr>
            <w:r>
              <w:rPr>
                <w:rFonts w:hint="eastAsia" w:ascii="Times New Roman" w:hAnsi="Times New Roman" w:eastAsia="宋体" w:cs="Times New Roman"/>
                <w:snapToGrid w:val="0"/>
                <w:color w:val="auto"/>
                <w:sz w:val="24"/>
                <w:szCs w:val="20"/>
                <w:highlight w:val="none"/>
                <w:lang w:val="en-US" w:eastAsia="zh-CN"/>
              </w:rPr>
              <w:t>经计算：</w:t>
            </w:r>
            <w:r>
              <w:rPr>
                <w:rFonts w:hint="eastAsia"/>
                <w:color w:val="auto"/>
                <w:sz w:val="24"/>
                <w:lang w:val="en-US" w:eastAsia="zh-CN"/>
              </w:rPr>
              <w:t>制砂、</w:t>
            </w:r>
            <w:r>
              <w:rPr>
                <w:rFonts w:hint="eastAsia" w:cs="Times New Roman"/>
                <w:color w:val="auto"/>
                <w:sz w:val="24"/>
                <w:highlight w:val="none"/>
                <w:lang w:val="en-US" w:eastAsia="zh-CN"/>
              </w:rPr>
              <w:t>二次</w:t>
            </w:r>
            <w:r>
              <w:rPr>
                <w:rFonts w:hint="eastAsia"/>
                <w:color w:val="auto"/>
                <w:sz w:val="24"/>
                <w:lang w:val="en-US" w:eastAsia="zh-CN"/>
              </w:rPr>
              <w:t>筛分工序</w:t>
            </w:r>
            <w:r>
              <w:rPr>
                <w:rFonts w:hint="eastAsia" w:cs="Times New Roman"/>
                <w:snapToGrid w:val="0"/>
                <w:color w:val="auto"/>
                <w:sz w:val="24"/>
                <w:szCs w:val="20"/>
                <w:highlight w:val="none"/>
                <w:lang w:val="en-US" w:eastAsia="zh-CN"/>
              </w:rPr>
              <w:t>所需</w:t>
            </w:r>
            <w:r>
              <w:rPr>
                <w:rFonts w:hint="eastAsia" w:ascii="Times New Roman" w:hAnsi="Times New Roman" w:eastAsia="宋体" w:cs="Times New Roman"/>
                <w:snapToGrid w:val="0"/>
                <w:color w:val="auto"/>
                <w:sz w:val="24"/>
                <w:szCs w:val="20"/>
                <w:highlight w:val="none"/>
                <w:lang w:val="en-US" w:eastAsia="zh-CN"/>
              </w:rPr>
              <w:t>风量为</w:t>
            </w:r>
            <w:r>
              <w:rPr>
                <w:rFonts w:hint="eastAsia" w:cs="Times New Roman"/>
                <w:snapToGrid w:val="0"/>
                <w:color w:val="auto"/>
                <w:sz w:val="24"/>
                <w:szCs w:val="20"/>
                <w:highlight w:val="none"/>
                <w:lang w:val="en-US" w:eastAsia="zh-CN"/>
              </w:rPr>
              <w:t>20900</w:t>
            </w:r>
            <w:r>
              <w:rPr>
                <w:rFonts w:hint="eastAsia" w:ascii="Times New Roman" w:hAnsi="Times New Roman" w:eastAsia="宋体" w:cs="Times New Roman"/>
                <w:snapToGrid w:val="0"/>
                <w:color w:val="auto"/>
                <w:sz w:val="24"/>
                <w:szCs w:val="20"/>
                <w:highlight w:val="none"/>
                <w:lang w:val="en-US" w:eastAsia="zh-CN"/>
              </w:rPr>
              <w:t>m</w:t>
            </w:r>
            <w:r>
              <w:rPr>
                <w:rFonts w:hint="eastAsia" w:ascii="Times New Roman" w:hAnsi="Times New Roman" w:eastAsia="宋体" w:cs="Times New Roman"/>
                <w:snapToGrid w:val="0"/>
                <w:color w:val="auto"/>
                <w:sz w:val="24"/>
                <w:szCs w:val="20"/>
                <w:highlight w:val="none"/>
                <w:vertAlign w:val="superscript"/>
                <w:lang w:val="en-US" w:eastAsia="zh-CN"/>
              </w:rPr>
              <w:t>3</w:t>
            </w:r>
            <w:r>
              <w:rPr>
                <w:rFonts w:hint="eastAsia" w:ascii="Times New Roman" w:hAnsi="Times New Roman" w:eastAsia="宋体" w:cs="Times New Roman"/>
                <w:snapToGrid w:val="0"/>
                <w:color w:val="auto"/>
                <w:sz w:val="24"/>
                <w:szCs w:val="20"/>
                <w:highlight w:val="none"/>
                <w:lang w:val="en-US" w:eastAsia="zh-CN"/>
              </w:rPr>
              <w:t>/h</w:t>
            </w:r>
            <w:r>
              <w:rPr>
                <w:rFonts w:hint="eastAsia" w:cs="Times New Roman"/>
                <w:snapToGrid w:val="0"/>
                <w:color w:val="auto"/>
                <w:sz w:val="24"/>
                <w:szCs w:val="20"/>
                <w:highlight w:val="none"/>
                <w:lang w:val="en-US" w:eastAsia="zh-CN"/>
              </w:rPr>
              <w:t>。</w:t>
            </w:r>
            <w:r>
              <w:rPr>
                <w:rFonts w:hint="eastAsia" w:ascii="Times New Roman" w:hAnsi="Times New Roman" w:eastAsia="宋体" w:cs="Times New Roman"/>
                <w:snapToGrid w:val="0"/>
                <w:color w:val="auto"/>
                <w:sz w:val="24"/>
                <w:szCs w:val="20"/>
                <w:highlight w:val="none"/>
                <w:lang w:val="en-US" w:eastAsia="zh-CN"/>
              </w:rPr>
              <w:t>布袋材质：覆膜（PTFE）涤纶针刺毡，过滤风速0.</w:t>
            </w:r>
            <w:r>
              <w:rPr>
                <w:rFonts w:hint="eastAsia" w:cs="Times New Roman"/>
                <w:snapToGrid w:val="0"/>
                <w:color w:val="auto"/>
                <w:sz w:val="24"/>
                <w:szCs w:val="20"/>
                <w:highlight w:val="none"/>
                <w:lang w:val="en-US" w:eastAsia="zh-CN"/>
              </w:rPr>
              <w:t>6</w:t>
            </w:r>
            <w:r>
              <w:rPr>
                <w:rFonts w:hint="eastAsia" w:ascii="Times New Roman" w:hAnsi="Times New Roman" w:eastAsia="宋体" w:cs="Times New Roman"/>
                <w:snapToGrid w:val="0"/>
                <w:color w:val="auto"/>
                <w:sz w:val="24"/>
                <w:szCs w:val="20"/>
                <w:highlight w:val="none"/>
                <w:lang w:val="en-US" w:eastAsia="zh-CN"/>
              </w:rPr>
              <w:t>m/min，过滤面积</w:t>
            </w:r>
            <w:r>
              <w:rPr>
                <w:rFonts w:hint="eastAsia" w:cs="Times New Roman"/>
                <w:snapToGrid w:val="0"/>
                <w:color w:val="auto"/>
                <w:sz w:val="24"/>
                <w:szCs w:val="20"/>
                <w:highlight w:val="none"/>
                <w:lang w:val="en-US" w:eastAsia="zh-CN"/>
              </w:rPr>
              <w:t>581</w:t>
            </w:r>
            <w:r>
              <w:rPr>
                <w:rFonts w:hint="eastAsia" w:ascii="Times New Roman" w:hAnsi="Times New Roman" w:eastAsia="宋体" w:cs="Times New Roman"/>
                <w:snapToGrid w:val="0"/>
                <w:color w:val="auto"/>
                <w:sz w:val="24"/>
                <w:szCs w:val="20"/>
                <w:highlight w:val="none"/>
                <w:lang w:val="en-US" w:eastAsia="zh-CN"/>
              </w:rPr>
              <w:t>m</w:t>
            </w:r>
            <w:r>
              <w:rPr>
                <w:rFonts w:hint="eastAsia" w:ascii="Times New Roman" w:hAnsi="Times New Roman" w:eastAsia="宋体" w:cs="Times New Roman"/>
                <w:snapToGrid w:val="0"/>
                <w:color w:val="auto"/>
                <w:sz w:val="24"/>
                <w:szCs w:val="20"/>
                <w:highlight w:val="none"/>
                <w:vertAlign w:val="superscript"/>
                <w:lang w:val="en-US" w:eastAsia="zh-CN"/>
              </w:rPr>
              <w:t>2</w:t>
            </w:r>
            <w:r>
              <w:rPr>
                <w:rFonts w:hint="eastAsia" w:cs="Times New Roman"/>
                <w:snapToGrid w:val="0"/>
                <w:color w:val="auto"/>
                <w:sz w:val="24"/>
                <w:szCs w:val="20"/>
                <w:highlight w:val="none"/>
                <w:lang w:val="en-US" w:eastAsia="zh-CN"/>
              </w:rPr>
              <w:t>。</w:t>
            </w:r>
          </w:p>
          <w:p w14:paraId="6D9BEA5A">
            <w:pPr>
              <w:pStyle w:val="5"/>
              <w:keepNext w:val="0"/>
              <w:keepLines w:val="0"/>
              <w:suppressLineNumbers w:val="0"/>
              <w:spacing w:before="0" w:beforeAutospacing="0" w:after="0" w:afterAutospacing="0" w:line="480" w:lineRule="exact"/>
              <w:ind w:left="0" w:right="0" w:firstLine="480"/>
              <w:rPr>
                <w:rFonts w:hint="default" w:cs="Times New Roman"/>
                <w:snapToGrid w:val="0"/>
                <w:color w:val="auto"/>
                <w:sz w:val="24"/>
                <w:szCs w:val="20"/>
                <w:highlight w:val="none"/>
                <w:lang w:val="en-US" w:eastAsia="zh-CN"/>
              </w:rPr>
            </w:pPr>
            <w:r>
              <w:rPr>
                <w:rFonts w:hint="eastAsia" w:cs="Times New Roman"/>
                <w:snapToGrid w:val="0"/>
                <w:color w:val="auto"/>
                <w:sz w:val="24"/>
                <w:szCs w:val="20"/>
                <w:highlight w:val="none"/>
                <w:lang w:val="en-US" w:eastAsia="zh-CN"/>
              </w:rPr>
              <w:t>制砂工序进料量</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考虑10%返料</w:t>
            </w:r>
            <w:r>
              <w:rPr>
                <w:rFonts w:hint="eastAsia" w:ascii="Times New Roman" w:hAnsi="Times New Roman"/>
                <w:color w:val="auto"/>
                <w:sz w:val="24"/>
                <w:highlight w:val="none"/>
                <w:lang w:eastAsia="zh-CN"/>
              </w:rPr>
              <w:t>）</w:t>
            </w:r>
            <w:r>
              <w:rPr>
                <w:rFonts w:hint="eastAsia"/>
                <w:color w:val="auto"/>
                <w:sz w:val="24"/>
                <w:highlight w:val="none"/>
                <w:lang w:val="en-US" w:eastAsia="zh-CN"/>
              </w:rPr>
              <w:t>共</w:t>
            </w:r>
            <w:r>
              <w:rPr>
                <w:rFonts w:hint="eastAsia" w:cs="Times New Roman"/>
                <w:snapToGrid w:val="0"/>
                <w:color w:val="auto"/>
                <w:sz w:val="24"/>
                <w:szCs w:val="20"/>
                <w:highlight w:val="none"/>
                <w:lang w:val="en-US" w:eastAsia="zh-CN"/>
              </w:rPr>
              <w:t>为</w:t>
            </w:r>
            <w:r>
              <w:rPr>
                <w:rFonts w:hint="eastAsia"/>
                <w:color w:val="auto"/>
                <w:sz w:val="24"/>
                <w:highlight w:val="none"/>
                <w:lang w:val="en-US" w:eastAsia="zh-CN"/>
              </w:rPr>
              <w:t>33</w:t>
            </w:r>
            <w:r>
              <w:rPr>
                <w:rFonts w:hint="default" w:ascii="Times New Roman" w:hAnsi="Times New Roman"/>
                <w:color w:val="auto"/>
                <w:sz w:val="24"/>
                <w:highlight w:val="none"/>
                <w:lang w:eastAsia="zh-CN"/>
              </w:rPr>
              <w:t>万t/a</w:t>
            </w:r>
            <w:r>
              <w:rPr>
                <w:rFonts w:hint="eastAsia"/>
                <w:color w:val="auto"/>
                <w:sz w:val="24"/>
                <w:highlight w:val="none"/>
                <w:lang w:eastAsia="zh-CN"/>
              </w:rPr>
              <w:t>，</w:t>
            </w:r>
            <w:r>
              <w:rPr>
                <w:rFonts w:hint="eastAsia" w:ascii="Times New Roman" w:hAnsi="Times New Roman"/>
                <w:color w:val="auto"/>
                <w:sz w:val="24"/>
                <w:highlight w:val="none"/>
                <w:lang w:val="en-US" w:eastAsia="zh-CN"/>
              </w:rPr>
              <w:t>产尘系数为</w:t>
            </w:r>
            <w:r>
              <w:rPr>
                <w:rFonts w:hint="default" w:ascii="Times New Roman" w:hAnsi="Times New Roman"/>
                <w:color w:val="auto"/>
                <w:sz w:val="24"/>
                <w:lang w:eastAsia="zh-CN"/>
              </w:rPr>
              <w:t>0.2kg/t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default" w:ascii="Times New Roman" w:hAnsi="Times New Roman"/>
                <w:color w:val="auto"/>
                <w:sz w:val="24"/>
                <w:lang w:eastAsia="zh-CN"/>
              </w:rPr>
              <w:t>，</w:t>
            </w:r>
            <w:r>
              <w:rPr>
                <w:rFonts w:hint="eastAsia" w:ascii="Times New Roman" w:hAnsi="Times New Roman"/>
                <w:color w:val="auto"/>
                <w:sz w:val="24"/>
                <w:lang w:val="en-US" w:eastAsia="zh-CN"/>
              </w:rPr>
              <w:t>则</w:t>
            </w:r>
            <w:r>
              <w:rPr>
                <w:rFonts w:hint="eastAsia"/>
                <w:color w:val="auto"/>
                <w:sz w:val="24"/>
                <w:lang w:val="en-US" w:eastAsia="zh-CN"/>
              </w:rPr>
              <w:t>制砂</w:t>
            </w:r>
            <w:r>
              <w:rPr>
                <w:rFonts w:hint="eastAsia" w:ascii="Times New Roman" w:hAnsi="Times New Roman"/>
                <w:color w:val="auto"/>
                <w:sz w:val="24"/>
                <w:lang w:val="en-US" w:eastAsia="zh-CN"/>
              </w:rPr>
              <w:t>粉尘产生量为</w:t>
            </w:r>
            <w:r>
              <w:rPr>
                <w:rFonts w:hint="eastAsia"/>
                <w:color w:val="auto"/>
                <w:sz w:val="24"/>
                <w:lang w:val="en-US" w:eastAsia="zh-CN"/>
              </w:rPr>
              <w:t>66</w:t>
            </w:r>
            <w:r>
              <w:rPr>
                <w:rFonts w:hint="default" w:ascii="Times New Roman" w:hAnsi="Times New Roman"/>
                <w:color w:val="auto"/>
                <w:sz w:val="24"/>
                <w:highlight w:val="none"/>
                <w:lang w:eastAsia="zh-CN"/>
              </w:rPr>
              <w:t>t/a</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产生速率为</w:t>
            </w:r>
            <w:r>
              <w:rPr>
                <w:rFonts w:hint="eastAsia"/>
                <w:color w:val="auto"/>
                <w:sz w:val="24"/>
                <w:lang w:val="en-US" w:eastAsia="zh-CN"/>
              </w:rPr>
              <w:t>20</w:t>
            </w:r>
            <w:r>
              <w:rPr>
                <w:rFonts w:hint="default" w:ascii="Times New Roman" w:hAnsi="Times New Roman" w:cs="Times New Roman"/>
                <w:color w:val="auto"/>
                <w:sz w:val="24"/>
                <w:szCs w:val="24"/>
                <w:highlight w:val="none"/>
                <w:lang w:val="en-US" w:eastAsia="zh-CN"/>
              </w:rPr>
              <w:t>kg/h</w:t>
            </w:r>
            <w:r>
              <w:rPr>
                <w:rFonts w:hint="eastAsia" w:cs="Times New Roman"/>
                <w:color w:val="auto"/>
                <w:sz w:val="24"/>
                <w:szCs w:val="24"/>
                <w:highlight w:val="none"/>
                <w:lang w:val="en-US" w:eastAsia="zh-CN"/>
              </w:rPr>
              <w:t>。</w:t>
            </w:r>
          </w:p>
          <w:p w14:paraId="47769392">
            <w:pPr>
              <w:pStyle w:val="5"/>
              <w:keepNext w:val="0"/>
              <w:keepLines w:val="0"/>
              <w:suppressLineNumbers w:val="0"/>
              <w:spacing w:before="0" w:beforeAutospacing="0" w:after="0" w:afterAutospacing="0" w:line="480" w:lineRule="exact"/>
              <w:ind w:left="0" w:right="0" w:firstLine="480"/>
              <w:rPr>
                <w:rFonts w:hint="eastAsia" w:cs="Times New Roman"/>
                <w:color w:val="auto"/>
                <w:sz w:val="24"/>
                <w:szCs w:val="24"/>
                <w:highlight w:val="none"/>
                <w:lang w:val="en-US" w:eastAsia="zh-CN"/>
              </w:rPr>
            </w:pPr>
            <w:r>
              <w:rPr>
                <w:rFonts w:hint="eastAsia" w:cs="Times New Roman"/>
                <w:snapToGrid w:val="0"/>
                <w:color w:val="auto"/>
                <w:sz w:val="24"/>
                <w:szCs w:val="20"/>
                <w:highlight w:val="none"/>
                <w:lang w:val="en-US" w:eastAsia="zh-CN"/>
              </w:rPr>
              <w:t>二次筛分工序进料量</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考虑10%返料</w:t>
            </w:r>
            <w:r>
              <w:rPr>
                <w:rFonts w:hint="eastAsia" w:ascii="Times New Roman" w:hAnsi="Times New Roman"/>
                <w:color w:val="auto"/>
                <w:sz w:val="24"/>
                <w:highlight w:val="none"/>
                <w:lang w:eastAsia="zh-CN"/>
              </w:rPr>
              <w:t>）</w:t>
            </w:r>
            <w:r>
              <w:rPr>
                <w:rFonts w:hint="eastAsia"/>
                <w:color w:val="auto"/>
                <w:sz w:val="24"/>
                <w:highlight w:val="none"/>
                <w:lang w:val="en-US" w:eastAsia="zh-CN"/>
              </w:rPr>
              <w:t>共</w:t>
            </w:r>
            <w:r>
              <w:rPr>
                <w:rFonts w:hint="eastAsia" w:cs="Times New Roman"/>
                <w:snapToGrid w:val="0"/>
                <w:color w:val="auto"/>
                <w:sz w:val="24"/>
                <w:szCs w:val="20"/>
                <w:highlight w:val="none"/>
                <w:lang w:val="en-US" w:eastAsia="zh-CN"/>
              </w:rPr>
              <w:t>为</w:t>
            </w:r>
            <w:r>
              <w:rPr>
                <w:rFonts w:hint="eastAsia"/>
                <w:color w:val="auto"/>
                <w:sz w:val="24"/>
                <w:highlight w:val="none"/>
                <w:lang w:val="en-US" w:eastAsia="zh-CN"/>
              </w:rPr>
              <w:t>33</w:t>
            </w:r>
            <w:r>
              <w:rPr>
                <w:rFonts w:hint="default" w:ascii="Times New Roman" w:hAnsi="Times New Roman"/>
                <w:color w:val="auto"/>
                <w:sz w:val="24"/>
                <w:highlight w:val="none"/>
                <w:lang w:eastAsia="zh-CN"/>
              </w:rPr>
              <w:t>万t/a</w:t>
            </w:r>
            <w:r>
              <w:rPr>
                <w:rFonts w:hint="eastAsia"/>
                <w:color w:val="auto"/>
                <w:sz w:val="24"/>
                <w:highlight w:val="none"/>
                <w:lang w:eastAsia="zh-CN"/>
              </w:rPr>
              <w:t>，</w:t>
            </w:r>
            <w:r>
              <w:rPr>
                <w:rFonts w:hint="eastAsia" w:ascii="Times New Roman" w:hAnsi="Times New Roman"/>
                <w:color w:val="auto"/>
                <w:sz w:val="24"/>
                <w:highlight w:val="none"/>
                <w:lang w:val="en-US" w:eastAsia="zh-CN"/>
              </w:rPr>
              <w:t>产尘系数为</w:t>
            </w:r>
            <w:r>
              <w:rPr>
                <w:rFonts w:hint="default" w:ascii="Times New Roman" w:hAnsi="Times New Roman"/>
                <w:color w:val="auto"/>
                <w:sz w:val="24"/>
                <w:lang w:eastAsia="zh-CN"/>
              </w:rPr>
              <w:t>0.2kg/t</w:t>
            </w:r>
            <w:r>
              <w:rPr>
                <w:rFonts w:hint="default" w:ascii="Times New Roman" w:hAnsi="Times New Roman"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原料</w:t>
            </w:r>
            <w:r>
              <w:rPr>
                <w:rFonts w:hint="default" w:ascii="Times New Roman" w:hAnsi="Times New Roman"/>
                <w:color w:val="auto"/>
                <w:sz w:val="24"/>
                <w:lang w:eastAsia="zh-CN"/>
              </w:rPr>
              <w:t>，</w:t>
            </w:r>
            <w:r>
              <w:rPr>
                <w:rFonts w:hint="eastAsia" w:ascii="Times New Roman" w:hAnsi="Times New Roman"/>
                <w:color w:val="auto"/>
                <w:sz w:val="24"/>
                <w:lang w:val="en-US" w:eastAsia="zh-CN"/>
              </w:rPr>
              <w:t>则该工序粉尘产生量为</w:t>
            </w:r>
            <w:r>
              <w:rPr>
                <w:rFonts w:hint="eastAsia"/>
                <w:color w:val="auto"/>
                <w:sz w:val="24"/>
                <w:lang w:val="en-US" w:eastAsia="zh-CN"/>
              </w:rPr>
              <w:t>66</w:t>
            </w:r>
            <w:r>
              <w:rPr>
                <w:rFonts w:hint="default" w:ascii="Times New Roman" w:hAnsi="Times New Roman"/>
                <w:color w:val="auto"/>
                <w:sz w:val="24"/>
                <w:highlight w:val="none"/>
                <w:lang w:eastAsia="zh-CN"/>
              </w:rPr>
              <w:t>t/a</w:t>
            </w:r>
            <w:r>
              <w:rPr>
                <w:rFonts w:hint="eastAsia" w:ascii="Times New Roman" w:hAnsi="Times New Roman"/>
                <w:color w:val="auto"/>
                <w:sz w:val="24"/>
                <w:highlight w:val="none"/>
                <w:lang w:eastAsia="zh-CN"/>
              </w:rPr>
              <w:t>，</w:t>
            </w:r>
            <w:r>
              <w:rPr>
                <w:rFonts w:hint="eastAsia" w:ascii="Times New Roman" w:hAnsi="Times New Roman"/>
                <w:color w:val="auto"/>
                <w:sz w:val="24"/>
                <w:highlight w:val="none"/>
                <w:lang w:val="en-US" w:eastAsia="zh-CN"/>
              </w:rPr>
              <w:t>产生速率为</w:t>
            </w:r>
            <w:r>
              <w:rPr>
                <w:rFonts w:hint="eastAsia"/>
                <w:color w:val="auto"/>
                <w:sz w:val="24"/>
                <w:lang w:val="en-US" w:eastAsia="zh-CN"/>
              </w:rPr>
              <w:t>20</w:t>
            </w:r>
            <w:r>
              <w:rPr>
                <w:rFonts w:hint="default" w:ascii="Times New Roman" w:hAnsi="Times New Roman" w:cs="Times New Roman"/>
                <w:color w:val="auto"/>
                <w:sz w:val="24"/>
                <w:szCs w:val="24"/>
                <w:highlight w:val="none"/>
                <w:lang w:val="en-US" w:eastAsia="zh-CN"/>
              </w:rPr>
              <w:t>kg/h</w:t>
            </w:r>
            <w:r>
              <w:rPr>
                <w:rFonts w:hint="eastAsia" w:cs="Times New Roman"/>
                <w:color w:val="auto"/>
                <w:sz w:val="24"/>
                <w:szCs w:val="24"/>
                <w:highlight w:val="none"/>
                <w:lang w:val="en-US" w:eastAsia="zh-CN"/>
              </w:rPr>
              <w:t>。</w:t>
            </w:r>
          </w:p>
          <w:p w14:paraId="199A7B09">
            <w:pPr>
              <w:pStyle w:val="5"/>
              <w:keepNext w:val="0"/>
              <w:keepLines w:val="0"/>
              <w:suppressLineNumbers w:val="0"/>
              <w:spacing w:before="0" w:beforeAutospacing="0" w:after="0" w:afterAutospacing="0" w:line="480" w:lineRule="exact"/>
              <w:ind w:left="0" w:right="0" w:firstLine="480"/>
              <w:rPr>
                <w:rFonts w:hint="eastAsia" w:cs="Times New Roman"/>
                <w:color w:val="auto"/>
                <w:sz w:val="24"/>
                <w:szCs w:val="24"/>
                <w:highlight w:val="none"/>
                <w:vertAlign w:val="baseline"/>
                <w:lang w:val="en-US" w:eastAsia="zh-CN"/>
              </w:rPr>
            </w:pPr>
            <w:r>
              <w:rPr>
                <w:rFonts w:hint="eastAsia" w:cs="Times New Roman"/>
                <w:color w:val="auto"/>
                <w:sz w:val="24"/>
                <w:szCs w:val="24"/>
                <w:highlight w:val="none"/>
                <w:lang w:val="en-US" w:eastAsia="zh-CN"/>
              </w:rPr>
              <w:t>则总</w:t>
            </w:r>
            <w:r>
              <w:rPr>
                <w:rFonts w:hint="eastAsia" w:ascii="Times New Roman" w:hAnsi="Times New Roman"/>
                <w:color w:val="auto"/>
                <w:sz w:val="24"/>
                <w:highlight w:val="none"/>
                <w:lang w:val="en-US" w:eastAsia="zh-CN"/>
              </w:rPr>
              <w:t>产生速率为</w:t>
            </w:r>
            <w:r>
              <w:rPr>
                <w:rFonts w:hint="eastAsia"/>
                <w:color w:val="auto"/>
                <w:sz w:val="24"/>
                <w:lang w:val="en-US" w:eastAsia="zh-CN"/>
              </w:rPr>
              <w:t>40</w:t>
            </w:r>
            <w:r>
              <w:rPr>
                <w:rFonts w:hint="default" w:ascii="Times New Roman" w:hAnsi="Times New Roman" w:cs="Times New Roman"/>
                <w:color w:val="auto"/>
                <w:sz w:val="24"/>
                <w:szCs w:val="24"/>
                <w:highlight w:val="none"/>
                <w:lang w:val="en-US" w:eastAsia="zh-CN"/>
              </w:rPr>
              <w:t>kg/h</w:t>
            </w:r>
            <w:r>
              <w:rPr>
                <w:rFonts w:hint="eastAsia" w:cs="Times New Roman"/>
                <w:color w:val="auto"/>
                <w:sz w:val="24"/>
                <w:szCs w:val="24"/>
                <w:highlight w:val="none"/>
                <w:lang w:val="en-US" w:eastAsia="zh-CN"/>
              </w:rPr>
              <w:t>，产生浓度为</w:t>
            </w:r>
            <w:r>
              <w:rPr>
                <w:rFonts w:hint="eastAsia" w:cs="Times New Roman"/>
                <w:color w:val="auto"/>
                <w:sz w:val="24"/>
                <w:szCs w:val="24"/>
                <w:highlight w:val="none"/>
                <w:vertAlign w:val="baseline"/>
                <w:lang w:val="en-US" w:eastAsia="zh-CN"/>
              </w:rPr>
              <w:t>1914</w:t>
            </w:r>
            <w:r>
              <w:rPr>
                <w:rFonts w:hint="default" w:ascii="Times New Roman" w:hAnsi="Times New Roman" w:eastAsia="宋体" w:cs="Times New Roman"/>
                <w:color w:val="auto"/>
                <w:spacing w:val="0"/>
                <w:position w:val="0"/>
                <w:sz w:val="24"/>
                <w:highlight w:val="none"/>
                <w:lang w:val="en-US" w:eastAsia="zh-CN"/>
              </w:rPr>
              <w:t>mg/m</w:t>
            </w:r>
            <w:r>
              <w:rPr>
                <w:rFonts w:hint="default" w:ascii="Times New Roman" w:hAnsi="Times New Roman" w:eastAsia="宋体" w:cs="Times New Roman"/>
                <w:color w:val="auto"/>
                <w:spacing w:val="0"/>
                <w:position w:val="0"/>
                <w:sz w:val="24"/>
                <w:highlight w:val="none"/>
                <w:vertAlign w:val="superscript"/>
                <w:lang w:val="en-US" w:eastAsia="zh-CN"/>
              </w:rPr>
              <w:t>3</w:t>
            </w:r>
            <w:r>
              <w:rPr>
                <w:rFonts w:hint="eastAsia" w:cs="Times New Roman"/>
                <w:color w:val="auto"/>
                <w:spacing w:val="0"/>
                <w:position w:val="0"/>
                <w:sz w:val="24"/>
                <w:highlight w:val="none"/>
                <w:vertAlign w:val="baseline"/>
                <w:lang w:val="en-US" w:eastAsia="zh-CN"/>
              </w:rPr>
              <w:t>。</w:t>
            </w:r>
          </w:p>
          <w:p w14:paraId="471B2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color w:val="auto"/>
                <w:lang w:val="en-US" w:eastAsia="zh-CN"/>
              </w:rPr>
            </w:pPr>
            <w:r>
              <w:rPr>
                <w:rFonts w:hint="eastAsia" w:cs="Times New Roman"/>
                <w:color w:val="auto"/>
                <w:spacing w:val="0"/>
                <w:position w:val="0"/>
                <w:sz w:val="24"/>
                <w:highlight w:val="none"/>
                <w:lang w:val="en-US" w:eastAsia="zh-CN"/>
              </w:rPr>
              <w:t>本项目运营期</w:t>
            </w:r>
            <w:r>
              <w:rPr>
                <w:rFonts w:hint="eastAsia" w:ascii="Times New Roman" w:hAnsi="Times New Roman" w:eastAsia="宋体" w:cs="Times New Roman"/>
                <w:color w:val="auto"/>
                <w:spacing w:val="0"/>
                <w:position w:val="0"/>
                <w:sz w:val="24"/>
                <w:highlight w:val="none"/>
                <w:lang w:val="en-US" w:eastAsia="zh-CN"/>
              </w:rPr>
              <w:t>有组织颗粒物</w:t>
            </w:r>
            <w:r>
              <w:rPr>
                <w:rFonts w:hint="default" w:ascii="Times New Roman" w:hAnsi="Times New Roman" w:eastAsia="宋体" w:cs="Times New Roman"/>
                <w:color w:val="auto"/>
                <w:spacing w:val="0"/>
                <w:position w:val="0"/>
                <w:sz w:val="24"/>
                <w:highlight w:val="none"/>
              </w:rPr>
              <w:t>排放浓度</w:t>
            </w:r>
            <w:r>
              <w:rPr>
                <w:rFonts w:hint="default" w:ascii="Times New Roman" w:hAnsi="Times New Roman" w:eastAsia="宋体" w:cs="Times New Roman"/>
                <w:color w:val="auto"/>
                <w:spacing w:val="0"/>
                <w:position w:val="0"/>
                <w:sz w:val="24"/>
                <w:highlight w:val="none"/>
                <w:lang w:val="en-US" w:eastAsia="zh-CN"/>
              </w:rPr>
              <w:t>执行《长治市大气污染防治工作领导组办公室文件关于印发长治市工业企业无组织排放治理实施方案的通知》（长气防办[2019]9号）特别排放限值要求（颗粒物≤10mg/m</w:t>
            </w:r>
            <w:r>
              <w:rPr>
                <w:rFonts w:hint="default" w:ascii="Times New Roman" w:hAnsi="Times New Roman" w:eastAsia="宋体" w:cs="Times New Roman"/>
                <w:color w:val="auto"/>
                <w:spacing w:val="0"/>
                <w:position w:val="0"/>
                <w:sz w:val="24"/>
                <w:highlight w:val="none"/>
                <w:vertAlign w:val="superscript"/>
                <w:lang w:val="en-US" w:eastAsia="zh-CN"/>
              </w:rPr>
              <w:t>3</w:t>
            </w:r>
            <w:r>
              <w:rPr>
                <w:rFonts w:hint="default" w:ascii="Times New Roman" w:hAnsi="Times New Roman" w:eastAsia="宋体" w:cs="Times New Roman"/>
                <w:color w:val="auto"/>
                <w:spacing w:val="0"/>
                <w:position w:val="0"/>
                <w:sz w:val="24"/>
                <w:highlight w:val="none"/>
                <w:lang w:val="en-US" w:eastAsia="zh-CN"/>
              </w:rPr>
              <w:t>）</w:t>
            </w:r>
            <w:r>
              <w:rPr>
                <w:rFonts w:hint="eastAsia"/>
                <w:color w:val="auto"/>
                <w:spacing w:val="4"/>
                <w:sz w:val="24"/>
                <w:lang w:eastAsia="zh-CN"/>
              </w:rPr>
              <w:t>。</w:t>
            </w:r>
            <w:r>
              <w:rPr>
                <w:rFonts w:hint="default"/>
                <w:bCs/>
                <w:color w:val="auto"/>
                <w:sz w:val="24"/>
              </w:rPr>
              <w:t>有组织</w:t>
            </w:r>
            <w:r>
              <w:rPr>
                <w:rFonts w:hint="eastAsia"/>
                <w:bCs/>
                <w:color w:val="auto"/>
                <w:sz w:val="24"/>
                <w:lang w:val="en-US" w:eastAsia="zh-CN"/>
              </w:rPr>
              <w:t>颗粒物</w:t>
            </w:r>
            <w:r>
              <w:rPr>
                <w:rFonts w:hint="default"/>
                <w:bCs/>
                <w:color w:val="auto"/>
                <w:sz w:val="24"/>
              </w:rPr>
              <w:t>排放量：10mg/m</w:t>
            </w:r>
            <w:r>
              <w:rPr>
                <w:rFonts w:hint="default"/>
                <w:bCs/>
                <w:color w:val="auto"/>
                <w:sz w:val="24"/>
                <w:vertAlign w:val="superscript"/>
              </w:rPr>
              <w:t>3</w:t>
            </w:r>
            <w:r>
              <w:rPr>
                <w:rFonts w:hint="default"/>
                <w:bCs/>
                <w:color w:val="auto"/>
                <w:sz w:val="24"/>
              </w:rPr>
              <w:t>×</w:t>
            </w:r>
            <w:r>
              <w:rPr>
                <w:rFonts w:hint="eastAsia" w:cs="Times New Roman"/>
                <w:snapToGrid w:val="0"/>
                <w:color w:val="auto"/>
                <w:sz w:val="24"/>
                <w:szCs w:val="20"/>
                <w:highlight w:val="none"/>
                <w:lang w:val="en-US" w:eastAsia="zh-CN"/>
              </w:rPr>
              <w:t>20900</w:t>
            </w:r>
            <w:r>
              <w:rPr>
                <w:rFonts w:hint="default"/>
                <w:color w:val="auto"/>
                <w:sz w:val="24"/>
              </w:rPr>
              <w:t>m</w:t>
            </w:r>
            <w:r>
              <w:rPr>
                <w:rFonts w:hint="default"/>
                <w:color w:val="auto"/>
                <w:sz w:val="24"/>
                <w:vertAlign w:val="superscript"/>
              </w:rPr>
              <w:t>3</w:t>
            </w:r>
            <w:r>
              <w:rPr>
                <w:rFonts w:hint="default"/>
                <w:color w:val="auto"/>
                <w:sz w:val="24"/>
              </w:rPr>
              <w:t>/h</w:t>
            </w:r>
            <w:r>
              <w:rPr>
                <w:rFonts w:hint="default"/>
                <w:bCs/>
                <w:color w:val="auto"/>
                <w:sz w:val="24"/>
              </w:rPr>
              <w:t>×</w:t>
            </w:r>
            <w:r>
              <w:rPr>
                <w:rFonts w:hint="eastAsia"/>
                <w:bCs/>
                <w:color w:val="auto"/>
                <w:sz w:val="24"/>
                <w:lang w:val="en-US" w:eastAsia="zh-CN"/>
              </w:rPr>
              <w:t>3300h</w:t>
            </w:r>
            <w:r>
              <w:rPr>
                <w:rFonts w:hint="default"/>
                <w:bCs/>
                <w:color w:val="auto"/>
                <w:sz w:val="24"/>
              </w:rPr>
              <w:t>÷10</w:t>
            </w:r>
            <w:r>
              <w:rPr>
                <w:rFonts w:hint="default"/>
                <w:bCs/>
                <w:color w:val="auto"/>
                <w:sz w:val="24"/>
                <w:vertAlign w:val="superscript"/>
              </w:rPr>
              <w:t>9</w:t>
            </w:r>
            <w:r>
              <w:rPr>
                <w:rFonts w:hint="default"/>
                <w:bCs/>
                <w:color w:val="auto"/>
                <w:sz w:val="24"/>
              </w:rPr>
              <w:t>=</w:t>
            </w:r>
            <w:r>
              <w:rPr>
                <w:rFonts w:hint="eastAsia"/>
                <w:bCs/>
                <w:color w:val="auto"/>
                <w:sz w:val="24"/>
                <w:lang w:val="en-US" w:eastAsia="zh-CN"/>
              </w:rPr>
              <w:t>0.69</w:t>
            </w:r>
            <w:r>
              <w:rPr>
                <w:rFonts w:hint="default"/>
                <w:bCs/>
                <w:color w:val="auto"/>
                <w:sz w:val="24"/>
              </w:rPr>
              <w:t>t/a</w:t>
            </w:r>
            <w:r>
              <w:rPr>
                <w:rFonts w:hint="eastAsia"/>
                <w:bCs/>
                <w:color w:val="auto"/>
                <w:sz w:val="24"/>
                <w:lang w:eastAsia="zh-CN"/>
              </w:rPr>
              <w:t>，</w:t>
            </w:r>
            <w:r>
              <w:rPr>
                <w:rFonts w:hint="default"/>
                <w:color w:val="auto"/>
                <w:sz w:val="24"/>
              </w:rPr>
              <w:t>排放</w:t>
            </w:r>
            <w:r>
              <w:rPr>
                <w:rFonts w:hint="eastAsia"/>
                <w:color w:val="auto"/>
                <w:sz w:val="24"/>
                <w:lang w:val="en-US" w:eastAsia="zh-CN"/>
              </w:rPr>
              <w:t>速率</w:t>
            </w:r>
            <w:r>
              <w:rPr>
                <w:rFonts w:hint="default"/>
                <w:color w:val="auto"/>
                <w:sz w:val="24"/>
                <w:highlight w:val="none"/>
              </w:rPr>
              <w:t>为</w:t>
            </w:r>
            <w:r>
              <w:rPr>
                <w:rFonts w:hint="eastAsia"/>
                <w:color w:val="auto"/>
                <w:sz w:val="24"/>
                <w:highlight w:val="none"/>
                <w:lang w:val="en-US" w:eastAsia="zh-CN"/>
              </w:rPr>
              <w:t>0.2kg/h</w:t>
            </w:r>
            <w:r>
              <w:rPr>
                <w:rFonts w:hint="default"/>
                <w:color w:val="auto"/>
                <w:sz w:val="24"/>
                <w:highlight w:val="none"/>
              </w:rPr>
              <w:t>。</w:t>
            </w:r>
          </w:p>
          <w:p w14:paraId="601CB647">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color w:val="auto"/>
                <w:sz w:val="24"/>
                <w:szCs w:val="24"/>
                <w:lang w:val="en-US" w:eastAsia="zh-CN"/>
              </w:rPr>
              <w:t>（5）</w:t>
            </w:r>
            <w:r>
              <w:rPr>
                <w:rFonts w:hint="eastAsia" w:ascii="Times New Roman" w:hAnsi="Times New Roman" w:eastAsia="宋体" w:cs="Times New Roman"/>
                <w:bCs/>
                <w:color w:val="auto"/>
                <w:sz w:val="24"/>
                <w:szCs w:val="24"/>
                <w:lang w:val="en-US" w:eastAsia="zh-CN"/>
              </w:rPr>
              <w:t>物料</w:t>
            </w:r>
            <w:r>
              <w:rPr>
                <w:rFonts w:hint="default" w:ascii="Times New Roman" w:hAnsi="Times New Roman" w:eastAsia="宋体" w:cs="Times New Roman"/>
                <w:bCs/>
                <w:color w:val="auto"/>
                <w:sz w:val="24"/>
                <w:szCs w:val="24"/>
              </w:rPr>
              <w:t>运输及衔接转载</w:t>
            </w:r>
            <w:r>
              <w:rPr>
                <w:rFonts w:hint="eastAsia" w:ascii="Times New Roman" w:hAnsi="Times New Roman" w:eastAsia="宋体" w:cs="Times New Roman"/>
                <w:bCs/>
                <w:color w:val="auto"/>
                <w:sz w:val="24"/>
                <w:szCs w:val="24"/>
                <w:lang w:val="en-US" w:eastAsia="zh-CN"/>
              </w:rPr>
              <w:t>粉尘</w:t>
            </w:r>
          </w:p>
          <w:p w14:paraId="01599C5F">
            <w:pPr>
              <w:keepNext w:val="0"/>
              <w:keepLines w:val="0"/>
              <w:widowControl w:val="0"/>
              <w:suppressLineNumbers w:val="0"/>
              <w:spacing w:before="0" w:beforeAutospacing="0" w:after="0" w:afterAutospacing="0" w:line="480" w:lineRule="exact"/>
              <w:ind w:left="0" w:right="0" w:firstLine="480"/>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本项目生产过程中物料在各工段间输送转载主要通过皮带进行输送和转载，在物料输送过程中会产生一定量的粉尘。</w:t>
            </w:r>
          </w:p>
          <w:p w14:paraId="44BE8F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eastAsia="宋体" w:cs="Times New Roman"/>
                <w:color w:val="auto"/>
                <w:sz w:val="24"/>
                <w:lang w:eastAsia="zh-CN"/>
              </w:rPr>
              <w:t>评价要求：</w:t>
            </w:r>
          </w:p>
          <w:p w14:paraId="058E2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lang w:eastAsia="zh-CN"/>
              </w:rPr>
            </w:pPr>
            <w:r>
              <w:rPr>
                <w:rFonts w:hint="eastAsia" w:ascii="宋体" w:hAnsi="宋体" w:eastAsia="宋体" w:cs="宋体"/>
                <w:color w:val="auto"/>
                <w:sz w:val="24"/>
                <w:lang w:eastAsia="zh-CN"/>
              </w:rPr>
              <w:t>①</w:t>
            </w:r>
            <w:r>
              <w:rPr>
                <w:rFonts w:hint="default" w:ascii="Times New Roman" w:hAnsi="Times New Roman" w:eastAsia="宋体" w:cs="Times New Roman"/>
                <w:color w:val="auto"/>
                <w:sz w:val="24"/>
                <w:lang w:eastAsia="zh-CN"/>
              </w:rPr>
              <w:t>所有输送、转运设备全部安装在全封闭</w:t>
            </w:r>
            <w:r>
              <w:rPr>
                <w:rFonts w:hint="eastAsia" w:ascii="Times New Roman" w:hAnsi="Times New Roman" w:eastAsia="宋体" w:cs="Times New Roman"/>
                <w:color w:val="auto"/>
                <w:sz w:val="24"/>
                <w:lang w:val="en-US" w:eastAsia="zh-CN"/>
              </w:rPr>
              <w:t>生产</w:t>
            </w:r>
            <w:r>
              <w:rPr>
                <w:rFonts w:hint="default" w:ascii="Times New Roman" w:hAnsi="Times New Roman" w:eastAsia="宋体" w:cs="Times New Roman"/>
                <w:color w:val="auto"/>
                <w:sz w:val="24"/>
                <w:lang w:eastAsia="zh-CN"/>
              </w:rPr>
              <w:t>车间内，并采用轻钢结构对物料输送皮带进行全封闭处理，降低物料跌落高度；</w:t>
            </w:r>
          </w:p>
          <w:p w14:paraId="201AC6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lang w:eastAsia="zh-CN"/>
              </w:rPr>
            </w:pPr>
            <w:r>
              <w:rPr>
                <w:rFonts w:hint="eastAsia" w:ascii="宋体" w:hAnsi="宋体" w:eastAsia="宋体" w:cs="宋体"/>
                <w:color w:val="auto"/>
                <w:sz w:val="24"/>
                <w:lang w:eastAsia="zh-CN"/>
              </w:rPr>
              <w:t>②</w:t>
            </w:r>
            <w:r>
              <w:rPr>
                <w:rFonts w:hint="default" w:ascii="Times New Roman" w:hAnsi="Times New Roman" w:eastAsia="宋体" w:cs="Times New Roman"/>
                <w:color w:val="auto"/>
                <w:sz w:val="24"/>
                <w:lang w:eastAsia="zh-CN"/>
              </w:rPr>
              <w:t>在原料堆放处、皮带转运跌落点处</w:t>
            </w:r>
            <w:r>
              <w:rPr>
                <w:rFonts w:hint="eastAsia" w:ascii="Times New Roman" w:hAnsi="Times New Roman" w:eastAsia="宋体" w:cs="Times New Roman"/>
                <w:color w:val="auto"/>
                <w:sz w:val="24"/>
                <w:lang w:eastAsia="zh-CN"/>
              </w:rPr>
              <w:t>设置</w:t>
            </w:r>
            <w:r>
              <w:rPr>
                <w:rFonts w:hint="default" w:ascii="Times New Roman" w:hAnsi="Times New Roman" w:eastAsia="宋体" w:cs="Times New Roman"/>
                <w:color w:val="auto"/>
                <w:sz w:val="24"/>
                <w:lang w:eastAsia="zh-CN"/>
              </w:rPr>
              <w:t>固定式雾化喷头，生产时适当喷雾抑尘；</w:t>
            </w:r>
          </w:p>
          <w:p w14:paraId="14B49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auto"/>
                <w:sz w:val="24"/>
                <w:highlight w:val="none"/>
                <w:lang w:eastAsia="zh-CN"/>
              </w:rPr>
            </w:pPr>
            <w:r>
              <w:rPr>
                <w:rFonts w:hint="eastAsia" w:ascii="宋体" w:hAnsi="宋体" w:eastAsia="宋体" w:cs="宋体"/>
                <w:color w:val="auto"/>
                <w:sz w:val="24"/>
                <w:lang w:eastAsia="zh-CN"/>
              </w:rPr>
              <w:t>③</w:t>
            </w:r>
            <w:r>
              <w:rPr>
                <w:rFonts w:hint="default" w:ascii="Times New Roman" w:hAnsi="Times New Roman" w:eastAsia="宋体" w:cs="Times New Roman"/>
                <w:color w:val="auto"/>
                <w:sz w:val="24"/>
                <w:lang w:eastAsia="zh-CN"/>
              </w:rPr>
              <w:t>车间内跌落物料要及时清扫，定期洒水抑尘。采取本措施后在输送过程中粉尘排放量可忽略不计，本次评价不对此量化分析</w:t>
            </w:r>
            <w:r>
              <w:rPr>
                <w:rFonts w:hint="eastAsia" w:ascii="Times New Roman" w:hAnsi="Times New Roman" w:eastAsia="宋体" w:cs="Times New Roman"/>
                <w:color w:val="auto"/>
                <w:sz w:val="24"/>
                <w:lang w:eastAsia="zh-CN"/>
              </w:rPr>
              <w:t>。</w:t>
            </w:r>
          </w:p>
          <w:p w14:paraId="7E082FE1">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485B889">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0C3674C6">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412D4013">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3BB47959">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3DC2664">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6A0DF940">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FAC9496">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B256566">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63F1C2C1">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D0E0138">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4381632C">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672E7764">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2EEC31C5">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p w14:paraId="15C1FB25">
            <w:pPr>
              <w:pStyle w:val="17"/>
              <w:keepNext w:val="0"/>
              <w:keepLines w:val="0"/>
              <w:suppressLineNumbers w:val="0"/>
              <w:spacing w:before="0" w:beforeAutospacing="0" w:after="0" w:afterAutospacing="0"/>
              <w:ind w:left="0" w:right="0"/>
              <w:rPr>
                <w:rFonts w:hint="default"/>
                <w:color w:val="auto"/>
                <w:lang w:val="en-US" w:eastAsia="zh-CN"/>
              </w:rPr>
            </w:pPr>
          </w:p>
          <w:p w14:paraId="2277E815">
            <w:pPr>
              <w:keepNext w:val="0"/>
              <w:keepLines w:val="0"/>
              <w:suppressLineNumbers w:val="0"/>
              <w:adjustRightInd w:val="0"/>
              <w:snapToGrid w:val="0"/>
              <w:spacing w:before="0" w:beforeAutospacing="0" w:after="0" w:afterAutospacing="0" w:line="480" w:lineRule="exact"/>
              <w:ind w:left="0" w:right="0" w:firstLine="420" w:firstLineChars="200"/>
              <w:rPr>
                <w:rFonts w:hint="default"/>
                <w:color w:val="auto"/>
                <w:lang w:val="en-US" w:eastAsia="zh-CN"/>
              </w:rPr>
            </w:pPr>
          </w:p>
        </w:tc>
      </w:tr>
    </w:tbl>
    <w:p w14:paraId="2529E9FA">
      <w:pPr>
        <w:adjustRightInd w:val="0"/>
        <w:snapToGrid w:val="0"/>
        <w:spacing w:line="360" w:lineRule="auto"/>
        <w:rPr>
          <w:rFonts w:hint="default" w:ascii="Times New Roman" w:hAnsi="Times New Roman" w:cs="Times New Roman"/>
          <w:b/>
          <w:color w:val="auto"/>
          <w:kern w:val="0"/>
          <w:sz w:val="28"/>
          <w:szCs w:val="28"/>
          <w:highlight w:val="none"/>
        </w:rPr>
        <w:sectPr>
          <w:headerReference r:id="rId10" w:type="default"/>
          <w:pgSz w:w="11907" w:h="16840"/>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8"/>
        <w:tblW w:w="147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4244"/>
      </w:tblGrid>
      <w:tr w14:paraId="0D9982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496" w:type="dxa"/>
            <w:tcBorders>
              <w:tl2br w:val="nil"/>
              <w:tr2bl w:val="nil"/>
            </w:tcBorders>
            <w:vAlign w:val="center"/>
          </w:tcPr>
          <w:p w14:paraId="4D5DD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z w:val="21"/>
                <w:szCs w:val="21"/>
                <w:highlight w:val="none"/>
                <w:lang w:val="en-US" w:eastAsia="zh-CN"/>
              </w:rPr>
              <w:t>运营期环境影响和保护措施</w:t>
            </w:r>
          </w:p>
        </w:tc>
        <w:tc>
          <w:tcPr>
            <w:tcW w:w="14244" w:type="dxa"/>
            <w:tcBorders>
              <w:tl2br w:val="nil"/>
              <w:tr2bl w:val="nil"/>
            </w:tcBorders>
          </w:tcPr>
          <w:p w14:paraId="4FE16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黑体" w:cs="Times New Roman"/>
                <w:b/>
                <w:bCs w:val="0"/>
                <w:color w:val="auto"/>
                <w:spacing w:val="0"/>
                <w:kern w:val="2"/>
                <w:sz w:val="21"/>
                <w:szCs w:val="21"/>
                <w:highlight w:val="none"/>
                <w:lang w:val="en-US" w:eastAsia="zh-CN" w:bidi="ar-SA"/>
              </w:rPr>
            </w:pPr>
            <w:r>
              <w:rPr>
                <w:rFonts w:hint="eastAsia" w:cs="Times New Roman"/>
                <w:b/>
                <w:bCs w:val="0"/>
                <w:color w:val="auto"/>
                <w:spacing w:val="0"/>
                <w:sz w:val="24"/>
                <w:szCs w:val="24"/>
                <w:highlight w:val="none"/>
                <w:lang w:val="en-US" w:eastAsia="zh-CN"/>
              </w:rPr>
              <w:t>4.5.</w:t>
            </w:r>
            <w:r>
              <w:rPr>
                <w:rFonts w:hint="eastAsia" w:ascii="Times New Roman" w:hAnsi="Times New Roman" w:eastAsia="宋体" w:cs="Times New Roman"/>
                <w:b/>
                <w:bCs w:val="0"/>
                <w:color w:val="auto"/>
                <w:spacing w:val="0"/>
                <w:sz w:val="24"/>
                <w:szCs w:val="24"/>
                <w:highlight w:val="none"/>
                <w:lang w:val="en-US" w:eastAsia="zh-CN"/>
              </w:rPr>
              <w:t>2废气污染物排放口基本情况</w:t>
            </w:r>
          </w:p>
          <w:p w14:paraId="242A23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z w:val="21"/>
                <w:szCs w:val="16"/>
                <w:highlight w:val="none"/>
                <w:lang w:val="en-US" w:eastAsia="zh-CN"/>
              </w:rPr>
            </w:pPr>
            <w:r>
              <w:rPr>
                <w:rFonts w:hint="default" w:ascii="Times New Roman" w:hAnsi="Times New Roman" w:eastAsia="宋体" w:cs="Times New Roman"/>
                <w:b/>
                <w:bCs w:val="0"/>
                <w:color w:val="auto"/>
                <w:sz w:val="21"/>
                <w:szCs w:val="16"/>
                <w:highlight w:val="none"/>
                <w:lang w:val="en-US" w:eastAsia="zh-CN"/>
              </w:rPr>
              <w:t>表4</w:t>
            </w:r>
            <w:r>
              <w:rPr>
                <w:rFonts w:hint="eastAsia" w:cs="Times New Roman"/>
                <w:b/>
                <w:bCs w:val="0"/>
                <w:color w:val="auto"/>
                <w:sz w:val="21"/>
                <w:szCs w:val="16"/>
                <w:highlight w:val="none"/>
                <w:lang w:val="en-US" w:eastAsia="zh-CN"/>
              </w:rPr>
              <w:t>.</w:t>
            </w:r>
            <w:r>
              <w:rPr>
                <w:rFonts w:hint="eastAsia" w:ascii="Times New Roman" w:hAnsi="Times New Roman" w:eastAsia="宋体" w:cs="Times New Roman"/>
                <w:b/>
                <w:bCs w:val="0"/>
                <w:color w:val="auto"/>
                <w:sz w:val="21"/>
                <w:szCs w:val="16"/>
                <w:highlight w:val="none"/>
                <w:lang w:val="en-US" w:eastAsia="zh-CN"/>
              </w:rPr>
              <w:t>5</w:t>
            </w:r>
            <w:r>
              <w:rPr>
                <w:rFonts w:hint="eastAsia" w:cs="Times New Roman"/>
                <w:b/>
                <w:bCs w:val="0"/>
                <w:color w:val="auto"/>
                <w:sz w:val="21"/>
                <w:szCs w:val="16"/>
                <w:highlight w:val="none"/>
                <w:lang w:val="en-US" w:eastAsia="zh-CN"/>
              </w:rPr>
              <w:t>-5</w:t>
            </w:r>
            <w:r>
              <w:rPr>
                <w:rFonts w:hint="default" w:ascii="Times New Roman" w:hAnsi="Times New Roman" w:eastAsia="宋体" w:cs="Times New Roman"/>
                <w:b/>
                <w:bCs w:val="0"/>
                <w:color w:val="auto"/>
                <w:sz w:val="21"/>
                <w:szCs w:val="16"/>
                <w:highlight w:val="none"/>
                <w:lang w:val="en-US" w:eastAsia="zh-CN"/>
              </w:rPr>
              <w:t xml:space="preserve">  </w:t>
            </w:r>
            <w:r>
              <w:rPr>
                <w:rFonts w:hint="eastAsia" w:ascii="Times New Roman" w:hAnsi="Times New Roman" w:eastAsia="宋体" w:cs="Times New Roman"/>
                <w:b/>
                <w:bCs w:val="0"/>
                <w:color w:val="auto"/>
                <w:sz w:val="21"/>
                <w:szCs w:val="16"/>
                <w:highlight w:val="none"/>
                <w:lang w:val="en-US" w:eastAsia="zh-CN"/>
              </w:rPr>
              <w:t>废气污染物</w:t>
            </w:r>
            <w:r>
              <w:rPr>
                <w:rFonts w:hint="default" w:ascii="Times New Roman" w:hAnsi="Times New Roman" w:eastAsia="宋体" w:cs="Times New Roman"/>
                <w:b/>
                <w:bCs w:val="0"/>
                <w:color w:val="auto"/>
                <w:sz w:val="21"/>
                <w:szCs w:val="16"/>
                <w:highlight w:val="none"/>
                <w:lang w:val="en-US" w:eastAsia="zh-CN"/>
              </w:rPr>
              <w:t>排放口基本情况表</w:t>
            </w:r>
          </w:p>
          <w:tbl>
            <w:tblPr>
              <w:tblStyle w:val="27"/>
              <w:tblW w:w="13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2"/>
              <w:gridCol w:w="2674"/>
              <w:gridCol w:w="1324"/>
              <w:gridCol w:w="1500"/>
              <w:gridCol w:w="1431"/>
              <w:gridCol w:w="1338"/>
              <w:gridCol w:w="1687"/>
              <w:gridCol w:w="1175"/>
              <w:gridCol w:w="1338"/>
            </w:tblGrid>
            <w:tr w14:paraId="42FFD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352" w:type="dxa"/>
                  <w:vMerge w:val="restart"/>
                  <w:tcBorders>
                    <w:tl2br w:val="nil"/>
                    <w:tr2bl w:val="nil"/>
                  </w:tcBorders>
                  <w:vAlign w:val="center"/>
                </w:tcPr>
                <w:p w14:paraId="11A83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排放口编号</w:t>
                  </w:r>
                </w:p>
              </w:tc>
              <w:tc>
                <w:tcPr>
                  <w:tcW w:w="2674" w:type="dxa"/>
                  <w:vMerge w:val="restart"/>
                  <w:tcBorders>
                    <w:tl2br w:val="nil"/>
                    <w:tr2bl w:val="nil"/>
                  </w:tcBorders>
                  <w:vAlign w:val="center"/>
                </w:tcPr>
                <w:p w14:paraId="3D1A4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排放口名称</w:t>
                  </w:r>
                </w:p>
              </w:tc>
              <w:tc>
                <w:tcPr>
                  <w:tcW w:w="1324" w:type="dxa"/>
                  <w:vMerge w:val="restart"/>
                  <w:tcBorders>
                    <w:tl2br w:val="nil"/>
                    <w:tr2bl w:val="nil"/>
                  </w:tcBorders>
                  <w:vAlign w:val="center"/>
                </w:tcPr>
                <w:p w14:paraId="615C6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污染物种类</w:t>
                  </w:r>
                </w:p>
              </w:tc>
              <w:tc>
                <w:tcPr>
                  <w:tcW w:w="2931" w:type="dxa"/>
                  <w:gridSpan w:val="2"/>
                  <w:tcBorders>
                    <w:tl2br w:val="nil"/>
                    <w:tr2bl w:val="nil"/>
                  </w:tcBorders>
                  <w:vAlign w:val="center"/>
                </w:tcPr>
                <w:p w14:paraId="67652E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排放口地理坐标</w:t>
                  </w:r>
                </w:p>
              </w:tc>
              <w:tc>
                <w:tcPr>
                  <w:tcW w:w="1338" w:type="dxa"/>
                  <w:vMerge w:val="restart"/>
                  <w:tcBorders>
                    <w:tl2br w:val="nil"/>
                    <w:tr2bl w:val="nil"/>
                  </w:tcBorders>
                  <w:vAlign w:val="center"/>
                </w:tcPr>
                <w:p w14:paraId="380866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rPr>
                  </w:pPr>
                  <w:r>
                    <w:rPr>
                      <w:rFonts w:hint="default" w:ascii="Times New Roman" w:hAnsi="Times New Roman" w:eastAsia="宋体" w:cs="Times New Roman"/>
                      <w:b/>
                      <w:bCs w:val="0"/>
                      <w:color w:val="auto"/>
                      <w:kern w:val="28"/>
                      <w:sz w:val="21"/>
                      <w:szCs w:val="21"/>
                      <w:highlight w:val="none"/>
                    </w:rPr>
                    <w:t>排气筒高度</w:t>
                  </w:r>
                </w:p>
                <w:p w14:paraId="324DA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lang w:val="en-US"/>
                    </w:rPr>
                    <w:t>m</w:t>
                  </w:r>
                </w:p>
              </w:tc>
              <w:tc>
                <w:tcPr>
                  <w:tcW w:w="1687" w:type="dxa"/>
                  <w:vMerge w:val="restart"/>
                  <w:tcBorders>
                    <w:tl2br w:val="nil"/>
                    <w:tr2bl w:val="nil"/>
                  </w:tcBorders>
                  <w:vAlign w:val="center"/>
                </w:tcPr>
                <w:p w14:paraId="7F5BA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rPr>
                  </w:pPr>
                  <w:r>
                    <w:rPr>
                      <w:rFonts w:hint="default" w:ascii="Times New Roman" w:hAnsi="Times New Roman" w:eastAsia="宋体" w:cs="Times New Roman"/>
                      <w:b/>
                      <w:bCs w:val="0"/>
                      <w:color w:val="auto"/>
                      <w:kern w:val="28"/>
                      <w:sz w:val="21"/>
                      <w:szCs w:val="21"/>
                      <w:highlight w:val="none"/>
                    </w:rPr>
                    <w:t>排气筒出口内径</w:t>
                  </w:r>
                </w:p>
                <w:p w14:paraId="5149FA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lang w:val="en-US"/>
                    </w:rPr>
                    <w:t>m</w:t>
                  </w:r>
                </w:p>
              </w:tc>
              <w:tc>
                <w:tcPr>
                  <w:tcW w:w="1175" w:type="dxa"/>
                  <w:vMerge w:val="restart"/>
                  <w:tcBorders>
                    <w:tl2br w:val="nil"/>
                    <w:tr2bl w:val="nil"/>
                  </w:tcBorders>
                  <w:vAlign w:val="center"/>
                </w:tcPr>
                <w:p w14:paraId="67E33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rPr>
                  </w:pPr>
                  <w:r>
                    <w:rPr>
                      <w:rFonts w:hint="default" w:ascii="Times New Roman" w:hAnsi="Times New Roman" w:eastAsia="宋体" w:cs="Times New Roman"/>
                      <w:b/>
                      <w:bCs w:val="0"/>
                      <w:color w:val="auto"/>
                      <w:kern w:val="28"/>
                      <w:sz w:val="21"/>
                      <w:szCs w:val="21"/>
                      <w:highlight w:val="none"/>
                    </w:rPr>
                    <w:t>排气温度</w:t>
                  </w:r>
                </w:p>
                <w:p w14:paraId="6E23A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w:t>
                  </w:r>
                </w:p>
              </w:tc>
              <w:tc>
                <w:tcPr>
                  <w:tcW w:w="1338" w:type="dxa"/>
                  <w:vMerge w:val="restart"/>
                  <w:tcBorders>
                    <w:tl2br w:val="nil"/>
                    <w:tr2bl w:val="nil"/>
                  </w:tcBorders>
                  <w:vAlign w:val="center"/>
                </w:tcPr>
                <w:p w14:paraId="4CD64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val="0"/>
                      <w:color w:val="auto"/>
                      <w:kern w:val="28"/>
                      <w:sz w:val="21"/>
                      <w:szCs w:val="21"/>
                      <w:highlight w:val="none"/>
                      <w:lang w:val="en-US" w:eastAsia="zh-CN"/>
                    </w:rPr>
                  </w:pPr>
                  <w:r>
                    <w:rPr>
                      <w:rFonts w:hint="eastAsia" w:ascii="Times New Roman" w:hAnsi="Times New Roman" w:eastAsia="宋体" w:cs="Times New Roman"/>
                      <w:b/>
                      <w:bCs w:val="0"/>
                      <w:color w:val="auto"/>
                      <w:kern w:val="28"/>
                      <w:sz w:val="21"/>
                      <w:szCs w:val="21"/>
                      <w:highlight w:val="none"/>
                      <w:lang w:val="en-US" w:eastAsia="zh-CN"/>
                    </w:rPr>
                    <w:t>类型</w:t>
                  </w:r>
                </w:p>
              </w:tc>
            </w:tr>
            <w:tr w14:paraId="6BD30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352" w:type="dxa"/>
                  <w:vMerge w:val="continue"/>
                  <w:tcBorders>
                    <w:tl2br w:val="nil"/>
                    <w:tr2bl w:val="nil"/>
                  </w:tcBorders>
                  <w:vAlign w:val="center"/>
                </w:tcPr>
                <w:p w14:paraId="25B39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2674" w:type="dxa"/>
                  <w:vMerge w:val="continue"/>
                  <w:tcBorders>
                    <w:tl2br w:val="nil"/>
                    <w:tr2bl w:val="nil"/>
                  </w:tcBorders>
                  <w:vAlign w:val="center"/>
                </w:tcPr>
                <w:p w14:paraId="67283C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1324" w:type="dxa"/>
                  <w:vMerge w:val="continue"/>
                  <w:tcBorders>
                    <w:tl2br w:val="nil"/>
                    <w:tr2bl w:val="nil"/>
                  </w:tcBorders>
                  <w:vAlign w:val="center"/>
                </w:tcPr>
                <w:p w14:paraId="6CA6F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1500" w:type="dxa"/>
                  <w:tcBorders>
                    <w:tl2br w:val="nil"/>
                    <w:tr2bl w:val="nil"/>
                  </w:tcBorders>
                  <w:vAlign w:val="center"/>
                </w:tcPr>
                <w:p w14:paraId="5066A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经度</w:t>
                  </w:r>
                </w:p>
              </w:tc>
              <w:tc>
                <w:tcPr>
                  <w:tcW w:w="1431" w:type="dxa"/>
                  <w:tcBorders>
                    <w:tl2br w:val="nil"/>
                    <w:tr2bl w:val="nil"/>
                  </w:tcBorders>
                  <w:vAlign w:val="center"/>
                </w:tcPr>
                <w:p w14:paraId="6317A5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val="0"/>
                      <w:color w:val="auto"/>
                      <w:kern w:val="28"/>
                      <w:sz w:val="21"/>
                      <w:szCs w:val="21"/>
                      <w:highlight w:val="none"/>
                      <w:lang w:val="en-US"/>
                    </w:rPr>
                  </w:pPr>
                  <w:r>
                    <w:rPr>
                      <w:rFonts w:hint="default" w:ascii="Times New Roman" w:hAnsi="Times New Roman" w:eastAsia="宋体" w:cs="Times New Roman"/>
                      <w:b/>
                      <w:bCs w:val="0"/>
                      <w:color w:val="auto"/>
                      <w:kern w:val="28"/>
                      <w:sz w:val="21"/>
                      <w:szCs w:val="21"/>
                      <w:highlight w:val="none"/>
                    </w:rPr>
                    <w:t>纬度</w:t>
                  </w:r>
                </w:p>
              </w:tc>
              <w:tc>
                <w:tcPr>
                  <w:tcW w:w="1338" w:type="dxa"/>
                  <w:vMerge w:val="continue"/>
                  <w:tcBorders>
                    <w:tl2br w:val="nil"/>
                    <w:tr2bl w:val="nil"/>
                  </w:tcBorders>
                  <w:vAlign w:val="center"/>
                </w:tcPr>
                <w:p w14:paraId="1399A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1687" w:type="dxa"/>
                  <w:vMerge w:val="continue"/>
                  <w:tcBorders>
                    <w:tl2br w:val="nil"/>
                    <w:tr2bl w:val="nil"/>
                  </w:tcBorders>
                  <w:vAlign w:val="center"/>
                </w:tcPr>
                <w:p w14:paraId="20971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1175" w:type="dxa"/>
                  <w:vMerge w:val="continue"/>
                  <w:tcBorders>
                    <w:tl2br w:val="nil"/>
                    <w:tr2bl w:val="nil"/>
                  </w:tcBorders>
                  <w:vAlign w:val="center"/>
                </w:tcPr>
                <w:p w14:paraId="3F285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c>
                <w:tcPr>
                  <w:tcW w:w="1338" w:type="dxa"/>
                  <w:vMerge w:val="continue"/>
                  <w:tcBorders>
                    <w:tl2br w:val="nil"/>
                    <w:tr2bl w:val="nil"/>
                  </w:tcBorders>
                  <w:vAlign w:val="center"/>
                </w:tcPr>
                <w:p w14:paraId="1CCD93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8"/>
                      <w:sz w:val="21"/>
                      <w:szCs w:val="21"/>
                      <w:highlight w:val="none"/>
                    </w:rPr>
                  </w:pPr>
                </w:p>
              </w:tc>
            </w:tr>
            <w:tr w14:paraId="44A4D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352" w:type="dxa"/>
                  <w:tcBorders>
                    <w:tl2br w:val="nil"/>
                    <w:tr2bl w:val="nil"/>
                  </w:tcBorders>
                  <w:vAlign w:val="center"/>
                </w:tcPr>
                <w:p w14:paraId="23ABD1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kern w:val="2"/>
                      <w:sz w:val="21"/>
                      <w:szCs w:val="21"/>
                      <w:highlight w:val="none"/>
                      <w:u w:val="none"/>
                      <w:lang w:val="en-US" w:eastAsia="zh-CN" w:bidi="ar-SA"/>
                    </w:rPr>
                  </w:pPr>
                  <w:r>
                    <w:rPr>
                      <w:rFonts w:hint="eastAsia" w:ascii="Times New Roman" w:hAnsi="Times New Roman" w:cs="Times New Roman"/>
                      <w:b w:val="0"/>
                      <w:bCs/>
                      <w:color w:val="auto"/>
                      <w:kern w:val="2"/>
                      <w:sz w:val="21"/>
                      <w:szCs w:val="21"/>
                      <w:highlight w:val="none"/>
                      <w:u w:val="none"/>
                      <w:lang w:val="en-US" w:eastAsia="zh-CN" w:bidi="ar-SA"/>
                    </w:rPr>
                    <w:t>DA001</w:t>
                  </w:r>
                </w:p>
              </w:tc>
              <w:tc>
                <w:tcPr>
                  <w:tcW w:w="2674" w:type="dxa"/>
                  <w:tcBorders>
                    <w:tl2br w:val="nil"/>
                    <w:tr2bl w:val="nil"/>
                  </w:tcBorders>
                  <w:shd w:val="clear" w:color="auto" w:fill="auto"/>
                  <w:vAlign w:val="center"/>
                </w:tcPr>
                <w:p w14:paraId="00B48C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给料、破碎、筛分废气</w:t>
                  </w:r>
                  <w:r>
                    <w:rPr>
                      <w:rFonts w:hint="eastAsia" w:ascii="Times New Roman" w:hAnsi="Times New Roman" w:eastAsia="宋体" w:cs="Times New Roman"/>
                      <w:b w:val="0"/>
                      <w:bCs/>
                      <w:color w:val="auto"/>
                      <w:kern w:val="2"/>
                      <w:sz w:val="21"/>
                      <w:szCs w:val="21"/>
                      <w:highlight w:val="none"/>
                      <w:lang w:val="en-US" w:eastAsia="zh-CN" w:bidi="ar-SA"/>
                    </w:rPr>
                    <w:t>排放口</w:t>
                  </w:r>
                </w:p>
              </w:tc>
              <w:tc>
                <w:tcPr>
                  <w:tcW w:w="1324" w:type="dxa"/>
                  <w:tcBorders>
                    <w:tl2br w:val="nil"/>
                    <w:tr2bl w:val="nil"/>
                  </w:tcBorders>
                  <w:shd w:val="clear" w:color="auto" w:fill="auto"/>
                  <w:vAlign w:val="center"/>
                </w:tcPr>
                <w:p w14:paraId="4857DE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颗粒物</w:t>
                  </w:r>
                </w:p>
              </w:tc>
              <w:tc>
                <w:tcPr>
                  <w:tcW w:w="1500" w:type="dxa"/>
                  <w:tcBorders>
                    <w:tl2br w:val="nil"/>
                    <w:tr2bl w:val="nil"/>
                  </w:tcBorders>
                  <w:shd w:val="clear" w:color="auto" w:fill="auto"/>
                  <w:vAlign w:val="center"/>
                </w:tcPr>
                <w:p w14:paraId="4A605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eastAsia="宋体" w:cs="Times New Roman"/>
                      <w:b w:val="0"/>
                      <w:bCs/>
                      <w:color w:val="auto"/>
                      <w:kern w:val="28"/>
                      <w:sz w:val="21"/>
                      <w:szCs w:val="21"/>
                      <w:highlight w:val="none"/>
                      <w:lang w:val="en-US" w:eastAsia="zh-CN" w:bidi="ar-SA"/>
                    </w:rPr>
                    <w:t>112°57′57.95″</w:t>
                  </w:r>
                </w:p>
              </w:tc>
              <w:tc>
                <w:tcPr>
                  <w:tcW w:w="1431" w:type="dxa"/>
                  <w:tcBorders>
                    <w:tl2br w:val="nil"/>
                    <w:tr2bl w:val="nil"/>
                  </w:tcBorders>
                  <w:shd w:val="clear" w:color="auto" w:fill="auto"/>
                  <w:vAlign w:val="center"/>
                </w:tcPr>
                <w:p w14:paraId="31E41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eastAsia="宋体" w:cs="Times New Roman"/>
                      <w:b w:val="0"/>
                      <w:bCs/>
                      <w:color w:val="auto"/>
                      <w:kern w:val="28"/>
                      <w:sz w:val="21"/>
                      <w:szCs w:val="21"/>
                      <w:highlight w:val="none"/>
                      <w:lang w:val="en-US" w:eastAsia="zh-CN" w:bidi="ar-SA"/>
                    </w:rPr>
                    <w:t>36°22′54.56″</w:t>
                  </w:r>
                </w:p>
              </w:tc>
              <w:tc>
                <w:tcPr>
                  <w:tcW w:w="1338" w:type="dxa"/>
                  <w:tcBorders>
                    <w:tl2br w:val="nil"/>
                    <w:tr2bl w:val="nil"/>
                  </w:tcBorders>
                  <w:vAlign w:val="center"/>
                </w:tcPr>
                <w:p w14:paraId="3679A5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eastAsia" w:cs="Times New Roman"/>
                      <w:b w:val="0"/>
                      <w:bCs/>
                      <w:color w:val="auto"/>
                      <w:kern w:val="28"/>
                      <w:sz w:val="21"/>
                      <w:szCs w:val="21"/>
                      <w:highlight w:val="none"/>
                      <w:lang w:val="en-US" w:eastAsia="zh-CN" w:bidi="ar-SA"/>
                    </w:rPr>
                    <w:t>20</w:t>
                  </w:r>
                </w:p>
              </w:tc>
              <w:tc>
                <w:tcPr>
                  <w:tcW w:w="1687" w:type="dxa"/>
                  <w:tcBorders>
                    <w:tl2br w:val="nil"/>
                    <w:tr2bl w:val="nil"/>
                  </w:tcBorders>
                  <w:vAlign w:val="center"/>
                </w:tcPr>
                <w:p w14:paraId="2BA1A2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eastAsia" w:cs="Times New Roman"/>
                      <w:b w:val="0"/>
                      <w:bCs/>
                      <w:color w:val="auto"/>
                      <w:kern w:val="28"/>
                      <w:sz w:val="21"/>
                      <w:szCs w:val="21"/>
                      <w:highlight w:val="none"/>
                      <w:lang w:val="en-US" w:eastAsia="zh-CN" w:bidi="ar-SA"/>
                    </w:rPr>
                    <w:t>0.5</w:t>
                  </w:r>
                </w:p>
              </w:tc>
              <w:tc>
                <w:tcPr>
                  <w:tcW w:w="1175" w:type="dxa"/>
                  <w:tcBorders>
                    <w:tl2br w:val="nil"/>
                    <w:tr2bl w:val="nil"/>
                  </w:tcBorders>
                  <w:vAlign w:val="center"/>
                </w:tcPr>
                <w:p w14:paraId="79324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eastAsia" w:ascii="Times New Roman" w:hAnsi="Times New Roman" w:eastAsia="宋体" w:cs="Times New Roman"/>
                      <w:b w:val="0"/>
                      <w:bCs/>
                      <w:color w:val="auto"/>
                      <w:kern w:val="28"/>
                      <w:sz w:val="21"/>
                      <w:szCs w:val="21"/>
                      <w:highlight w:val="none"/>
                      <w:lang w:val="en-US" w:eastAsia="zh-CN" w:bidi="ar-SA"/>
                    </w:rPr>
                    <w:t>常温</w:t>
                  </w:r>
                </w:p>
              </w:tc>
              <w:tc>
                <w:tcPr>
                  <w:tcW w:w="1338" w:type="dxa"/>
                  <w:tcBorders>
                    <w:tl2br w:val="nil"/>
                    <w:tr2bl w:val="nil"/>
                  </w:tcBorders>
                  <w:vAlign w:val="center"/>
                </w:tcPr>
                <w:p w14:paraId="5B36B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eastAsia" w:ascii="Times New Roman" w:hAnsi="Times New Roman" w:eastAsia="宋体" w:cs="Times New Roman"/>
                      <w:b w:val="0"/>
                      <w:bCs/>
                      <w:color w:val="auto"/>
                      <w:kern w:val="28"/>
                      <w:sz w:val="21"/>
                      <w:szCs w:val="21"/>
                      <w:highlight w:val="none"/>
                      <w:lang w:val="en-US" w:eastAsia="zh-CN" w:bidi="ar-SA"/>
                    </w:rPr>
                    <w:t>一般排放口</w:t>
                  </w:r>
                </w:p>
              </w:tc>
            </w:tr>
            <w:tr w14:paraId="15CD9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6" w:hRule="atLeast"/>
                <w:jc w:val="center"/>
              </w:trPr>
              <w:tc>
                <w:tcPr>
                  <w:tcW w:w="1352" w:type="dxa"/>
                  <w:tcBorders>
                    <w:tl2br w:val="nil"/>
                    <w:tr2bl w:val="nil"/>
                  </w:tcBorders>
                  <w:vAlign w:val="center"/>
                </w:tcPr>
                <w:p w14:paraId="6CA37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val="0"/>
                      <w:bCs/>
                      <w:color w:val="auto"/>
                      <w:kern w:val="2"/>
                      <w:sz w:val="21"/>
                      <w:szCs w:val="21"/>
                      <w:highlight w:val="none"/>
                      <w:u w:val="none"/>
                      <w:lang w:val="en-US" w:eastAsia="zh-CN" w:bidi="ar-SA"/>
                    </w:rPr>
                  </w:pPr>
                  <w:r>
                    <w:rPr>
                      <w:rFonts w:hint="eastAsia" w:cs="Times New Roman"/>
                      <w:b w:val="0"/>
                      <w:bCs/>
                      <w:color w:val="auto"/>
                      <w:kern w:val="2"/>
                      <w:sz w:val="21"/>
                      <w:szCs w:val="21"/>
                      <w:highlight w:val="none"/>
                      <w:u w:val="none"/>
                      <w:lang w:val="en-US" w:eastAsia="zh-CN" w:bidi="ar-SA"/>
                    </w:rPr>
                    <w:t>DA002</w:t>
                  </w:r>
                </w:p>
              </w:tc>
              <w:tc>
                <w:tcPr>
                  <w:tcW w:w="2674" w:type="dxa"/>
                  <w:tcBorders>
                    <w:tl2br w:val="nil"/>
                    <w:tr2bl w:val="nil"/>
                  </w:tcBorders>
                  <w:shd w:val="clear" w:color="auto" w:fill="auto"/>
                  <w:vAlign w:val="center"/>
                </w:tcPr>
                <w:p w14:paraId="5F324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制砂、筛分废气排放口</w:t>
                  </w:r>
                </w:p>
              </w:tc>
              <w:tc>
                <w:tcPr>
                  <w:tcW w:w="1324" w:type="dxa"/>
                  <w:tcBorders>
                    <w:tl2br w:val="nil"/>
                    <w:tr2bl w:val="nil"/>
                  </w:tcBorders>
                  <w:shd w:val="clear" w:color="auto" w:fill="auto"/>
                  <w:vAlign w:val="center"/>
                </w:tcPr>
                <w:p w14:paraId="4B03F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颗粒物</w:t>
                  </w:r>
                </w:p>
              </w:tc>
              <w:tc>
                <w:tcPr>
                  <w:tcW w:w="1500" w:type="dxa"/>
                  <w:tcBorders>
                    <w:tl2br w:val="nil"/>
                    <w:tr2bl w:val="nil"/>
                  </w:tcBorders>
                  <w:shd w:val="clear" w:color="auto" w:fill="auto"/>
                  <w:vAlign w:val="center"/>
                </w:tcPr>
                <w:p w14:paraId="0F0CCA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i w:val="0"/>
                      <w:iCs w:val="0"/>
                      <w:color w:val="auto"/>
                      <w:kern w:val="28"/>
                      <w:sz w:val="21"/>
                      <w:szCs w:val="21"/>
                      <w:highlight w:val="none"/>
                      <w:lang w:val="en-US" w:eastAsia="zh-CN" w:bidi="ar-SA"/>
                    </w:rPr>
                  </w:pPr>
                  <w:r>
                    <w:rPr>
                      <w:rFonts w:hint="default" w:ascii="Times New Roman" w:hAnsi="Times New Roman" w:eastAsia="宋体" w:cs="Times New Roman"/>
                      <w:b w:val="0"/>
                      <w:bCs/>
                      <w:i w:val="0"/>
                      <w:iCs w:val="0"/>
                      <w:color w:val="auto"/>
                      <w:kern w:val="28"/>
                      <w:sz w:val="21"/>
                      <w:szCs w:val="21"/>
                      <w:highlight w:val="none"/>
                      <w:lang w:val="en-US" w:eastAsia="zh-CN" w:bidi="ar-SA"/>
                    </w:rPr>
                    <w:t>112°57′57.79″</w:t>
                  </w:r>
                </w:p>
              </w:tc>
              <w:tc>
                <w:tcPr>
                  <w:tcW w:w="1431" w:type="dxa"/>
                  <w:tcBorders>
                    <w:tl2br w:val="nil"/>
                    <w:tr2bl w:val="nil"/>
                  </w:tcBorders>
                  <w:shd w:val="clear" w:color="auto" w:fill="auto"/>
                  <w:vAlign w:val="center"/>
                </w:tcPr>
                <w:p w14:paraId="51DD0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i w:val="0"/>
                      <w:iCs w:val="0"/>
                      <w:color w:val="auto"/>
                      <w:kern w:val="28"/>
                      <w:sz w:val="21"/>
                      <w:szCs w:val="21"/>
                      <w:highlight w:val="none"/>
                      <w:lang w:val="en-US" w:eastAsia="zh-CN" w:bidi="ar-SA"/>
                    </w:rPr>
                  </w:pPr>
                  <w:r>
                    <w:rPr>
                      <w:rFonts w:hint="default" w:ascii="Times New Roman" w:hAnsi="Times New Roman" w:eastAsia="宋体" w:cs="Times New Roman"/>
                      <w:b w:val="0"/>
                      <w:bCs/>
                      <w:i w:val="0"/>
                      <w:iCs w:val="0"/>
                      <w:color w:val="auto"/>
                      <w:kern w:val="28"/>
                      <w:sz w:val="21"/>
                      <w:szCs w:val="21"/>
                      <w:highlight w:val="none"/>
                      <w:lang w:val="en-US" w:eastAsia="zh-CN" w:bidi="ar-SA"/>
                    </w:rPr>
                    <w:t>36°2</w:t>
                  </w:r>
                  <w:r>
                    <w:rPr>
                      <w:rFonts w:hint="eastAsia" w:cs="Times New Roman"/>
                      <w:b w:val="0"/>
                      <w:bCs/>
                      <w:i w:val="0"/>
                      <w:iCs w:val="0"/>
                      <w:color w:val="auto"/>
                      <w:kern w:val="28"/>
                      <w:sz w:val="21"/>
                      <w:szCs w:val="21"/>
                      <w:highlight w:val="none"/>
                      <w:lang w:val="en-US" w:eastAsia="zh-CN" w:bidi="ar-SA"/>
                    </w:rPr>
                    <w:t>2</w:t>
                  </w:r>
                  <w:r>
                    <w:rPr>
                      <w:rFonts w:hint="default" w:ascii="Times New Roman" w:hAnsi="Times New Roman" w:eastAsia="宋体" w:cs="Times New Roman"/>
                      <w:b w:val="0"/>
                      <w:bCs/>
                      <w:i w:val="0"/>
                      <w:iCs w:val="0"/>
                      <w:color w:val="auto"/>
                      <w:kern w:val="28"/>
                      <w:sz w:val="21"/>
                      <w:szCs w:val="21"/>
                      <w:highlight w:val="none"/>
                      <w:lang w:val="en-US" w:eastAsia="zh-CN" w:bidi="ar-SA"/>
                    </w:rPr>
                    <w:t>′54.93″</w:t>
                  </w:r>
                </w:p>
              </w:tc>
              <w:tc>
                <w:tcPr>
                  <w:tcW w:w="1338" w:type="dxa"/>
                  <w:tcBorders>
                    <w:tl2br w:val="nil"/>
                    <w:tr2bl w:val="nil"/>
                  </w:tcBorders>
                  <w:vAlign w:val="center"/>
                </w:tcPr>
                <w:p w14:paraId="10D8C6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val="0"/>
                      <w:bCs/>
                      <w:color w:val="auto"/>
                      <w:kern w:val="28"/>
                      <w:sz w:val="21"/>
                      <w:szCs w:val="21"/>
                      <w:highlight w:val="none"/>
                      <w:lang w:val="en-US" w:eastAsia="zh-CN" w:bidi="ar-SA"/>
                    </w:rPr>
                  </w:pPr>
                  <w:r>
                    <w:rPr>
                      <w:rFonts w:hint="eastAsia" w:cs="Times New Roman"/>
                      <w:b w:val="0"/>
                      <w:bCs/>
                      <w:color w:val="auto"/>
                      <w:kern w:val="28"/>
                      <w:sz w:val="21"/>
                      <w:szCs w:val="21"/>
                      <w:highlight w:val="none"/>
                      <w:lang w:val="en-US" w:eastAsia="zh-CN" w:bidi="ar-SA"/>
                    </w:rPr>
                    <w:t>20</w:t>
                  </w:r>
                </w:p>
              </w:tc>
              <w:tc>
                <w:tcPr>
                  <w:tcW w:w="1687" w:type="dxa"/>
                  <w:tcBorders>
                    <w:tl2br w:val="nil"/>
                    <w:tr2bl w:val="nil"/>
                  </w:tcBorders>
                  <w:vAlign w:val="center"/>
                </w:tcPr>
                <w:p w14:paraId="4E2D8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b w:val="0"/>
                      <w:bCs/>
                      <w:color w:val="auto"/>
                      <w:kern w:val="28"/>
                      <w:sz w:val="21"/>
                      <w:szCs w:val="21"/>
                      <w:highlight w:val="none"/>
                      <w:lang w:val="en-US" w:eastAsia="zh-CN" w:bidi="ar-SA"/>
                    </w:rPr>
                  </w:pPr>
                  <w:r>
                    <w:rPr>
                      <w:rFonts w:hint="eastAsia" w:cs="Times New Roman"/>
                      <w:b w:val="0"/>
                      <w:bCs/>
                      <w:color w:val="auto"/>
                      <w:kern w:val="28"/>
                      <w:sz w:val="21"/>
                      <w:szCs w:val="21"/>
                      <w:highlight w:val="none"/>
                      <w:lang w:val="en-US" w:eastAsia="zh-CN" w:bidi="ar-SA"/>
                    </w:rPr>
                    <w:t>0.5</w:t>
                  </w:r>
                </w:p>
              </w:tc>
              <w:tc>
                <w:tcPr>
                  <w:tcW w:w="1175" w:type="dxa"/>
                  <w:tcBorders>
                    <w:tl2br w:val="nil"/>
                    <w:tr2bl w:val="nil"/>
                  </w:tcBorders>
                  <w:vAlign w:val="center"/>
                </w:tcPr>
                <w:p w14:paraId="3165E1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color w:val="auto"/>
                      <w:kern w:val="28"/>
                      <w:sz w:val="21"/>
                      <w:szCs w:val="21"/>
                      <w:highlight w:val="none"/>
                      <w:lang w:val="en-US" w:eastAsia="zh-CN" w:bidi="ar-SA"/>
                    </w:rPr>
                  </w:pPr>
                  <w:r>
                    <w:rPr>
                      <w:rFonts w:hint="eastAsia" w:ascii="Times New Roman" w:hAnsi="Times New Roman" w:eastAsia="宋体" w:cs="Times New Roman"/>
                      <w:b w:val="0"/>
                      <w:bCs/>
                      <w:color w:val="auto"/>
                      <w:kern w:val="28"/>
                      <w:sz w:val="21"/>
                      <w:szCs w:val="21"/>
                      <w:highlight w:val="none"/>
                      <w:lang w:val="en-US" w:eastAsia="zh-CN" w:bidi="ar-SA"/>
                    </w:rPr>
                    <w:t>常温</w:t>
                  </w:r>
                </w:p>
              </w:tc>
              <w:tc>
                <w:tcPr>
                  <w:tcW w:w="1338" w:type="dxa"/>
                  <w:tcBorders>
                    <w:tl2br w:val="nil"/>
                    <w:tr2bl w:val="nil"/>
                  </w:tcBorders>
                  <w:vAlign w:val="center"/>
                </w:tcPr>
                <w:p w14:paraId="07BA64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color w:val="auto"/>
                      <w:kern w:val="28"/>
                      <w:sz w:val="21"/>
                      <w:szCs w:val="21"/>
                      <w:highlight w:val="none"/>
                      <w:lang w:val="en-US" w:eastAsia="zh-CN" w:bidi="ar-SA"/>
                    </w:rPr>
                  </w:pPr>
                  <w:r>
                    <w:rPr>
                      <w:rFonts w:hint="eastAsia" w:ascii="Times New Roman" w:hAnsi="Times New Roman" w:eastAsia="宋体" w:cs="Times New Roman"/>
                      <w:b w:val="0"/>
                      <w:bCs/>
                      <w:color w:val="auto"/>
                      <w:kern w:val="28"/>
                      <w:sz w:val="21"/>
                      <w:szCs w:val="21"/>
                      <w:highlight w:val="none"/>
                      <w:lang w:val="en-US" w:eastAsia="zh-CN" w:bidi="ar-SA"/>
                    </w:rPr>
                    <w:t>一般排放口</w:t>
                  </w:r>
                </w:p>
              </w:tc>
            </w:tr>
          </w:tbl>
          <w:p w14:paraId="6D10E3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4.5.3非正常工况排放情况</w:t>
            </w:r>
          </w:p>
          <w:p w14:paraId="105C3C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b w:val="0"/>
                <w:bCs/>
                <w:color w:val="auto"/>
                <w:spacing w:val="-10"/>
                <w:sz w:val="24"/>
                <w:szCs w:val="24"/>
                <w:highlight w:val="none"/>
                <w:vertAlign w:val="baseline"/>
                <w:lang w:val="en-US" w:eastAsia="zh-CN"/>
              </w:rPr>
            </w:pPr>
            <w:r>
              <w:rPr>
                <w:rFonts w:hint="default" w:ascii="Times New Roman" w:hAnsi="Times New Roman" w:eastAsia="宋体" w:cs="Times New Roman"/>
                <w:b w:val="0"/>
                <w:bCs/>
                <w:color w:val="auto"/>
                <w:spacing w:val="0"/>
                <w:sz w:val="24"/>
                <w:szCs w:val="24"/>
                <w:highlight w:val="none"/>
                <w:lang w:val="en-US" w:eastAsia="zh-CN"/>
              </w:rPr>
              <w:t>非正常排放是指生产过程中开停车、设备检修、工艺设备运转异常等非正常工况下的污染物排放，以及污染物排放控制措施达不到应有效率等情况下的排放。本</w:t>
            </w:r>
            <w:r>
              <w:rPr>
                <w:rFonts w:hint="eastAsia" w:ascii="Times New Roman" w:hAnsi="Times New Roman" w:eastAsia="宋体" w:cs="Times New Roman"/>
                <w:b w:val="0"/>
                <w:bCs/>
                <w:color w:val="auto"/>
                <w:spacing w:val="0"/>
                <w:sz w:val="24"/>
                <w:szCs w:val="24"/>
                <w:highlight w:val="none"/>
                <w:lang w:val="en-US" w:eastAsia="zh-CN"/>
              </w:rPr>
              <w:t>项目</w:t>
            </w:r>
            <w:r>
              <w:rPr>
                <w:rFonts w:hint="default" w:ascii="Times New Roman" w:hAnsi="Times New Roman" w:eastAsia="宋体" w:cs="Times New Roman"/>
                <w:b w:val="0"/>
                <w:bCs/>
                <w:color w:val="auto"/>
                <w:spacing w:val="0"/>
                <w:sz w:val="24"/>
                <w:szCs w:val="24"/>
                <w:highlight w:val="none"/>
                <w:lang w:val="en-US" w:eastAsia="zh-CN"/>
              </w:rPr>
              <w:t>非正常情况排放主要为废气处理设施故障，具体详见表</w:t>
            </w:r>
            <w:r>
              <w:rPr>
                <w:rFonts w:hint="eastAsia" w:ascii="Times New Roman" w:hAnsi="Times New Roman" w:eastAsia="宋体" w:cs="Times New Roman"/>
                <w:b w:val="0"/>
                <w:bCs/>
                <w:color w:val="auto"/>
                <w:spacing w:val="0"/>
                <w:sz w:val="24"/>
                <w:szCs w:val="24"/>
                <w:highlight w:val="none"/>
                <w:lang w:val="en-US" w:eastAsia="zh-CN"/>
              </w:rPr>
              <w:t>4</w:t>
            </w:r>
            <w:r>
              <w:rPr>
                <w:rFonts w:hint="eastAsia" w:cs="Times New Roman"/>
                <w:b w:val="0"/>
                <w:bCs/>
                <w:color w:val="auto"/>
                <w:spacing w:val="0"/>
                <w:sz w:val="24"/>
                <w:szCs w:val="24"/>
                <w:highlight w:val="none"/>
                <w:lang w:val="en-US" w:eastAsia="zh-CN"/>
              </w:rPr>
              <w:t>.5-6</w:t>
            </w:r>
            <w:r>
              <w:rPr>
                <w:rFonts w:hint="eastAsia" w:ascii="Times New Roman" w:hAnsi="Times New Roman" w:eastAsia="宋体" w:cs="Times New Roman"/>
                <w:b w:val="0"/>
                <w:bCs/>
                <w:color w:val="auto"/>
                <w:spacing w:val="-10"/>
                <w:sz w:val="24"/>
                <w:szCs w:val="24"/>
                <w:highlight w:val="none"/>
                <w:vertAlign w:val="baseline"/>
                <w:lang w:val="en-US" w:eastAsia="zh-CN"/>
              </w:rPr>
              <w:t>。</w:t>
            </w:r>
          </w:p>
          <w:p w14:paraId="4126A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outlineLvl w:val="9"/>
              <w:rPr>
                <w:rFonts w:hint="default" w:ascii="Times New Roman" w:hAnsi="Times New Roman" w:eastAsia="宋体" w:cs="Times New Roman"/>
                <w:b/>
                <w:bCs w:val="0"/>
                <w:color w:val="auto"/>
                <w:sz w:val="21"/>
                <w:szCs w:val="16"/>
                <w:highlight w:val="none"/>
                <w:lang w:val="en-US" w:eastAsia="zh-CN"/>
              </w:rPr>
            </w:pPr>
            <w:r>
              <w:rPr>
                <w:rFonts w:hint="default" w:ascii="Times New Roman" w:hAnsi="Times New Roman" w:eastAsia="宋体" w:cs="Times New Roman"/>
                <w:b/>
                <w:bCs w:val="0"/>
                <w:color w:val="auto"/>
                <w:sz w:val="21"/>
                <w:szCs w:val="16"/>
                <w:highlight w:val="none"/>
                <w:lang w:val="en-US" w:eastAsia="zh-CN"/>
              </w:rPr>
              <w:t>表</w:t>
            </w:r>
            <w:r>
              <w:rPr>
                <w:rFonts w:hint="eastAsia" w:ascii="Times New Roman" w:hAnsi="Times New Roman" w:eastAsia="宋体" w:cs="Times New Roman"/>
                <w:b/>
                <w:bCs w:val="0"/>
                <w:color w:val="auto"/>
                <w:sz w:val="21"/>
                <w:szCs w:val="16"/>
                <w:highlight w:val="none"/>
                <w:lang w:val="en-US" w:eastAsia="zh-CN"/>
              </w:rPr>
              <w:t>4</w:t>
            </w:r>
            <w:r>
              <w:rPr>
                <w:rFonts w:hint="eastAsia" w:cs="Times New Roman"/>
                <w:b/>
                <w:bCs w:val="0"/>
                <w:color w:val="auto"/>
                <w:sz w:val="21"/>
                <w:szCs w:val="16"/>
                <w:highlight w:val="none"/>
                <w:lang w:val="en-US" w:eastAsia="zh-CN"/>
              </w:rPr>
              <w:t>.5-6</w:t>
            </w:r>
            <w:r>
              <w:rPr>
                <w:rFonts w:hint="default" w:ascii="Times New Roman" w:hAnsi="Times New Roman" w:eastAsia="宋体" w:cs="Times New Roman"/>
                <w:b/>
                <w:bCs w:val="0"/>
                <w:color w:val="auto"/>
                <w:sz w:val="21"/>
                <w:szCs w:val="16"/>
                <w:highlight w:val="none"/>
                <w:lang w:val="en-US" w:eastAsia="zh-CN"/>
              </w:rPr>
              <w:t xml:space="preserve">  废气污染物非正常排放量核算表</w:t>
            </w:r>
          </w:p>
          <w:tbl>
            <w:tblPr>
              <w:tblStyle w:val="27"/>
              <w:tblW w:w="49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96"/>
              <w:gridCol w:w="2177"/>
              <w:gridCol w:w="1230"/>
              <w:gridCol w:w="1387"/>
              <w:gridCol w:w="1595"/>
              <w:gridCol w:w="1641"/>
              <w:gridCol w:w="1521"/>
              <w:gridCol w:w="1313"/>
              <w:gridCol w:w="2356"/>
            </w:tblGrid>
            <w:tr w14:paraId="685D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1F2A03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序号</w:t>
                  </w:r>
                </w:p>
              </w:tc>
              <w:tc>
                <w:tcPr>
                  <w:tcW w:w="787" w:type="pct"/>
                  <w:tcBorders>
                    <w:tl2br w:val="nil"/>
                    <w:tr2bl w:val="nil"/>
                  </w:tcBorders>
                  <w:vAlign w:val="center"/>
                </w:tcPr>
                <w:p w14:paraId="62C052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污染源</w:t>
                  </w:r>
                </w:p>
              </w:tc>
              <w:tc>
                <w:tcPr>
                  <w:tcW w:w="445" w:type="pct"/>
                  <w:tcBorders>
                    <w:tl2br w:val="nil"/>
                    <w:tr2bl w:val="nil"/>
                  </w:tcBorders>
                  <w:vAlign w:val="center"/>
                </w:tcPr>
                <w:p w14:paraId="5F8ED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污染物种类</w:t>
                  </w:r>
                </w:p>
              </w:tc>
              <w:tc>
                <w:tcPr>
                  <w:tcW w:w="501" w:type="pct"/>
                  <w:tcBorders>
                    <w:tl2br w:val="nil"/>
                    <w:tr2bl w:val="nil"/>
                  </w:tcBorders>
                  <w:vAlign w:val="center"/>
                </w:tcPr>
                <w:p w14:paraId="5B43B0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非正常排放</w:t>
                  </w:r>
                </w:p>
                <w:p w14:paraId="38FE6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原因</w:t>
                  </w:r>
                </w:p>
              </w:tc>
              <w:tc>
                <w:tcPr>
                  <w:tcW w:w="577" w:type="pct"/>
                  <w:tcBorders>
                    <w:tl2br w:val="nil"/>
                    <w:tr2bl w:val="nil"/>
                  </w:tcBorders>
                  <w:vAlign w:val="center"/>
                </w:tcPr>
                <w:p w14:paraId="5681E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非正常排放浓度</w:t>
                  </w:r>
                  <w:r>
                    <w:rPr>
                      <w:rFonts w:hint="default" w:ascii="Times New Roman" w:hAnsi="Times New Roman" w:eastAsia="宋体" w:cs="Times New Roman"/>
                      <w:b/>
                      <w:bCs/>
                      <w:color w:val="auto"/>
                      <w:kern w:val="2"/>
                      <w:sz w:val="21"/>
                      <w:szCs w:val="21"/>
                      <w:highlight w:val="none"/>
                      <w:lang w:val="en-US" w:eastAsia="zh-CN" w:bidi="ar-SA"/>
                    </w:rPr>
                    <w:t>mg/m</w:t>
                  </w:r>
                  <w:r>
                    <w:rPr>
                      <w:rFonts w:hint="default" w:ascii="Times New Roman" w:hAnsi="Times New Roman" w:eastAsia="宋体" w:cs="Times New Roman"/>
                      <w:b/>
                      <w:bCs/>
                      <w:color w:val="auto"/>
                      <w:kern w:val="2"/>
                      <w:sz w:val="21"/>
                      <w:szCs w:val="21"/>
                      <w:highlight w:val="none"/>
                      <w:vertAlign w:val="superscript"/>
                      <w:lang w:val="en-US" w:eastAsia="zh-CN" w:bidi="ar-SA"/>
                    </w:rPr>
                    <w:t>3</w:t>
                  </w:r>
                </w:p>
              </w:tc>
              <w:tc>
                <w:tcPr>
                  <w:tcW w:w="593" w:type="pct"/>
                  <w:tcBorders>
                    <w:tl2br w:val="nil"/>
                    <w:tr2bl w:val="nil"/>
                  </w:tcBorders>
                  <w:vAlign w:val="center"/>
                </w:tcPr>
                <w:p w14:paraId="0C4A4436">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非正常排放速率</w:t>
                  </w:r>
                </w:p>
                <w:p w14:paraId="2D7E9453">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kg/h</w:t>
                  </w:r>
                </w:p>
              </w:tc>
              <w:tc>
                <w:tcPr>
                  <w:tcW w:w="550" w:type="pct"/>
                  <w:tcBorders>
                    <w:tl2br w:val="nil"/>
                    <w:tr2bl w:val="nil"/>
                  </w:tcBorders>
                  <w:vAlign w:val="center"/>
                </w:tcPr>
                <w:p w14:paraId="3E402B33">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单次持续时间</w:t>
                  </w:r>
                </w:p>
                <w:p w14:paraId="324B4898">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h</w:t>
                  </w:r>
                </w:p>
              </w:tc>
              <w:tc>
                <w:tcPr>
                  <w:tcW w:w="475" w:type="pct"/>
                  <w:tcBorders>
                    <w:tl2br w:val="nil"/>
                    <w:tr2bl w:val="nil"/>
                  </w:tcBorders>
                  <w:vAlign w:val="center"/>
                </w:tcPr>
                <w:p w14:paraId="6966DDCB">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年发生频次</w:t>
                  </w:r>
                </w:p>
                <w:p w14:paraId="7291D42D">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次</w:t>
                  </w:r>
                </w:p>
              </w:tc>
              <w:tc>
                <w:tcPr>
                  <w:tcW w:w="852" w:type="pct"/>
                  <w:tcBorders>
                    <w:tl2br w:val="nil"/>
                    <w:tr2bl w:val="nil"/>
                  </w:tcBorders>
                  <w:vAlign w:val="center"/>
                </w:tcPr>
                <w:p w14:paraId="55FCE391">
                  <w:pPr>
                    <w:pStyle w:val="2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sz w:val="21"/>
                      <w:szCs w:val="21"/>
                      <w:highlight w:val="none"/>
                      <w:lang w:val="en-US" w:eastAsia="zh-CN"/>
                    </w:rPr>
                    <w:t>应对措施</w:t>
                  </w:r>
                </w:p>
              </w:tc>
            </w:tr>
            <w:tr w14:paraId="7084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48428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787" w:type="pct"/>
                  <w:tcBorders>
                    <w:tl2br w:val="nil"/>
                    <w:tr2bl w:val="nil"/>
                  </w:tcBorders>
                  <w:vAlign w:val="center"/>
                </w:tcPr>
                <w:p w14:paraId="7B015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振动给料机</w:t>
                  </w:r>
                </w:p>
              </w:tc>
              <w:tc>
                <w:tcPr>
                  <w:tcW w:w="445" w:type="pct"/>
                  <w:vMerge w:val="restart"/>
                  <w:tcBorders>
                    <w:tl2br w:val="nil"/>
                    <w:tr2bl w:val="nil"/>
                  </w:tcBorders>
                  <w:vAlign w:val="center"/>
                </w:tcPr>
                <w:p w14:paraId="676BB8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颗粒物</w:t>
                  </w:r>
                </w:p>
              </w:tc>
              <w:tc>
                <w:tcPr>
                  <w:tcW w:w="501" w:type="pct"/>
                  <w:vMerge w:val="restart"/>
                  <w:tcBorders>
                    <w:tl2br w:val="nil"/>
                    <w:tr2bl w:val="nil"/>
                  </w:tcBorders>
                  <w:vAlign w:val="center"/>
                </w:tcPr>
                <w:p w14:paraId="5296B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废气处理设施故障</w:t>
                  </w:r>
                </w:p>
              </w:tc>
              <w:tc>
                <w:tcPr>
                  <w:tcW w:w="577" w:type="pct"/>
                  <w:vMerge w:val="restart"/>
                  <w:tcBorders>
                    <w:tl2br w:val="nil"/>
                    <w:tr2bl w:val="nil"/>
                  </w:tcBorders>
                  <w:vAlign w:val="center"/>
                </w:tcPr>
                <w:p w14:paraId="1BA99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vertAlign w:val="baseline"/>
                      <w:lang w:val="en-US" w:eastAsia="zh-CN"/>
                    </w:rPr>
                    <w:t>2238</w:t>
                  </w:r>
                </w:p>
              </w:tc>
              <w:tc>
                <w:tcPr>
                  <w:tcW w:w="593" w:type="pct"/>
                  <w:tcBorders>
                    <w:tl2br w:val="nil"/>
                    <w:tr2bl w:val="nil"/>
                  </w:tcBorders>
                  <w:vAlign w:val="center"/>
                </w:tcPr>
                <w:p w14:paraId="52945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color w:val="auto"/>
                      <w:sz w:val="21"/>
                      <w:szCs w:val="21"/>
                      <w:highlight w:val="none"/>
                      <w:lang w:val="en-US" w:eastAsia="zh-CN"/>
                    </w:rPr>
                    <w:t>9.09</w:t>
                  </w:r>
                </w:p>
              </w:tc>
              <w:tc>
                <w:tcPr>
                  <w:tcW w:w="550" w:type="pct"/>
                  <w:tcBorders>
                    <w:tl2br w:val="nil"/>
                    <w:tr2bl w:val="nil"/>
                  </w:tcBorders>
                  <w:vAlign w:val="center"/>
                </w:tcPr>
                <w:p w14:paraId="086A08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11577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restart"/>
                  <w:tcBorders>
                    <w:tl2br w:val="nil"/>
                    <w:tr2bl w:val="nil"/>
                  </w:tcBorders>
                  <w:vAlign w:val="center"/>
                </w:tcPr>
                <w:p w14:paraId="02036A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立即停止生产，及时检修，故障解决后，恢复生产</w:t>
                  </w:r>
                </w:p>
              </w:tc>
            </w:tr>
            <w:tr w14:paraId="0F3E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655C7F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w:t>
                  </w:r>
                </w:p>
              </w:tc>
              <w:tc>
                <w:tcPr>
                  <w:tcW w:w="787" w:type="pct"/>
                  <w:tcBorders>
                    <w:tl2br w:val="nil"/>
                    <w:tr2bl w:val="nil"/>
                  </w:tcBorders>
                  <w:vAlign w:val="center"/>
                </w:tcPr>
                <w:p w14:paraId="181D2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颚式破碎机</w:t>
                  </w:r>
                </w:p>
              </w:tc>
              <w:tc>
                <w:tcPr>
                  <w:tcW w:w="445" w:type="pct"/>
                  <w:vMerge w:val="continue"/>
                  <w:tcBorders>
                    <w:tl2br w:val="nil"/>
                    <w:tr2bl w:val="nil"/>
                  </w:tcBorders>
                  <w:vAlign w:val="center"/>
                </w:tcPr>
                <w:p w14:paraId="7F181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1370E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continue"/>
                  <w:tcBorders>
                    <w:tl2br w:val="nil"/>
                    <w:tr2bl w:val="nil"/>
                  </w:tcBorders>
                  <w:vAlign w:val="center"/>
                </w:tcPr>
                <w:p w14:paraId="5C0FE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593" w:type="pct"/>
                  <w:tcBorders>
                    <w:tl2br w:val="nil"/>
                    <w:tr2bl w:val="nil"/>
                  </w:tcBorders>
                  <w:vAlign w:val="center"/>
                </w:tcPr>
                <w:p w14:paraId="21B96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eastAsia="宋体"/>
                      <w:color w:val="auto"/>
                      <w:sz w:val="21"/>
                      <w:szCs w:val="21"/>
                      <w:lang w:val="en-US" w:eastAsia="zh-CN"/>
                    </w:rPr>
                    <w:t>18.18</w:t>
                  </w:r>
                </w:p>
              </w:tc>
              <w:tc>
                <w:tcPr>
                  <w:tcW w:w="550" w:type="pct"/>
                  <w:tcBorders>
                    <w:tl2br w:val="nil"/>
                    <w:tr2bl w:val="nil"/>
                  </w:tcBorders>
                  <w:vAlign w:val="center"/>
                </w:tcPr>
                <w:p w14:paraId="766FE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2764C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159D6A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r w14:paraId="1439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7F73D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3</w:t>
                  </w:r>
                </w:p>
              </w:tc>
              <w:tc>
                <w:tcPr>
                  <w:tcW w:w="787" w:type="pct"/>
                  <w:tcBorders>
                    <w:tl2br w:val="nil"/>
                    <w:tr2bl w:val="nil"/>
                  </w:tcBorders>
                  <w:vAlign w:val="center"/>
                </w:tcPr>
                <w:p w14:paraId="31E83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1#振动筛</w:t>
                  </w:r>
                </w:p>
              </w:tc>
              <w:tc>
                <w:tcPr>
                  <w:tcW w:w="445" w:type="pct"/>
                  <w:vMerge w:val="continue"/>
                  <w:tcBorders>
                    <w:tl2br w:val="nil"/>
                    <w:tr2bl w:val="nil"/>
                  </w:tcBorders>
                  <w:vAlign w:val="center"/>
                </w:tcPr>
                <w:p w14:paraId="0FC9D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2191E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continue"/>
                  <w:tcBorders>
                    <w:tl2br w:val="nil"/>
                    <w:tr2bl w:val="nil"/>
                  </w:tcBorders>
                  <w:vAlign w:val="center"/>
                </w:tcPr>
                <w:p w14:paraId="7CCE8E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593" w:type="pct"/>
                  <w:tcBorders>
                    <w:tl2br w:val="nil"/>
                    <w:tr2bl w:val="nil"/>
                  </w:tcBorders>
                  <w:vAlign w:val="center"/>
                </w:tcPr>
                <w:p w14:paraId="2CDAA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仿宋" w:cs="Times New Roman"/>
                      <w:b w:val="0"/>
                      <w:bCs w:val="0"/>
                      <w:color w:val="auto"/>
                      <w:kern w:val="2"/>
                      <w:sz w:val="21"/>
                      <w:szCs w:val="21"/>
                      <w:highlight w:val="none"/>
                      <w:lang w:val="en-US" w:eastAsia="zh-CN" w:bidi="ar-SA"/>
                    </w:rPr>
                    <w:t>20</w:t>
                  </w:r>
                </w:p>
              </w:tc>
              <w:tc>
                <w:tcPr>
                  <w:tcW w:w="550" w:type="pct"/>
                  <w:tcBorders>
                    <w:tl2br w:val="nil"/>
                    <w:tr2bl w:val="nil"/>
                  </w:tcBorders>
                  <w:vAlign w:val="center"/>
                </w:tcPr>
                <w:p w14:paraId="295BA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1A229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4F2138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r w14:paraId="70C4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09632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4</w:t>
                  </w:r>
                </w:p>
              </w:tc>
              <w:tc>
                <w:tcPr>
                  <w:tcW w:w="787" w:type="pct"/>
                  <w:tcBorders>
                    <w:tl2br w:val="nil"/>
                    <w:tr2bl w:val="nil"/>
                  </w:tcBorders>
                  <w:vAlign w:val="center"/>
                </w:tcPr>
                <w:p w14:paraId="53D68F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1#细颚式破碎机</w:t>
                  </w:r>
                </w:p>
              </w:tc>
              <w:tc>
                <w:tcPr>
                  <w:tcW w:w="445" w:type="pct"/>
                  <w:vMerge w:val="continue"/>
                  <w:tcBorders>
                    <w:tl2br w:val="nil"/>
                    <w:tr2bl w:val="nil"/>
                  </w:tcBorders>
                  <w:vAlign w:val="center"/>
                </w:tcPr>
                <w:p w14:paraId="017E7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3D141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continue"/>
                  <w:tcBorders>
                    <w:tl2br w:val="nil"/>
                    <w:tr2bl w:val="nil"/>
                  </w:tcBorders>
                  <w:vAlign w:val="center"/>
                </w:tcPr>
                <w:p w14:paraId="21F8A4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593" w:type="pct"/>
                  <w:vMerge w:val="restart"/>
                  <w:tcBorders>
                    <w:tl2br w:val="nil"/>
                    <w:tr2bl w:val="nil"/>
                  </w:tcBorders>
                  <w:vAlign w:val="center"/>
                </w:tcPr>
                <w:p w14:paraId="3BC2F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仿宋" w:cs="Times New Roman"/>
                      <w:b w:val="0"/>
                      <w:bCs w:val="0"/>
                      <w:color w:val="auto"/>
                      <w:kern w:val="2"/>
                      <w:sz w:val="21"/>
                      <w:szCs w:val="21"/>
                      <w:highlight w:val="none"/>
                      <w:lang w:val="en-US" w:eastAsia="zh-CN" w:bidi="ar-SA"/>
                    </w:rPr>
                    <w:t>20</w:t>
                  </w:r>
                </w:p>
              </w:tc>
              <w:tc>
                <w:tcPr>
                  <w:tcW w:w="550" w:type="pct"/>
                  <w:tcBorders>
                    <w:tl2br w:val="nil"/>
                    <w:tr2bl w:val="nil"/>
                  </w:tcBorders>
                  <w:vAlign w:val="center"/>
                </w:tcPr>
                <w:p w14:paraId="41042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16903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239112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r w14:paraId="028F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7F5CC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5</w:t>
                  </w:r>
                </w:p>
              </w:tc>
              <w:tc>
                <w:tcPr>
                  <w:tcW w:w="787" w:type="pct"/>
                  <w:tcBorders>
                    <w:tl2br w:val="nil"/>
                    <w:tr2bl w:val="nil"/>
                  </w:tcBorders>
                  <w:vAlign w:val="center"/>
                </w:tcPr>
                <w:p w14:paraId="387CEF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2#细颚式破碎机</w:t>
                  </w:r>
                </w:p>
              </w:tc>
              <w:tc>
                <w:tcPr>
                  <w:tcW w:w="445" w:type="pct"/>
                  <w:vMerge w:val="continue"/>
                  <w:tcBorders>
                    <w:tl2br w:val="nil"/>
                    <w:tr2bl w:val="nil"/>
                  </w:tcBorders>
                  <w:vAlign w:val="center"/>
                </w:tcPr>
                <w:p w14:paraId="0D3087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13882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continue"/>
                  <w:tcBorders>
                    <w:tl2br w:val="nil"/>
                    <w:tr2bl w:val="nil"/>
                  </w:tcBorders>
                  <w:vAlign w:val="center"/>
                </w:tcPr>
                <w:p w14:paraId="6F8272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593" w:type="pct"/>
                  <w:vMerge w:val="continue"/>
                  <w:tcBorders>
                    <w:tl2br w:val="nil"/>
                    <w:tr2bl w:val="nil"/>
                  </w:tcBorders>
                  <w:vAlign w:val="center"/>
                </w:tcPr>
                <w:p w14:paraId="09C95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50" w:type="pct"/>
                  <w:tcBorders>
                    <w:tl2br w:val="nil"/>
                    <w:tr2bl w:val="nil"/>
                  </w:tcBorders>
                  <w:vAlign w:val="center"/>
                </w:tcPr>
                <w:p w14:paraId="187C6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69052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58A7F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r w14:paraId="2002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06C2A1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6</w:t>
                  </w:r>
                </w:p>
              </w:tc>
              <w:tc>
                <w:tcPr>
                  <w:tcW w:w="787" w:type="pct"/>
                  <w:tcBorders>
                    <w:tl2br w:val="nil"/>
                    <w:tr2bl w:val="nil"/>
                  </w:tcBorders>
                  <w:vAlign w:val="center"/>
                </w:tcPr>
                <w:p w14:paraId="0E623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制砂机</w:t>
                  </w:r>
                </w:p>
              </w:tc>
              <w:tc>
                <w:tcPr>
                  <w:tcW w:w="445" w:type="pct"/>
                  <w:vMerge w:val="continue"/>
                  <w:tcBorders>
                    <w:tl2br w:val="nil"/>
                    <w:tr2bl w:val="nil"/>
                  </w:tcBorders>
                  <w:vAlign w:val="center"/>
                </w:tcPr>
                <w:p w14:paraId="3EEA72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73BBA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restart"/>
                  <w:tcBorders>
                    <w:tl2br w:val="nil"/>
                    <w:tr2bl w:val="nil"/>
                  </w:tcBorders>
                  <w:vAlign w:val="center"/>
                </w:tcPr>
                <w:p w14:paraId="46B20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eastAsia" w:eastAsia="仿宋" w:cs="Times New Roman"/>
                      <w:b w:val="0"/>
                      <w:bCs w:val="0"/>
                      <w:color w:val="auto"/>
                      <w:kern w:val="2"/>
                      <w:sz w:val="21"/>
                      <w:szCs w:val="21"/>
                      <w:highlight w:val="none"/>
                      <w:lang w:val="en-US" w:eastAsia="zh-CN" w:bidi="ar-SA"/>
                    </w:rPr>
                    <w:t>1914</w:t>
                  </w:r>
                </w:p>
              </w:tc>
              <w:tc>
                <w:tcPr>
                  <w:tcW w:w="593" w:type="pct"/>
                  <w:tcBorders>
                    <w:tl2br w:val="nil"/>
                    <w:tr2bl w:val="nil"/>
                  </w:tcBorders>
                  <w:vAlign w:val="center"/>
                </w:tcPr>
                <w:p w14:paraId="328296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val="0"/>
                      <w:bCs w:val="0"/>
                      <w:color w:val="auto"/>
                      <w:kern w:val="2"/>
                      <w:sz w:val="21"/>
                      <w:szCs w:val="21"/>
                      <w:highlight w:val="none"/>
                      <w:lang w:val="en-US" w:eastAsia="zh-CN" w:bidi="ar-SA"/>
                    </w:rPr>
                  </w:pPr>
                  <w:r>
                    <w:rPr>
                      <w:rFonts w:hint="eastAsia" w:ascii="Times New Roman" w:hAnsi="Times New Roman" w:eastAsia="仿宋" w:cs="Times New Roman"/>
                      <w:b w:val="0"/>
                      <w:bCs w:val="0"/>
                      <w:color w:val="auto"/>
                      <w:kern w:val="2"/>
                      <w:sz w:val="21"/>
                      <w:szCs w:val="21"/>
                      <w:highlight w:val="none"/>
                      <w:lang w:val="en-US" w:eastAsia="zh-CN" w:bidi="ar-SA"/>
                    </w:rPr>
                    <w:t>20</w:t>
                  </w:r>
                </w:p>
              </w:tc>
              <w:tc>
                <w:tcPr>
                  <w:tcW w:w="550" w:type="pct"/>
                  <w:tcBorders>
                    <w:tl2br w:val="nil"/>
                    <w:tr2bl w:val="nil"/>
                  </w:tcBorders>
                  <w:vAlign w:val="center"/>
                </w:tcPr>
                <w:p w14:paraId="53F59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4F276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71AA3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r w14:paraId="3388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215" w:type="pct"/>
                  <w:tcBorders>
                    <w:tl2br w:val="nil"/>
                    <w:tr2bl w:val="nil"/>
                  </w:tcBorders>
                  <w:vAlign w:val="center"/>
                </w:tcPr>
                <w:p w14:paraId="4A4C3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7</w:t>
                  </w:r>
                </w:p>
              </w:tc>
              <w:tc>
                <w:tcPr>
                  <w:tcW w:w="787" w:type="pct"/>
                  <w:tcBorders>
                    <w:tl2br w:val="nil"/>
                    <w:tr2bl w:val="nil"/>
                  </w:tcBorders>
                  <w:vAlign w:val="center"/>
                </w:tcPr>
                <w:p w14:paraId="4F3B38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2#振动筛</w:t>
                  </w:r>
                </w:p>
              </w:tc>
              <w:tc>
                <w:tcPr>
                  <w:tcW w:w="445" w:type="pct"/>
                  <w:vMerge w:val="continue"/>
                  <w:tcBorders>
                    <w:tl2br w:val="nil"/>
                    <w:tr2bl w:val="nil"/>
                  </w:tcBorders>
                  <w:vAlign w:val="center"/>
                </w:tcPr>
                <w:p w14:paraId="198B24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c>
                <w:tcPr>
                  <w:tcW w:w="501" w:type="pct"/>
                  <w:vMerge w:val="continue"/>
                  <w:tcBorders>
                    <w:tl2br w:val="nil"/>
                    <w:tr2bl w:val="nil"/>
                  </w:tcBorders>
                  <w:vAlign w:val="center"/>
                </w:tcPr>
                <w:p w14:paraId="4B879C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p>
              </w:tc>
              <w:tc>
                <w:tcPr>
                  <w:tcW w:w="577" w:type="pct"/>
                  <w:vMerge w:val="continue"/>
                  <w:tcBorders>
                    <w:tl2br w:val="nil"/>
                    <w:tr2bl w:val="nil"/>
                  </w:tcBorders>
                  <w:vAlign w:val="center"/>
                </w:tcPr>
                <w:p w14:paraId="39F4E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仿宋" w:cs="Times New Roman"/>
                      <w:b w:val="0"/>
                      <w:bCs w:val="0"/>
                      <w:color w:val="auto"/>
                      <w:kern w:val="2"/>
                      <w:sz w:val="21"/>
                      <w:szCs w:val="21"/>
                      <w:highlight w:val="none"/>
                      <w:lang w:val="en-US" w:eastAsia="zh-CN" w:bidi="ar-SA"/>
                    </w:rPr>
                  </w:pPr>
                </w:p>
              </w:tc>
              <w:tc>
                <w:tcPr>
                  <w:tcW w:w="593" w:type="pct"/>
                  <w:tcBorders>
                    <w:tl2br w:val="nil"/>
                    <w:tr2bl w:val="nil"/>
                  </w:tcBorders>
                  <w:vAlign w:val="center"/>
                </w:tcPr>
                <w:p w14:paraId="3A1DE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仿宋" w:cs="Times New Roman"/>
                      <w:b w:val="0"/>
                      <w:bCs w:val="0"/>
                      <w:color w:val="auto"/>
                      <w:kern w:val="2"/>
                      <w:sz w:val="21"/>
                      <w:szCs w:val="21"/>
                      <w:highlight w:val="none"/>
                      <w:lang w:val="en-US" w:eastAsia="zh-CN" w:bidi="ar-SA"/>
                    </w:rPr>
                    <w:t>20</w:t>
                  </w:r>
                </w:p>
              </w:tc>
              <w:tc>
                <w:tcPr>
                  <w:tcW w:w="550" w:type="pct"/>
                  <w:tcBorders>
                    <w:tl2br w:val="nil"/>
                    <w:tr2bl w:val="nil"/>
                  </w:tcBorders>
                  <w:vAlign w:val="center"/>
                </w:tcPr>
                <w:p w14:paraId="0C736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0.5</w:t>
                  </w:r>
                </w:p>
              </w:tc>
              <w:tc>
                <w:tcPr>
                  <w:tcW w:w="475" w:type="pct"/>
                  <w:tcBorders>
                    <w:tl2br w:val="nil"/>
                    <w:tr2bl w:val="nil"/>
                  </w:tcBorders>
                  <w:vAlign w:val="center"/>
                </w:tcPr>
                <w:p w14:paraId="33386A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kern w:val="2"/>
                      <w:sz w:val="21"/>
                      <w:szCs w:val="21"/>
                      <w:highlight w:val="none"/>
                      <w:lang w:val="en-US" w:eastAsia="zh-CN" w:bidi="ar-SA"/>
                    </w:rPr>
                    <w:t>1</w:t>
                  </w:r>
                </w:p>
              </w:tc>
              <w:tc>
                <w:tcPr>
                  <w:tcW w:w="852" w:type="pct"/>
                  <w:vMerge w:val="continue"/>
                  <w:tcBorders>
                    <w:tl2br w:val="nil"/>
                    <w:tr2bl w:val="nil"/>
                  </w:tcBorders>
                  <w:vAlign w:val="center"/>
                </w:tcPr>
                <w:p w14:paraId="636153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val="0"/>
                      <w:bCs w:val="0"/>
                      <w:color w:val="auto"/>
                      <w:kern w:val="2"/>
                      <w:sz w:val="21"/>
                      <w:szCs w:val="21"/>
                      <w:highlight w:val="none"/>
                      <w:lang w:val="en-US" w:eastAsia="zh-CN" w:bidi="ar-SA"/>
                    </w:rPr>
                  </w:pPr>
                </w:p>
              </w:tc>
            </w:tr>
          </w:tbl>
          <w:p w14:paraId="6E436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eastAsia="宋体" w:cs="Times New Roman"/>
                <w:b/>
                <w:bCs w:val="0"/>
                <w:color w:val="auto"/>
                <w:sz w:val="24"/>
                <w:szCs w:val="24"/>
                <w:highlight w:val="none"/>
                <w:lang w:val="en-US" w:eastAsia="zh-CN"/>
              </w:rPr>
            </w:pPr>
          </w:p>
          <w:p w14:paraId="0550D1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40" w:firstLineChars="200"/>
              <w:jc w:val="both"/>
              <w:textAlignment w:val="auto"/>
              <w:rPr>
                <w:rFonts w:hint="default" w:ascii="Times New Roman" w:hAnsi="Times New Roman" w:eastAsia="宋体" w:cs="Times New Roman"/>
                <w:b w:val="0"/>
                <w:bCs/>
                <w:color w:val="auto"/>
                <w:spacing w:val="-10"/>
                <w:sz w:val="24"/>
                <w:szCs w:val="24"/>
                <w:highlight w:val="none"/>
                <w:vertAlign w:val="baseline"/>
                <w:lang w:val="en-US" w:eastAsia="zh-CN"/>
              </w:rPr>
            </w:pPr>
          </w:p>
        </w:tc>
      </w:tr>
    </w:tbl>
    <w:p w14:paraId="3C205FC0">
      <w:pPr>
        <w:pStyle w:val="36"/>
        <w:rPr>
          <w:rFonts w:hint="default"/>
          <w:color w:val="auto"/>
          <w:highlight w:val="none"/>
        </w:rPr>
        <w:sectPr>
          <w:headerReference r:id="rId11" w:type="default"/>
          <w:pgSz w:w="16840" w:h="11907" w:orient="landscape"/>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1"/>
        <w:gridCol w:w="8760"/>
      </w:tblGrid>
      <w:tr w14:paraId="185311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71" w:type="dxa"/>
            <w:tcBorders>
              <w:tl2br w:val="nil"/>
              <w:tr2bl w:val="nil"/>
            </w:tcBorders>
            <w:vAlign w:val="center"/>
          </w:tcPr>
          <w:p w14:paraId="54F20F5D">
            <w:pPr>
              <w:keepNext w:val="0"/>
              <w:keepLines w:val="0"/>
              <w:suppressLineNumbers w:val="0"/>
              <w:adjustRightInd w:val="0"/>
              <w:snapToGrid w:val="0"/>
              <w:spacing w:before="0" w:beforeAutospacing="0" w:after="0" w:afterAutospacing="0"/>
              <w:ind w:left="0" w:right="0"/>
              <w:jc w:val="center"/>
              <w:rPr>
                <w:rFonts w:hint="default"/>
                <w:b/>
                <w:bCs w:val="0"/>
                <w:color w:val="auto"/>
                <w:highlight w:val="none"/>
                <w:vertAlign w:val="baseline"/>
              </w:rPr>
            </w:pPr>
            <w:r>
              <w:rPr>
                <w:rFonts w:hint="default" w:ascii="Times New Roman" w:hAnsi="Times New Roman" w:eastAsia="宋体" w:cs="Times New Roman"/>
                <w:b/>
                <w:bCs w:val="0"/>
                <w:color w:val="auto"/>
                <w:szCs w:val="21"/>
                <w:highlight w:val="none"/>
              </w:rPr>
              <w:t>运营期环境影响和保护</w:t>
            </w:r>
            <w:r>
              <w:rPr>
                <w:rFonts w:hint="default" w:ascii="Times New Roman" w:hAnsi="Times New Roman" w:eastAsia="宋体" w:cs="Times New Roman"/>
                <w:b/>
                <w:bCs w:val="0"/>
                <w:color w:val="auto"/>
                <w:szCs w:val="21"/>
                <w:highlight w:val="none"/>
                <w:lang w:val="en-US" w:eastAsia="zh-CN"/>
              </w:rPr>
              <w:t>措施</w:t>
            </w:r>
          </w:p>
        </w:tc>
        <w:tc>
          <w:tcPr>
            <w:tcW w:w="8760" w:type="dxa"/>
            <w:tcBorders>
              <w:tl2br w:val="nil"/>
              <w:tr2bl w:val="nil"/>
            </w:tcBorders>
            <w:vAlign w:val="center"/>
          </w:tcPr>
          <w:p w14:paraId="75FEE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eastAsia="宋体" w:cs="Times New Roman"/>
                <w:b/>
                <w:bCs w:val="0"/>
                <w:color w:val="auto"/>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4.5.</w:t>
            </w:r>
            <w:r>
              <w:rPr>
                <w:rFonts w:hint="eastAsia" w:ascii="Times New Roman" w:hAnsi="Times New Roman" w:eastAsia="宋体" w:cs="Times New Roman"/>
                <w:b/>
                <w:bCs w:val="0"/>
                <w:color w:val="auto"/>
                <w:sz w:val="24"/>
                <w:szCs w:val="24"/>
                <w:highlight w:val="none"/>
                <w:lang w:val="en-US" w:eastAsia="zh-CN"/>
              </w:rPr>
              <w:t>4大气环境影响分析</w:t>
            </w:r>
          </w:p>
          <w:p w14:paraId="286F53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本项目运营期产生的废气污染物为颗粒物，根据现场勘察，项目厂界500m范围内</w:t>
            </w:r>
            <w:r>
              <w:rPr>
                <w:rFonts w:hint="eastAsia" w:cs="Times New Roman"/>
                <w:b w:val="0"/>
                <w:bCs/>
                <w:color w:val="auto"/>
                <w:sz w:val="24"/>
                <w:szCs w:val="24"/>
                <w:highlight w:val="none"/>
                <w:lang w:val="en-US" w:eastAsia="zh-CN"/>
              </w:rPr>
              <w:t>无大气</w:t>
            </w:r>
            <w:r>
              <w:rPr>
                <w:rFonts w:hint="eastAsia" w:ascii="Times New Roman" w:hAnsi="Times New Roman" w:eastAsia="宋体" w:cs="Times New Roman"/>
                <w:b w:val="0"/>
                <w:bCs/>
                <w:color w:val="auto"/>
                <w:sz w:val="24"/>
                <w:szCs w:val="24"/>
                <w:highlight w:val="none"/>
                <w:lang w:val="en-US" w:eastAsia="zh-CN"/>
              </w:rPr>
              <w:t>环境保护目标，所在区域环境空气质量为不达标区，当地政府全面贯彻落实大气污染防治攻坚措施，将不断改善区域环境空气质量。</w:t>
            </w:r>
          </w:p>
          <w:p w14:paraId="26CE0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（1）有组织废气</w:t>
            </w:r>
          </w:p>
          <w:p w14:paraId="76668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lang w:eastAsia="zh-CN"/>
              </w:rPr>
            </w:pPr>
            <w:r>
              <w:rPr>
                <w:rFonts w:hint="eastAsia" w:ascii="Times New Roman" w:hAnsi="Times New Roman" w:eastAsia="宋体" w:cs="Times New Roman"/>
                <w:b w:val="0"/>
                <w:bCs/>
                <w:color w:val="auto"/>
                <w:sz w:val="24"/>
                <w:szCs w:val="24"/>
                <w:highlight w:val="none"/>
                <w:lang w:val="en-US" w:eastAsia="zh-CN"/>
              </w:rPr>
              <w:t>本项目有组织废气污染源</w:t>
            </w:r>
            <w:r>
              <w:rPr>
                <w:rFonts w:hint="eastAsia" w:cs="Times New Roman"/>
                <w:b w:val="0"/>
                <w:bCs/>
                <w:color w:val="auto"/>
                <w:sz w:val="24"/>
                <w:szCs w:val="24"/>
                <w:highlight w:val="none"/>
                <w:lang w:val="en-US" w:eastAsia="zh-CN"/>
              </w:rPr>
              <w:t>主要</w:t>
            </w:r>
            <w:r>
              <w:rPr>
                <w:rFonts w:hint="eastAsia" w:ascii="Times New Roman" w:hAnsi="Times New Roman" w:eastAsia="宋体" w:cs="Times New Roman"/>
                <w:b w:val="0"/>
                <w:bCs/>
                <w:color w:val="auto"/>
                <w:sz w:val="24"/>
                <w:szCs w:val="24"/>
                <w:highlight w:val="none"/>
                <w:lang w:val="en-US" w:eastAsia="zh-CN"/>
              </w:rPr>
              <w:t>为给料、</w:t>
            </w:r>
            <w:r>
              <w:rPr>
                <w:rFonts w:hint="eastAsia" w:cs="Times New Roman"/>
                <w:b w:val="0"/>
                <w:bCs/>
                <w:color w:val="auto"/>
                <w:sz w:val="24"/>
                <w:szCs w:val="24"/>
                <w:highlight w:val="none"/>
                <w:lang w:val="en-US" w:eastAsia="zh-CN"/>
              </w:rPr>
              <w:t>破碎、筛分、制砂工序</w:t>
            </w:r>
            <w:r>
              <w:rPr>
                <w:rFonts w:hint="eastAsia" w:ascii="Times New Roman" w:hAnsi="Times New Roman" w:eastAsia="宋体" w:cs="Times New Roman"/>
                <w:b w:val="0"/>
                <w:bCs/>
                <w:color w:val="auto"/>
                <w:sz w:val="24"/>
                <w:szCs w:val="24"/>
                <w:highlight w:val="none"/>
                <w:lang w:val="en-US" w:eastAsia="zh-CN"/>
              </w:rPr>
              <w:t>产生的粉尘</w:t>
            </w:r>
            <w:r>
              <w:rPr>
                <w:rFonts w:hint="eastAsia" w:cs="Times New Roman"/>
                <w:b w:val="0"/>
                <w:bCs/>
                <w:color w:val="auto"/>
                <w:sz w:val="24"/>
                <w:szCs w:val="24"/>
                <w:highlight w:val="none"/>
                <w:lang w:val="en-US" w:eastAsia="zh-CN"/>
              </w:rPr>
              <w:t>。</w:t>
            </w:r>
            <w:r>
              <w:rPr>
                <w:rFonts w:hint="default" w:ascii="Times New Roman" w:hAnsi="Times New Roman"/>
                <w:color w:val="auto"/>
                <w:sz w:val="24"/>
                <w:lang w:eastAsia="zh-CN"/>
              </w:rPr>
              <w:t>给料机</w:t>
            </w:r>
            <w:r>
              <w:rPr>
                <w:rFonts w:hint="eastAsia"/>
                <w:color w:val="auto"/>
                <w:sz w:val="24"/>
                <w:lang w:val="en-US" w:eastAsia="zh-CN"/>
              </w:rPr>
              <w:t>上方安装柜式集气罩</w:t>
            </w:r>
            <w:r>
              <w:rPr>
                <w:rFonts w:hint="default" w:ascii="Times New Roman" w:hAnsi="Times New Roman"/>
                <w:color w:val="auto"/>
                <w:sz w:val="24"/>
                <w:lang w:eastAsia="zh-CN"/>
              </w:rPr>
              <w:t>，</w:t>
            </w:r>
            <w:r>
              <w:rPr>
                <w:rFonts w:hint="eastAsia"/>
                <w:color w:val="auto"/>
                <w:sz w:val="24"/>
                <w:lang w:val="en-US" w:eastAsia="zh-CN"/>
              </w:rPr>
              <w:t>颚式破碎机、1#振动筛和2台细颚式破碎机为全封闭式，上方均</w:t>
            </w:r>
            <w:r>
              <w:rPr>
                <w:rFonts w:hint="default"/>
                <w:color w:val="auto"/>
                <w:sz w:val="24"/>
              </w:rPr>
              <w:t>设置</w:t>
            </w:r>
            <w:r>
              <w:rPr>
                <w:rFonts w:hint="eastAsia"/>
                <w:color w:val="auto"/>
                <w:sz w:val="24"/>
                <w:lang w:val="en-US" w:eastAsia="zh-CN"/>
              </w:rPr>
              <w:t>集气管道</w:t>
            </w:r>
            <w:r>
              <w:rPr>
                <w:rFonts w:hint="eastAsia"/>
                <w:color w:val="auto"/>
                <w:sz w:val="24"/>
              </w:rPr>
              <w:t>，废气</w:t>
            </w:r>
            <w:r>
              <w:rPr>
                <w:rFonts w:hint="eastAsia"/>
                <w:color w:val="auto"/>
                <w:sz w:val="24"/>
                <w:lang w:val="en-US" w:eastAsia="zh-CN"/>
              </w:rPr>
              <w:t>经收集后共同引入</w:t>
            </w:r>
            <w:r>
              <w:rPr>
                <w:rFonts w:hint="eastAsia"/>
                <w:color w:val="auto"/>
                <w:sz w:val="24"/>
                <w:highlight w:val="none"/>
                <w:lang w:val="en-US" w:eastAsia="zh-CN"/>
              </w:rPr>
              <w:t>1台</w:t>
            </w:r>
            <w:r>
              <w:rPr>
                <w:rFonts w:hint="eastAsia"/>
                <w:color w:val="auto"/>
                <w:sz w:val="24"/>
                <w:highlight w:val="none"/>
              </w:rPr>
              <w:t>布袋除尘器</w:t>
            </w:r>
            <w:r>
              <w:rPr>
                <w:rFonts w:hint="eastAsia"/>
                <w:color w:val="auto"/>
                <w:sz w:val="24"/>
                <w:highlight w:val="none"/>
                <w:lang w:eastAsia="zh-CN"/>
              </w:rPr>
              <w:t>（</w:t>
            </w:r>
            <w:r>
              <w:rPr>
                <w:rFonts w:hint="eastAsia"/>
                <w:color w:val="auto"/>
                <w:sz w:val="24"/>
                <w:highlight w:val="none"/>
                <w:lang w:val="en-US" w:eastAsia="zh-CN"/>
              </w:rPr>
              <w:t>TA001</w:t>
            </w:r>
            <w:r>
              <w:rPr>
                <w:rFonts w:hint="eastAsia"/>
                <w:color w:val="auto"/>
                <w:sz w:val="24"/>
                <w:highlight w:val="none"/>
                <w:lang w:eastAsia="zh-CN"/>
              </w:rPr>
              <w:t>）</w:t>
            </w:r>
            <w:r>
              <w:rPr>
                <w:rFonts w:hint="eastAsia"/>
                <w:color w:val="auto"/>
                <w:sz w:val="24"/>
              </w:rPr>
              <w:t>处理</w:t>
            </w:r>
            <w:r>
              <w:rPr>
                <w:rFonts w:hint="eastAsia"/>
                <w:color w:val="auto"/>
                <w:sz w:val="24"/>
                <w:lang w:val="en-US" w:eastAsia="zh-CN"/>
              </w:rPr>
              <w:t>后</w:t>
            </w:r>
            <w:r>
              <w:rPr>
                <w:rFonts w:hint="eastAsia"/>
                <w:color w:val="auto"/>
                <w:sz w:val="24"/>
              </w:rPr>
              <w:t>，</w:t>
            </w:r>
            <w:r>
              <w:rPr>
                <w:rFonts w:hint="eastAsia"/>
                <w:color w:val="auto"/>
                <w:sz w:val="24"/>
                <w:lang w:val="en-US" w:eastAsia="zh-CN"/>
              </w:rPr>
              <w:t>由</w:t>
            </w:r>
            <w:r>
              <w:rPr>
                <w:rFonts w:hint="default"/>
                <w:color w:val="auto"/>
                <w:sz w:val="24"/>
              </w:rPr>
              <w:t>1根</w:t>
            </w:r>
            <w:r>
              <w:rPr>
                <w:rFonts w:hint="eastAsia"/>
                <w:color w:val="auto"/>
                <w:sz w:val="24"/>
                <w:lang w:val="en-US" w:eastAsia="zh-CN"/>
              </w:rPr>
              <w:t>20</w:t>
            </w:r>
            <w:r>
              <w:rPr>
                <w:rFonts w:hint="default"/>
                <w:color w:val="auto"/>
                <w:sz w:val="24"/>
              </w:rPr>
              <w:t>m高排气筒（</w:t>
            </w:r>
            <w:r>
              <w:rPr>
                <w:rFonts w:hint="eastAsia"/>
                <w:color w:val="auto"/>
                <w:sz w:val="24"/>
              </w:rPr>
              <w:t>D</w:t>
            </w:r>
            <w:r>
              <w:rPr>
                <w:rFonts w:hint="default"/>
                <w:color w:val="auto"/>
                <w:sz w:val="24"/>
              </w:rPr>
              <w:t>A00</w:t>
            </w:r>
            <w:r>
              <w:rPr>
                <w:rFonts w:hint="eastAsia"/>
                <w:color w:val="auto"/>
                <w:sz w:val="24"/>
                <w:lang w:val="en-US" w:eastAsia="zh-CN"/>
              </w:rPr>
              <w:t>1</w:t>
            </w:r>
            <w:r>
              <w:rPr>
                <w:rFonts w:hint="default"/>
                <w:color w:val="auto"/>
                <w:sz w:val="24"/>
              </w:rPr>
              <w:t>）排放</w:t>
            </w:r>
            <w:r>
              <w:rPr>
                <w:rFonts w:hint="eastAsia"/>
                <w:color w:val="auto"/>
                <w:sz w:val="24"/>
                <w:lang w:eastAsia="zh-CN"/>
              </w:rPr>
              <w:t>。</w:t>
            </w:r>
            <w:r>
              <w:rPr>
                <w:rFonts w:hint="eastAsia"/>
                <w:color w:val="auto"/>
                <w:sz w:val="24"/>
                <w:lang w:val="en-US" w:eastAsia="zh-CN"/>
              </w:rPr>
              <w:t>制砂机和2振动筛均为全封闭式，上方设置集气管道，</w:t>
            </w:r>
            <w:r>
              <w:rPr>
                <w:rFonts w:hint="eastAsia"/>
                <w:color w:val="auto"/>
                <w:sz w:val="24"/>
              </w:rPr>
              <w:t>废气</w:t>
            </w:r>
            <w:r>
              <w:rPr>
                <w:rFonts w:hint="eastAsia"/>
                <w:color w:val="auto"/>
                <w:sz w:val="24"/>
                <w:lang w:val="en-US" w:eastAsia="zh-CN"/>
              </w:rPr>
              <w:t>经收集后共同引入</w:t>
            </w:r>
            <w:r>
              <w:rPr>
                <w:rFonts w:hint="eastAsia"/>
                <w:color w:val="auto"/>
                <w:sz w:val="24"/>
                <w:highlight w:val="none"/>
                <w:lang w:val="en-US" w:eastAsia="zh-CN"/>
              </w:rPr>
              <w:t>1台</w:t>
            </w:r>
            <w:r>
              <w:rPr>
                <w:rFonts w:hint="eastAsia"/>
                <w:color w:val="auto"/>
                <w:sz w:val="24"/>
                <w:highlight w:val="none"/>
              </w:rPr>
              <w:t>布袋除尘器</w:t>
            </w:r>
            <w:r>
              <w:rPr>
                <w:rFonts w:hint="eastAsia"/>
                <w:color w:val="auto"/>
                <w:sz w:val="24"/>
                <w:highlight w:val="none"/>
                <w:lang w:eastAsia="zh-CN"/>
              </w:rPr>
              <w:t>（</w:t>
            </w:r>
            <w:r>
              <w:rPr>
                <w:rFonts w:hint="eastAsia"/>
                <w:color w:val="auto"/>
                <w:sz w:val="24"/>
                <w:highlight w:val="none"/>
                <w:lang w:val="en-US" w:eastAsia="zh-CN"/>
              </w:rPr>
              <w:t>TA002</w:t>
            </w:r>
            <w:r>
              <w:rPr>
                <w:rFonts w:hint="eastAsia"/>
                <w:color w:val="auto"/>
                <w:sz w:val="24"/>
                <w:highlight w:val="none"/>
                <w:lang w:eastAsia="zh-CN"/>
              </w:rPr>
              <w:t>）</w:t>
            </w:r>
            <w:r>
              <w:rPr>
                <w:rFonts w:hint="eastAsia"/>
                <w:color w:val="auto"/>
                <w:sz w:val="24"/>
              </w:rPr>
              <w:t>处理</w:t>
            </w:r>
            <w:r>
              <w:rPr>
                <w:rFonts w:hint="eastAsia"/>
                <w:color w:val="auto"/>
                <w:sz w:val="24"/>
                <w:lang w:val="en-US" w:eastAsia="zh-CN"/>
              </w:rPr>
              <w:t>后</w:t>
            </w:r>
            <w:r>
              <w:rPr>
                <w:rFonts w:hint="eastAsia"/>
                <w:color w:val="auto"/>
                <w:sz w:val="24"/>
              </w:rPr>
              <w:t>，</w:t>
            </w:r>
            <w:r>
              <w:rPr>
                <w:rFonts w:hint="eastAsia"/>
                <w:color w:val="auto"/>
                <w:sz w:val="24"/>
                <w:lang w:val="en-US" w:eastAsia="zh-CN"/>
              </w:rPr>
              <w:t>由</w:t>
            </w:r>
            <w:r>
              <w:rPr>
                <w:rFonts w:hint="default"/>
                <w:color w:val="auto"/>
                <w:sz w:val="24"/>
              </w:rPr>
              <w:t>1根</w:t>
            </w:r>
            <w:r>
              <w:rPr>
                <w:rFonts w:hint="eastAsia"/>
                <w:color w:val="auto"/>
                <w:sz w:val="24"/>
                <w:lang w:val="en-US" w:eastAsia="zh-CN"/>
              </w:rPr>
              <w:t>20</w:t>
            </w:r>
            <w:r>
              <w:rPr>
                <w:rFonts w:hint="default"/>
                <w:color w:val="auto"/>
                <w:sz w:val="24"/>
              </w:rPr>
              <w:t>m高排气筒（</w:t>
            </w:r>
            <w:r>
              <w:rPr>
                <w:rFonts w:hint="eastAsia"/>
                <w:color w:val="auto"/>
                <w:sz w:val="24"/>
              </w:rPr>
              <w:t>D</w:t>
            </w:r>
            <w:r>
              <w:rPr>
                <w:rFonts w:hint="default"/>
                <w:color w:val="auto"/>
                <w:sz w:val="24"/>
              </w:rPr>
              <w:t>A00</w:t>
            </w:r>
            <w:r>
              <w:rPr>
                <w:rFonts w:hint="eastAsia"/>
                <w:color w:val="auto"/>
                <w:sz w:val="24"/>
                <w:lang w:val="en-US" w:eastAsia="zh-CN"/>
              </w:rPr>
              <w:t>2</w:t>
            </w:r>
            <w:r>
              <w:rPr>
                <w:rFonts w:hint="default"/>
                <w:color w:val="auto"/>
                <w:sz w:val="24"/>
              </w:rPr>
              <w:t>）排放</w:t>
            </w:r>
            <w:r>
              <w:rPr>
                <w:rFonts w:hint="eastAsia"/>
                <w:color w:val="auto"/>
                <w:sz w:val="24"/>
                <w:lang w:eastAsia="zh-CN"/>
              </w:rPr>
              <w:t>。</w:t>
            </w:r>
          </w:p>
          <w:p w14:paraId="5D3EFADA">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eastAsia"/>
                <w:color w:val="auto"/>
                <w:sz w:val="24"/>
                <w:szCs w:val="24"/>
                <w:lang w:eastAsia="zh-CN"/>
              </w:rPr>
            </w:pPr>
            <w:r>
              <w:rPr>
                <w:rFonts w:hint="eastAsia" w:hAnsi="宋体"/>
                <w:color w:val="auto"/>
                <w:sz w:val="24"/>
                <w:szCs w:val="24"/>
              </w:rPr>
              <w:t>布袋除尘器的工作原理是含尘气流从下部孔板进入圆筒形滤袋内，在通过滤料的孔隙时，粉尘被捕集于滤料上，透过滤料的清洁气体由排出口排出。沉积在滤料上的粉尘，可在机械振动的作用下从滤料表面脱落，落入灰斗中。用以捕集非粘结非纤维性的工业粉尘，捕获粉尘微粒可达0.1微米。袋式除尘器具有很高的净化效率，捕集细微的粉尘效率可达99.9%以上，其效率比较高。对于微细的干燥颗粒物，采用袋式除尘器捕集是适宜的。经以上计算，在采用布袋除尘器后，颗粒物排放浓度不大于10mg/m</w:t>
            </w:r>
            <w:r>
              <w:rPr>
                <w:rFonts w:hint="eastAsia" w:hAnsi="宋体"/>
                <w:color w:val="auto"/>
                <w:sz w:val="24"/>
                <w:szCs w:val="24"/>
                <w:vertAlign w:val="superscript"/>
              </w:rPr>
              <w:t>3</w:t>
            </w:r>
            <w:r>
              <w:rPr>
                <w:rFonts w:hint="eastAsia" w:hAnsi="宋体"/>
                <w:color w:val="auto"/>
                <w:sz w:val="24"/>
                <w:szCs w:val="24"/>
              </w:rPr>
              <w:t>，实现达标排放。</w:t>
            </w:r>
          </w:p>
          <w:p w14:paraId="025DA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color w:val="auto"/>
                <w:sz w:val="24"/>
                <w:lang w:val="en-US" w:eastAsia="zh-CN"/>
              </w:rPr>
              <w:t>本项目运营期</w:t>
            </w:r>
            <w:r>
              <w:rPr>
                <w:rFonts w:hint="eastAsia" w:cs="Times New Roman"/>
                <w:b w:val="0"/>
                <w:bCs/>
                <w:color w:val="auto"/>
                <w:sz w:val="24"/>
                <w:szCs w:val="24"/>
                <w:highlight w:val="none"/>
                <w:lang w:val="en-US" w:eastAsia="zh-CN"/>
              </w:rPr>
              <w:t>有组织颗粒物</w:t>
            </w:r>
            <w:r>
              <w:rPr>
                <w:rFonts w:hint="eastAsia" w:ascii="Times New Roman" w:hAnsi="Times New Roman" w:eastAsia="宋体" w:cs="Times New Roman"/>
                <w:b w:val="0"/>
                <w:bCs/>
                <w:color w:val="auto"/>
                <w:sz w:val="24"/>
                <w:szCs w:val="24"/>
                <w:highlight w:val="none"/>
                <w:lang w:val="en-US" w:eastAsia="zh-CN"/>
              </w:rPr>
              <w:t>排放浓度均满足《大气污染物综合排放标准》（GB16297-1996）表2二级标准要求，同时满足</w:t>
            </w:r>
            <w:r>
              <w:rPr>
                <w:rFonts w:hint="eastAsia" w:ascii="Times New Roman" w:hAnsi="Times New Roman" w:eastAsia="宋体" w:cs="Times New Roman"/>
                <w:snapToGrid w:val="0"/>
                <w:color w:val="auto"/>
                <w:sz w:val="24"/>
                <w:szCs w:val="20"/>
                <w:highlight w:val="none"/>
                <w:lang w:val="en-US" w:eastAsia="zh-CN"/>
              </w:rPr>
              <w:t>《长治市大气污染防治工作领导组办公室文件关于印发长治市工业企业无组织排放治理实施方案的通知》（长气防办[2019]9号）特别</w:t>
            </w:r>
            <w:r>
              <w:rPr>
                <w:rFonts w:hint="eastAsia" w:ascii="Times New Roman" w:hAnsi="Times New Roman" w:eastAsia="宋体" w:cs="Times New Roman"/>
                <w:b w:val="0"/>
                <w:bCs/>
                <w:color w:val="auto"/>
                <w:sz w:val="24"/>
                <w:szCs w:val="24"/>
                <w:highlight w:val="none"/>
                <w:lang w:val="en-US" w:eastAsia="zh-CN"/>
              </w:rPr>
              <w:t>排放限值要求（颗粒物≤10mg/m</w:t>
            </w:r>
            <w:r>
              <w:rPr>
                <w:rFonts w:hint="eastAsia" w:ascii="Times New Roman" w:hAnsi="Times New Roman" w:eastAsia="宋体" w:cs="Times New Roman"/>
                <w:b w:val="0"/>
                <w:bCs/>
                <w:color w:val="auto"/>
                <w:sz w:val="24"/>
                <w:szCs w:val="24"/>
                <w:highlight w:val="none"/>
                <w:vertAlign w:val="superscript"/>
                <w:lang w:val="en-US" w:eastAsia="zh-CN"/>
              </w:rPr>
              <w:t>3</w:t>
            </w:r>
            <w:r>
              <w:rPr>
                <w:rFonts w:hint="eastAsia" w:ascii="Times New Roman" w:hAnsi="Times New Roman" w:eastAsia="宋体" w:cs="Times New Roman"/>
                <w:b w:val="0"/>
                <w:bCs/>
                <w:color w:val="auto"/>
                <w:sz w:val="24"/>
                <w:szCs w:val="24"/>
                <w:highlight w:val="none"/>
                <w:lang w:val="en-US" w:eastAsia="zh-CN"/>
              </w:rPr>
              <w:t>），能够实现达标排放。</w:t>
            </w:r>
          </w:p>
          <w:p w14:paraId="322C5A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cs="Times New Roman"/>
                <w:b w:val="0"/>
                <w:bCs/>
                <w:color w:val="auto"/>
                <w:sz w:val="24"/>
                <w:szCs w:val="24"/>
                <w:highlight w:val="none"/>
                <w:lang w:val="en-US" w:eastAsia="zh-CN"/>
              </w:rPr>
            </w:pPr>
            <w:r>
              <w:rPr>
                <w:rFonts w:hint="eastAsia" w:cs="Times New Roman"/>
                <w:b w:val="0"/>
                <w:bCs/>
                <w:color w:val="auto"/>
                <w:sz w:val="24"/>
                <w:szCs w:val="24"/>
                <w:highlight w:val="none"/>
                <w:lang w:val="en-US" w:eastAsia="zh-CN"/>
              </w:rPr>
              <w:t>（2）无组织废气</w:t>
            </w:r>
          </w:p>
          <w:p w14:paraId="68602C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bCs/>
                <w:color w:val="auto"/>
                <w:sz w:val="24"/>
                <w:lang w:eastAsia="zh-CN"/>
              </w:rPr>
            </w:pPr>
            <w:r>
              <w:rPr>
                <w:rFonts w:hint="eastAsia" w:cs="Times New Roman"/>
                <w:b w:val="0"/>
                <w:bCs/>
                <w:color w:val="auto"/>
                <w:sz w:val="24"/>
                <w:szCs w:val="24"/>
                <w:highlight w:val="none"/>
                <w:lang w:val="en-US" w:eastAsia="zh-CN"/>
              </w:rPr>
              <w:t>本项目无组织废气污染源主要为</w:t>
            </w:r>
            <w:r>
              <w:rPr>
                <w:rFonts w:hint="eastAsia" w:cs="Times New Roman"/>
                <w:color w:val="auto"/>
                <w:sz w:val="24"/>
                <w:highlight w:val="none"/>
                <w:lang w:val="en-US" w:eastAsia="zh-CN"/>
              </w:rPr>
              <w:t>道路运输产生的扬尘，原料及成品堆放</w:t>
            </w:r>
            <w:r>
              <w:rPr>
                <w:rFonts w:hint="default"/>
                <w:bCs/>
                <w:color w:val="auto"/>
                <w:sz w:val="24"/>
              </w:rPr>
              <w:t>、装卸产生的</w:t>
            </w:r>
            <w:r>
              <w:rPr>
                <w:rFonts w:hint="eastAsia"/>
                <w:bCs/>
                <w:color w:val="auto"/>
                <w:sz w:val="24"/>
                <w:lang w:val="en-US" w:eastAsia="zh-CN"/>
              </w:rPr>
              <w:t>粉</w:t>
            </w:r>
            <w:r>
              <w:rPr>
                <w:rFonts w:hint="default"/>
                <w:bCs/>
                <w:color w:val="auto"/>
                <w:sz w:val="24"/>
              </w:rPr>
              <w:t>尘</w:t>
            </w:r>
            <w:r>
              <w:rPr>
                <w:rFonts w:hint="eastAsia"/>
                <w:bCs/>
                <w:color w:val="auto"/>
                <w:sz w:val="24"/>
                <w:lang w:eastAsia="zh-CN"/>
              </w:rPr>
              <w:t>，</w:t>
            </w:r>
            <w:r>
              <w:rPr>
                <w:rFonts w:hint="eastAsia"/>
                <w:bCs/>
                <w:color w:val="auto"/>
                <w:sz w:val="24"/>
                <w:lang w:val="en-US" w:eastAsia="zh-CN"/>
              </w:rPr>
              <w:t>物料</w:t>
            </w:r>
            <w:r>
              <w:rPr>
                <w:rFonts w:hint="default"/>
                <w:bCs/>
                <w:color w:val="auto"/>
                <w:sz w:val="24"/>
              </w:rPr>
              <w:t>皮带运输及</w:t>
            </w:r>
            <w:r>
              <w:rPr>
                <w:rFonts w:hint="eastAsia"/>
                <w:bCs/>
                <w:color w:val="auto"/>
                <w:sz w:val="24"/>
                <w:lang w:val="en-US" w:eastAsia="zh-CN"/>
              </w:rPr>
              <w:t>转载</w:t>
            </w:r>
            <w:r>
              <w:rPr>
                <w:rFonts w:hint="default"/>
                <w:bCs/>
                <w:color w:val="auto"/>
                <w:sz w:val="24"/>
              </w:rPr>
              <w:t>产生的</w:t>
            </w:r>
            <w:r>
              <w:rPr>
                <w:rFonts w:hint="eastAsia" w:ascii="Times New Roman" w:eastAsia="宋体"/>
                <w:bCs/>
                <w:color w:val="auto"/>
                <w:sz w:val="24"/>
                <w:lang w:val="en-US" w:eastAsia="zh-CN"/>
              </w:rPr>
              <w:t>粉</w:t>
            </w:r>
            <w:r>
              <w:rPr>
                <w:rFonts w:hint="eastAsia" w:cs="Times New Roman"/>
                <w:color w:val="auto"/>
                <w:sz w:val="24"/>
                <w:highlight w:val="none"/>
                <w:lang w:val="en-US" w:eastAsia="zh-CN"/>
              </w:rPr>
              <w:t>尘</w:t>
            </w:r>
            <w:r>
              <w:rPr>
                <w:rFonts w:hint="eastAsia"/>
                <w:bCs/>
                <w:color w:val="auto"/>
                <w:sz w:val="24"/>
                <w:lang w:eastAsia="zh-CN"/>
              </w:rPr>
              <w:t>。</w:t>
            </w:r>
          </w:p>
          <w:p w14:paraId="663E85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olor w:val="auto"/>
                <w:sz w:val="24"/>
                <w:lang w:val="en-US" w:eastAsia="zh-CN"/>
              </w:rPr>
            </w:pPr>
            <w:r>
              <w:rPr>
                <w:rFonts w:hint="eastAsia"/>
                <w:bCs/>
                <w:color w:val="auto"/>
                <w:sz w:val="24"/>
                <w:szCs w:val="24"/>
                <w:lang w:val="en-US" w:eastAsia="zh-CN"/>
              </w:rPr>
              <w:t>根据</w:t>
            </w:r>
            <w:r>
              <w:rPr>
                <w:rFonts w:hint="eastAsia"/>
                <w:bCs/>
                <w:color w:val="auto"/>
                <w:sz w:val="24"/>
                <w:szCs w:val="24"/>
                <w:lang w:eastAsia="zh-CN"/>
              </w:rPr>
              <w:t>《长治市大气污染防治工作领导组办公室关于进一步加强工业企业污染治理的通知》（长气防办[2023]6号），</w:t>
            </w:r>
            <w:r>
              <w:rPr>
                <w:rFonts w:hint="eastAsia"/>
                <w:bCs/>
                <w:color w:val="auto"/>
                <w:sz w:val="24"/>
                <w:szCs w:val="24"/>
                <w:lang w:val="en-US" w:eastAsia="zh-CN"/>
              </w:rPr>
              <w:t>原料、成品堆放区为位于全封闭生产车间内，顶部均设置喷雾洒水抑尘装置；</w:t>
            </w:r>
            <w:r>
              <w:rPr>
                <w:rFonts w:hint="eastAsia" w:ascii="Times New Roman" w:eastAsia="宋体"/>
                <w:color w:val="auto"/>
                <w:sz w:val="24"/>
                <w:lang w:val="en-US" w:eastAsia="zh-CN"/>
              </w:rPr>
              <w:t>车间大门为红外不锈钢自动启闭门；</w:t>
            </w:r>
            <w:r>
              <w:rPr>
                <w:rFonts w:hint="eastAsia"/>
                <w:bCs/>
                <w:color w:val="auto"/>
                <w:sz w:val="24"/>
                <w:szCs w:val="24"/>
                <w:lang w:val="en-US" w:eastAsia="zh-CN"/>
              </w:rPr>
              <w:t>同时在出入口加设扬尘在线监测和视频监控等设施，并与生态环境部门联网，实时传输监测数据；</w:t>
            </w:r>
            <w:r>
              <w:rPr>
                <w:rFonts w:hint="eastAsia"/>
                <w:bCs/>
                <w:color w:val="auto"/>
                <w:sz w:val="24"/>
                <w:lang w:val="en-US" w:eastAsia="zh-CN"/>
              </w:rPr>
              <w:t>物料装卸置于全封闭生产车间内，设有固定装卸位，同时设置移动式雾炮机洒水抑尘；物料输送采用皮带全封闭，</w:t>
            </w:r>
            <w:r>
              <w:rPr>
                <w:rFonts w:hint="default" w:ascii="Times New Roman" w:hAnsi="Times New Roman"/>
                <w:color w:val="auto"/>
                <w:sz w:val="24"/>
                <w:lang w:eastAsia="zh-CN"/>
              </w:rPr>
              <w:t>降低物料跌落高度</w:t>
            </w:r>
            <w:r>
              <w:rPr>
                <w:rFonts w:hint="eastAsia"/>
                <w:color w:val="auto"/>
                <w:sz w:val="24"/>
                <w:lang w:eastAsia="zh-CN"/>
              </w:rPr>
              <w:t>，</w:t>
            </w:r>
            <w:r>
              <w:rPr>
                <w:rFonts w:hint="default" w:ascii="Times New Roman" w:hAnsi="Times New Roman"/>
                <w:color w:val="auto"/>
                <w:sz w:val="24"/>
                <w:lang w:eastAsia="zh-CN"/>
              </w:rPr>
              <w:t>在原料堆放处、皮带转运跌落点处</w:t>
            </w:r>
            <w:r>
              <w:rPr>
                <w:rFonts w:hint="eastAsia"/>
                <w:color w:val="auto"/>
                <w:sz w:val="24"/>
                <w:lang w:eastAsia="zh-CN"/>
              </w:rPr>
              <w:t>设置</w:t>
            </w:r>
            <w:r>
              <w:rPr>
                <w:rFonts w:hint="default" w:ascii="Times New Roman" w:hAnsi="Times New Roman"/>
                <w:color w:val="auto"/>
                <w:sz w:val="24"/>
                <w:lang w:eastAsia="zh-CN"/>
              </w:rPr>
              <w:t>固定式雾化喷头，生产时适当喷雾抑尘</w:t>
            </w:r>
            <w:r>
              <w:rPr>
                <w:rFonts w:hint="eastAsia"/>
                <w:color w:val="auto"/>
                <w:sz w:val="24"/>
                <w:lang w:eastAsia="zh-CN"/>
              </w:rPr>
              <w:t>；</w:t>
            </w:r>
            <w:r>
              <w:rPr>
                <w:rFonts w:hint="eastAsia"/>
                <w:color w:val="auto"/>
                <w:sz w:val="24"/>
                <w:lang w:val="en-US" w:eastAsia="zh-CN"/>
              </w:rPr>
              <w:t>运输车辆限制车速，原料及成品采用厢式车运输时必须苫盖，厂区内道路全部硬化，进出厂道路与交通干线连接点上下各2km范围内的道路为本单位卫生责任区，每日开展道路清洗工作，厂区配备新能源喷雾降尘设施以及新能源洗扫吸尘设施。</w:t>
            </w:r>
          </w:p>
          <w:p w14:paraId="75DDDC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s="Times New Roman"/>
                <w:b w:val="0"/>
                <w:bCs/>
                <w:color w:val="auto"/>
                <w:sz w:val="24"/>
                <w:szCs w:val="24"/>
                <w:highlight w:val="none"/>
                <w:lang w:val="en-US" w:eastAsia="zh-CN"/>
              </w:rPr>
            </w:pPr>
            <w:r>
              <w:rPr>
                <w:rFonts w:hint="eastAsia"/>
                <w:color w:val="auto"/>
                <w:sz w:val="24"/>
                <w:lang w:val="en-US" w:eastAsia="zh-CN"/>
              </w:rPr>
              <w:t>本项目运输量约60万吨（＜150万吨），不涉及大宗物料运输，最远运输距离约10km，乡村道路运输较为便捷；本项目东侧主出入口处新建1座全自动洗车平台（具有保温、烘干功能），建设单位应建立厂区清扫管理制度，有专人定期洒水抑尘，确保厂区内不得有露天堆场、道路积尘等现象。</w:t>
            </w:r>
            <w:r>
              <w:rPr>
                <w:rFonts w:hint="eastAsia" w:cs="Times New Roman"/>
                <w:b w:val="0"/>
                <w:bCs/>
                <w:color w:val="auto"/>
                <w:sz w:val="24"/>
                <w:szCs w:val="24"/>
                <w:highlight w:val="none"/>
                <w:lang w:val="en-US" w:eastAsia="zh-CN"/>
              </w:rPr>
              <w:t>采取以上措施后，可减少无组织废气的排放。</w:t>
            </w:r>
          </w:p>
          <w:p w14:paraId="6F2E25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hAnsi="宋体"/>
                <w:bCs/>
                <w:snapToGrid w:val="0"/>
                <w:color w:val="auto"/>
                <w:kern w:val="0"/>
                <w:sz w:val="24"/>
                <w:highlight w:val="none"/>
              </w:rPr>
            </w:pPr>
            <w:r>
              <w:rPr>
                <w:rFonts w:hint="eastAsia" w:cs="Times New Roman"/>
                <w:b w:val="0"/>
                <w:bCs/>
                <w:color w:val="auto"/>
                <w:sz w:val="24"/>
                <w:szCs w:val="24"/>
                <w:highlight w:val="none"/>
                <w:lang w:val="en-US" w:eastAsia="zh-CN"/>
              </w:rPr>
              <w:t>评价要求</w:t>
            </w:r>
            <w:r>
              <w:rPr>
                <w:rFonts w:hint="default" w:ascii="Times New Roman" w:hAnsi="Times New Roman" w:cs="Times New Roman"/>
                <w:b w:val="0"/>
                <w:bCs w:val="0"/>
                <w:color w:val="auto"/>
                <w:sz w:val="24"/>
                <w:szCs w:val="24"/>
                <w:highlight w:val="none"/>
                <w:lang w:val="en-US" w:eastAsia="zh-CN"/>
              </w:rPr>
              <w:t>为保证清洁运输，应合理规划路线及运输时间，错开高峰期，减轻车辆堵塞、怠速等尾气排放</w:t>
            </w:r>
            <w:r>
              <w:rPr>
                <w:rFonts w:hint="eastAsia" w:cs="Times New Roman"/>
                <w:b w:val="0"/>
                <w:bCs w:val="0"/>
                <w:color w:val="auto"/>
                <w:sz w:val="24"/>
                <w:szCs w:val="24"/>
                <w:highlight w:val="none"/>
                <w:lang w:val="en-US" w:eastAsia="zh-CN"/>
              </w:rPr>
              <w:t>。</w:t>
            </w:r>
            <w:r>
              <w:rPr>
                <w:rFonts w:hint="eastAsia" w:ascii="Times New Roman" w:hAnsi="Times New Roman" w:cs="Times New Roman"/>
                <w:b w:val="0"/>
                <w:bCs w:val="0"/>
                <w:color w:val="auto"/>
                <w:sz w:val="24"/>
                <w:szCs w:val="24"/>
                <w:highlight w:val="none"/>
                <w:lang w:val="en-US" w:eastAsia="zh-CN"/>
              </w:rPr>
              <w:t>本项目运输道路为</w:t>
            </w:r>
            <w:r>
              <w:rPr>
                <w:rFonts w:hint="eastAsia" w:cs="Times New Roman"/>
                <w:color w:val="auto"/>
                <w:sz w:val="24"/>
                <w:highlight w:val="none"/>
                <w:lang w:val="en-US" w:eastAsia="zh-CN"/>
              </w:rPr>
              <w:t>厂区东侧、南侧等乡村道路运输</w:t>
            </w:r>
            <w:r>
              <w:rPr>
                <w:rFonts w:hint="eastAsia" w:ascii="Times New Roman" w:hAnsi="Times New Roman" w:cs="Times New Roman"/>
                <w:b w:val="0"/>
                <w:bCs w:val="0"/>
                <w:color w:val="auto"/>
                <w:sz w:val="24"/>
                <w:szCs w:val="24"/>
                <w:highlight w:val="none"/>
                <w:lang w:val="en-US" w:eastAsia="zh-CN"/>
              </w:rPr>
              <w:t>，沿线</w:t>
            </w:r>
            <w:r>
              <w:rPr>
                <w:rFonts w:hint="eastAsia" w:cs="Times New Roman"/>
                <w:b w:val="0"/>
                <w:bCs w:val="0"/>
                <w:color w:val="auto"/>
                <w:sz w:val="24"/>
                <w:szCs w:val="24"/>
                <w:highlight w:val="none"/>
                <w:lang w:val="en-US" w:eastAsia="zh-CN"/>
              </w:rPr>
              <w:t>敏感点为周边</w:t>
            </w:r>
            <w:r>
              <w:rPr>
                <w:rFonts w:hint="eastAsia" w:ascii="Times New Roman" w:hAnsi="Times New Roman" w:cs="Times New Roman"/>
                <w:b w:val="0"/>
                <w:bCs w:val="0"/>
                <w:color w:val="auto"/>
                <w:sz w:val="24"/>
                <w:szCs w:val="24"/>
                <w:highlight w:val="none"/>
                <w:lang w:val="en-US" w:eastAsia="zh-CN"/>
              </w:rPr>
              <w:t>村庄，运输车辆在路过村庄时应禁止鸣笛，限制车速等措施</w:t>
            </w:r>
            <w:r>
              <w:rPr>
                <w:rFonts w:hint="default" w:ascii="Times New Roman" w:hAnsi="Times New Roman" w:cs="Times New Roman"/>
                <w:b w:val="0"/>
                <w:bCs w:val="0"/>
                <w:color w:val="auto"/>
                <w:sz w:val="24"/>
                <w:szCs w:val="24"/>
                <w:highlight w:val="none"/>
                <w:lang w:val="en-US" w:eastAsia="zh-CN"/>
              </w:rPr>
              <w:t>，</w:t>
            </w:r>
            <w:r>
              <w:rPr>
                <w:rFonts w:hint="eastAsia" w:hAnsi="宋体"/>
                <w:bCs/>
                <w:snapToGrid w:val="0"/>
                <w:color w:val="auto"/>
                <w:kern w:val="0"/>
                <w:sz w:val="24"/>
                <w:highlight w:val="none"/>
              </w:rPr>
              <w:t>为本项目服务的所有运输车辆</w:t>
            </w:r>
            <w:r>
              <w:rPr>
                <w:rFonts w:hint="eastAsia" w:hAnsi="宋体"/>
                <w:bCs/>
                <w:snapToGrid w:val="0"/>
                <w:color w:val="auto"/>
                <w:kern w:val="0"/>
                <w:sz w:val="24"/>
                <w:highlight w:val="none"/>
                <w:lang w:val="en-US" w:eastAsia="zh-CN"/>
              </w:rPr>
              <w:t>均</w:t>
            </w:r>
            <w:r>
              <w:rPr>
                <w:rFonts w:hint="eastAsia" w:hAnsi="宋体"/>
                <w:bCs/>
                <w:snapToGrid w:val="0"/>
                <w:color w:val="auto"/>
                <w:kern w:val="0"/>
                <w:sz w:val="24"/>
                <w:highlight w:val="none"/>
              </w:rPr>
              <w:t>满足清洁运输的要求；厂区所有运输通道出入口按要求安装门禁系统，门禁视频监控数据连续保存6个月以上。</w:t>
            </w:r>
          </w:p>
          <w:p w14:paraId="3156B0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综上所述，本项目对生产环节产生的</w:t>
            </w:r>
            <w:r>
              <w:rPr>
                <w:rFonts w:hint="eastAsia" w:cs="Times New Roman"/>
                <w:b w:val="0"/>
                <w:bCs/>
                <w:color w:val="auto"/>
                <w:sz w:val="24"/>
                <w:szCs w:val="24"/>
                <w:highlight w:val="none"/>
                <w:lang w:val="en-US" w:eastAsia="zh-CN"/>
              </w:rPr>
              <w:t>有组织</w:t>
            </w:r>
            <w:r>
              <w:rPr>
                <w:rFonts w:hint="eastAsia" w:ascii="Times New Roman" w:hAnsi="Times New Roman" w:eastAsia="宋体" w:cs="Times New Roman"/>
                <w:b w:val="0"/>
                <w:bCs/>
                <w:color w:val="auto"/>
                <w:sz w:val="24"/>
                <w:szCs w:val="24"/>
                <w:highlight w:val="none"/>
                <w:lang w:val="en-US" w:eastAsia="zh-CN"/>
              </w:rPr>
              <w:t>废气进行收集处理</w:t>
            </w:r>
            <w:r>
              <w:rPr>
                <w:rFonts w:hint="eastAsia" w:cs="Times New Roman"/>
                <w:b w:val="0"/>
                <w:bCs/>
                <w:color w:val="auto"/>
                <w:sz w:val="24"/>
                <w:szCs w:val="24"/>
                <w:highlight w:val="none"/>
                <w:lang w:val="en-US" w:eastAsia="zh-CN"/>
              </w:rPr>
              <w:t>、对无组织废气</w:t>
            </w:r>
            <w:r>
              <w:rPr>
                <w:rFonts w:hint="eastAsia" w:ascii="Times New Roman" w:hAnsi="Times New Roman" w:eastAsia="宋体" w:cs="Times New Roman"/>
                <w:b w:val="0"/>
                <w:bCs/>
                <w:color w:val="auto"/>
                <w:sz w:val="24"/>
                <w:szCs w:val="24"/>
                <w:highlight w:val="none"/>
                <w:lang w:val="en-US" w:eastAsia="zh-CN"/>
              </w:rPr>
              <w:t>采取</w:t>
            </w:r>
            <w:r>
              <w:rPr>
                <w:rFonts w:hint="eastAsia" w:cs="Times New Roman"/>
                <w:b w:val="0"/>
                <w:bCs/>
                <w:color w:val="auto"/>
                <w:sz w:val="24"/>
                <w:szCs w:val="24"/>
                <w:highlight w:val="none"/>
                <w:lang w:val="en-US" w:eastAsia="zh-CN"/>
              </w:rPr>
              <w:t>以上</w:t>
            </w:r>
            <w:r>
              <w:rPr>
                <w:rFonts w:hint="eastAsia" w:ascii="Times New Roman" w:hAnsi="Times New Roman" w:eastAsia="宋体" w:cs="Times New Roman"/>
                <w:b w:val="0"/>
                <w:bCs/>
                <w:color w:val="auto"/>
                <w:sz w:val="24"/>
                <w:szCs w:val="24"/>
                <w:highlight w:val="none"/>
                <w:lang w:val="en-US" w:eastAsia="zh-CN"/>
              </w:rPr>
              <w:t>污染治理措施均为排污许可技术规范中可行技术，污染物均能实现达标排放，对区域大气环境的影响较小。</w:t>
            </w:r>
          </w:p>
          <w:p w14:paraId="7BE23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eastAsia" w:ascii="Times New Roman" w:hAnsi="Times New Roman" w:eastAsia="宋体" w:cs="Times New Roman"/>
                <w:b/>
                <w:color w:val="auto"/>
                <w:sz w:val="24"/>
                <w:szCs w:val="24"/>
                <w:highlight w:val="none"/>
                <w:lang w:eastAsia="zh-CN"/>
              </w:rPr>
            </w:pPr>
            <w:r>
              <w:rPr>
                <w:rFonts w:hint="eastAsia" w:cs="Times New Roman"/>
                <w:b/>
                <w:color w:val="auto"/>
                <w:sz w:val="24"/>
                <w:szCs w:val="24"/>
                <w:highlight w:val="none"/>
                <w:lang w:val="en-US" w:eastAsia="zh-CN"/>
              </w:rPr>
              <w:t>4.6</w:t>
            </w:r>
            <w:r>
              <w:rPr>
                <w:rFonts w:hint="eastAsia" w:ascii="Times New Roman" w:hAnsi="Times New Roman" w:eastAsia="宋体" w:cs="Times New Roman"/>
                <w:b/>
                <w:color w:val="auto"/>
                <w:sz w:val="24"/>
                <w:szCs w:val="24"/>
                <w:highlight w:val="none"/>
                <w:lang w:val="en-US" w:eastAsia="zh-CN"/>
              </w:rPr>
              <w:t>废水</w:t>
            </w:r>
          </w:p>
          <w:p w14:paraId="327EE0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4.6.1</w:t>
            </w:r>
            <w:r>
              <w:rPr>
                <w:rFonts w:hint="default" w:ascii="Times New Roman" w:hAnsi="Times New Roman" w:eastAsia="宋体" w:cs="Times New Roman"/>
                <w:b/>
                <w:bCs/>
                <w:color w:val="auto"/>
                <w:sz w:val="24"/>
                <w:szCs w:val="24"/>
                <w:highlight w:val="none"/>
                <w:lang w:val="en-US" w:eastAsia="zh-CN"/>
              </w:rPr>
              <w:t>水环境污染源计算</w:t>
            </w:r>
          </w:p>
          <w:p w14:paraId="3D9479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（1）生活污水</w:t>
            </w:r>
          </w:p>
          <w:p w14:paraId="3F3E4FDB">
            <w:pPr>
              <w:pStyle w:val="34"/>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textAlignment w:val="auto"/>
              <w:rPr>
                <w:rFonts w:hint="default" w:cs="Times New Roman"/>
                <w:color w:val="auto"/>
                <w:sz w:val="24"/>
                <w:szCs w:val="24"/>
                <w:highlight w:val="none"/>
                <w:lang w:val="en-US" w:eastAsia="zh-CN"/>
              </w:rPr>
            </w:pPr>
            <w:r>
              <w:rPr>
                <w:rFonts w:hint="eastAsia" w:hAnsi="宋体"/>
                <w:color w:val="auto"/>
                <w:kern w:val="0"/>
                <w:sz w:val="24"/>
              </w:rPr>
              <w:t>本项目</w:t>
            </w:r>
            <w:r>
              <w:rPr>
                <w:rFonts w:hint="eastAsia" w:hAnsi="宋体"/>
                <w:color w:val="auto"/>
                <w:kern w:val="0"/>
                <w:sz w:val="24"/>
                <w:lang w:val="en-US" w:eastAsia="zh-CN"/>
              </w:rPr>
              <w:t>劳动定员12人，</w:t>
            </w:r>
            <w:r>
              <w:rPr>
                <w:rFonts w:hint="default" w:ascii="Times New Roman" w:hAnsi="Times New Roman" w:cs="Times New Roman"/>
                <w:bCs/>
                <w:color w:val="auto"/>
                <w:sz w:val="24"/>
                <w:szCs w:val="24"/>
              </w:rPr>
              <w:t>职工生活</w:t>
            </w:r>
            <w:r>
              <w:rPr>
                <w:rFonts w:hint="default" w:ascii="Times New Roman" w:hAnsi="Times New Roman" w:cs="Times New Roman"/>
                <w:color w:val="auto"/>
                <w:sz w:val="24"/>
                <w:szCs w:val="24"/>
              </w:rPr>
              <w:t>用水量为</w:t>
            </w:r>
            <w:r>
              <w:rPr>
                <w:rFonts w:hint="eastAsia" w:cs="Times New Roman"/>
                <w:color w:val="auto"/>
                <w:sz w:val="24"/>
                <w:szCs w:val="24"/>
                <w:lang w:val="en-US" w:eastAsia="zh-CN"/>
              </w:rPr>
              <w:t>0.96</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生活污水排放量按照用水量的80%计，则生活污水排放量为</w:t>
            </w:r>
            <w:r>
              <w:rPr>
                <w:rFonts w:hint="eastAsia" w:cs="Times New Roman"/>
                <w:color w:val="auto"/>
                <w:sz w:val="24"/>
                <w:szCs w:val="24"/>
                <w:lang w:val="en-US" w:eastAsia="zh-CN"/>
              </w:rPr>
              <w:t>0.768</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/d（</w:t>
            </w:r>
            <w:r>
              <w:rPr>
                <w:rFonts w:hint="eastAsia" w:cs="Times New Roman"/>
                <w:color w:val="auto"/>
                <w:sz w:val="24"/>
                <w:szCs w:val="24"/>
                <w:lang w:val="en-US" w:eastAsia="zh-CN"/>
              </w:rPr>
              <w:t>253.44</w:t>
            </w:r>
            <w:r>
              <w:rPr>
                <w:rFonts w:hint="default" w:ascii="Times New Roman" w:hAnsi="Times New Roman" w:cs="Times New Roman"/>
                <w:color w:val="auto"/>
                <w:sz w:val="24"/>
                <w:szCs w:val="24"/>
              </w:rPr>
              <w:t>m</w:t>
            </w:r>
            <w:r>
              <w:rPr>
                <w:rFonts w:hint="default" w:ascii="Times New Roman" w:hAnsi="Times New Roman" w:cs="Times New Roman"/>
                <w:color w:val="auto"/>
                <w:sz w:val="24"/>
                <w:szCs w:val="24"/>
                <w:vertAlign w:val="superscript"/>
              </w:rPr>
              <w:t>3</w:t>
            </w:r>
            <w:r>
              <w:rPr>
                <w:rFonts w:hint="default" w:ascii="Times New Roman" w:hAnsi="Times New Roman" w:cs="Times New Roman"/>
                <w:color w:val="auto"/>
                <w:sz w:val="24"/>
                <w:szCs w:val="24"/>
              </w:rPr>
              <w:t>/a），</w:t>
            </w:r>
            <w:r>
              <w:rPr>
                <w:rFonts w:hint="eastAsia" w:cs="Times New Roman"/>
                <w:color w:val="auto"/>
                <w:sz w:val="24"/>
                <w:szCs w:val="24"/>
                <w:lang w:val="en-US" w:eastAsia="zh-CN"/>
              </w:rPr>
              <w:t>排入厂区现有旱厕，定时清掏，不外排。</w:t>
            </w:r>
          </w:p>
          <w:p w14:paraId="0F0E4F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洗车</w:t>
            </w:r>
            <w:r>
              <w:rPr>
                <w:rFonts w:hint="default" w:ascii="Times New Roman" w:hAnsi="Times New Roman" w:eastAsia="宋体" w:cs="Times New Roman"/>
                <w:bCs/>
                <w:color w:val="auto"/>
                <w:sz w:val="24"/>
                <w:highlight w:val="none"/>
                <w:lang w:val="en-US" w:eastAsia="zh-CN"/>
              </w:rPr>
              <w:t>废水</w:t>
            </w:r>
          </w:p>
          <w:p w14:paraId="5757FB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val="0"/>
                <w:bCs/>
                <w:color w:val="auto"/>
                <w:sz w:val="24"/>
                <w:lang w:val="en-US" w:eastAsia="zh-CN"/>
              </w:rPr>
            </w:pPr>
            <w:r>
              <w:rPr>
                <w:rFonts w:hint="eastAsia" w:cs="Times New Roman"/>
                <w:b w:val="0"/>
                <w:bCs/>
                <w:color w:val="auto"/>
                <w:sz w:val="24"/>
                <w:lang w:val="en-US" w:eastAsia="zh-CN"/>
              </w:rPr>
              <w:t>厂区东侧主出入口处新建1座全自动洗车平台，洗车废水经现有沉淀池沉淀后循环利用，不外排。</w:t>
            </w:r>
          </w:p>
          <w:p w14:paraId="6DF97A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cs="Times New Roman"/>
                <w:b w:val="0"/>
                <w:bCs/>
                <w:color w:val="auto"/>
                <w:sz w:val="24"/>
                <w:lang w:val="en-US"/>
              </w:rPr>
            </w:pPr>
            <w:r>
              <w:rPr>
                <w:rFonts w:hint="eastAsia" w:cs="Times New Roman"/>
                <w:b w:val="0"/>
                <w:bCs/>
                <w:color w:val="auto"/>
                <w:sz w:val="24"/>
                <w:lang w:val="en-US" w:eastAsia="zh-CN"/>
              </w:rPr>
              <w:t>厂区共有2个出入口，分别为东出口和南出口，其中主出入口位于</w:t>
            </w:r>
            <w:r>
              <w:rPr>
                <w:rFonts w:hint="default" w:ascii="Times New Roman" w:hAnsi="Times New Roman" w:cs="Times New Roman"/>
                <w:b w:val="0"/>
                <w:bCs/>
                <w:color w:val="auto"/>
                <w:sz w:val="24"/>
                <w:lang w:val="zh-CN"/>
              </w:rPr>
              <w:t>厂区</w:t>
            </w:r>
            <w:r>
              <w:rPr>
                <w:rFonts w:hint="eastAsia" w:cs="Times New Roman"/>
                <w:b w:val="0"/>
                <w:bCs/>
                <w:color w:val="auto"/>
                <w:sz w:val="24"/>
                <w:lang w:val="en-US" w:eastAsia="zh-CN"/>
              </w:rPr>
              <w:t>东侧，在东出口处新建1座</w:t>
            </w:r>
            <w:r>
              <w:rPr>
                <w:rFonts w:hint="default" w:ascii="Times New Roman" w:hAnsi="Times New Roman" w:cs="Times New Roman"/>
                <w:b w:val="0"/>
                <w:bCs/>
                <w:color w:val="auto"/>
                <w:sz w:val="24"/>
                <w:lang w:val="zh-CN"/>
              </w:rPr>
              <w:t>长20米</w:t>
            </w:r>
            <w:r>
              <w:rPr>
                <w:rFonts w:hint="eastAsia" w:cs="Times New Roman"/>
                <w:b w:val="0"/>
                <w:bCs/>
                <w:color w:val="auto"/>
                <w:sz w:val="24"/>
                <w:lang w:val="zh-CN"/>
              </w:rPr>
              <w:t>、</w:t>
            </w:r>
            <w:r>
              <w:rPr>
                <w:rFonts w:hint="eastAsia" w:cs="Times New Roman"/>
                <w:b w:val="0"/>
                <w:bCs/>
                <w:color w:val="auto"/>
                <w:sz w:val="24"/>
                <w:lang w:val="en-US" w:eastAsia="zh-CN"/>
              </w:rPr>
              <w:t>宽4m的全自动洗车平台</w:t>
            </w:r>
            <w:r>
              <w:rPr>
                <w:rFonts w:hint="default" w:ascii="Times New Roman" w:hAnsi="Times New Roman" w:cs="Times New Roman"/>
                <w:b w:val="0"/>
                <w:bCs/>
                <w:color w:val="auto"/>
                <w:sz w:val="24"/>
                <w:lang w:val="zh-CN"/>
              </w:rPr>
              <w:t>，包括所需龙门架钢构、水泵、管路、喷头及控制系统等。洗车方式：通过式洗车，无人值守，车辆通过时全自动运行，</w:t>
            </w:r>
            <w:r>
              <w:rPr>
                <w:rFonts w:hint="eastAsia" w:ascii="Times New Roman" w:hAnsi="Times New Roman" w:eastAsia="宋体" w:cs="Times New Roman"/>
                <w:b w:val="0"/>
                <w:bCs/>
                <w:color w:val="auto"/>
                <w:sz w:val="24"/>
                <w:lang w:val="en-US" w:eastAsia="zh-CN"/>
              </w:rPr>
              <w:t>水池之间有溢流口相连。洗车</w:t>
            </w:r>
            <w:r>
              <w:rPr>
                <w:rFonts w:hint="eastAsia" w:cs="Times New Roman"/>
                <w:b w:val="0"/>
                <w:bCs/>
                <w:color w:val="auto"/>
                <w:sz w:val="24"/>
                <w:lang w:val="en-US" w:eastAsia="zh-CN"/>
              </w:rPr>
              <w:t>平</w:t>
            </w:r>
            <w:r>
              <w:rPr>
                <w:rFonts w:hint="eastAsia" w:ascii="Times New Roman" w:hAnsi="Times New Roman" w:eastAsia="宋体" w:cs="Times New Roman"/>
                <w:b w:val="0"/>
                <w:bCs/>
                <w:color w:val="auto"/>
                <w:sz w:val="24"/>
                <w:lang w:val="en-US" w:eastAsia="zh-CN"/>
              </w:rPr>
              <w:t>台前设有抖车台并配套建设有站房设置吹干装置（冬季采用热风，热源为电加热）保证冰冻季节正常使用。</w:t>
            </w:r>
          </w:p>
          <w:p w14:paraId="1679F7C5">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96" w:firstLineChars="200"/>
              <w:jc w:val="left"/>
              <w:textAlignment w:val="auto"/>
              <w:rPr>
                <w:rFonts w:hint="eastAsia" w:ascii="Times New Roman" w:hAnsi="Times New Roman" w:cs="Times New Roman"/>
                <w:b w:val="0"/>
                <w:bCs w:val="0"/>
                <w:color w:val="auto"/>
                <w:spacing w:val="4"/>
                <w:sz w:val="24"/>
                <w:szCs w:val="24"/>
                <w:highlight w:val="none"/>
                <w:lang w:val="en-US" w:eastAsia="zh-CN"/>
              </w:rPr>
            </w:pPr>
            <w:r>
              <w:rPr>
                <w:rFonts w:hint="eastAsia" w:cs="Times New Roman"/>
                <w:b w:val="0"/>
                <w:bCs w:val="0"/>
                <w:color w:val="auto"/>
                <w:spacing w:val="4"/>
                <w:sz w:val="24"/>
                <w:szCs w:val="24"/>
                <w:highlight w:val="none"/>
                <w:lang w:val="en-US" w:eastAsia="zh-CN"/>
              </w:rPr>
              <w:t>（3）</w:t>
            </w:r>
            <w:r>
              <w:rPr>
                <w:rFonts w:hint="default" w:ascii="Times New Roman" w:hAnsi="Times New Roman" w:cs="Times New Roman"/>
                <w:b w:val="0"/>
                <w:bCs w:val="0"/>
                <w:color w:val="auto"/>
                <w:spacing w:val="4"/>
                <w:sz w:val="24"/>
                <w:szCs w:val="24"/>
                <w:highlight w:val="none"/>
              </w:rPr>
              <w:t>初期雨水</w:t>
            </w:r>
            <w:r>
              <w:rPr>
                <w:rFonts w:hint="eastAsia" w:ascii="Times New Roman" w:hAnsi="Times New Roman" w:cs="Times New Roman"/>
                <w:b w:val="0"/>
                <w:bCs w:val="0"/>
                <w:color w:val="auto"/>
                <w:spacing w:val="4"/>
                <w:sz w:val="24"/>
                <w:szCs w:val="24"/>
                <w:highlight w:val="none"/>
                <w:lang w:val="en-US" w:eastAsia="zh-CN"/>
              </w:rPr>
              <w:t>池</w:t>
            </w:r>
          </w:p>
          <w:p w14:paraId="14DCA005">
            <w:pPr>
              <w:keepNext w:val="0"/>
              <w:keepLines w:val="0"/>
              <w:suppressLineNumbers w:val="0"/>
              <w:spacing w:before="0" w:beforeAutospacing="0" w:after="0" w:afterAutospacing="0" w:line="480" w:lineRule="exact"/>
              <w:ind w:left="0" w:right="0" w:firstLine="480" w:firstLineChars="200"/>
              <w:rPr>
                <w:rFonts w:hint="default"/>
                <w:color w:val="auto"/>
                <w:sz w:val="24"/>
              </w:rPr>
            </w:pPr>
            <w:r>
              <w:rPr>
                <w:rFonts w:hint="eastAsia"/>
                <w:color w:val="auto"/>
                <w:sz w:val="24"/>
                <w:highlight w:val="none"/>
                <w:lang w:val="en-US" w:eastAsia="zh-CN"/>
              </w:rPr>
              <w:t>本项目现有厂区东南侧设有1座360m</w:t>
            </w:r>
            <w:r>
              <w:rPr>
                <w:rFonts w:hint="eastAsia"/>
                <w:color w:val="auto"/>
                <w:sz w:val="24"/>
                <w:highlight w:val="none"/>
                <w:vertAlign w:val="superscript"/>
                <w:lang w:val="en-US" w:eastAsia="zh-CN"/>
              </w:rPr>
              <w:t>3</w:t>
            </w:r>
            <w:r>
              <w:rPr>
                <w:rFonts w:hint="eastAsia"/>
                <w:color w:val="auto"/>
                <w:sz w:val="24"/>
                <w:highlight w:val="none"/>
                <w:lang w:val="en-US" w:eastAsia="zh-CN"/>
              </w:rPr>
              <w:t>初期雨水收集池，</w:t>
            </w:r>
            <w:r>
              <w:rPr>
                <w:rFonts w:hint="eastAsia"/>
                <w:color w:val="auto"/>
                <w:sz w:val="24"/>
                <w:lang w:val="en-US" w:eastAsia="zh-CN"/>
              </w:rPr>
              <w:t>根据现场踏勘，</w:t>
            </w:r>
            <w:r>
              <w:rPr>
                <w:rFonts w:hint="eastAsia"/>
                <w:color w:val="auto"/>
                <w:sz w:val="24"/>
                <w:highlight w:val="none"/>
                <w:lang w:val="en-US" w:eastAsia="zh-CN"/>
              </w:rPr>
              <w:t>东</w:t>
            </w:r>
            <w:r>
              <w:rPr>
                <w:rFonts w:hint="eastAsia"/>
                <w:color w:val="auto"/>
                <w:sz w:val="24"/>
                <w:lang w:val="en-US" w:eastAsia="zh-CN"/>
              </w:rPr>
              <w:t>南侧地势较低，雨水收集池</w:t>
            </w:r>
            <w:r>
              <w:rPr>
                <w:rFonts w:hint="default"/>
                <w:color w:val="auto"/>
                <w:sz w:val="24"/>
              </w:rPr>
              <w:t>四周设置围栏</w:t>
            </w:r>
            <w:r>
              <w:rPr>
                <w:rFonts w:hint="eastAsia"/>
                <w:color w:val="auto"/>
                <w:sz w:val="24"/>
                <w:lang w:val="en-US" w:eastAsia="zh-CN"/>
              </w:rPr>
              <w:t>并</w:t>
            </w:r>
            <w:r>
              <w:rPr>
                <w:rFonts w:hint="default"/>
                <w:color w:val="auto"/>
                <w:sz w:val="24"/>
              </w:rPr>
              <w:t>有专门的收集渠道</w:t>
            </w:r>
            <w:r>
              <w:rPr>
                <w:rFonts w:hint="eastAsia"/>
                <w:color w:val="auto"/>
                <w:sz w:val="24"/>
                <w:lang w:eastAsia="zh-CN"/>
              </w:rPr>
              <w:t>，</w:t>
            </w:r>
            <w:r>
              <w:rPr>
                <w:rFonts w:hint="eastAsia"/>
                <w:bCs/>
                <w:color w:val="auto"/>
                <w:sz w:val="24"/>
              </w:rPr>
              <w:t>池底部及内壁</w:t>
            </w:r>
            <w:r>
              <w:rPr>
                <w:rFonts w:hint="eastAsia"/>
                <w:bCs/>
                <w:color w:val="auto"/>
                <w:sz w:val="24"/>
                <w:lang w:val="en-US" w:eastAsia="zh-CN"/>
              </w:rPr>
              <w:t>均</w:t>
            </w:r>
            <w:r>
              <w:rPr>
                <w:rFonts w:hint="eastAsia"/>
                <w:bCs/>
                <w:color w:val="auto"/>
                <w:sz w:val="24"/>
              </w:rPr>
              <w:t>采取防渗措施</w:t>
            </w:r>
            <w:r>
              <w:rPr>
                <w:rFonts w:hint="eastAsia"/>
                <w:bCs/>
                <w:color w:val="auto"/>
                <w:sz w:val="24"/>
                <w:lang w:eastAsia="zh-CN"/>
              </w:rPr>
              <w:t>，</w:t>
            </w:r>
            <w:r>
              <w:rPr>
                <w:rFonts w:hint="default"/>
                <w:color w:val="auto"/>
                <w:sz w:val="24"/>
              </w:rPr>
              <w:t>在降雨过程中，为了避免初期雨水与后期雨水混合，收集15min的初期降雨后，利用地势特点沿</w:t>
            </w:r>
            <w:r>
              <w:rPr>
                <w:rFonts w:hint="eastAsia"/>
                <w:color w:val="auto"/>
                <w:sz w:val="24"/>
              </w:rPr>
              <w:t>建筑物</w:t>
            </w:r>
            <w:r>
              <w:rPr>
                <w:rFonts w:hint="default"/>
                <w:color w:val="auto"/>
                <w:sz w:val="24"/>
              </w:rPr>
              <w:t>外围布置</w:t>
            </w:r>
            <w:r>
              <w:rPr>
                <w:rFonts w:hint="eastAsia"/>
                <w:color w:val="auto"/>
                <w:sz w:val="24"/>
                <w:lang w:eastAsia="zh-CN"/>
              </w:rPr>
              <w:t>了</w:t>
            </w:r>
            <w:r>
              <w:rPr>
                <w:rFonts w:hint="default"/>
                <w:color w:val="auto"/>
                <w:sz w:val="24"/>
              </w:rPr>
              <w:t>雨水收集渠，将初期雨水收集进入收集池</w:t>
            </w:r>
            <w:r>
              <w:rPr>
                <w:rFonts w:hint="eastAsia"/>
                <w:color w:val="auto"/>
                <w:sz w:val="24"/>
                <w:lang w:val="en-US" w:eastAsia="zh-CN"/>
              </w:rPr>
              <w:t>内</w:t>
            </w:r>
            <w:r>
              <w:rPr>
                <w:rFonts w:hint="default"/>
                <w:color w:val="auto"/>
                <w:sz w:val="24"/>
              </w:rPr>
              <w:t>，通过切换闸阀将后期雨水引流出厂区</w:t>
            </w:r>
            <w:r>
              <w:rPr>
                <w:rFonts w:hint="eastAsia"/>
                <w:color w:val="auto"/>
                <w:sz w:val="24"/>
                <w:lang w:val="en-US" w:eastAsia="zh-CN"/>
              </w:rPr>
              <w:t>排水沟</w:t>
            </w:r>
            <w:r>
              <w:rPr>
                <w:rFonts w:hint="default"/>
                <w:color w:val="auto"/>
                <w:sz w:val="24"/>
              </w:rPr>
              <w:t>。</w:t>
            </w:r>
          </w:p>
          <w:p w14:paraId="0527A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初期雨水参照2021年7月19日发布的《长治市城区暴雨强度公式修编规划》中的长治市暴雨强度公式计算：</w:t>
            </w:r>
          </w:p>
          <w:p w14:paraId="459D9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i/>
                <w:iCs/>
                <w:color w:val="auto"/>
                <w:sz w:val="24"/>
              </w:rPr>
            </w:pPr>
            <w:r>
              <w:rPr>
                <w:rFonts w:hint="default"/>
                <w:i/>
                <w:iCs/>
                <w:color w:val="auto"/>
                <w:sz w:val="24"/>
              </w:rPr>
              <w:t>q=3450.721(1+0.873lgP)/(t+21.176)</w:t>
            </w:r>
            <w:r>
              <w:rPr>
                <w:rFonts w:hint="default"/>
                <w:i/>
                <w:iCs/>
                <w:color w:val="auto"/>
                <w:sz w:val="24"/>
                <w:vertAlign w:val="superscript"/>
              </w:rPr>
              <w:t>0.847</w:t>
            </w:r>
          </w:p>
          <w:p w14:paraId="1B7864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其中：q——暴雨强度</w:t>
            </w:r>
            <w:r>
              <w:rPr>
                <w:rFonts w:hint="eastAsia"/>
                <w:color w:val="auto"/>
                <w:sz w:val="24"/>
                <w:lang w:eastAsia="zh-CN"/>
              </w:rPr>
              <w:t>（</w:t>
            </w:r>
            <w:r>
              <w:rPr>
                <w:rFonts w:hint="default"/>
                <w:color w:val="auto"/>
                <w:sz w:val="24"/>
              </w:rPr>
              <w:t>升/秒•公顷</w:t>
            </w:r>
            <w:r>
              <w:rPr>
                <w:rFonts w:hint="eastAsia"/>
                <w:color w:val="auto"/>
                <w:sz w:val="24"/>
                <w:lang w:eastAsia="zh-CN"/>
              </w:rPr>
              <w:t>）</w:t>
            </w:r>
            <w:r>
              <w:rPr>
                <w:rFonts w:hint="default"/>
                <w:color w:val="auto"/>
                <w:sz w:val="24"/>
              </w:rPr>
              <w:t>；</w:t>
            </w:r>
          </w:p>
          <w:p w14:paraId="37CBD1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color w:val="auto"/>
                <w:sz w:val="24"/>
              </w:rPr>
            </w:pPr>
            <w:r>
              <w:rPr>
                <w:rFonts w:hint="default"/>
                <w:color w:val="auto"/>
                <w:sz w:val="24"/>
              </w:rPr>
              <w:t>P——暴雨重现期，取</w:t>
            </w:r>
            <w:r>
              <w:rPr>
                <w:rFonts w:hint="eastAsia"/>
                <w:color w:val="auto"/>
                <w:sz w:val="24"/>
                <w:lang w:val="en-US" w:eastAsia="zh-CN"/>
              </w:rPr>
              <w:t>2</w:t>
            </w:r>
            <w:r>
              <w:rPr>
                <w:rFonts w:hint="default"/>
                <w:color w:val="auto"/>
                <w:sz w:val="24"/>
              </w:rPr>
              <w:t>年；</w:t>
            </w:r>
          </w:p>
          <w:p w14:paraId="11FFE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color w:val="auto"/>
                <w:sz w:val="24"/>
              </w:rPr>
            </w:pPr>
            <w:r>
              <w:rPr>
                <w:rFonts w:hint="default"/>
                <w:color w:val="auto"/>
                <w:sz w:val="24"/>
              </w:rPr>
              <w:t>t——降雨历时，取15min；</w:t>
            </w:r>
          </w:p>
          <w:p w14:paraId="00496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default"/>
                <w:color w:val="auto"/>
                <w:sz w:val="24"/>
              </w:rPr>
              <w:t>计算结果q=</w:t>
            </w:r>
            <w:r>
              <w:rPr>
                <w:rFonts w:hint="eastAsia"/>
                <w:color w:val="auto"/>
                <w:sz w:val="24"/>
                <w:highlight w:val="none"/>
                <w:lang w:val="en-US" w:eastAsia="zh-CN"/>
              </w:rPr>
              <w:t>197.19</w:t>
            </w:r>
            <w:r>
              <w:rPr>
                <w:rFonts w:hint="default"/>
                <w:color w:val="auto"/>
                <w:sz w:val="24"/>
              </w:rPr>
              <w:t>升/秒•公顷</w:t>
            </w:r>
          </w:p>
          <w:p w14:paraId="355E67E9">
            <w:pPr>
              <w:keepNext w:val="0"/>
              <w:keepLines w:val="0"/>
              <w:pageBreakBefore w:val="0"/>
              <w:widowControl w:val="0"/>
              <w:suppressLineNumbers w:val="0"/>
              <w:kinsoku/>
              <w:wordWrap/>
              <w:overflowPunct/>
              <w:topLinePunct w:val="0"/>
              <w:autoSpaceDE/>
              <w:autoSpaceDN/>
              <w:bidi w:val="0"/>
              <w:spacing w:before="0" w:beforeAutospacing="0" w:after="0" w:afterAutospacing="0" w:line="500" w:lineRule="exact"/>
              <w:ind w:left="0" w:right="0"/>
              <w:jc w:val="center"/>
              <w:textAlignment w:val="auto"/>
              <w:rPr>
                <w:rFonts w:hint="default"/>
                <w:color w:val="auto"/>
                <w:sz w:val="24"/>
              </w:rPr>
            </w:pPr>
            <w:r>
              <w:rPr>
                <w:rFonts w:hint="default"/>
                <w:i/>
                <w:iCs/>
                <w:color w:val="auto"/>
                <w:sz w:val="24"/>
              </w:rPr>
              <w:t>Q=qFψT</w:t>
            </w:r>
          </w:p>
          <w:p w14:paraId="53B5BB18">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480" w:firstLineChars="200"/>
              <w:textAlignment w:val="auto"/>
              <w:rPr>
                <w:rFonts w:hint="eastAsia" w:eastAsia="宋体"/>
                <w:color w:val="auto"/>
                <w:sz w:val="24"/>
                <w:lang w:eastAsia="zh-CN"/>
              </w:rPr>
            </w:pPr>
            <w:r>
              <w:rPr>
                <w:rFonts w:hint="default"/>
                <w:color w:val="auto"/>
                <w:sz w:val="24"/>
              </w:rPr>
              <w:t>其中：Q——雨水排放量</w:t>
            </w:r>
            <w:r>
              <w:rPr>
                <w:rFonts w:hint="eastAsia"/>
                <w:color w:val="auto"/>
                <w:sz w:val="24"/>
                <w:lang w:eastAsia="zh-CN"/>
              </w:rPr>
              <w:t>；</w:t>
            </w:r>
          </w:p>
          <w:p w14:paraId="63B9D10A">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1200" w:firstLineChars="500"/>
              <w:textAlignment w:val="auto"/>
              <w:rPr>
                <w:rFonts w:hint="eastAsia" w:eastAsia="宋体"/>
                <w:color w:val="auto"/>
                <w:sz w:val="24"/>
                <w:lang w:eastAsia="zh-CN"/>
              </w:rPr>
            </w:pPr>
            <w:r>
              <w:rPr>
                <w:rFonts w:hint="default"/>
                <w:color w:val="auto"/>
                <w:sz w:val="24"/>
              </w:rPr>
              <w:t>F——汇水面积（公顷），汇水</w:t>
            </w:r>
            <w:r>
              <w:rPr>
                <w:rFonts w:hint="default"/>
                <w:color w:val="auto"/>
                <w:sz w:val="24"/>
                <w:highlight w:val="none"/>
              </w:rPr>
              <w:t>面积</w:t>
            </w:r>
            <w:r>
              <w:rPr>
                <w:rFonts w:hint="eastAsia"/>
                <w:color w:val="auto"/>
                <w:sz w:val="24"/>
                <w:highlight w:val="none"/>
                <w:lang w:val="en-US" w:eastAsia="zh-CN"/>
              </w:rPr>
              <w:t>约23750m</w:t>
            </w:r>
            <w:r>
              <w:rPr>
                <w:rFonts w:hint="eastAsia"/>
                <w:color w:val="auto"/>
                <w:sz w:val="24"/>
                <w:highlight w:val="none"/>
                <w:vertAlign w:val="superscript"/>
                <w:lang w:val="en-US" w:eastAsia="zh-CN"/>
              </w:rPr>
              <w:t>2</w:t>
            </w:r>
            <w:r>
              <w:rPr>
                <w:rFonts w:hint="default"/>
                <w:color w:val="auto"/>
                <w:sz w:val="24"/>
                <w:highlight w:val="none"/>
              </w:rPr>
              <w:t>（</w:t>
            </w:r>
            <w:r>
              <w:rPr>
                <w:rFonts w:hint="eastAsia"/>
                <w:color w:val="auto"/>
                <w:sz w:val="24"/>
                <w:highlight w:val="none"/>
                <w:lang w:val="en-US" w:eastAsia="zh-CN"/>
              </w:rPr>
              <w:t>厂区总</w:t>
            </w:r>
            <w:r>
              <w:rPr>
                <w:rFonts w:hint="default"/>
                <w:color w:val="auto"/>
                <w:sz w:val="24"/>
                <w:highlight w:val="none"/>
              </w:rPr>
              <w:t>占地面</w:t>
            </w:r>
            <w:r>
              <w:rPr>
                <w:rFonts w:hint="default"/>
                <w:color w:val="auto"/>
                <w:sz w:val="24"/>
              </w:rPr>
              <w:t>积）</w:t>
            </w:r>
            <w:r>
              <w:rPr>
                <w:rFonts w:hint="eastAsia"/>
                <w:color w:val="auto"/>
                <w:sz w:val="24"/>
                <w:lang w:eastAsia="zh-CN"/>
              </w:rPr>
              <w:t>；</w:t>
            </w:r>
          </w:p>
          <w:p w14:paraId="16FADF41">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1200" w:firstLineChars="500"/>
              <w:textAlignment w:val="auto"/>
              <w:rPr>
                <w:rFonts w:hint="eastAsia" w:eastAsia="宋体"/>
                <w:color w:val="auto"/>
                <w:sz w:val="24"/>
                <w:lang w:eastAsia="zh-CN"/>
              </w:rPr>
            </w:pPr>
            <w:r>
              <w:rPr>
                <w:rFonts w:hint="default"/>
                <w:color w:val="auto"/>
                <w:sz w:val="24"/>
              </w:rPr>
              <w:t>Ψ——为径流系数（水泥硬化地面取0.</w:t>
            </w:r>
            <w:r>
              <w:rPr>
                <w:rFonts w:hint="eastAsia"/>
                <w:color w:val="auto"/>
                <w:sz w:val="24"/>
                <w:lang w:val="en-US" w:eastAsia="zh-CN"/>
              </w:rPr>
              <w:t>8</w:t>
            </w:r>
            <w:r>
              <w:rPr>
                <w:rFonts w:hint="default"/>
                <w:color w:val="auto"/>
                <w:sz w:val="24"/>
              </w:rPr>
              <w:t>）</w:t>
            </w:r>
            <w:r>
              <w:rPr>
                <w:rFonts w:hint="eastAsia"/>
                <w:color w:val="auto"/>
                <w:sz w:val="24"/>
                <w:lang w:eastAsia="zh-CN"/>
              </w:rPr>
              <w:t>；</w:t>
            </w:r>
          </w:p>
          <w:p w14:paraId="47BFCFED">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480" w:lineRule="exact"/>
              <w:ind w:left="0" w:right="0" w:firstLine="1200" w:firstLineChars="500"/>
              <w:textAlignment w:val="auto"/>
              <w:rPr>
                <w:rFonts w:hint="default"/>
                <w:color w:val="auto"/>
                <w:sz w:val="24"/>
              </w:rPr>
            </w:pPr>
            <w:r>
              <w:rPr>
                <w:rFonts w:hint="default"/>
                <w:color w:val="auto"/>
                <w:sz w:val="24"/>
              </w:rPr>
              <w:t>T——为收水时间，取15min。</w:t>
            </w:r>
          </w:p>
          <w:p w14:paraId="6A2B0F39">
            <w:pPr>
              <w:pStyle w:val="10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sz w:val="24"/>
              </w:rPr>
            </w:pPr>
            <w:r>
              <w:rPr>
                <w:rFonts w:hint="eastAsia" w:ascii="Times New Roman" w:hAnsi="Times New Roman" w:eastAsia="宋体" w:cs="Times New Roman"/>
                <w:color w:val="auto"/>
                <w:kern w:val="2"/>
                <w:sz w:val="24"/>
                <w:szCs w:val="24"/>
                <w:lang w:val="en-US" w:eastAsia="zh-CN" w:bidi="ar-SA"/>
              </w:rPr>
              <w:t>经计算，前15分钟的雨量为</w:t>
            </w:r>
            <w:r>
              <w:rPr>
                <w:rFonts w:hint="eastAsia" w:cs="Times New Roman"/>
                <w:color w:val="auto"/>
                <w:kern w:val="2"/>
                <w:sz w:val="24"/>
                <w:szCs w:val="24"/>
                <w:lang w:val="en-US" w:eastAsia="zh-CN" w:bidi="ar-SA"/>
              </w:rPr>
              <w:t>337.19</w:t>
            </w:r>
            <w:r>
              <w:rPr>
                <w:rFonts w:hint="eastAsia" w:ascii="Times New Roman" w:hAnsi="Times New Roman" w:eastAsia="宋体" w:cs="Times New Roman"/>
                <w:color w:val="auto"/>
                <w:kern w:val="2"/>
                <w:sz w:val="24"/>
                <w:szCs w:val="24"/>
                <w:lang w:val="en-US" w:eastAsia="zh-CN" w:bidi="ar-SA"/>
              </w:rPr>
              <w:t>m</w:t>
            </w:r>
            <w:r>
              <w:rPr>
                <w:rFonts w:hint="eastAsia" w:ascii="Times New Roman" w:hAnsi="Times New Roman" w:eastAsia="宋体" w:cs="Times New Roman"/>
                <w:color w:val="auto"/>
                <w:kern w:val="2"/>
                <w:sz w:val="24"/>
                <w:szCs w:val="24"/>
                <w:vertAlign w:val="superscript"/>
                <w:lang w:val="en-US" w:eastAsia="zh-CN" w:bidi="ar-SA"/>
              </w:rPr>
              <w:t>3</w:t>
            </w:r>
            <w:r>
              <w:rPr>
                <w:rFonts w:hint="eastAsia" w:ascii="Times New Roman" w:hAnsi="Times New Roman" w:eastAsia="宋体" w:cs="Times New Roman"/>
                <w:color w:val="auto"/>
                <w:kern w:val="2"/>
                <w:sz w:val="24"/>
                <w:szCs w:val="24"/>
                <w:lang w:val="en-US" w:eastAsia="zh-CN" w:bidi="ar-SA"/>
              </w:rPr>
              <w:t>，</w:t>
            </w:r>
            <w:r>
              <w:rPr>
                <w:rFonts w:hint="eastAsia" w:eastAsia="宋体" w:cs="Times New Roman"/>
                <w:color w:val="auto"/>
                <w:kern w:val="2"/>
                <w:sz w:val="24"/>
                <w:szCs w:val="24"/>
                <w:lang w:val="en-US" w:eastAsia="zh-CN" w:bidi="ar-SA"/>
              </w:rPr>
              <w:t>因此厂区内现有</w:t>
            </w:r>
            <w:r>
              <w:rPr>
                <w:rFonts w:hint="eastAsia"/>
                <w:color w:val="auto"/>
                <w:sz w:val="24"/>
                <w:highlight w:val="none"/>
                <w:lang w:val="en-US" w:eastAsia="zh-CN"/>
              </w:rPr>
              <w:t>1座360m</w:t>
            </w:r>
            <w:r>
              <w:rPr>
                <w:rFonts w:hint="eastAsia"/>
                <w:color w:val="auto"/>
                <w:sz w:val="24"/>
                <w:highlight w:val="none"/>
                <w:vertAlign w:val="superscript"/>
                <w:lang w:val="en-US" w:eastAsia="zh-CN"/>
              </w:rPr>
              <w:t>3</w:t>
            </w:r>
            <w:r>
              <w:rPr>
                <w:rFonts w:hint="eastAsia"/>
                <w:color w:val="auto"/>
                <w:sz w:val="24"/>
                <w:highlight w:val="none"/>
                <w:lang w:val="en-US" w:eastAsia="zh-CN"/>
              </w:rPr>
              <w:t>初期雨水收集池可以满足要求。</w:t>
            </w:r>
            <w:r>
              <w:rPr>
                <w:rFonts w:hint="eastAsia"/>
                <w:color w:val="auto"/>
                <w:sz w:val="24"/>
                <w:lang w:val="en-US" w:eastAsia="zh-CN"/>
              </w:rPr>
              <w:t>本项目在现有厂区内建设，且占地面积为厂区北侧占地，因此本工可依托现有初期雨水收集池收集初期雨水，</w:t>
            </w:r>
            <w:r>
              <w:rPr>
                <w:rFonts w:hint="default"/>
                <w:color w:val="auto"/>
                <w:sz w:val="24"/>
              </w:rPr>
              <w:t>初期雨水</w:t>
            </w:r>
            <w:r>
              <w:rPr>
                <w:rFonts w:hint="eastAsia"/>
                <w:color w:val="auto"/>
                <w:sz w:val="24"/>
                <w:lang w:val="en-US" w:eastAsia="zh-CN"/>
              </w:rPr>
              <w:t>经收集后</w:t>
            </w:r>
            <w:r>
              <w:rPr>
                <w:rFonts w:hint="default"/>
                <w:color w:val="auto"/>
                <w:sz w:val="24"/>
              </w:rPr>
              <w:t>沉淀后回用于厂区洒水抑尘，不外排。</w:t>
            </w:r>
          </w:p>
          <w:p w14:paraId="195160AB">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2" w:firstLineChars="200"/>
              <w:jc w:val="left"/>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废水不外排的保证性分析：</w:t>
            </w:r>
          </w:p>
          <w:p w14:paraId="25907700">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本项目产生的废水主要包括</w:t>
            </w:r>
            <w:r>
              <w:rPr>
                <w:rFonts w:hint="eastAsia" w:cs="Times New Roman"/>
                <w:b w:val="0"/>
                <w:bCs w:val="0"/>
                <w:color w:val="auto"/>
                <w:sz w:val="24"/>
                <w:szCs w:val="24"/>
                <w:lang w:val="en-US" w:eastAsia="zh-CN"/>
              </w:rPr>
              <w:t>员工办公生活污水、</w:t>
            </w:r>
            <w:r>
              <w:rPr>
                <w:rFonts w:hint="default" w:ascii="Times New Roman" w:hAnsi="Times New Roman" w:cs="Times New Roman"/>
                <w:b w:val="0"/>
                <w:bCs w:val="0"/>
                <w:color w:val="auto"/>
                <w:sz w:val="24"/>
                <w:szCs w:val="24"/>
                <w:lang w:val="en-US" w:eastAsia="zh-CN"/>
              </w:rPr>
              <w:t>洗车平台废水、初期雨水。</w:t>
            </w:r>
            <w:r>
              <w:rPr>
                <w:rFonts w:hint="eastAsia" w:cs="Times New Roman"/>
                <w:b w:val="0"/>
                <w:bCs w:val="0"/>
                <w:color w:val="auto"/>
                <w:sz w:val="24"/>
                <w:szCs w:val="24"/>
                <w:lang w:val="en-US" w:eastAsia="zh-CN"/>
              </w:rPr>
              <w:t>生活污水排入厂区旱厕，定时清掏不外排；</w:t>
            </w:r>
            <w:r>
              <w:rPr>
                <w:rFonts w:hint="default" w:ascii="Times New Roman" w:hAnsi="Times New Roman" w:cs="Times New Roman"/>
                <w:b w:val="0"/>
                <w:bCs w:val="0"/>
                <w:color w:val="auto"/>
                <w:sz w:val="24"/>
                <w:szCs w:val="24"/>
                <w:lang w:val="en-US" w:eastAsia="zh-CN"/>
              </w:rPr>
              <w:t>洗车平台废水、初期雨水均设有相应的收集池进行收集沉淀，沉淀后的上清液进行回用不外排。</w:t>
            </w:r>
          </w:p>
          <w:p w14:paraId="54976A21">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2" w:firstLineChars="200"/>
              <w:jc w:val="both"/>
              <w:textAlignment w:val="auto"/>
              <w:rPr>
                <w:rFonts w:hint="eastAsia" w:cs="Times New Roman"/>
                <w:b/>
                <w:bCs/>
                <w:color w:val="auto"/>
                <w:sz w:val="24"/>
                <w:szCs w:val="24"/>
                <w:lang w:val="en-US" w:eastAsia="zh-CN"/>
              </w:rPr>
            </w:pPr>
            <w:r>
              <w:rPr>
                <w:rFonts w:hint="eastAsia" w:cs="Times New Roman"/>
                <w:b/>
                <w:bCs/>
                <w:color w:val="auto"/>
                <w:sz w:val="24"/>
                <w:szCs w:val="24"/>
                <w:highlight w:val="none"/>
                <w:lang w:val="en-US" w:eastAsia="zh-CN"/>
              </w:rPr>
              <w:t>4.6.</w:t>
            </w:r>
            <w:r>
              <w:rPr>
                <w:rFonts w:hint="eastAsia" w:cs="Times New Roman"/>
                <w:b/>
                <w:bCs/>
                <w:color w:val="auto"/>
                <w:sz w:val="24"/>
                <w:szCs w:val="24"/>
                <w:lang w:val="en-US" w:eastAsia="zh-CN"/>
              </w:rPr>
              <w:t>2水环境影响分析</w:t>
            </w:r>
          </w:p>
          <w:p w14:paraId="0CDEFF1C">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w:t>
            </w:r>
            <w:r>
              <w:rPr>
                <w:rFonts w:hint="eastAsia" w:cs="Times New Roman"/>
                <w:b w:val="0"/>
                <w:bCs w:val="0"/>
                <w:color w:val="auto"/>
                <w:sz w:val="24"/>
                <w:szCs w:val="24"/>
                <w:lang w:val="en-US" w:eastAsia="zh-CN"/>
              </w:rPr>
              <w:t>厂区东侧主出入口新建1座全自动洗车平台，</w:t>
            </w:r>
            <w:r>
              <w:rPr>
                <w:rFonts w:hint="default" w:ascii="Times New Roman" w:hAnsi="Times New Roman" w:cs="Times New Roman"/>
                <w:b w:val="0"/>
                <w:bCs w:val="0"/>
                <w:color w:val="auto"/>
                <w:sz w:val="24"/>
                <w:szCs w:val="24"/>
                <w:lang w:val="en-US" w:eastAsia="zh-CN"/>
              </w:rPr>
              <w:t>可方便确保在车辆进出前进行冲洗，同时洗车平台旁边</w:t>
            </w:r>
            <w:r>
              <w:rPr>
                <w:rFonts w:hint="eastAsia" w:cs="Times New Roman"/>
                <w:b w:val="0"/>
                <w:bCs w:val="0"/>
                <w:color w:val="auto"/>
                <w:sz w:val="24"/>
                <w:szCs w:val="24"/>
                <w:lang w:val="en-US" w:eastAsia="zh-CN"/>
              </w:rPr>
              <w:t>现有1座</w:t>
            </w:r>
            <w:r>
              <w:rPr>
                <w:rFonts w:hint="default" w:ascii="Times New Roman" w:hAnsi="Times New Roman" w:cs="Times New Roman"/>
                <w:b w:val="0"/>
                <w:bCs w:val="0"/>
                <w:color w:val="auto"/>
                <w:sz w:val="24"/>
                <w:szCs w:val="24"/>
                <w:lang w:val="en-US" w:eastAsia="zh-CN"/>
              </w:rPr>
              <w:t>循环水池，可最大限度保证洗车废水不外排；根据占地范围内地形条件可知，厂区内</w:t>
            </w:r>
            <w:r>
              <w:rPr>
                <w:rFonts w:hint="eastAsia" w:cs="Times New Roman"/>
                <w:b w:val="0"/>
                <w:bCs w:val="0"/>
                <w:color w:val="auto"/>
                <w:sz w:val="24"/>
                <w:szCs w:val="24"/>
                <w:lang w:val="en-US" w:eastAsia="zh-CN"/>
              </w:rPr>
              <w:t>东南</w:t>
            </w:r>
            <w:r>
              <w:rPr>
                <w:rFonts w:hint="default" w:ascii="Times New Roman" w:hAnsi="Times New Roman" w:cs="Times New Roman"/>
                <w:b w:val="0"/>
                <w:bCs w:val="0"/>
                <w:color w:val="auto"/>
                <w:sz w:val="24"/>
                <w:szCs w:val="24"/>
                <w:lang w:val="en-US" w:eastAsia="zh-CN"/>
              </w:rPr>
              <w:t>侧为地势最低，在地势最低处设置初期雨水池，可满足需求。由上述废水产排环节分析可知，在采取环评规定的治理措施后，本项目运营期内各类废水均可全部综合利用，全厂不设废水排放口，不会对周边地表水环境产生不利影响，建设项目对周边地表水环境影响在可接受范围内。</w:t>
            </w:r>
          </w:p>
          <w:p w14:paraId="205C9B5A">
            <w:pPr>
              <w:pStyle w:val="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综上所述，本项目运营期间无废水外排，不会对区域地表水环境产生</w:t>
            </w:r>
            <w:r>
              <w:rPr>
                <w:rFonts w:hint="eastAsia" w:cs="Times New Roman"/>
                <w:b w:val="0"/>
                <w:bCs w:val="0"/>
                <w:color w:val="auto"/>
                <w:sz w:val="24"/>
                <w:szCs w:val="24"/>
                <w:lang w:val="en-US" w:eastAsia="zh-CN"/>
              </w:rPr>
              <w:t>影响。</w:t>
            </w:r>
          </w:p>
          <w:p w14:paraId="028291A2">
            <w:pPr>
              <w:keepNext w:val="0"/>
              <w:keepLines w:val="0"/>
              <w:suppressLineNumbers w:val="0"/>
              <w:spacing w:before="0" w:beforeAutospacing="0" w:after="0" w:afterAutospacing="0" w:line="480" w:lineRule="exact"/>
              <w:ind w:left="0" w:right="0"/>
              <w:rPr>
                <w:rFonts w:hint="eastAsia" w:eastAsia="宋体"/>
                <w:color w:val="auto"/>
                <w:highlight w:val="none"/>
                <w:vertAlign w:val="baseline"/>
                <w:lang w:val="en-US" w:eastAsia="zh-CN"/>
              </w:rPr>
            </w:pPr>
          </w:p>
          <w:p w14:paraId="5F3C50B5">
            <w:pPr>
              <w:keepNext w:val="0"/>
              <w:keepLines w:val="0"/>
              <w:suppressLineNumbers w:val="0"/>
              <w:spacing w:before="0" w:beforeAutospacing="0" w:after="0" w:afterAutospacing="0" w:line="480" w:lineRule="exact"/>
              <w:ind w:left="0" w:right="0"/>
              <w:rPr>
                <w:rFonts w:hint="eastAsia" w:eastAsia="宋体"/>
                <w:color w:val="auto"/>
                <w:highlight w:val="none"/>
                <w:vertAlign w:val="baseline"/>
                <w:lang w:val="en-US" w:eastAsia="zh-CN"/>
              </w:rPr>
            </w:pPr>
          </w:p>
          <w:p w14:paraId="6C84576F">
            <w:pPr>
              <w:keepNext w:val="0"/>
              <w:keepLines w:val="0"/>
              <w:suppressLineNumbers w:val="0"/>
              <w:spacing w:before="0" w:beforeAutospacing="0" w:after="0" w:afterAutospacing="0" w:line="480" w:lineRule="exact"/>
              <w:ind w:left="0" w:right="0"/>
              <w:rPr>
                <w:rFonts w:hint="eastAsia" w:eastAsia="宋体"/>
                <w:color w:val="auto"/>
                <w:highlight w:val="none"/>
                <w:vertAlign w:val="baseline"/>
                <w:lang w:val="en-US" w:eastAsia="zh-CN"/>
              </w:rPr>
            </w:pPr>
          </w:p>
          <w:p w14:paraId="39AFD4F2">
            <w:pPr>
              <w:keepNext w:val="0"/>
              <w:keepLines w:val="0"/>
              <w:suppressLineNumbers w:val="0"/>
              <w:spacing w:before="0" w:beforeAutospacing="0" w:after="0" w:afterAutospacing="0" w:line="480" w:lineRule="exact"/>
              <w:ind w:left="0" w:right="0"/>
              <w:rPr>
                <w:rFonts w:hint="eastAsia" w:eastAsia="宋体"/>
                <w:color w:val="auto"/>
                <w:highlight w:val="none"/>
                <w:vertAlign w:val="baseline"/>
                <w:lang w:val="en-US" w:eastAsia="zh-CN"/>
              </w:rPr>
            </w:pPr>
          </w:p>
          <w:p w14:paraId="5B314C82">
            <w:pPr>
              <w:keepNext w:val="0"/>
              <w:keepLines w:val="0"/>
              <w:suppressLineNumbers w:val="0"/>
              <w:spacing w:before="0" w:beforeAutospacing="0" w:after="0" w:afterAutospacing="0" w:line="480" w:lineRule="exact"/>
              <w:ind w:left="0" w:right="0"/>
              <w:rPr>
                <w:rFonts w:hint="eastAsia" w:eastAsia="宋体"/>
                <w:color w:val="auto"/>
                <w:highlight w:val="none"/>
                <w:vertAlign w:val="baseline"/>
                <w:lang w:val="en-US" w:eastAsia="zh-CN"/>
              </w:rPr>
            </w:pPr>
          </w:p>
          <w:p w14:paraId="6081BBA6">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48F98FF9">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2E549706">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2E5A8E61">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7B408A45">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6122CDFE">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5E713D90">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7CC9C1A8">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3B85F785">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5A8B7B37">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2240580B">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5B306CAD">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6AB89863">
            <w:pPr>
              <w:pStyle w:val="34"/>
              <w:keepNext w:val="0"/>
              <w:keepLines w:val="0"/>
              <w:suppressLineNumbers w:val="0"/>
              <w:spacing w:before="0" w:beforeAutospacing="0" w:after="0" w:afterAutospacing="0"/>
              <w:ind w:left="0" w:right="0"/>
              <w:rPr>
                <w:rFonts w:hint="eastAsia" w:eastAsia="宋体"/>
                <w:color w:val="auto"/>
                <w:highlight w:val="none"/>
                <w:vertAlign w:val="baseline"/>
                <w:lang w:val="en-US" w:eastAsia="zh-CN"/>
              </w:rPr>
            </w:pPr>
          </w:p>
          <w:p w14:paraId="00102E04">
            <w:pPr>
              <w:pStyle w:val="6"/>
              <w:suppressLineNumbers w:val="0"/>
              <w:spacing w:beforeAutospacing="0" w:after="0" w:afterAutospacing="0"/>
              <w:ind w:left="0" w:right="0"/>
              <w:rPr>
                <w:rFonts w:hint="default"/>
                <w:color w:val="auto"/>
                <w:lang w:val="en-US" w:eastAsia="zh-CN"/>
              </w:rPr>
            </w:pPr>
          </w:p>
        </w:tc>
      </w:tr>
    </w:tbl>
    <w:p w14:paraId="21979571">
      <w:pPr>
        <w:pStyle w:val="13"/>
        <w:rPr>
          <w:rFonts w:hint="default"/>
          <w:color w:val="auto"/>
          <w:highlight w:val="none"/>
        </w:rPr>
        <w:sectPr>
          <w:headerReference r:id="rId12" w:type="default"/>
          <w:pgSz w:w="11907" w:h="16840"/>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8"/>
        <w:tblW w:w="1474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42"/>
        <w:gridCol w:w="14198"/>
      </w:tblGrid>
      <w:tr w14:paraId="5189B9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542" w:type="dxa"/>
            <w:tcBorders>
              <w:tl2br w:val="nil"/>
              <w:tr2bl w:val="nil"/>
            </w:tcBorders>
            <w:vAlign w:val="center"/>
          </w:tcPr>
          <w:p w14:paraId="530D3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eastAsia="宋体" w:cs="Times New Roman"/>
                <w:b/>
                <w:bCs w:val="0"/>
                <w:color w:val="auto"/>
                <w:sz w:val="21"/>
                <w:szCs w:val="21"/>
                <w:highlight w:val="none"/>
                <w:lang w:val="en-US" w:eastAsia="zh-CN"/>
              </w:rPr>
              <w:t>运营期环境影响和保护措施</w:t>
            </w:r>
          </w:p>
        </w:tc>
        <w:tc>
          <w:tcPr>
            <w:tcW w:w="14198" w:type="dxa"/>
            <w:tcBorders>
              <w:tl2br w:val="nil"/>
              <w:tr2bl w:val="nil"/>
            </w:tcBorders>
          </w:tcPr>
          <w:p w14:paraId="5DFF35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z w:val="24"/>
                <w:szCs w:val="24"/>
                <w:highlight w:val="none"/>
                <w:lang w:val="en-US"/>
              </w:rPr>
            </w:pPr>
            <w:r>
              <w:rPr>
                <w:rFonts w:hint="eastAsia" w:cs="Times New Roman"/>
                <w:b/>
                <w:color w:val="auto"/>
                <w:sz w:val="24"/>
                <w:szCs w:val="24"/>
                <w:highlight w:val="none"/>
                <w:lang w:val="en-US" w:eastAsia="zh-CN"/>
              </w:rPr>
              <w:t>4.7</w:t>
            </w:r>
            <w:r>
              <w:rPr>
                <w:rFonts w:hint="eastAsia" w:ascii="Times New Roman" w:hAnsi="Times New Roman" w:eastAsia="宋体" w:cs="Times New Roman"/>
                <w:b/>
                <w:color w:val="auto"/>
                <w:sz w:val="24"/>
                <w:szCs w:val="24"/>
                <w:highlight w:val="none"/>
                <w:lang w:val="en-US" w:eastAsia="zh-CN"/>
              </w:rPr>
              <w:t>噪声</w:t>
            </w:r>
          </w:p>
          <w:p w14:paraId="0BDCD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eastAsia="zh-CN"/>
              </w:rPr>
            </w:pPr>
            <w:r>
              <w:rPr>
                <w:rFonts w:hint="eastAsia" w:cs="Times New Roman"/>
                <w:b/>
                <w:bCs/>
                <w:color w:val="auto"/>
                <w:sz w:val="24"/>
                <w:highlight w:val="none"/>
                <w:lang w:val="en-US" w:eastAsia="zh-CN"/>
              </w:rPr>
              <w:t>4.7.</w:t>
            </w:r>
            <w:r>
              <w:rPr>
                <w:rFonts w:hint="eastAsia"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rPr>
              <w:t>噪声源分析</w:t>
            </w:r>
          </w:p>
          <w:p w14:paraId="3605C3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w:t>
            </w:r>
            <w:r>
              <w:rPr>
                <w:rFonts w:hint="eastAsia" w:ascii="Times New Roman" w:hAnsi="Times New Roman" w:eastAsia="宋体" w:cs="Times New Roman"/>
                <w:color w:val="auto"/>
                <w:sz w:val="24"/>
                <w:highlight w:val="none"/>
                <w:lang w:eastAsia="zh-CN"/>
              </w:rPr>
              <w:t>项目</w:t>
            </w:r>
            <w:r>
              <w:rPr>
                <w:rFonts w:hint="eastAsia" w:ascii="Times New Roman" w:hAnsi="Times New Roman" w:eastAsia="宋体" w:cs="Times New Roman"/>
                <w:color w:val="auto"/>
                <w:sz w:val="24"/>
                <w:highlight w:val="none"/>
                <w:lang w:val="en-US" w:eastAsia="zh-CN"/>
              </w:rPr>
              <w:t>噪声源强</w:t>
            </w:r>
            <w:r>
              <w:rPr>
                <w:rFonts w:hint="eastAsia" w:ascii="Times New Roman" w:hAnsi="Times New Roman" w:eastAsia="宋体" w:cs="Times New Roman"/>
                <w:color w:val="auto"/>
                <w:sz w:val="24"/>
                <w:highlight w:val="none"/>
                <w:lang w:eastAsia="zh-CN"/>
              </w:rPr>
              <w:t>见</w:t>
            </w:r>
            <w:r>
              <w:rPr>
                <w:rFonts w:hint="eastAsia" w:ascii="Times New Roman" w:hAnsi="Times New Roman" w:eastAsia="宋体" w:cs="Times New Roman"/>
                <w:color w:val="auto"/>
                <w:sz w:val="24"/>
                <w:highlight w:val="none"/>
                <w:lang w:val="en-US" w:eastAsia="zh-CN"/>
              </w:rPr>
              <w:t>表4</w:t>
            </w:r>
            <w:r>
              <w:rPr>
                <w:rFonts w:hint="eastAsia" w:cs="Times New Roman"/>
                <w:color w:val="auto"/>
                <w:sz w:val="24"/>
                <w:highlight w:val="none"/>
                <w:lang w:val="en-US" w:eastAsia="zh-CN"/>
              </w:rPr>
              <w:t>.7-1、表4.7-2</w:t>
            </w:r>
            <w:r>
              <w:rPr>
                <w:rFonts w:hint="default" w:ascii="Times New Roman" w:hAnsi="Times New Roman" w:eastAsia="宋体" w:cs="Times New Roman"/>
                <w:color w:val="auto"/>
                <w:spacing w:val="4"/>
                <w:sz w:val="24"/>
                <w:highlight w:val="none"/>
                <w:lang w:val="en-US" w:eastAsia="zh-CN"/>
              </w:rPr>
              <w:t>。</w:t>
            </w:r>
          </w:p>
          <w:p w14:paraId="5449AC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表4.7-1  室内噪声源源强调查清单</w:t>
            </w:r>
          </w:p>
          <w:tbl>
            <w:tblPr>
              <w:tblStyle w:val="27"/>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876"/>
              <w:gridCol w:w="1562"/>
              <w:gridCol w:w="971"/>
              <w:gridCol w:w="1047"/>
              <w:gridCol w:w="960"/>
              <w:gridCol w:w="622"/>
              <w:gridCol w:w="539"/>
              <w:gridCol w:w="574"/>
              <w:gridCol w:w="1189"/>
              <w:gridCol w:w="1276"/>
              <w:gridCol w:w="742"/>
              <w:gridCol w:w="1014"/>
              <w:gridCol w:w="993"/>
              <w:gridCol w:w="1059"/>
            </w:tblGrid>
            <w:tr w14:paraId="4ECF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vMerge w:val="restart"/>
                  <w:tcBorders>
                    <w:tl2br w:val="nil"/>
                    <w:tr2bl w:val="nil"/>
                  </w:tcBorders>
                  <w:vAlign w:val="center"/>
                </w:tcPr>
                <w:p w14:paraId="07477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序号</w:t>
                  </w:r>
                </w:p>
              </w:tc>
              <w:tc>
                <w:tcPr>
                  <w:tcW w:w="314" w:type="pct"/>
                  <w:vMerge w:val="restart"/>
                  <w:tcBorders>
                    <w:tl2br w:val="nil"/>
                    <w:tr2bl w:val="nil"/>
                  </w:tcBorders>
                  <w:vAlign w:val="center"/>
                </w:tcPr>
                <w:p w14:paraId="5DF2F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建筑物</w:t>
                  </w:r>
                  <w:r>
                    <w:rPr>
                      <w:rFonts w:hint="default" w:ascii="Times New Roman" w:hAnsi="Times New Roman" w:eastAsia="宋体" w:cs="Times New Roman"/>
                      <w:b/>
                      <w:bCs/>
                      <w:color w:val="auto"/>
                      <w:spacing w:val="0"/>
                      <w:sz w:val="21"/>
                      <w:szCs w:val="21"/>
                      <w:highlight w:val="none"/>
                    </w:rPr>
                    <w:t>名称</w:t>
                  </w:r>
                </w:p>
              </w:tc>
              <w:tc>
                <w:tcPr>
                  <w:tcW w:w="559" w:type="pct"/>
                  <w:vMerge w:val="restart"/>
                  <w:tcBorders>
                    <w:tl2br w:val="nil"/>
                    <w:tr2bl w:val="nil"/>
                  </w:tcBorders>
                  <w:vAlign w:val="center"/>
                </w:tcPr>
                <w:p w14:paraId="514D2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声源</w:t>
                  </w:r>
                  <w:r>
                    <w:rPr>
                      <w:rFonts w:hint="default" w:ascii="Times New Roman" w:hAnsi="Times New Roman" w:eastAsia="宋体" w:cs="Times New Roman"/>
                      <w:b/>
                      <w:bCs/>
                      <w:color w:val="auto"/>
                      <w:spacing w:val="0"/>
                      <w:sz w:val="21"/>
                      <w:szCs w:val="21"/>
                      <w:highlight w:val="none"/>
                    </w:rPr>
                    <w:t>名称</w:t>
                  </w:r>
                </w:p>
              </w:tc>
              <w:tc>
                <w:tcPr>
                  <w:tcW w:w="348" w:type="pct"/>
                  <w:vMerge w:val="restart"/>
                  <w:tcBorders>
                    <w:tl2br w:val="nil"/>
                    <w:tr2bl w:val="nil"/>
                  </w:tcBorders>
                  <w:vAlign w:val="center"/>
                </w:tcPr>
                <w:p w14:paraId="1E46D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pacing w:val="0"/>
                      <w:sz w:val="21"/>
                      <w:szCs w:val="21"/>
                      <w:highlight w:val="none"/>
                      <w:lang w:val="en-US" w:eastAsia="zh-CN"/>
                    </w:rPr>
                  </w:pPr>
                  <w:r>
                    <w:rPr>
                      <w:rFonts w:hint="eastAsia" w:ascii="Times New Roman" w:hAnsi="Times New Roman" w:eastAsia="宋体" w:cs="Times New Roman"/>
                      <w:b/>
                      <w:bCs/>
                      <w:color w:val="auto"/>
                      <w:spacing w:val="0"/>
                      <w:sz w:val="21"/>
                      <w:szCs w:val="21"/>
                      <w:highlight w:val="none"/>
                      <w:lang w:val="en-US" w:eastAsia="zh-CN"/>
                    </w:rPr>
                    <w:t>数量（台/套）</w:t>
                  </w:r>
                </w:p>
              </w:tc>
              <w:tc>
                <w:tcPr>
                  <w:tcW w:w="375" w:type="pct"/>
                  <w:vMerge w:val="restart"/>
                  <w:tcBorders>
                    <w:tl2br w:val="nil"/>
                    <w:tr2bl w:val="nil"/>
                  </w:tcBorders>
                  <w:vAlign w:val="center"/>
                </w:tcPr>
                <w:p w14:paraId="1998BF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声功率级</w:t>
                  </w:r>
                  <w:r>
                    <w:rPr>
                      <w:rFonts w:hint="default" w:ascii="Times New Roman" w:hAnsi="Times New Roman" w:eastAsia="宋体" w:cs="Times New Roman"/>
                      <w:b/>
                      <w:bCs/>
                      <w:color w:val="auto"/>
                      <w:spacing w:val="0"/>
                      <w:sz w:val="21"/>
                      <w:szCs w:val="21"/>
                      <w:highlight w:val="none"/>
                    </w:rPr>
                    <w:t>dB</w:t>
                  </w:r>
                  <w:r>
                    <w:rPr>
                      <w:rFonts w:hint="eastAsia" w:ascii="Times New Roman" w:hAnsi="Times New Roman" w:eastAsia="宋体" w:cs="Times New Roman"/>
                      <w:b/>
                      <w:bCs/>
                      <w:color w:val="auto"/>
                      <w:spacing w:val="0"/>
                      <w:sz w:val="21"/>
                      <w:szCs w:val="21"/>
                      <w:highlight w:val="none"/>
                    </w:rPr>
                    <w:t>(</w:t>
                  </w:r>
                  <w:r>
                    <w:rPr>
                      <w:rFonts w:hint="default" w:ascii="Times New Roman" w:hAnsi="Times New Roman" w:eastAsia="宋体" w:cs="Times New Roman"/>
                      <w:b/>
                      <w:bCs/>
                      <w:color w:val="auto"/>
                      <w:spacing w:val="0"/>
                      <w:sz w:val="21"/>
                      <w:szCs w:val="21"/>
                      <w:highlight w:val="none"/>
                    </w:rPr>
                    <w:t>A</w:t>
                  </w:r>
                  <w:r>
                    <w:rPr>
                      <w:rFonts w:hint="eastAsia" w:ascii="Times New Roman" w:hAnsi="Times New Roman" w:eastAsia="宋体" w:cs="Times New Roman"/>
                      <w:b/>
                      <w:bCs/>
                      <w:color w:val="auto"/>
                      <w:spacing w:val="0"/>
                      <w:sz w:val="21"/>
                      <w:szCs w:val="21"/>
                      <w:highlight w:val="none"/>
                    </w:rPr>
                    <w:t>)</w:t>
                  </w:r>
                </w:p>
              </w:tc>
              <w:tc>
                <w:tcPr>
                  <w:tcW w:w="344" w:type="pct"/>
                  <w:vMerge w:val="restart"/>
                  <w:tcBorders>
                    <w:tl2br w:val="nil"/>
                    <w:tr2bl w:val="nil"/>
                  </w:tcBorders>
                  <w:vAlign w:val="center"/>
                </w:tcPr>
                <w:p w14:paraId="4717E3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声源</w:t>
                  </w:r>
                  <w:r>
                    <w:rPr>
                      <w:rFonts w:hint="default" w:ascii="Times New Roman" w:hAnsi="Times New Roman" w:eastAsia="宋体" w:cs="Times New Roman"/>
                      <w:b/>
                      <w:bCs/>
                      <w:color w:val="auto"/>
                      <w:spacing w:val="0"/>
                      <w:sz w:val="21"/>
                      <w:szCs w:val="21"/>
                      <w:highlight w:val="none"/>
                    </w:rPr>
                    <w:t>控制措施</w:t>
                  </w:r>
                </w:p>
              </w:tc>
              <w:tc>
                <w:tcPr>
                  <w:tcW w:w="621" w:type="pct"/>
                  <w:gridSpan w:val="3"/>
                  <w:tcBorders>
                    <w:tl2br w:val="nil"/>
                    <w:tr2bl w:val="nil"/>
                  </w:tcBorders>
                  <w:vAlign w:val="center"/>
                </w:tcPr>
                <w:p w14:paraId="6DF9B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空间</w:t>
                  </w:r>
                  <w:r>
                    <w:rPr>
                      <w:rFonts w:hint="default" w:ascii="Times New Roman" w:hAnsi="Times New Roman" w:eastAsia="宋体" w:cs="Times New Roman"/>
                      <w:b/>
                      <w:bCs/>
                      <w:color w:val="auto"/>
                      <w:spacing w:val="0"/>
                      <w:sz w:val="21"/>
                      <w:szCs w:val="21"/>
                      <w:highlight w:val="none"/>
                    </w:rPr>
                    <w:t>相对位置</w:t>
                  </w:r>
                  <w:r>
                    <w:rPr>
                      <w:rFonts w:hint="eastAsia" w:ascii="Times New Roman" w:hAnsi="Times New Roman" w:eastAsia="宋体" w:cs="Times New Roman"/>
                      <w:b/>
                      <w:bCs/>
                      <w:color w:val="auto"/>
                      <w:spacing w:val="0"/>
                      <w:sz w:val="21"/>
                      <w:szCs w:val="21"/>
                      <w:highlight w:val="none"/>
                    </w:rPr>
                    <w:t>/m</w:t>
                  </w:r>
                </w:p>
              </w:tc>
              <w:tc>
                <w:tcPr>
                  <w:tcW w:w="426" w:type="pct"/>
                  <w:vMerge w:val="restart"/>
                  <w:tcBorders>
                    <w:tl2br w:val="nil"/>
                    <w:tr2bl w:val="nil"/>
                  </w:tcBorders>
                  <w:vAlign w:val="center"/>
                </w:tcPr>
                <w:p w14:paraId="41E756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距</w:t>
                  </w:r>
                  <w:r>
                    <w:rPr>
                      <w:rFonts w:hint="default" w:ascii="Times New Roman" w:hAnsi="Times New Roman" w:eastAsia="宋体" w:cs="Times New Roman"/>
                      <w:b/>
                      <w:bCs/>
                      <w:color w:val="auto"/>
                      <w:spacing w:val="0"/>
                      <w:sz w:val="21"/>
                      <w:szCs w:val="21"/>
                      <w:highlight w:val="none"/>
                    </w:rPr>
                    <w:t>室内边界距离</w:t>
                  </w:r>
                  <w:r>
                    <w:rPr>
                      <w:rFonts w:hint="eastAsia" w:ascii="Times New Roman" w:hAnsi="Times New Roman" w:eastAsia="宋体" w:cs="Times New Roman"/>
                      <w:b/>
                      <w:bCs/>
                      <w:color w:val="auto"/>
                      <w:spacing w:val="0"/>
                      <w:sz w:val="21"/>
                      <w:szCs w:val="21"/>
                      <w:highlight w:val="none"/>
                    </w:rPr>
                    <w:t>/m</w:t>
                  </w:r>
                </w:p>
              </w:tc>
              <w:tc>
                <w:tcPr>
                  <w:tcW w:w="457" w:type="pct"/>
                  <w:vMerge w:val="restart"/>
                  <w:tcBorders>
                    <w:tl2br w:val="nil"/>
                    <w:tr2bl w:val="nil"/>
                  </w:tcBorders>
                  <w:vAlign w:val="center"/>
                </w:tcPr>
                <w:p w14:paraId="0DCD79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室内</w:t>
                  </w:r>
                  <w:r>
                    <w:rPr>
                      <w:rFonts w:hint="default" w:ascii="Times New Roman" w:hAnsi="Times New Roman" w:eastAsia="宋体" w:cs="Times New Roman"/>
                      <w:b/>
                      <w:bCs/>
                      <w:color w:val="auto"/>
                      <w:spacing w:val="0"/>
                      <w:sz w:val="21"/>
                      <w:szCs w:val="21"/>
                      <w:highlight w:val="none"/>
                    </w:rPr>
                    <w:t>边界声级</w:t>
                  </w:r>
                  <w:r>
                    <w:rPr>
                      <w:rFonts w:hint="eastAsia" w:ascii="Times New Roman" w:hAnsi="Times New Roman" w:eastAsia="宋体" w:cs="Times New Roman"/>
                      <w:b/>
                      <w:bCs/>
                      <w:color w:val="auto"/>
                      <w:spacing w:val="0"/>
                      <w:sz w:val="21"/>
                      <w:szCs w:val="21"/>
                      <w:highlight w:val="none"/>
                    </w:rPr>
                    <w:t>d</w:t>
                  </w:r>
                  <w:r>
                    <w:rPr>
                      <w:rFonts w:hint="default" w:ascii="Times New Roman" w:hAnsi="Times New Roman" w:eastAsia="宋体" w:cs="Times New Roman"/>
                      <w:b/>
                      <w:bCs/>
                      <w:color w:val="auto"/>
                      <w:spacing w:val="0"/>
                      <w:sz w:val="21"/>
                      <w:szCs w:val="21"/>
                      <w:highlight w:val="none"/>
                    </w:rPr>
                    <w:t>B</w:t>
                  </w:r>
                  <w:r>
                    <w:rPr>
                      <w:rFonts w:hint="eastAsia" w:ascii="Times New Roman" w:hAnsi="Times New Roman" w:eastAsia="宋体" w:cs="Times New Roman"/>
                      <w:b/>
                      <w:bCs/>
                      <w:color w:val="auto"/>
                      <w:spacing w:val="0"/>
                      <w:sz w:val="21"/>
                      <w:szCs w:val="21"/>
                      <w:highlight w:val="none"/>
                    </w:rPr>
                    <w:t>(</w:t>
                  </w:r>
                  <w:r>
                    <w:rPr>
                      <w:rFonts w:hint="default" w:ascii="Times New Roman" w:hAnsi="Times New Roman" w:eastAsia="宋体" w:cs="Times New Roman"/>
                      <w:b/>
                      <w:bCs/>
                      <w:color w:val="auto"/>
                      <w:spacing w:val="0"/>
                      <w:sz w:val="21"/>
                      <w:szCs w:val="21"/>
                      <w:highlight w:val="none"/>
                    </w:rPr>
                    <w:t>A</w:t>
                  </w:r>
                  <w:r>
                    <w:rPr>
                      <w:rFonts w:hint="eastAsia" w:ascii="Times New Roman" w:hAnsi="Times New Roman" w:eastAsia="宋体" w:cs="Times New Roman"/>
                      <w:b/>
                      <w:bCs/>
                      <w:color w:val="auto"/>
                      <w:spacing w:val="0"/>
                      <w:sz w:val="21"/>
                      <w:szCs w:val="21"/>
                      <w:highlight w:val="none"/>
                    </w:rPr>
                    <w:t>)</w:t>
                  </w:r>
                </w:p>
              </w:tc>
              <w:tc>
                <w:tcPr>
                  <w:tcW w:w="265" w:type="pct"/>
                  <w:vMerge w:val="restart"/>
                  <w:tcBorders>
                    <w:tl2br w:val="nil"/>
                    <w:tr2bl w:val="nil"/>
                  </w:tcBorders>
                  <w:vAlign w:val="center"/>
                </w:tcPr>
                <w:p w14:paraId="3FAA65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运行</w:t>
                  </w:r>
                  <w:r>
                    <w:rPr>
                      <w:rFonts w:hint="default" w:ascii="Times New Roman" w:hAnsi="Times New Roman" w:eastAsia="宋体" w:cs="Times New Roman"/>
                      <w:b/>
                      <w:bCs/>
                      <w:color w:val="auto"/>
                      <w:spacing w:val="0"/>
                      <w:sz w:val="21"/>
                      <w:szCs w:val="21"/>
                      <w:highlight w:val="none"/>
                    </w:rPr>
                    <w:t>时段</w:t>
                  </w:r>
                </w:p>
              </w:tc>
              <w:tc>
                <w:tcPr>
                  <w:tcW w:w="363" w:type="pct"/>
                  <w:vMerge w:val="restart"/>
                  <w:tcBorders>
                    <w:tl2br w:val="nil"/>
                    <w:tr2bl w:val="nil"/>
                  </w:tcBorders>
                  <w:vAlign w:val="center"/>
                </w:tcPr>
                <w:p w14:paraId="37F14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建筑物</w:t>
                  </w:r>
                  <w:r>
                    <w:rPr>
                      <w:rFonts w:hint="default" w:ascii="Times New Roman" w:hAnsi="Times New Roman" w:eastAsia="宋体" w:cs="Times New Roman"/>
                      <w:b/>
                      <w:bCs/>
                      <w:color w:val="auto"/>
                      <w:spacing w:val="0"/>
                      <w:sz w:val="21"/>
                      <w:szCs w:val="21"/>
                      <w:highlight w:val="none"/>
                    </w:rPr>
                    <w:t>插入损失</w:t>
                  </w:r>
                  <w:r>
                    <w:rPr>
                      <w:rFonts w:hint="eastAsia" w:ascii="Times New Roman" w:hAnsi="Times New Roman" w:eastAsia="宋体" w:cs="Times New Roman"/>
                      <w:b/>
                      <w:bCs/>
                      <w:color w:val="auto"/>
                      <w:spacing w:val="0"/>
                      <w:sz w:val="21"/>
                      <w:szCs w:val="21"/>
                      <w:highlight w:val="none"/>
                    </w:rPr>
                    <w:t>d</w:t>
                  </w:r>
                  <w:r>
                    <w:rPr>
                      <w:rFonts w:hint="default" w:ascii="Times New Roman" w:hAnsi="Times New Roman" w:eastAsia="宋体" w:cs="Times New Roman"/>
                      <w:b/>
                      <w:bCs/>
                      <w:color w:val="auto"/>
                      <w:spacing w:val="0"/>
                      <w:sz w:val="21"/>
                      <w:szCs w:val="21"/>
                      <w:highlight w:val="none"/>
                    </w:rPr>
                    <w:t>B</w:t>
                  </w:r>
                  <w:r>
                    <w:rPr>
                      <w:rFonts w:hint="eastAsia" w:ascii="Times New Roman" w:hAnsi="Times New Roman" w:eastAsia="宋体" w:cs="Times New Roman"/>
                      <w:b/>
                      <w:bCs/>
                      <w:color w:val="auto"/>
                      <w:spacing w:val="0"/>
                      <w:sz w:val="21"/>
                      <w:szCs w:val="21"/>
                      <w:highlight w:val="none"/>
                    </w:rPr>
                    <w:t>(</w:t>
                  </w:r>
                  <w:r>
                    <w:rPr>
                      <w:rFonts w:hint="default" w:ascii="Times New Roman" w:hAnsi="Times New Roman" w:eastAsia="宋体" w:cs="Times New Roman"/>
                      <w:b/>
                      <w:bCs/>
                      <w:color w:val="auto"/>
                      <w:spacing w:val="0"/>
                      <w:sz w:val="21"/>
                      <w:szCs w:val="21"/>
                      <w:highlight w:val="none"/>
                    </w:rPr>
                    <w:t>A)</w:t>
                  </w:r>
                </w:p>
              </w:tc>
              <w:tc>
                <w:tcPr>
                  <w:tcW w:w="735" w:type="pct"/>
                  <w:gridSpan w:val="2"/>
                  <w:tcBorders>
                    <w:tl2br w:val="nil"/>
                    <w:tr2bl w:val="nil"/>
                  </w:tcBorders>
                  <w:vAlign w:val="center"/>
                </w:tcPr>
                <w:p w14:paraId="1784E6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建筑物</w:t>
                  </w:r>
                  <w:r>
                    <w:rPr>
                      <w:rFonts w:hint="default" w:ascii="Times New Roman" w:hAnsi="Times New Roman" w:eastAsia="宋体" w:cs="Times New Roman"/>
                      <w:b/>
                      <w:bCs/>
                      <w:color w:val="auto"/>
                      <w:spacing w:val="0"/>
                      <w:sz w:val="21"/>
                      <w:szCs w:val="21"/>
                      <w:highlight w:val="none"/>
                    </w:rPr>
                    <w:t>外噪声</w:t>
                  </w:r>
                </w:p>
              </w:tc>
            </w:tr>
            <w:tr w14:paraId="2658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vMerge w:val="continue"/>
                  <w:tcBorders>
                    <w:tl2br w:val="nil"/>
                    <w:tr2bl w:val="nil"/>
                  </w:tcBorders>
                  <w:vAlign w:val="center"/>
                </w:tcPr>
                <w:p w14:paraId="0FBA1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14" w:type="pct"/>
                  <w:vMerge w:val="continue"/>
                  <w:tcBorders>
                    <w:tl2br w:val="nil"/>
                    <w:tr2bl w:val="nil"/>
                  </w:tcBorders>
                  <w:vAlign w:val="center"/>
                </w:tcPr>
                <w:p w14:paraId="5378B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559" w:type="pct"/>
                  <w:vMerge w:val="continue"/>
                  <w:tcBorders>
                    <w:tl2br w:val="nil"/>
                    <w:tr2bl w:val="nil"/>
                  </w:tcBorders>
                  <w:vAlign w:val="center"/>
                </w:tcPr>
                <w:p w14:paraId="228A44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48" w:type="pct"/>
                  <w:vMerge w:val="continue"/>
                  <w:tcBorders>
                    <w:tl2br w:val="nil"/>
                    <w:tr2bl w:val="nil"/>
                  </w:tcBorders>
                  <w:vAlign w:val="center"/>
                </w:tcPr>
                <w:p w14:paraId="2BE0D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75" w:type="pct"/>
                  <w:vMerge w:val="continue"/>
                  <w:tcBorders>
                    <w:tl2br w:val="nil"/>
                    <w:tr2bl w:val="nil"/>
                  </w:tcBorders>
                  <w:vAlign w:val="center"/>
                </w:tcPr>
                <w:p w14:paraId="3B0B9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44" w:type="pct"/>
                  <w:vMerge w:val="continue"/>
                  <w:tcBorders>
                    <w:tl2br w:val="nil"/>
                    <w:tr2bl w:val="nil"/>
                  </w:tcBorders>
                  <w:vAlign w:val="center"/>
                </w:tcPr>
                <w:p w14:paraId="4EC0E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222" w:type="pct"/>
                  <w:tcBorders>
                    <w:tl2br w:val="nil"/>
                    <w:tr2bl w:val="nil"/>
                  </w:tcBorders>
                  <w:vAlign w:val="center"/>
                </w:tcPr>
                <w:p w14:paraId="0D559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X</w:t>
                  </w:r>
                </w:p>
              </w:tc>
              <w:tc>
                <w:tcPr>
                  <w:tcW w:w="193" w:type="pct"/>
                  <w:tcBorders>
                    <w:tl2br w:val="nil"/>
                    <w:tr2bl w:val="nil"/>
                  </w:tcBorders>
                  <w:vAlign w:val="center"/>
                </w:tcPr>
                <w:p w14:paraId="2014B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Y</w:t>
                  </w:r>
                </w:p>
              </w:tc>
              <w:tc>
                <w:tcPr>
                  <w:tcW w:w="205" w:type="pct"/>
                  <w:tcBorders>
                    <w:tl2br w:val="nil"/>
                    <w:tr2bl w:val="nil"/>
                  </w:tcBorders>
                  <w:vAlign w:val="center"/>
                </w:tcPr>
                <w:p w14:paraId="50C219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Z</w:t>
                  </w:r>
                </w:p>
              </w:tc>
              <w:tc>
                <w:tcPr>
                  <w:tcW w:w="426" w:type="pct"/>
                  <w:vMerge w:val="continue"/>
                  <w:tcBorders>
                    <w:tl2br w:val="nil"/>
                    <w:tr2bl w:val="nil"/>
                  </w:tcBorders>
                  <w:vAlign w:val="center"/>
                </w:tcPr>
                <w:p w14:paraId="100A7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457" w:type="pct"/>
                  <w:vMerge w:val="continue"/>
                  <w:tcBorders>
                    <w:tl2br w:val="nil"/>
                    <w:tr2bl w:val="nil"/>
                  </w:tcBorders>
                  <w:vAlign w:val="center"/>
                </w:tcPr>
                <w:p w14:paraId="2688EE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265" w:type="pct"/>
                  <w:vMerge w:val="continue"/>
                  <w:tcBorders>
                    <w:tl2br w:val="nil"/>
                    <w:tr2bl w:val="nil"/>
                  </w:tcBorders>
                  <w:vAlign w:val="center"/>
                </w:tcPr>
                <w:p w14:paraId="31989E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63" w:type="pct"/>
                  <w:vMerge w:val="continue"/>
                  <w:tcBorders>
                    <w:tl2br w:val="nil"/>
                    <w:tr2bl w:val="nil"/>
                  </w:tcBorders>
                  <w:vAlign w:val="center"/>
                </w:tcPr>
                <w:p w14:paraId="1165E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p>
              </w:tc>
              <w:tc>
                <w:tcPr>
                  <w:tcW w:w="355" w:type="pct"/>
                  <w:tcBorders>
                    <w:tl2br w:val="nil"/>
                    <w:tr2bl w:val="nil"/>
                  </w:tcBorders>
                  <w:vAlign w:val="center"/>
                </w:tcPr>
                <w:p w14:paraId="47F473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声压级dB(A)</w:t>
                  </w:r>
                </w:p>
              </w:tc>
              <w:tc>
                <w:tcPr>
                  <w:tcW w:w="379" w:type="pct"/>
                  <w:tcBorders>
                    <w:tl2br w:val="nil"/>
                    <w:tr2bl w:val="nil"/>
                  </w:tcBorders>
                  <w:vAlign w:val="center"/>
                </w:tcPr>
                <w:p w14:paraId="38525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pacing w:val="0"/>
                      <w:sz w:val="21"/>
                      <w:szCs w:val="21"/>
                      <w:highlight w:val="none"/>
                      <w:lang w:val="en-US" w:eastAsia="zh-CN"/>
                    </w:rPr>
                  </w:pPr>
                  <w:r>
                    <w:rPr>
                      <w:rFonts w:hint="eastAsia" w:ascii="Times New Roman" w:hAnsi="Times New Roman" w:eastAsia="宋体" w:cs="Times New Roman"/>
                      <w:b/>
                      <w:bCs/>
                      <w:color w:val="auto"/>
                      <w:spacing w:val="0"/>
                      <w:sz w:val="21"/>
                      <w:szCs w:val="21"/>
                      <w:highlight w:val="none"/>
                    </w:rPr>
                    <w:t>建筑物</w:t>
                  </w:r>
                  <w:r>
                    <w:rPr>
                      <w:rFonts w:hint="default" w:ascii="Times New Roman" w:hAnsi="Times New Roman" w:eastAsia="宋体" w:cs="Times New Roman"/>
                      <w:b/>
                      <w:bCs/>
                      <w:color w:val="auto"/>
                      <w:spacing w:val="0"/>
                      <w:sz w:val="21"/>
                      <w:szCs w:val="21"/>
                      <w:highlight w:val="none"/>
                    </w:rPr>
                    <w:t>外距离</w:t>
                  </w:r>
                  <w:r>
                    <w:rPr>
                      <w:rFonts w:hint="eastAsia" w:ascii="Times New Roman" w:hAnsi="Times New Roman" w:eastAsia="宋体" w:cs="Times New Roman"/>
                      <w:b/>
                      <w:bCs/>
                      <w:color w:val="auto"/>
                      <w:spacing w:val="0"/>
                      <w:sz w:val="21"/>
                      <w:szCs w:val="21"/>
                      <w:highlight w:val="none"/>
                      <w:lang w:val="en-US" w:eastAsia="zh-CN"/>
                    </w:rPr>
                    <w:t>m</w:t>
                  </w:r>
                </w:p>
              </w:tc>
            </w:tr>
            <w:tr w14:paraId="3649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221D3D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c>
                <w:tcPr>
                  <w:tcW w:w="314" w:type="pct"/>
                  <w:vMerge w:val="restart"/>
                  <w:tcBorders>
                    <w:tl2br w:val="nil"/>
                    <w:tr2bl w:val="nil"/>
                  </w:tcBorders>
                  <w:vAlign w:val="center"/>
                </w:tcPr>
                <w:p w14:paraId="36C775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Calibri" w:hAnsi="Calibri" w:eastAsia="宋体" w:cs="Times New Roman"/>
                      <w:color w:val="auto"/>
                      <w:spacing w:val="0"/>
                      <w:kern w:val="0"/>
                      <w:sz w:val="21"/>
                      <w:szCs w:val="21"/>
                      <w:highlight w:val="none"/>
                      <w:lang w:val="en-US" w:eastAsia="zh-CN"/>
                    </w:rPr>
                  </w:pPr>
                  <w:r>
                    <w:rPr>
                      <w:rFonts w:hint="eastAsia" w:ascii="Calibri" w:hAnsi="Calibri" w:eastAsia="宋体" w:cs="Times New Roman"/>
                      <w:color w:val="auto"/>
                      <w:spacing w:val="0"/>
                      <w:kern w:val="0"/>
                      <w:sz w:val="21"/>
                      <w:szCs w:val="21"/>
                      <w:highlight w:val="none"/>
                      <w:lang w:val="en-US" w:eastAsia="zh-CN"/>
                    </w:rPr>
                    <w:t>生产</w:t>
                  </w:r>
                </w:p>
                <w:p w14:paraId="6DD6C3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r>
                    <w:rPr>
                      <w:rFonts w:hint="eastAsia" w:ascii="Calibri" w:hAnsi="Calibri" w:eastAsia="宋体" w:cs="Times New Roman"/>
                      <w:color w:val="auto"/>
                      <w:spacing w:val="0"/>
                      <w:kern w:val="0"/>
                      <w:sz w:val="21"/>
                      <w:szCs w:val="21"/>
                      <w:highlight w:val="none"/>
                      <w:lang w:val="en-US" w:eastAsia="zh-CN"/>
                    </w:rPr>
                    <w:t>车间</w:t>
                  </w:r>
                </w:p>
              </w:tc>
              <w:tc>
                <w:tcPr>
                  <w:tcW w:w="559" w:type="pct"/>
                  <w:tcBorders>
                    <w:tl2br w:val="nil"/>
                    <w:tr2bl w:val="nil"/>
                  </w:tcBorders>
                  <w:vAlign w:val="center"/>
                </w:tcPr>
                <w:p w14:paraId="71BE8FF4">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bCs/>
                      <w:color w:val="auto"/>
                      <w:kern w:val="2"/>
                      <w:sz w:val="21"/>
                      <w:szCs w:val="21"/>
                      <w:lang w:val="en-US" w:eastAsia="zh-CN" w:bidi="ar-SA"/>
                    </w:rPr>
                    <w:t>给料机</w:t>
                  </w:r>
                </w:p>
              </w:tc>
              <w:tc>
                <w:tcPr>
                  <w:tcW w:w="348" w:type="pct"/>
                  <w:tcBorders>
                    <w:tl2br w:val="nil"/>
                    <w:tr2bl w:val="nil"/>
                  </w:tcBorders>
                  <w:vAlign w:val="center"/>
                </w:tcPr>
                <w:p w14:paraId="129E1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c>
                <w:tcPr>
                  <w:tcW w:w="375" w:type="pct"/>
                  <w:tcBorders>
                    <w:tl2br w:val="nil"/>
                    <w:tr2bl w:val="nil"/>
                  </w:tcBorders>
                  <w:vAlign w:val="center"/>
                </w:tcPr>
                <w:p w14:paraId="25F2C3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344" w:type="pct"/>
                  <w:vMerge w:val="restart"/>
                  <w:tcBorders>
                    <w:tl2br w:val="nil"/>
                    <w:tr2bl w:val="nil"/>
                  </w:tcBorders>
                  <w:vAlign w:val="center"/>
                </w:tcPr>
                <w:p w14:paraId="257786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rPr>
                  </w:pPr>
                  <w:r>
                    <w:rPr>
                      <w:rFonts w:hint="eastAsia" w:ascii="Times New Roman" w:hAnsi="Times New Roman" w:eastAsia="宋体" w:cs="Times New Roman"/>
                      <w:color w:val="auto"/>
                      <w:spacing w:val="0"/>
                      <w:sz w:val="21"/>
                      <w:szCs w:val="21"/>
                      <w:highlight w:val="none"/>
                    </w:rPr>
                    <w:t>采用低噪声设备；减振；</w:t>
                  </w:r>
                  <w:r>
                    <w:rPr>
                      <w:rFonts w:hint="eastAsia" w:ascii="Times New Roman" w:hAnsi="Times New Roman" w:eastAsia="宋体" w:cs="Times New Roman"/>
                      <w:color w:val="auto"/>
                      <w:spacing w:val="0"/>
                      <w:sz w:val="21"/>
                      <w:szCs w:val="21"/>
                      <w:highlight w:val="none"/>
                      <w:lang w:val="en-US" w:eastAsia="zh-CN"/>
                    </w:rPr>
                    <w:t>隔声；风机出口安装消声器；定期维护</w:t>
                  </w:r>
                </w:p>
              </w:tc>
              <w:tc>
                <w:tcPr>
                  <w:tcW w:w="222" w:type="pct"/>
                  <w:tcBorders>
                    <w:tl2br w:val="nil"/>
                    <w:tr2bl w:val="nil"/>
                  </w:tcBorders>
                  <w:vAlign w:val="center"/>
                </w:tcPr>
                <w:p w14:paraId="17BBA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57</w:t>
                  </w:r>
                </w:p>
              </w:tc>
              <w:tc>
                <w:tcPr>
                  <w:tcW w:w="193" w:type="pct"/>
                  <w:tcBorders>
                    <w:tl2br w:val="nil"/>
                    <w:tr2bl w:val="nil"/>
                  </w:tcBorders>
                  <w:vAlign w:val="center"/>
                </w:tcPr>
                <w:p w14:paraId="21939D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66</w:t>
                  </w:r>
                </w:p>
              </w:tc>
              <w:tc>
                <w:tcPr>
                  <w:tcW w:w="205" w:type="pct"/>
                  <w:tcBorders>
                    <w:tl2br w:val="nil"/>
                    <w:tr2bl w:val="nil"/>
                  </w:tcBorders>
                  <w:vAlign w:val="center"/>
                </w:tcPr>
                <w:p w14:paraId="334B6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426" w:type="pct"/>
                  <w:tcBorders>
                    <w:tl2br w:val="nil"/>
                    <w:tr2bl w:val="nil"/>
                  </w:tcBorders>
                  <w:vAlign w:val="center"/>
                </w:tcPr>
                <w:p w14:paraId="0C7023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9</w:t>
                  </w:r>
                </w:p>
              </w:tc>
              <w:tc>
                <w:tcPr>
                  <w:tcW w:w="1276" w:type="dxa"/>
                  <w:tcBorders>
                    <w:tl2br w:val="nil"/>
                    <w:tr2bl w:val="nil"/>
                  </w:tcBorders>
                  <w:vAlign w:val="center"/>
                </w:tcPr>
                <w:p w14:paraId="36C0C7F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60.9</w:t>
                  </w:r>
                </w:p>
              </w:tc>
              <w:tc>
                <w:tcPr>
                  <w:tcW w:w="265" w:type="pct"/>
                  <w:vMerge w:val="restart"/>
                  <w:tcBorders>
                    <w:tl2br w:val="nil"/>
                    <w:tr2bl w:val="nil"/>
                  </w:tcBorders>
                  <w:vAlign w:val="center"/>
                </w:tcPr>
                <w:p w14:paraId="01999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8:00-18:00</w:t>
                  </w:r>
                </w:p>
              </w:tc>
              <w:tc>
                <w:tcPr>
                  <w:tcW w:w="363" w:type="pct"/>
                  <w:tcBorders>
                    <w:tl2br w:val="nil"/>
                    <w:tr2bl w:val="nil"/>
                  </w:tcBorders>
                  <w:vAlign w:val="center"/>
                </w:tcPr>
                <w:p w14:paraId="6B259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02A9BF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0.9</w:t>
                  </w:r>
                </w:p>
              </w:tc>
              <w:tc>
                <w:tcPr>
                  <w:tcW w:w="379" w:type="pct"/>
                  <w:tcBorders>
                    <w:tl2br w:val="nil"/>
                    <w:tr2bl w:val="nil"/>
                  </w:tcBorders>
                  <w:vAlign w:val="center"/>
                </w:tcPr>
                <w:p w14:paraId="509E4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0066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5071DF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2</w:t>
                  </w:r>
                </w:p>
              </w:tc>
              <w:tc>
                <w:tcPr>
                  <w:tcW w:w="314" w:type="pct"/>
                  <w:vMerge w:val="continue"/>
                  <w:tcBorders>
                    <w:tl2br w:val="nil"/>
                    <w:tr2bl w:val="nil"/>
                  </w:tcBorders>
                  <w:vAlign w:val="center"/>
                </w:tcPr>
                <w:p w14:paraId="5710E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24EB4ADB">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颚式破碎机</w:t>
                  </w:r>
                </w:p>
              </w:tc>
              <w:tc>
                <w:tcPr>
                  <w:tcW w:w="348" w:type="pct"/>
                  <w:tcBorders>
                    <w:tl2br w:val="nil"/>
                    <w:tr2bl w:val="nil"/>
                  </w:tcBorders>
                  <w:vAlign w:val="center"/>
                </w:tcPr>
                <w:p w14:paraId="78D707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c>
                <w:tcPr>
                  <w:tcW w:w="375" w:type="pct"/>
                  <w:tcBorders>
                    <w:tl2br w:val="nil"/>
                    <w:tr2bl w:val="nil"/>
                  </w:tcBorders>
                  <w:vAlign w:val="center"/>
                </w:tcPr>
                <w:p w14:paraId="607872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3BB30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556A7F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63</w:t>
                  </w:r>
                </w:p>
              </w:tc>
              <w:tc>
                <w:tcPr>
                  <w:tcW w:w="193" w:type="pct"/>
                  <w:tcBorders>
                    <w:tl2br w:val="nil"/>
                    <w:tr2bl w:val="nil"/>
                  </w:tcBorders>
                  <w:vAlign w:val="center"/>
                </w:tcPr>
                <w:p w14:paraId="52AD5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70</w:t>
                  </w:r>
                </w:p>
              </w:tc>
              <w:tc>
                <w:tcPr>
                  <w:tcW w:w="205" w:type="pct"/>
                  <w:tcBorders>
                    <w:tl2br w:val="nil"/>
                    <w:tr2bl w:val="nil"/>
                  </w:tcBorders>
                  <w:vAlign w:val="center"/>
                </w:tcPr>
                <w:p w14:paraId="723B6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426" w:type="pct"/>
                  <w:tcBorders>
                    <w:tl2br w:val="nil"/>
                    <w:tr2bl w:val="nil"/>
                  </w:tcBorders>
                  <w:vAlign w:val="center"/>
                </w:tcPr>
                <w:p w14:paraId="6DDB5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12</w:t>
                  </w:r>
                </w:p>
              </w:tc>
              <w:tc>
                <w:tcPr>
                  <w:tcW w:w="1276" w:type="dxa"/>
                  <w:tcBorders>
                    <w:tl2br w:val="nil"/>
                    <w:tr2bl w:val="nil"/>
                  </w:tcBorders>
                  <w:vAlign w:val="center"/>
                </w:tcPr>
                <w:p w14:paraId="622F02A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63.4</w:t>
                  </w:r>
                </w:p>
              </w:tc>
              <w:tc>
                <w:tcPr>
                  <w:tcW w:w="265" w:type="pct"/>
                  <w:vMerge w:val="continue"/>
                  <w:tcBorders>
                    <w:tl2br w:val="nil"/>
                    <w:tr2bl w:val="nil"/>
                  </w:tcBorders>
                  <w:vAlign w:val="center"/>
                </w:tcPr>
                <w:p w14:paraId="4ED37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363" w:type="pct"/>
                  <w:tcBorders>
                    <w:tl2br w:val="nil"/>
                    <w:tr2bl w:val="nil"/>
                  </w:tcBorders>
                  <w:vAlign w:val="center"/>
                </w:tcPr>
                <w:p w14:paraId="5F6ADB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9A06E5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3.4</w:t>
                  </w:r>
                </w:p>
              </w:tc>
              <w:tc>
                <w:tcPr>
                  <w:tcW w:w="379" w:type="pct"/>
                  <w:tcBorders>
                    <w:tl2br w:val="nil"/>
                    <w:tr2bl w:val="nil"/>
                  </w:tcBorders>
                  <w:vAlign w:val="center"/>
                </w:tcPr>
                <w:p w14:paraId="07E8E0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7FF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7AB6C6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3</w:t>
                  </w:r>
                </w:p>
              </w:tc>
              <w:tc>
                <w:tcPr>
                  <w:tcW w:w="314" w:type="pct"/>
                  <w:vMerge w:val="continue"/>
                  <w:tcBorders>
                    <w:tl2br w:val="nil"/>
                    <w:tr2bl w:val="nil"/>
                  </w:tcBorders>
                  <w:vAlign w:val="center"/>
                </w:tcPr>
                <w:p w14:paraId="528AC3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shd w:val="clear" w:color="auto" w:fill="auto"/>
                  <w:vAlign w:val="center"/>
                </w:tcPr>
                <w:p w14:paraId="13489BDC">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细鄂式破碎机</w:t>
                  </w:r>
                </w:p>
              </w:tc>
              <w:tc>
                <w:tcPr>
                  <w:tcW w:w="348" w:type="pct"/>
                  <w:tcBorders>
                    <w:tl2br w:val="nil"/>
                    <w:tr2bl w:val="nil"/>
                  </w:tcBorders>
                  <w:shd w:val="clear" w:color="auto" w:fill="auto"/>
                  <w:vAlign w:val="center"/>
                </w:tcPr>
                <w:p w14:paraId="3E1A9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1</w:t>
                  </w:r>
                </w:p>
              </w:tc>
              <w:tc>
                <w:tcPr>
                  <w:tcW w:w="375" w:type="pct"/>
                  <w:tcBorders>
                    <w:tl2br w:val="nil"/>
                    <w:tr2bl w:val="nil"/>
                  </w:tcBorders>
                  <w:shd w:val="clear" w:color="auto" w:fill="auto"/>
                  <w:vAlign w:val="center"/>
                </w:tcPr>
                <w:p w14:paraId="370D5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5D27F9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rPr>
                  </w:pPr>
                </w:p>
              </w:tc>
              <w:tc>
                <w:tcPr>
                  <w:tcW w:w="222" w:type="pct"/>
                  <w:tcBorders>
                    <w:tl2br w:val="nil"/>
                    <w:tr2bl w:val="nil"/>
                  </w:tcBorders>
                  <w:shd w:val="clear" w:color="auto" w:fill="auto"/>
                  <w:vAlign w:val="center"/>
                </w:tcPr>
                <w:p w14:paraId="109C9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77</w:t>
                  </w:r>
                </w:p>
              </w:tc>
              <w:tc>
                <w:tcPr>
                  <w:tcW w:w="193" w:type="pct"/>
                  <w:tcBorders>
                    <w:tl2br w:val="nil"/>
                    <w:tr2bl w:val="nil"/>
                  </w:tcBorders>
                  <w:shd w:val="clear" w:color="auto" w:fill="auto"/>
                  <w:vAlign w:val="center"/>
                </w:tcPr>
                <w:p w14:paraId="0CC5F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205" w:type="pct"/>
                  <w:tcBorders>
                    <w:tl2br w:val="nil"/>
                    <w:tr2bl w:val="nil"/>
                  </w:tcBorders>
                  <w:shd w:val="clear" w:color="auto" w:fill="auto"/>
                  <w:vAlign w:val="center"/>
                </w:tcPr>
                <w:p w14:paraId="0A18D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w:t>
                  </w:r>
                </w:p>
              </w:tc>
              <w:tc>
                <w:tcPr>
                  <w:tcW w:w="426" w:type="pct"/>
                  <w:tcBorders>
                    <w:tl2br w:val="nil"/>
                    <w:tr2bl w:val="nil"/>
                  </w:tcBorders>
                  <w:shd w:val="clear" w:color="auto" w:fill="auto"/>
                  <w:vAlign w:val="center"/>
                </w:tcPr>
                <w:p w14:paraId="02507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32</w:t>
                  </w:r>
                </w:p>
              </w:tc>
              <w:tc>
                <w:tcPr>
                  <w:tcW w:w="1276" w:type="dxa"/>
                  <w:tcBorders>
                    <w:tl2br w:val="nil"/>
                    <w:tr2bl w:val="nil"/>
                  </w:tcBorders>
                  <w:shd w:val="clear" w:color="auto" w:fill="auto"/>
                  <w:vAlign w:val="center"/>
                </w:tcPr>
                <w:p w14:paraId="0239485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54.9</w:t>
                  </w:r>
                </w:p>
              </w:tc>
              <w:tc>
                <w:tcPr>
                  <w:tcW w:w="265" w:type="pct"/>
                  <w:vMerge w:val="continue"/>
                  <w:tcBorders>
                    <w:tl2br w:val="nil"/>
                    <w:tr2bl w:val="nil"/>
                  </w:tcBorders>
                  <w:vAlign w:val="center"/>
                </w:tcPr>
                <w:p w14:paraId="1AFB6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363" w:type="pct"/>
                  <w:tcBorders>
                    <w:tl2br w:val="nil"/>
                    <w:tr2bl w:val="nil"/>
                  </w:tcBorders>
                  <w:vAlign w:val="center"/>
                </w:tcPr>
                <w:p w14:paraId="7B309D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279D7C2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4.9</w:t>
                  </w:r>
                </w:p>
              </w:tc>
              <w:tc>
                <w:tcPr>
                  <w:tcW w:w="379" w:type="pct"/>
                  <w:tcBorders>
                    <w:tl2br w:val="nil"/>
                    <w:tr2bl w:val="nil"/>
                  </w:tcBorders>
                  <w:vAlign w:val="center"/>
                </w:tcPr>
                <w:p w14:paraId="7BA86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452C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32184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4</w:t>
                  </w:r>
                </w:p>
              </w:tc>
              <w:tc>
                <w:tcPr>
                  <w:tcW w:w="314" w:type="pct"/>
                  <w:vMerge w:val="continue"/>
                  <w:tcBorders>
                    <w:tl2br w:val="nil"/>
                    <w:tr2bl w:val="nil"/>
                  </w:tcBorders>
                  <w:vAlign w:val="center"/>
                </w:tcPr>
                <w:p w14:paraId="4309D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7F89CA90">
                  <w:pPr>
                    <w:pStyle w:val="7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细鄂式破碎机</w:t>
                  </w:r>
                </w:p>
              </w:tc>
              <w:tc>
                <w:tcPr>
                  <w:tcW w:w="348" w:type="pct"/>
                  <w:tcBorders>
                    <w:tl2br w:val="nil"/>
                    <w:tr2bl w:val="nil"/>
                  </w:tcBorders>
                  <w:vAlign w:val="center"/>
                </w:tcPr>
                <w:p w14:paraId="7F9C2C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22B0B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13554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5EB04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79</w:t>
                  </w:r>
                </w:p>
              </w:tc>
              <w:tc>
                <w:tcPr>
                  <w:tcW w:w="193" w:type="pct"/>
                  <w:tcBorders>
                    <w:tl2br w:val="nil"/>
                    <w:tr2bl w:val="nil"/>
                  </w:tcBorders>
                  <w:vAlign w:val="center"/>
                </w:tcPr>
                <w:p w14:paraId="7771A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76</w:t>
                  </w:r>
                </w:p>
              </w:tc>
              <w:tc>
                <w:tcPr>
                  <w:tcW w:w="205" w:type="pct"/>
                  <w:tcBorders>
                    <w:tl2br w:val="nil"/>
                    <w:tr2bl w:val="nil"/>
                  </w:tcBorders>
                  <w:vAlign w:val="center"/>
                </w:tcPr>
                <w:p w14:paraId="41666B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426" w:type="pct"/>
                  <w:tcBorders>
                    <w:tl2br w:val="nil"/>
                    <w:tr2bl w:val="nil"/>
                  </w:tcBorders>
                  <w:vAlign w:val="center"/>
                </w:tcPr>
                <w:p w14:paraId="0534A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34</w:t>
                  </w:r>
                </w:p>
              </w:tc>
              <w:tc>
                <w:tcPr>
                  <w:tcW w:w="1276" w:type="dxa"/>
                  <w:tcBorders>
                    <w:tl2br w:val="nil"/>
                    <w:tr2bl w:val="nil"/>
                  </w:tcBorders>
                  <w:vAlign w:val="center"/>
                </w:tcPr>
                <w:p w14:paraId="17CC218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54.4</w:t>
                  </w:r>
                </w:p>
              </w:tc>
              <w:tc>
                <w:tcPr>
                  <w:tcW w:w="265" w:type="pct"/>
                  <w:vMerge w:val="continue"/>
                  <w:tcBorders>
                    <w:tl2br w:val="nil"/>
                    <w:tr2bl w:val="nil"/>
                  </w:tcBorders>
                  <w:vAlign w:val="center"/>
                </w:tcPr>
                <w:p w14:paraId="61A64F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p>
              </w:tc>
              <w:tc>
                <w:tcPr>
                  <w:tcW w:w="363" w:type="pct"/>
                  <w:tcBorders>
                    <w:tl2br w:val="nil"/>
                    <w:tr2bl w:val="nil"/>
                  </w:tcBorders>
                  <w:vAlign w:val="center"/>
                </w:tcPr>
                <w:p w14:paraId="0195E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22B14BE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4.4</w:t>
                  </w:r>
                </w:p>
              </w:tc>
              <w:tc>
                <w:tcPr>
                  <w:tcW w:w="379" w:type="pct"/>
                  <w:tcBorders>
                    <w:tl2br w:val="nil"/>
                    <w:tr2bl w:val="nil"/>
                  </w:tcBorders>
                  <w:vAlign w:val="center"/>
                </w:tcPr>
                <w:p w14:paraId="65591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1771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60930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5</w:t>
                  </w:r>
                </w:p>
              </w:tc>
              <w:tc>
                <w:tcPr>
                  <w:tcW w:w="314" w:type="pct"/>
                  <w:vMerge w:val="continue"/>
                  <w:tcBorders>
                    <w:tl2br w:val="nil"/>
                    <w:tr2bl w:val="nil"/>
                  </w:tcBorders>
                  <w:vAlign w:val="center"/>
                </w:tcPr>
                <w:p w14:paraId="5F8E2E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6D1C1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1#振动筛</w:t>
                  </w:r>
                </w:p>
              </w:tc>
              <w:tc>
                <w:tcPr>
                  <w:tcW w:w="348" w:type="pct"/>
                  <w:tcBorders>
                    <w:tl2br w:val="nil"/>
                    <w:tr2bl w:val="nil"/>
                  </w:tcBorders>
                  <w:vAlign w:val="center"/>
                </w:tcPr>
                <w:p w14:paraId="78D85C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70820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254ED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68ECB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68</w:t>
                  </w:r>
                </w:p>
              </w:tc>
              <w:tc>
                <w:tcPr>
                  <w:tcW w:w="193" w:type="pct"/>
                  <w:tcBorders>
                    <w:tl2br w:val="nil"/>
                    <w:tr2bl w:val="nil"/>
                  </w:tcBorders>
                  <w:vAlign w:val="center"/>
                </w:tcPr>
                <w:p w14:paraId="75031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74</w:t>
                  </w:r>
                </w:p>
              </w:tc>
              <w:tc>
                <w:tcPr>
                  <w:tcW w:w="205" w:type="pct"/>
                  <w:tcBorders>
                    <w:tl2br w:val="nil"/>
                    <w:tr2bl w:val="nil"/>
                  </w:tcBorders>
                  <w:vAlign w:val="center"/>
                </w:tcPr>
                <w:p w14:paraId="4181D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2.5</w:t>
                  </w:r>
                </w:p>
              </w:tc>
              <w:tc>
                <w:tcPr>
                  <w:tcW w:w="426" w:type="pct"/>
                  <w:tcBorders>
                    <w:tl2br w:val="nil"/>
                    <w:tr2bl w:val="nil"/>
                  </w:tcBorders>
                  <w:vAlign w:val="center"/>
                </w:tcPr>
                <w:p w14:paraId="49939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33</w:t>
                  </w:r>
                </w:p>
              </w:tc>
              <w:tc>
                <w:tcPr>
                  <w:tcW w:w="1276" w:type="dxa"/>
                  <w:tcBorders>
                    <w:tl2br w:val="nil"/>
                    <w:tr2bl w:val="nil"/>
                  </w:tcBorders>
                  <w:vAlign w:val="center"/>
                </w:tcPr>
                <w:p w14:paraId="759067E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54.6</w:t>
                  </w:r>
                </w:p>
              </w:tc>
              <w:tc>
                <w:tcPr>
                  <w:tcW w:w="265" w:type="pct"/>
                  <w:vMerge w:val="continue"/>
                  <w:tcBorders>
                    <w:tl2br w:val="nil"/>
                    <w:tr2bl w:val="nil"/>
                  </w:tcBorders>
                  <w:vAlign w:val="center"/>
                </w:tcPr>
                <w:p w14:paraId="484A1C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p>
              </w:tc>
              <w:tc>
                <w:tcPr>
                  <w:tcW w:w="363" w:type="pct"/>
                  <w:tcBorders>
                    <w:tl2br w:val="nil"/>
                    <w:tr2bl w:val="nil"/>
                  </w:tcBorders>
                  <w:vAlign w:val="center"/>
                </w:tcPr>
                <w:p w14:paraId="0FE96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660EAF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4.6</w:t>
                  </w:r>
                </w:p>
              </w:tc>
              <w:tc>
                <w:tcPr>
                  <w:tcW w:w="379" w:type="pct"/>
                  <w:tcBorders>
                    <w:tl2br w:val="nil"/>
                    <w:tr2bl w:val="nil"/>
                  </w:tcBorders>
                  <w:vAlign w:val="center"/>
                </w:tcPr>
                <w:p w14:paraId="78B5C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r>
            <w:tr w14:paraId="315D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6BA3FF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6</w:t>
                  </w:r>
                </w:p>
              </w:tc>
              <w:tc>
                <w:tcPr>
                  <w:tcW w:w="314" w:type="pct"/>
                  <w:vMerge w:val="continue"/>
                  <w:tcBorders>
                    <w:tl2br w:val="nil"/>
                    <w:tr2bl w:val="nil"/>
                  </w:tcBorders>
                  <w:vAlign w:val="center"/>
                </w:tcPr>
                <w:p w14:paraId="56E0A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73552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2#振动筛</w:t>
                  </w:r>
                </w:p>
              </w:tc>
              <w:tc>
                <w:tcPr>
                  <w:tcW w:w="348" w:type="pct"/>
                  <w:tcBorders>
                    <w:tl2br w:val="nil"/>
                    <w:tr2bl w:val="nil"/>
                  </w:tcBorders>
                  <w:vAlign w:val="center"/>
                </w:tcPr>
                <w:p w14:paraId="61386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438F4F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07C389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164C73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98</w:t>
                  </w:r>
                </w:p>
              </w:tc>
              <w:tc>
                <w:tcPr>
                  <w:tcW w:w="193" w:type="pct"/>
                  <w:tcBorders>
                    <w:tl2br w:val="nil"/>
                    <w:tr2bl w:val="nil"/>
                  </w:tcBorders>
                  <w:vAlign w:val="center"/>
                </w:tcPr>
                <w:p w14:paraId="6B1F7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74</w:t>
                  </w:r>
                </w:p>
              </w:tc>
              <w:tc>
                <w:tcPr>
                  <w:tcW w:w="205" w:type="pct"/>
                  <w:tcBorders>
                    <w:tl2br w:val="nil"/>
                    <w:tr2bl w:val="nil"/>
                  </w:tcBorders>
                  <w:vAlign w:val="center"/>
                </w:tcPr>
                <w:p w14:paraId="1CEA74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2.5</w:t>
                  </w:r>
                </w:p>
              </w:tc>
              <w:tc>
                <w:tcPr>
                  <w:tcW w:w="426" w:type="pct"/>
                  <w:tcBorders>
                    <w:tl2br w:val="nil"/>
                    <w:tr2bl w:val="nil"/>
                  </w:tcBorders>
                  <w:vAlign w:val="center"/>
                </w:tcPr>
                <w:p w14:paraId="4B205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18</w:t>
                  </w:r>
                </w:p>
              </w:tc>
              <w:tc>
                <w:tcPr>
                  <w:tcW w:w="1276" w:type="dxa"/>
                  <w:tcBorders>
                    <w:tl2br w:val="nil"/>
                    <w:tr2bl w:val="nil"/>
                  </w:tcBorders>
                  <w:vAlign w:val="center"/>
                </w:tcPr>
                <w:p w14:paraId="50DBFD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59.9</w:t>
                  </w:r>
                </w:p>
              </w:tc>
              <w:tc>
                <w:tcPr>
                  <w:tcW w:w="265" w:type="pct"/>
                  <w:vMerge w:val="continue"/>
                  <w:tcBorders>
                    <w:tl2br w:val="nil"/>
                    <w:tr2bl w:val="nil"/>
                  </w:tcBorders>
                  <w:vAlign w:val="center"/>
                </w:tcPr>
                <w:p w14:paraId="29C7F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p>
              </w:tc>
              <w:tc>
                <w:tcPr>
                  <w:tcW w:w="363" w:type="pct"/>
                  <w:tcBorders>
                    <w:tl2br w:val="nil"/>
                    <w:tr2bl w:val="nil"/>
                  </w:tcBorders>
                  <w:vAlign w:val="center"/>
                </w:tcPr>
                <w:p w14:paraId="26292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DBB574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9.9</w:t>
                  </w:r>
                </w:p>
              </w:tc>
              <w:tc>
                <w:tcPr>
                  <w:tcW w:w="379" w:type="pct"/>
                  <w:tcBorders>
                    <w:tl2br w:val="nil"/>
                    <w:tr2bl w:val="nil"/>
                  </w:tcBorders>
                  <w:vAlign w:val="center"/>
                </w:tcPr>
                <w:p w14:paraId="5068B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r>
            <w:tr w14:paraId="7FFD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2A93E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7</w:t>
                  </w:r>
                </w:p>
              </w:tc>
              <w:tc>
                <w:tcPr>
                  <w:tcW w:w="314" w:type="pct"/>
                  <w:vMerge w:val="continue"/>
                  <w:tcBorders>
                    <w:tl2br w:val="nil"/>
                    <w:tr2bl w:val="nil"/>
                  </w:tcBorders>
                  <w:vAlign w:val="center"/>
                </w:tcPr>
                <w:p w14:paraId="702CE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13DB6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w w:val="100"/>
                      <w:kern w:val="0"/>
                      <w:sz w:val="21"/>
                      <w:szCs w:val="21"/>
                      <w:highlight w:val="none"/>
                      <w:lang w:val="en-US" w:eastAsia="zh-CN" w:bidi="zh-CN"/>
                    </w:rPr>
                    <w:t>制砂机</w:t>
                  </w:r>
                </w:p>
              </w:tc>
              <w:tc>
                <w:tcPr>
                  <w:tcW w:w="348" w:type="pct"/>
                  <w:tcBorders>
                    <w:tl2br w:val="nil"/>
                    <w:tr2bl w:val="nil"/>
                  </w:tcBorders>
                  <w:vAlign w:val="center"/>
                </w:tcPr>
                <w:p w14:paraId="667E57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5B1A5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344" w:type="pct"/>
                  <w:vMerge w:val="continue"/>
                  <w:tcBorders>
                    <w:tl2br w:val="nil"/>
                    <w:tr2bl w:val="nil"/>
                  </w:tcBorders>
                  <w:vAlign w:val="center"/>
                </w:tcPr>
                <w:p w14:paraId="035221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7FFE9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87</w:t>
                  </w:r>
                </w:p>
              </w:tc>
              <w:tc>
                <w:tcPr>
                  <w:tcW w:w="193" w:type="pct"/>
                  <w:tcBorders>
                    <w:tl2br w:val="nil"/>
                    <w:tr2bl w:val="nil"/>
                  </w:tcBorders>
                  <w:vAlign w:val="center"/>
                </w:tcPr>
                <w:p w14:paraId="478879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77</w:t>
                  </w:r>
                </w:p>
              </w:tc>
              <w:tc>
                <w:tcPr>
                  <w:tcW w:w="205" w:type="pct"/>
                  <w:tcBorders>
                    <w:tl2br w:val="nil"/>
                    <w:tr2bl w:val="nil"/>
                  </w:tcBorders>
                  <w:vAlign w:val="center"/>
                </w:tcPr>
                <w:p w14:paraId="75682A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w:t>
                  </w:r>
                </w:p>
              </w:tc>
              <w:tc>
                <w:tcPr>
                  <w:tcW w:w="426" w:type="pct"/>
                  <w:tcBorders>
                    <w:tl2br w:val="nil"/>
                    <w:tr2bl w:val="nil"/>
                  </w:tcBorders>
                  <w:vAlign w:val="center"/>
                </w:tcPr>
                <w:p w14:paraId="699E6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24</w:t>
                  </w:r>
                </w:p>
              </w:tc>
              <w:tc>
                <w:tcPr>
                  <w:tcW w:w="1276" w:type="dxa"/>
                  <w:tcBorders>
                    <w:tl2br w:val="nil"/>
                    <w:tr2bl w:val="nil"/>
                  </w:tcBorders>
                  <w:vAlign w:val="center"/>
                </w:tcPr>
                <w:p w14:paraId="6F658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57.4</w:t>
                  </w:r>
                </w:p>
              </w:tc>
              <w:tc>
                <w:tcPr>
                  <w:tcW w:w="265" w:type="pct"/>
                  <w:vMerge w:val="continue"/>
                  <w:tcBorders>
                    <w:tl2br w:val="nil"/>
                    <w:tr2bl w:val="nil"/>
                  </w:tcBorders>
                  <w:vAlign w:val="center"/>
                </w:tcPr>
                <w:p w14:paraId="3CAC6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0C9CE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3CBA86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7.4</w:t>
                  </w:r>
                </w:p>
              </w:tc>
              <w:tc>
                <w:tcPr>
                  <w:tcW w:w="379" w:type="pct"/>
                  <w:tcBorders>
                    <w:tl2br w:val="nil"/>
                    <w:tr2bl w:val="nil"/>
                  </w:tcBorders>
                  <w:vAlign w:val="center"/>
                </w:tcPr>
                <w:p w14:paraId="17CA9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r>
            <w:tr w14:paraId="2662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03CA2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w:t>
                  </w:r>
                </w:p>
              </w:tc>
              <w:tc>
                <w:tcPr>
                  <w:tcW w:w="314" w:type="pct"/>
                  <w:vMerge w:val="continue"/>
                  <w:tcBorders>
                    <w:tl2br w:val="nil"/>
                    <w:tr2bl w:val="nil"/>
                  </w:tcBorders>
                  <w:vAlign w:val="center"/>
                </w:tcPr>
                <w:p w14:paraId="264AA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2E41F3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5DA0BC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3D409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59A4E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1CBDC2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55</w:t>
                  </w:r>
                </w:p>
              </w:tc>
              <w:tc>
                <w:tcPr>
                  <w:tcW w:w="193" w:type="pct"/>
                  <w:tcBorders>
                    <w:tl2br w:val="nil"/>
                    <w:tr2bl w:val="nil"/>
                  </w:tcBorders>
                  <w:vAlign w:val="center"/>
                </w:tcPr>
                <w:p w14:paraId="23760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63</w:t>
                  </w:r>
                </w:p>
              </w:tc>
              <w:tc>
                <w:tcPr>
                  <w:tcW w:w="205" w:type="pct"/>
                  <w:tcBorders>
                    <w:tl2br w:val="nil"/>
                    <w:tr2bl w:val="nil"/>
                  </w:tcBorders>
                  <w:vAlign w:val="center"/>
                </w:tcPr>
                <w:p w14:paraId="00427D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6095F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w:t>
                  </w:r>
                </w:p>
              </w:tc>
              <w:tc>
                <w:tcPr>
                  <w:tcW w:w="1276" w:type="dxa"/>
                  <w:tcBorders>
                    <w:tl2br w:val="nil"/>
                    <w:tr2bl w:val="nil"/>
                  </w:tcBorders>
                  <w:vAlign w:val="center"/>
                </w:tcPr>
                <w:p w14:paraId="070DE6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56.9</w:t>
                  </w:r>
                </w:p>
              </w:tc>
              <w:tc>
                <w:tcPr>
                  <w:tcW w:w="265" w:type="pct"/>
                  <w:vMerge w:val="continue"/>
                  <w:tcBorders>
                    <w:tl2br w:val="nil"/>
                    <w:tr2bl w:val="nil"/>
                  </w:tcBorders>
                  <w:vAlign w:val="center"/>
                </w:tcPr>
                <w:p w14:paraId="60DCE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6A882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6C7DEC48">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6.9</w:t>
                  </w:r>
                </w:p>
              </w:tc>
              <w:tc>
                <w:tcPr>
                  <w:tcW w:w="379" w:type="pct"/>
                  <w:tcBorders>
                    <w:tl2br w:val="nil"/>
                    <w:tr2bl w:val="nil"/>
                  </w:tcBorders>
                  <w:vAlign w:val="center"/>
                </w:tcPr>
                <w:p w14:paraId="43A85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62FE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2D80E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9</w:t>
                  </w:r>
                </w:p>
              </w:tc>
              <w:tc>
                <w:tcPr>
                  <w:tcW w:w="314" w:type="pct"/>
                  <w:vMerge w:val="continue"/>
                  <w:tcBorders>
                    <w:tl2br w:val="nil"/>
                    <w:tr2bl w:val="nil"/>
                  </w:tcBorders>
                  <w:vAlign w:val="center"/>
                </w:tcPr>
                <w:p w14:paraId="67F9F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0054EB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4DCB3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43011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650BB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3A595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58</w:t>
                  </w:r>
                </w:p>
              </w:tc>
              <w:tc>
                <w:tcPr>
                  <w:tcW w:w="193" w:type="pct"/>
                  <w:tcBorders>
                    <w:tl2br w:val="nil"/>
                    <w:tr2bl w:val="nil"/>
                  </w:tcBorders>
                  <w:vAlign w:val="center"/>
                </w:tcPr>
                <w:p w14:paraId="2ACBE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64</w:t>
                  </w:r>
                </w:p>
              </w:tc>
              <w:tc>
                <w:tcPr>
                  <w:tcW w:w="205" w:type="pct"/>
                  <w:tcBorders>
                    <w:tl2br w:val="nil"/>
                    <w:tr2bl w:val="nil"/>
                  </w:tcBorders>
                  <w:vAlign w:val="center"/>
                </w:tcPr>
                <w:p w14:paraId="20F695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0CE36F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11</w:t>
                  </w:r>
                </w:p>
              </w:tc>
              <w:tc>
                <w:tcPr>
                  <w:tcW w:w="1276" w:type="dxa"/>
                  <w:tcBorders>
                    <w:tl2br w:val="nil"/>
                    <w:tr2bl w:val="nil"/>
                  </w:tcBorders>
                  <w:vAlign w:val="center"/>
                </w:tcPr>
                <w:p w14:paraId="2B61BA5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54.2</w:t>
                  </w:r>
                </w:p>
              </w:tc>
              <w:tc>
                <w:tcPr>
                  <w:tcW w:w="265" w:type="pct"/>
                  <w:vMerge w:val="continue"/>
                  <w:tcBorders>
                    <w:tl2br w:val="nil"/>
                    <w:tr2bl w:val="nil"/>
                  </w:tcBorders>
                  <w:vAlign w:val="center"/>
                </w:tcPr>
                <w:p w14:paraId="11B963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7F129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66A5131A">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4.2</w:t>
                  </w:r>
                </w:p>
              </w:tc>
              <w:tc>
                <w:tcPr>
                  <w:tcW w:w="379" w:type="pct"/>
                  <w:tcBorders>
                    <w:tl2br w:val="nil"/>
                    <w:tr2bl w:val="nil"/>
                  </w:tcBorders>
                  <w:vAlign w:val="center"/>
                </w:tcPr>
                <w:p w14:paraId="65768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4B05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266ED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10</w:t>
                  </w:r>
                </w:p>
              </w:tc>
              <w:tc>
                <w:tcPr>
                  <w:tcW w:w="314" w:type="pct"/>
                  <w:vMerge w:val="continue"/>
                  <w:tcBorders>
                    <w:tl2br w:val="nil"/>
                    <w:tr2bl w:val="nil"/>
                  </w:tcBorders>
                  <w:vAlign w:val="center"/>
                </w:tcPr>
                <w:p w14:paraId="75977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6CE42A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326FCD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448D4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24A22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6AFEC0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56</w:t>
                  </w:r>
                </w:p>
              </w:tc>
              <w:tc>
                <w:tcPr>
                  <w:tcW w:w="193" w:type="pct"/>
                  <w:tcBorders>
                    <w:tl2br w:val="nil"/>
                    <w:tr2bl w:val="nil"/>
                  </w:tcBorders>
                  <w:vAlign w:val="center"/>
                </w:tcPr>
                <w:p w14:paraId="48AA3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76</w:t>
                  </w:r>
                </w:p>
              </w:tc>
              <w:tc>
                <w:tcPr>
                  <w:tcW w:w="205" w:type="pct"/>
                  <w:tcBorders>
                    <w:tl2br w:val="nil"/>
                    <w:tr2bl w:val="nil"/>
                  </w:tcBorders>
                  <w:vAlign w:val="center"/>
                </w:tcPr>
                <w:p w14:paraId="0F5B09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77892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9</w:t>
                  </w:r>
                </w:p>
              </w:tc>
              <w:tc>
                <w:tcPr>
                  <w:tcW w:w="1276" w:type="dxa"/>
                  <w:tcBorders>
                    <w:tl2br w:val="nil"/>
                    <w:tr2bl w:val="nil"/>
                  </w:tcBorders>
                  <w:vAlign w:val="center"/>
                </w:tcPr>
                <w:p w14:paraId="659C894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55.9</w:t>
                  </w:r>
                </w:p>
              </w:tc>
              <w:tc>
                <w:tcPr>
                  <w:tcW w:w="265" w:type="pct"/>
                  <w:vMerge w:val="continue"/>
                  <w:tcBorders>
                    <w:tl2br w:val="nil"/>
                    <w:tr2bl w:val="nil"/>
                  </w:tcBorders>
                  <w:vAlign w:val="center"/>
                </w:tcPr>
                <w:p w14:paraId="5709A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015B64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59CD633D">
                  <w:pPr>
                    <w:keepNext w:val="0"/>
                    <w:keepLines w:val="0"/>
                    <w:widowControl/>
                    <w:suppressLineNumbers w:val="0"/>
                    <w:spacing w:before="0" w:beforeAutospacing="0" w:after="0" w:afterAutospacing="0"/>
                    <w:ind w:left="0" w:right="0"/>
                    <w:jc w:val="center"/>
                    <w:textAlignment w:val="center"/>
                    <w:rPr>
                      <w:rFonts w:hint="default"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5.9</w:t>
                  </w:r>
                </w:p>
              </w:tc>
              <w:tc>
                <w:tcPr>
                  <w:tcW w:w="379" w:type="pct"/>
                  <w:tcBorders>
                    <w:tl2br w:val="nil"/>
                    <w:tr2bl w:val="nil"/>
                  </w:tcBorders>
                  <w:vAlign w:val="center"/>
                </w:tcPr>
                <w:p w14:paraId="3330B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2A7C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576B9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11</w:t>
                  </w:r>
                </w:p>
              </w:tc>
              <w:tc>
                <w:tcPr>
                  <w:tcW w:w="314" w:type="pct"/>
                  <w:vMerge w:val="continue"/>
                  <w:tcBorders>
                    <w:tl2br w:val="nil"/>
                    <w:tr2bl w:val="nil"/>
                  </w:tcBorders>
                  <w:vAlign w:val="center"/>
                </w:tcPr>
                <w:p w14:paraId="28D2C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633749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7A416D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7FA53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20E59F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35369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64</w:t>
                  </w:r>
                </w:p>
              </w:tc>
              <w:tc>
                <w:tcPr>
                  <w:tcW w:w="193" w:type="pct"/>
                  <w:tcBorders>
                    <w:tl2br w:val="nil"/>
                    <w:tr2bl w:val="nil"/>
                  </w:tcBorders>
                  <w:vAlign w:val="center"/>
                </w:tcPr>
                <w:p w14:paraId="25C9E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74</w:t>
                  </w:r>
                </w:p>
              </w:tc>
              <w:tc>
                <w:tcPr>
                  <w:tcW w:w="205" w:type="pct"/>
                  <w:tcBorders>
                    <w:tl2br w:val="nil"/>
                    <w:tr2bl w:val="nil"/>
                  </w:tcBorders>
                  <w:vAlign w:val="center"/>
                </w:tcPr>
                <w:p w14:paraId="0EA41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7891AB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17</w:t>
                  </w:r>
                </w:p>
              </w:tc>
              <w:tc>
                <w:tcPr>
                  <w:tcW w:w="1276" w:type="dxa"/>
                  <w:tcBorders>
                    <w:tl2br w:val="nil"/>
                    <w:tr2bl w:val="nil"/>
                  </w:tcBorders>
                  <w:vAlign w:val="center"/>
                </w:tcPr>
                <w:p w14:paraId="0CA1CB1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50.4</w:t>
                  </w:r>
                </w:p>
              </w:tc>
              <w:tc>
                <w:tcPr>
                  <w:tcW w:w="265" w:type="pct"/>
                  <w:vMerge w:val="continue"/>
                  <w:tcBorders>
                    <w:tl2br w:val="nil"/>
                    <w:tr2bl w:val="nil"/>
                  </w:tcBorders>
                  <w:vAlign w:val="center"/>
                </w:tcPr>
                <w:p w14:paraId="309679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0BACF8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AFBAB8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0.4</w:t>
                  </w:r>
                </w:p>
              </w:tc>
              <w:tc>
                <w:tcPr>
                  <w:tcW w:w="379" w:type="pct"/>
                  <w:tcBorders>
                    <w:tl2br w:val="nil"/>
                    <w:tr2bl w:val="nil"/>
                  </w:tcBorders>
                  <w:vAlign w:val="center"/>
                </w:tcPr>
                <w:p w14:paraId="1B3922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4FF6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372977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12</w:t>
                  </w:r>
                </w:p>
              </w:tc>
              <w:tc>
                <w:tcPr>
                  <w:tcW w:w="314" w:type="pct"/>
                  <w:vMerge w:val="continue"/>
                  <w:tcBorders>
                    <w:tl2br w:val="nil"/>
                    <w:tr2bl w:val="nil"/>
                  </w:tcBorders>
                  <w:vAlign w:val="center"/>
                </w:tcPr>
                <w:p w14:paraId="0EDB20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49DF8E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37AAAB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76FD6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49066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0354D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65</w:t>
                  </w:r>
                </w:p>
              </w:tc>
              <w:tc>
                <w:tcPr>
                  <w:tcW w:w="193" w:type="pct"/>
                  <w:tcBorders>
                    <w:tl2br w:val="nil"/>
                    <w:tr2bl w:val="nil"/>
                  </w:tcBorders>
                  <w:vAlign w:val="center"/>
                </w:tcPr>
                <w:p w14:paraId="6D11C7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74</w:t>
                  </w:r>
                </w:p>
              </w:tc>
              <w:tc>
                <w:tcPr>
                  <w:tcW w:w="205" w:type="pct"/>
                  <w:tcBorders>
                    <w:tl2br w:val="nil"/>
                    <w:tr2bl w:val="nil"/>
                  </w:tcBorders>
                  <w:vAlign w:val="center"/>
                </w:tcPr>
                <w:p w14:paraId="5C912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0B0C8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18</w:t>
                  </w:r>
                </w:p>
              </w:tc>
              <w:tc>
                <w:tcPr>
                  <w:tcW w:w="1276" w:type="dxa"/>
                  <w:tcBorders>
                    <w:tl2br w:val="nil"/>
                    <w:tr2bl w:val="nil"/>
                  </w:tcBorders>
                  <w:vAlign w:val="center"/>
                </w:tcPr>
                <w:p w14:paraId="7F90971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49.9</w:t>
                  </w:r>
                </w:p>
              </w:tc>
              <w:tc>
                <w:tcPr>
                  <w:tcW w:w="265" w:type="pct"/>
                  <w:vMerge w:val="continue"/>
                  <w:tcBorders>
                    <w:tl2br w:val="nil"/>
                    <w:tr2bl w:val="nil"/>
                  </w:tcBorders>
                  <w:vAlign w:val="center"/>
                </w:tcPr>
                <w:p w14:paraId="37FDE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0F81C7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0B9A862B">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9.9</w:t>
                  </w:r>
                </w:p>
              </w:tc>
              <w:tc>
                <w:tcPr>
                  <w:tcW w:w="379" w:type="pct"/>
                  <w:tcBorders>
                    <w:tl2br w:val="nil"/>
                    <w:tr2bl w:val="nil"/>
                  </w:tcBorders>
                  <w:vAlign w:val="center"/>
                </w:tcPr>
                <w:p w14:paraId="10E01A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6FD0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365B9E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13</w:t>
                  </w:r>
                </w:p>
              </w:tc>
              <w:tc>
                <w:tcPr>
                  <w:tcW w:w="314" w:type="pct"/>
                  <w:vMerge w:val="continue"/>
                  <w:tcBorders>
                    <w:tl2br w:val="nil"/>
                    <w:tr2bl w:val="nil"/>
                  </w:tcBorders>
                  <w:vAlign w:val="center"/>
                </w:tcPr>
                <w:p w14:paraId="6BDD1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163FCD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3DEFD1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6C72A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6065E7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479C9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66</w:t>
                  </w:r>
                </w:p>
              </w:tc>
              <w:tc>
                <w:tcPr>
                  <w:tcW w:w="193" w:type="pct"/>
                  <w:tcBorders>
                    <w:tl2br w:val="nil"/>
                    <w:tr2bl w:val="nil"/>
                  </w:tcBorders>
                  <w:vAlign w:val="center"/>
                </w:tcPr>
                <w:p w14:paraId="78082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205" w:type="pct"/>
                  <w:tcBorders>
                    <w:tl2br w:val="nil"/>
                    <w:tr2bl w:val="nil"/>
                  </w:tcBorders>
                  <w:vAlign w:val="center"/>
                </w:tcPr>
                <w:p w14:paraId="00ACF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4F452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19</w:t>
                  </w:r>
                </w:p>
              </w:tc>
              <w:tc>
                <w:tcPr>
                  <w:tcW w:w="1276" w:type="dxa"/>
                  <w:tcBorders>
                    <w:tl2br w:val="nil"/>
                    <w:tr2bl w:val="nil"/>
                  </w:tcBorders>
                  <w:vAlign w:val="center"/>
                </w:tcPr>
                <w:p w14:paraId="6BE96BB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49.4</w:t>
                  </w:r>
                </w:p>
              </w:tc>
              <w:tc>
                <w:tcPr>
                  <w:tcW w:w="265" w:type="pct"/>
                  <w:vMerge w:val="continue"/>
                  <w:tcBorders>
                    <w:tl2br w:val="nil"/>
                    <w:tr2bl w:val="nil"/>
                  </w:tcBorders>
                  <w:vAlign w:val="center"/>
                </w:tcPr>
                <w:p w14:paraId="0C0FF7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2A4A7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1BAF67B6">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9.4</w:t>
                  </w:r>
                </w:p>
              </w:tc>
              <w:tc>
                <w:tcPr>
                  <w:tcW w:w="379" w:type="pct"/>
                  <w:tcBorders>
                    <w:tl2br w:val="nil"/>
                    <w:tr2bl w:val="nil"/>
                  </w:tcBorders>
                  <w:vAlign w:val="center"/>
                </w:tcPr>
                <w:p w14:paraId="6767C5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279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0AA3C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14</w:t>
                  </w:r>
                </w:p>
              </w:tc>
              <w:tc>
                <w:tcPr>
                  <w:tcW w:w="314" w:type="pct"/>
                  <w:vMerge w:val="continue"/>
                  <w:tcBorders>
                    <w:tl2br w:val="nil"/>
                    <w:tr2bl w:val="nil"/>
                  </w:tcBorders>
                  <w:vAlign w:val="center"/>
                </w:tcPr>
                <w:p w14:paraId="6E896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0226C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4B3B0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4063C7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445EA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40ACE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67</w:t>
                  </w:r>
                </w:p>
              </w:tc>
              <w:tc>
                <w:tcPr>
                  <w:tcW w:w="193" w:type="pct"/>
                  <w:tcBorders>
                    <w:tl2br w:val="nil"/>
                    <w:tr2bl w:val="nil"/>
                  </w:tcBorders>
                  <w:vAlign w:val="center"/>
                </w:tcPr>
                <w:p w14:paraId="6BB1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205" w:type="pct"/>
                  <w:tcBorders>
                    <w:tl2br w:val="nil"/>
                    <w:tr2bl w:val="nil"/>
                  </w:tcBorders>
                  <w:vAlign w:val="center"/>
                </w:tcPr>
                <w:p w14:paraId="0C15A8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6F8F78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1276" w:type="dxa"/>
                  <w:tcBorders>
                    <w:tl2br w:val="nil"/>
                    <w:tr2bl w:val="nil"/>
                  </w:tcBorders>
                  <w:vAlign w:val="center"/>
                </w:tcPr>
                <w:p w14:paraId="16926B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49.0</w:t>
                  </w:r>
                </w:p>
              </w:tc>
              <w:tc>
                <w:tcPr>
                  <w:tcW w:w="265" w:type="pct"/>
                  <w:vMerge w:val="continue"/>
                  <w:tcBorders>
                    <w:tl2br w:val="nil"/>
                    <w:tr2bl w:val="nil"/>
                  </w:tcBorders>
                  <w:vAlign w:val="center"/>
                </w:tcPr>
                <w:p w14:paraId="2A397E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720BF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6BD5FBB2">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9.0</w:t>
                  </w:r>
                </w:p>
              </w:tc>
              <w:tc>
                <w:tcPr>
                  <w:tcW w:w="379" w:type="pct"/>
                  <w:tcBorders>
                    <w:tl2br w:val="nil"/>
                    <w:tr2bl w:val="nil"/>
                  </w:tcBorders>
                  <w:vAlign w:val="center"/>
                </w:tcPr>
                <w:p w14:paraId="30DB04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3A3E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2F8D82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15</w:t>
                  </w:r>
                </w:p>
              </w:tc>
              <w:tc>
                <w:tcPr>
                  <w:tcW w:w="314" w:type="pct"/>
                  <w:vMerge w:val="continue"/>
                  <w:tcBorders>
                    <w:tl2br w:val="nil"/>
                    <w:tr2bl w:val="nil"/>
                  </w:tcBorders>
                  <w:vAlign w:val="center"/>
                </w:tcPr>
                <w:p w14:paraId="53F50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77802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70A51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46B34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48D46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7E8C7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91</w:t>
                  </w:r>
                </w:p>
              </w:tc>
              <w:tc>
                <w:tcPr>
                  <w:tcW w:w="193" w:type="pct"/>
                  <w:tcBorders>
                    <w:tl2br w:val="nil"/>
                    <w:tr2bl w:val="nil"/>
                  </w:tcBorders>
                  <w:vAlign w:val="center"/>
                </w:tcPr>
                <w:p w14:paraId="511EF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78</w:t>
                  </w:r>
                </w:p>
              </w:tc>
              <w:tc>
                <w:tcPr>
                  <w:tcW w:w="205" w:type="pct"/>
                  <w:tcBorders>
                    <w:tl2br w:val="nil"/>
                    <w:tr2bl w:val="nil"/>
                  </w:tcBorders>
                  <w:vAlign w:val="center"/>
                </w:tcPr>
                <w:p w14:paraId="18BBB2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426" w:type="pct"/>
                  <w:tcBorders>
                    <w:tl2br w:val="nil"/>
                    <w:tr2bl w:val="nil"/>
                  </w:tcBorders>
                  <w:vAlign w:val="center"/>
                </w:tcPr>
                <w:p w14:paraId="1A3E3A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w:t>
                  </w:r>
                </w:p>
              </w:tc>
              <w:tc>
                <w:tcPr>
                  <w:tcW w:w="1276" w:type="dxa"/>
                  <w:tcBorders>
                    <w:tl2br w:val="nil"/>
                    <w:tr2bl w:val="nil"/>
                  </w:tcBorders>
                  <w:vAlign w:val="center"/>
                </w:tcPr>
                <w:p w14:paraId="713EC54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45.5</w:t>
                  </w:r>
                </w:p>
              </w:tc>
              <w:tc>
                <w:tcPr>
                  <w:tcW w:w="265" w:type="pct"/>
                  <w:vMerge w:val="continue"/>
                  <w:tcBorders>
                    <w:tl2br w:val="nil"/>
                    <w:tr2bl w:val="nil"/>
                  </w:tcBorders>
                  <w:vAlign w:val="center"/>
                </w:tcPr>
                <w:p w14:paraId="1FEF7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23AEB0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993" w:type="dxa"/>
                  <w:tcBorders>
                    <w:tl2br w:val="nil"/>
                    <w:tr2bl w:val="nil"/>
                  </w:tcBorders>
                  <w:vAlign w:val="center"/>
                </w:tcPr>
                <w:p w14:paraId="7123304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5.5</w:t>
                  </w:r>
                </w:p>
              </w:tc>
              <w:tc>
                <w:tcPr>
                  <w:tcW w:w="379" w:type="pct"/>
                  <w:tcBorders>
                    <w:tl2br w:val="nil"/>
                    <w:tr2bl w:val="nil"/>
                  </w:tcBorders>
                  <w:vAlign w:val="center"/>
                </w:tcPr>
                <w:p w14:paraId="7C5C2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C73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0FEB3F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16</w:t>
                  </w:r>
                </w:p>
              </w:tc>
              <w:tc>
                <w:tcPr>
                  <w:tcW w:w="314" w:type="pct"/>
                  <w:vMerge w:val="continue"/>
                  <w:tcBorders>
                    <w:tl2br w:val="nil"/>
                    <w:tr2bl w:val="nil"/>
                  </w:tcBorders>
                  <w:vAlign w:val="center"/>
                </w:tcPr>
                <w:p w14:paraId="0BE18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337481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1B173E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27CEB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6EF03E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1822A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95</w:t>
                  </w:r>
                </w:p>
              </w:tc>
              <w:tc>
                <w:tcPr>
                  <w:tcW w:w="193" w:type="pct"/>
                  <w:tcBorders>
                    <w:tl2br w:val="nil"/>
                    <w:tr2bl w:val="nil"/>
                  </w:tcBorders>
                  <w:vAlign w:val="center"/>
                </w:tcPr>
                <w:p w14:paraId="2A8DE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76</w:t>
                  </w:r>
                </w:p>
              </w:tc>
              <w:tc>
                <w:tcPr>
                  <w:tcW w:w="205" w:type="pct"/>
                  <w:tcBorders>
                    <w:tl2br w:val="nil"/>
                    <w:tr2bl w:val="nil"/>
                  </w:tcBorders>
                  <w:vAlign w:val="center"/>
                </w:tcPr>
                <w:p w14:paraId="0BFCC5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426" w:type="pct"/>
                  <w:tcBorders>
                    <w:tl2br w:val="nil"/>
                    <w:tr2bl w:val="nil"/>
                  </w:tcBorders>
                  <w:vAlign w:val="center"/>
                </w:tcPr>
                <w:p w14:paraId="5FCD71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31</w:t>
                  </w:r>
                </w:p>
              </w:tc>
              <w:tc>
                <w:tcPr>
                  <w:tcW w:w="1276" w:type="dxa"/>
                  <w:tcBorders>
                    <w:tl2br w:val="nil"/>
                    <w:tr2bl w:val="nil"/>
                  </w:tcBorders>
                  <w:vAlign w:val="center"/>
                </w:tcPr>
                <w:p w14:paraId="3E4D85D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45.2</w:t>
                  </w:r>
                </w:p>
              </w:tc>
              <w:tc>
                <w:tcPr>
                  <w:tcW w:w="265" w:type="pct"/>
                  <w:vMerge w:val="continue"/>
                  <w:tcBorders>
                    <w:tl2br w:val="nil"/>
                    <w:tr2bl w:val="nil"/>
                  </w:tcBorders>
                  <w:vAlign w:val="center"/>
                </w:tcPr>
                <w:p w14:paraId="30AB1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7E12E8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39B4FC0E">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5.2</w:t>
                  </w:r>
                </w:p>
              </w:tc>
              <w:tc>
                <w:tcPr>
                  <w:tcW w:w="1059" w:type="dxa"/>
                  <w:tcBorders>
                    <w:tl2br w:val="nil"/>
                    <w:tr2bl w:val="nil"/>
                  </w:tcBorders>
                  <w:vAlign w:val="center"/>
                </w:tcPr>
                <w:p w14:paraId="51F071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838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095B4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17</w:t>
                  </w:r>
                </w:p>
              </w:tc>
              <w:tc>
                <w:tcPr>
                  <w:tcW w:w="314" w:type="pct"/>
                  <w:vMerge w:val="continue"/>
                  <w:tcBorders>
                    <w:tl2br w:val="nil"/>
                    <w:tr2bl w:val="nil"/>
                  </w:tcBorders>
                  <w:vAlign w:val="center"/>
                </w:tcPr>
                <w:p w14:paraId="27659B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2E8EFC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7FDE8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6DD30D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5F83C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37383D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97</w:t>
                  </w:r>
                </w:p>
              </w:tc>
              <w:tc>
                <w:tcPr>
                  <w:tcW w:w="193" w:type="pct"/>
                  <w:tcBorders>
                    <w:tl2br w:val="nil"/>
                    <w:tr2bl w:val="nil"/>
                  </w:tcBorders>
                  <w:vAlign w:val="center"/>
                </w:tcPr>
                <w:p w14:paraId="012DD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77</w:t>
                  </w:r>
                </w:p>
              </w:tc>
              <w:tc>
                <w:tcPr>
                  <w:tcW w:w="205" w:type="pct"/>
                  <w:tcBorders>
                    <w:tl2br w:val="nil"/>
                    <w:tr2bl w:val="nil"/>
                  </w:tcBorders>
                  <w:vAlign w:val="center"/>
                </w:tcPr>
                <w:p w14:paraId="25FF25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426" w:type="pct"/>
                  <w:tcBorders>
                    <w:tl2br w:val="nil"/>
                    <w:tr2bl w:val="nil"/>
                  </w:tcBorders>
                  <w:vAlign w:val="center"/>
                </w:tcPr>
                <w:p w14:paraId="65CEEA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w:t>
                  </w:r>
                </w:p>
              </w:tc>
              <w:tc>
                <w:tcPr>
                  <w:tcW w:w="1276" w:type="dxa"/>
                  <w:tcBorders>
                    <w:tl2br w:val="nil"/>
                    <w:tr2bl w:val="nil"/>
                  </w:tcBorders>
                  <w:vAlign w:val="center"/>
                </w:tcPr>
                <w:p w14:paraId="6F91A2F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45.5</w:t>
                  </w:r>
                </w:p>
              </w:tc>
              <w:tc>
                <w:tcPr>
                  <w:tcW w:w="265" w:type="pct"/>
                  <w:vMerge w:val="continue"/>
                  <w:tcBorders>
                    <w:tl2br w:val="nil"/>
                    <w:tr2bl w:val="nil"/>
                  </w:tcBorders>
                  <w:vAlign w:val="center"/>
                </w:tcPr>
                <w:p w14:paraId="03FCB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191B3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70BBFFC8">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5.5</w:t>
                  </w:r>
                </w:p>
              </w:tc>
              <w:tc>
                <w:tcPr>
                  <w:tcW w:w="1059" w:type="dxa"/>
                  <w:tcBorders>
                    <w:tl2br w:val="nil"/>
                    <w:tr2bl w:val="nil"/>
                  </w:tcBorders>
                  <w:vAlign w:val="center"/>
                </w:tcPr>
                <w:p w14:paraId="19F3C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236DF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76421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18</w:t>
                  </w:r>
                </w:p>
              </w:tc>
              <w:tc>
                <w:tcPr>
                  <w:tcW w:w="314" w:type="pct"/>
                  <w:vMerge w:val="continue"/>
                  <w:tcBorders>
                    <w:tl2br w:val="nil"/>
                    <w:tr2bl w:val="nil"/>
                  </w:tcBorders>
                  <w:vAlign w:val="center"/>
                </w:tcPr>
                <w:p w14:paraId="20E01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7E5C3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4CF4E7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12098B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7102C6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057EC1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98</w:t>
                  </w:r>
                </w:p>
              </w:tc>
              <w:tc>
                <w:tcPr>
                  <w:tcW w:w="193" w:type="pct"/>
                  <w:tcBorders>
                    <w:tl2br w:val="nil"/>
                    <w:tr2bl w:val="nil"/>
                  </w:tcBorders>
                  <w:vAlign w:val="center"/>
                </w:tcPr>
                <w:p w14:paraId="4FCA5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78</w:t>
                  </w:r>
                </w:p>
              </w:tc>
              <w:tc>
                <w:tcPr>
                  <w:tcW w:w="205" w:type="pct"/>
                  <w:tcBorders>
                    <w:tl2br w:val="nil"/>
                    <w:tr2bl w:val="nil"/>
                  </w:tcBorders>
                  <w:vAlign w:val="center"/>
                </w:tcPr>
                <w:p w14:paraId="763FE4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044733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w:t>
                  </w:r>
                </w:p>
              </w:tc>
              <w:tc>
                <w:tcPr>
                  <w:tcW w:w="1276" w:type="dxa"/>
                  <w:tcBorders>
                    <w:tl2br w:val="nil"/>
                    <w:tr2bl w:val="nil"/>
                  </w:tcBorders>
                  <w:vAlign w:val="center"/>
                </w:tcPr>
                <w:p w14:paraId="71B730E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45.5</w:t>
                  </w:r>
                </w:p>
              </w:tc>
              <w:tc>
                <w:tcPr>
                  <w:tcW w:w="265" w:type="pct"/>
                  <w:vMerge w:val="continue"/>
                  <w:tcBorders>
                    <w:tl2br w:val="nil"/>
                    <w:tr2bl w:val="nil"/>
                  </w:tcBorders>
                  <w:vAlign w:val="center"/>
                </w:tcPr>
                <w:p w14:paraId="1C150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5AFE5D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1CAC5394">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5.5</w:t>
                  </w:r>
                </w:p>
              </w:tc>
              <w:tc>
                <w:tcPr>
                  <w:tcW w:w="1059" w:type="dxa"/>
                  <w:tcBorders>
                    <w:tl2br w:val="nil"/>
                    <w:tr2bl w:val="nil"/>
                  </w:tcBorders>
                  <w:vAlign w:val="center"/>
                </w:tcPr>
                <w:p w14:paraId="5F465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09B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3B46E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19</w:t>
                  </w:r>
                </w:p>
              </w:tc>
              <w:tc>
                <w:tcPr>
                  <w:tcW w:w="314" w:type="pct"/>
                  <w:vMerge w:val="continue"/>
                  <w:tcBorders>
                    <w:tl2br w:val="nil"/>
                    <w:tr2bl w:val="nil"/>
                  </w:tcBorders>
                  <w:vAlign w:val="center"/>
                </w:tcPr>
                <w:p w14:paraId="14750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288498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6448B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2B67F1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323F8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0994A9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99</w:t>
                  </w:r>
                </w:p>
              </w:tc>
              <w:tc>
                <w:tcPr>
                  <w:tcW w:w="193" w:type="pct"/>
                  <w:tcBorders>
                    <w:tl2br w:val="nil"/>
                    <w:tr2bl w:val="nil"/>
                  </w:tcBorders>
                  <w:vAlign w:val="center"/>
                </w:tcPr>
                <w:p w14:paraId="5304D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77</w:t>
                  </w:r>
                </w:p>
              </w:tc>
              <w:tc>
                <w:tcPr>
                  <w:tcW w:w="205" w:type="pct"/>
                  <w:tcBorders>
                    <w:tl2br w:val="nil"/>
                    <w:tr2bl w:val="nil"/>
                  </w:tcBorders>
                  <w:vAlign w:val="center"/>
                </w:tcPr>
                <w:p w14:paraId="355DD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708BC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30</w:t>
                  </w:r>
                </w:p>
              </w:tc>
              <w:tc>
                <w:tcPr>
                  <w:tcW w:w="1276" w:type="dxa"/>
                  <w:tcBorders>
                    <w:tl2br w:val="nil"/>
                    <w:tr2bl w:val="nil"/>
                  </w:tcBorders>
                  <w:vAlign w:val="center"/>
                </w:tcPr>
                <w:p w14:paraId="30936C7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45.5</w:t>
                  </w:r>
                </w:p>
              </w:tc>
              <w:tc>
                <w:tcPr>
                  <w:tcW w:w="265" w:type="pct"/>
                  <w:vMerge w:val="continue"/>
                  <w:tcBorders>
                    <w:tl2br w:val="nil"/>
                    <w:tr2bl w:val="nil"/>
                  </w:tcBorders>
                  <w:vAlign w:val="center"/>
                </w:tcPr>
                <w:p w14:paraId="5D7044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740C3E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1E67DC02">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5.5</w:t>
                  </w:r>
                </w:p>
              </w:tc>
              <w:tc>
                <w:tcPr>
                  <w:tcW w:w="1059" w:type="dxa"/>
                  <w:tcBorders>
                    <w:tl2br w:val="nil"/>
                    <w:tr2bl w:val="nil"/>
                  </w:tcBorders>
                  <w:vAlign w:val="center"/>
                </w:tcPr>
                <w:p w14:paraId="5A21E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5C76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87" w:type="pct"/>
                  <w:tcBorders>
                    <w:tl2br w:val="nil"/>
                    <w:tr2bl w:val="nil"/>
                  </w:tcBorders>
                  <w:shd w:val="clear" w:color="auto" w:fill="auto"/>
                  <w:vAlign w:val="center"/>
                </w:tcPr>
                <w:p w14:paraId="12E383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14" w:type="pct"/>
                  <w:vMerge w:val="continue"/>
                  <w:tcBorders>
                    <w:tl2br w:val="nil"/>
                    <w:tr2bl w:val="nil"/>
                  </w:tcBorders>
                  <w:vAlign w:val="center"/>
                </w:tcPr>
                <w:p w14:paraId="3FFD8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Calibri" w:hAnsi="Calibri" w:eastAsia="宋体" w:cs="Times New Roman"/>
                      <w:color w:val="auto"/>
                      <w:spacing w:val="0"/>
                      <w:kern w:val="0"/>
                      <w:sz w:val="21"/>
                      <w:szCs w:val="21"/>
                      <w:highlight w:val="none"/>
                      <w:lang w:val="en-US" w:eastAsia="zh-CN"/>
                    </w:rPr>
                  </w:pPr>
                </w:p>
              </w:tc>
              <w:tc>
                <w:tcPr>
                  <w:tcW w:w="559" w:type="pct"/>
                  <w:tcBorders>
                    <w:tl2br w:val="nil"/>
                    <w:tr2bl w:val="nil"/>
                  </w:tcBorders>
                  <w:vAlign w:val="center"/>
                </w:tcPr>
                <w:p w14:paraId="69778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w w:val="100"/>
                      <w:kern w:val="0"/>
                      <w:sz w:val="21"/>
                      <w:szCs w:val="21"/>
                      <w:highlight w:val="none"/>
                      <w:lang w:val="en-US" w:eastAsia="zh-CN" w:bidi="zh-CN"/>
                    </w:rPr>
                  </w:pPr>
                  <w:r>
                    <w:rPr>
                      <w:rFonts w:hint="eastAsia" w:ascii="Times New Roman" w:hAnsi="Times New Roman" w:eastAsia="宋体" w:cs="Times New Roman"/>
                      <w:color w:val="auto"/>
                      <w:spacing w:val="0"/>
                      <w:w w:val="100"/>
                      <w:kern w:val="0"/>
                      <w:sz w:val="21"/>
                      <w:szCs w:val="21"/>
                      <w:highlight w:val="none"/>
                      <w:lang w:val="en-US" w:eastAsia="zh-CN" w:bidi="zh-CN"/>
                    </w:rPr>
                    <w:t>皮带输送机</w:t>
                  </w:r>
                </w:p>
              </w:tc>
              <w:tc>
                <w:tcPr>
                  <w:tcW w:w="348" w:type="pct"/>
                  <w:tcBorders>
                    <w:tl2br w:val="nil"/>
                    <w:tr2bl w:val="nil"/>
                  </w:tcBorders>
                  <w:vAlign w:val="center"/>
                </w:tcPr>
                <w:p w14:paraId="082AA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375" w:type="pct"/>
                  <w:tcBorders>
                    <w:tl2br w:val="nil"/>
                    <w:tr2bl w:val="nil"/>
                  </w:tcBorders>
                  <w:vAlign w:val="center"/>
                </w:tcPr>
                <w:p w14:paraId="07BF1A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344" w:type="pct"/>
                  <w:vMerge w:val="continue"/>
                  <w:tcBorders>
                    <w:tl2br w:val="nil"/>
                    <w:tr2bl w:val="nil"/>
                  </w:tcBorders>
                  <w:vAlign w:val="center"/>
                </w:tcPr>
                <w:p w14:paraId="1FD8D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222" w:type="pct"/>
                  <w:tcBorders>
                    <w:tl2br w:val="nil"/>
                    <w:tr2bl w:val="nil"/>
                  </w:tcBorders>
                  <w:vAlign w:val="center"/>
                </w:tcPr>
                <w:p w14:paraId="195000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102</w:t>
                  </w:r>
                </w:p>
              </w:tc>
              <w:tc>
                <w:tcPr>
                  <w:tcW w:w="193" w:type="pct"/>
                  <w:tcBorders>
                    <w:tl2br w:val="nil"/>
                    <w:tr2bl w:val="nil"/>
                  </w:tcBorders>
                  <w:vAlign w:val="center"/>
                </w:tcPr>
                <w:p w14:paraId="0A8CC1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79</w:t>
                  </w:r>
                </w:p>
              </w:tc>
              <w:tc>
                <w:tcPr>
                  <w:tcW w:w="205" w:type="pct"/>
                  <w:tcBorders>
                    <w:tl2br w:val="nil"/>
                    <w:tr2bl w:val="nil"/>
                  </w:tcBorders>
                  <w:vAlign w:val="center"/>
                </w:tcPr>
                <w:p w14:paraId="49BE41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1.5</w:t>
                  </w:r>
                </w:p>
              </w:tc>
              <w:tc>
                <w:tcPr>
                  <w:tcW w:w="426" w:type="pct"/>
                  <w:tcBorders>
                    <w:tl2br w:val="nil"/>
                    <w:tr2bl w:val="nil"/>
                  </w:tcBorders>
                  <w:vAlign w:val="center"/>
                </w:tcPr>
                <w:p w14:paraId="22FFC1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29</w:t>
                  </w:r>
                </w:p>
              </w:tc>
              <w:tc>
                <w:tcPr>
                  <w:tcW w:w="1276" w:type="dxa"/>
                  <w:tcBorders>
                    <w:tl2br w:val="nil"/>
                    <w:tr2bl w:val="nil"/>
                  </w:tcBorders>
                  <w:vAlign w:val="center"/>
                </w:tcPr>
                <w:p w14:paraId="6CDAF8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45.8</w:t>
                  </w:r>
                </w:p>
              </w:tc>
              <w:tc>
                <w:tcPr>
                  <w:tcW w:w="265" w:type="pct"/>
                  <w:vMerge w:val="continue"/>
                  <w:tcBorders>
                    <w:tl2br w:val="nil"/>
                    <w:tr2bl w:val="nil"/>
                  </w:tcBorders>
                  <w:vAlign w:val="center"/>
                </w:tcPr>
                <w:p w14:paraId="3225A9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363" w:type="pct"/>
                  <w:tcBorders>
                    <w:tl2br w:val="nil"/>
                    <w:tr2bl w:val="nil"/>
                  </w:tcBorders>
                  <w:vAlign w:val="center"/>
                </w:tcPr>
                <w:p w14:paraId="201560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993" w:type="dxa"/>
                  <w:tcBorders>
                    <w:tl2br w:val="nil"/>
                    <w:tr2bl w:val="nil"/>
                  </w:tcBorders>
                  <w:vAlign w:val="center"/>
                </w:tcPr>
                <w:p w14:paraId="512B29F0">
                  <w:pPr>
                    <w:keepNext w:val="0"/>
                    <w:keepLines w:val="0"/>
                    <w:widowControl/>
                    <w:suppressLineNumbers w:val="0"/>
                    <w:spacing w:before="0" w:beforeAutospacing="0" w:after="0" w:afterAutospacing="0"/>
                    <w:ind w:left="0" w:right="0"/>
                    <w:jc w:val="center"/>
                    <w:textAlignment w:val="center"/>
                    <w:rPr>
                      <w:rFonts w:hint="eastAsia"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5.8</w:t>
                  </w:r>
                </w:p>
              </w:tc>
              <w:tc>
                <w:tcPr>
                  <w:tcW w:w="1059" w:type="dxa"/>
                  <w:tcBorders>
                    <w:tl2br w:val="nil"/>
                    <w:tr2bl w:val="nil"/>
                  </w:tcBorders>
                  <w:vAlign w:val="center"/>
                </w:tcPr>
                <w:p w14:paraId="48566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bl>
          <w:p w14:paraId="703AEE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spacing w:val="0"/>
                <w:kern w:val="2"/>
                <w:sz w:val="21"/>
                <w:szCs w:val="21"/>
                <w:highlight w:val="none"/>
                <w:lang w:val="en-US" w:eastAsia="zh-CN" w:bidi="ar-SA"/>
              </w:rPr>
            </w:pPr>
            <w:r>
              <w:rPr>
                <w:rFonts w:hint="default" w:ascii="Times New Roman" w:hAnsi="Times New Roman" w:eastAsia="宋体" w:cs="Times New Roman"/>
                <w:b/>
                <w:bCs/>
                <w:color w:val="auto"/>
                <w:spacing w:val="0"/>
                <w:kern w:val="2"/>
                <w:sz w:val="21"/>
                <w:szCs w:val="21"/>
                <w:highlight w:val="none"/>
                <w:lang w:val="en-US" w:eastAsia="zh-CN" w:bidi="ar-SA"/>
              </w:rPr>
              <w:t>表4.7-</w:t>
            </w:r>
            <w:r>
              <w:rPr>
                <w:rFonts w:hint="eastAsia" w:eastAsia="宋体" w:cs="Times New Roman"/>
                <w:b/>
                <w:bCs/>
                <w:color w:val="auto"/>
                <w:spacing w:val="0"/>
                <w:kern w:val="2"/>
                <w:sz w:val="21"/>
                <w:szCs w:val="21"/>
                <w:highlight w:val="none"/>
                <w:lang w:val="en-US" w:eastAsia="zh-CN" w:bidi="ar-SA"/>
              </w:rPr>
              <w:t>2</w:t>
            </w:r>
            <w:r>
              <w:rPr>
                <w:rFonts w:hint="default" w:ascii="Times New Roman" w:hAnsi="Times New Roman" w:eastAsia="宋体" w:cs="Times New Roman"/>
                <w:b/>
                <w:bCs/>
                <w:color w:val="auto"/>
                <w:spacing w:val="0"/>
                <w:kern w:val="2"/>
                <w:sz w:val="21"/>
                <w:szCs w:val="21"/>
                <w:highlight w:val="none"/>
                <w:lang w:val="en-US" w:eastAsia="zh-CN" w:bidi="ar-SA"/>
              </w:rPr>
              <w:t xml:space="preserve">  </w:t>
            </w:r>
            <w:r>
              <w:rPr>
                <w:rFonts w:hint="eastAsia" w:ascii="Times New Roman" w:hAnsi="Times New Roman" w:eastAsia="宋体" w:cs="Times New Roman"/>
                <w:b/>
                <w:bCs/>
                <w:color w:val="auto"/>
                <w:spacing w:val="0"/>
                <w:kern w:val="2"/>
                <w:sz w:val="21"/>
                <w:szCs w:val="21"/>
                <w:highlight w:val="none"/>
                <w:lang w:val="en-US" w:eastAsia="zh-CN" w:bidi="ar-SA"/>
              </w:rPr>
              <w:t>室外</w:t>
            </w:r>
            <w:r>
              <w:rPr>
                <w:rFonts w:hint="default" w:ascii="Times New Roman" w:hAnsi="Times New Roman" w:eastAsia="宋体" w:cs="Times New Roman"/>
                <w:b/>
                <w:bCs/>
                <w:color w:val="auto"/>
                <w:spacing w:val="0"/>
                <w:kern w:val="2"/>
                <w:sz w:val="21"/>
                <w:szCs w:val="21"/>
                <w:highlight w:val="none"/>
                <w:lang w:val="en-US" w:eastAsia="zh-CN" w:bidi="ar-SA"/>
              </w:rPr>
              <w:t>噪声源源强调查清单</w:t>
            </w:r>
          </w:p>
          <w:tbl>
            <w:tblPr>
              <w:tblStyle w:val="27"/>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903"/>
              <w:gridCol w:w="1392"/>
              <w:gridCol w:w="1392"/>
              <w:gridCol w:w="1397"/>
              <w:gridCol w:w="2068"/>
              <w:gridCol w:w="3316"/>
              <w:gridCol w:w="1481"/>
            </w:tblGrid>
            <w:tr w14:paraId="17063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7" w:type="pct"/>
                  <w:vMerge w:val="restart"/>
                  <w:tcBorders>
                    <w:tl2br w:val="nil"/>
                    <w:tr2bl w:val="nil"/>
                  </w:tcBorders>
                  <w:vAlign w:val="center"/>
                </w:tcPr>
                <w:p w14:paraId="548A2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序号</w:t>
                  </w:r>
                </w:p>
              </w:tc>
              <w:tc>
                <w:tcPr>
                  <w:tcW w:w="682" w:type="pct"/>
                  <w:vMerge w:val="restart"/>
                  <w:tcBorders>
                    <w:tl2br w:val="nil"/>
                    <w:tr2bl w:val="nil"/>
                  </w:tcBorders>
                  <w:vAlign w:val="center"/>
                </w:tcPr>
                <w:p w14:paraId="6AFAE3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声源</w:t>
                  </w:r>
                  <w:r>
                    <w:rPr>
                      <w:rFonts w:hint="default" w:ascii="Times New Roman" w:hAnsi="Times New Roman" w:eastAsia="宋体" w:cs="Times New Roman"/>
                      <w:b/>
                      <w:bCs/>
                      <w:color w:val="auto"/>
                      <w:spacing w:val="0"/>
                      <w:sz w:val="21"/>
                      <w:szCs w:val="21"/>
                      <w:highlight w:val="none"/>
                    </w:rPr>
                    <w:t>名称</w:t>
                  </w:r>
                </w:p>
              </w:tc>
              <w:tc>
                <w:tcPr>
                  <w:tcW w:w="1498" w:type="pct"/>
                  <w:gridSpan w:val="3"/>
                  <w:tcBorders>
                    <w:tl2br w:val="nil"/>
                    <w:tr2bl w:val="nil"/>
                  </w:tcBorders>
                  <w:vAlign w:val="center"/>
                </w:tcPr>
                <w:p w14:paraId="1FD1C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空间</w:t>
                  </w:r>
                  <w:r>
                    <w:rPr>
                      <w:rFonts w:hint="default" w:ascii="Times New Roman" w:hAnsi="Times New Roman" w:eastAsia="宋体" w:cs="Times New Roman"/>
                      <w:b/>
                      <w:bCs/>
                      <w:color w:val="auto"/>
                      <w:spacing w:val="0"/>
                      <w:sz w:val="21"/>
                      <w:szCs w:val="21"/>
                      <w:highlight w:val="none"/>
                    </w:rPr>
                    <w:t>相对位置</w:t>
                  </w:r>
                  <w:r>
                    <w:rPr>
                      <w:rFonts w:hint="eastAsia" w:ascii="Times New Roman" w:hAnsi="Times New Roman" w:eastAsia="宋体" w:cs="Times New Roman"/>
                      <w:b/>
                      <w:bCs/>
                      <w:color w:val="auto"/>
                      <w:spacing w:val="0"/>
                      <w:sz w:val="21"/>
                      <w:szCs w:val="21"/>
                      <w:highlight w:val="none"/>
                    </w:rPr>
                    <w:t>/m</w:t>
                  </w:r>
                </w:p>
              </w:tc>
              <w:tc>
                <w:tcPr>
                  <w:tcW w:w="741" w:type="pct"/>
                  <w:tcBorders>
                    <w:tl2br w:val="nil"/>
                    <w:tr2bl w:val="nil"/>
                  </w:tcBorders>
                  <w:vAlign w:val="center"/>
                </w:tcPr>
                <w:p w14:paraId="1252EC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kern w:val="2"/>
                      <w:sz w:val="21"/>
                      <w:szCs w:val="21"/>
                      <w:highlight w:val="none"/>
                      <w:lang w:val="en-US" w:eastAsia="zh-CN" w:bidi="ar-SA"/>
                    </w:rPr>
                  </w:pPr>
                  <w:r>
                    <w:rPr>
                      <w:rFonts w:hint="eastAsia" w:ascii="Times New Roman" w:hAnsi="Times New Roman" w:eastAsia="宋体" w:cs="Times New Roman"/>
                      <w:b/>
                      <w:bCs/>
                      <w:color w:val="auto"/>
                      <w:spacing w:val="0"/>
                      <w:sz w:val="21"/>
                      <w:szCs w:val="21"/>
                      <w:highlight w:val="none"/>
                    </w:rPr>
                    <w:t>声源</w:t>
                  </w:r>
                  <w:r>
                    <w:rPr>
                      <w:rFonts w:hint="default" w:ascii="Times New Roman" w:hAnsi="Times New Roman" w:eastAsia="宋体" w:cs="Times New Roman"/>
                      <w:b/>
                      <w:bCs/>
                      <w:color w:val="auto"/>
                      <w:spacing w:val="0"/>
                      <w:sz w:val="21"/>
                      <w:szCs w:val="21"/>
                      <w:highlight w:val="none"/>
                    </w:rPr>
                    <w:t>源强</w:t>
                  </w:r>
                </w:p>
              </w:tc>
              <w:tc>
                <w:tcPr>
                  <w:tcW w:w="1188" w:type="pct"/>
                  <w:vMerge w:val="restart"/>
                  <w:tcBorders>
                    <w:tl2br w:val="nil"/>
                    <w:tr2bl w:val="nil"/>
                  </w:tcBorders>
                  <w:vAlign w:val="center"/>
                </w:tcPr>
                <w:p w14:paraId="5CA41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eastAsia" w:ascii="Times New Roman" w:hAnsi="Times New Roman" w:eastAsia="宋体" w:cs="Times New Roman"/>
                      <w:b/>
                      <w:bCs/>
                      <w:color w:val="auto"/>
                      <w:spacing w:val="0"/>
                      <w:sz w:val="21"/>
                      <w:szCs w:val="21"/>
                      <w:highlight w:val="none"/>
                      <w:lang w:val="en-US" w:eastAsia="zh-CN"/>
                    </w:rPr>
                    <w:t>声源控制措施</w:t>
                  </w:r>
                </w:p>
              </w:tc>
              <w:tc>
                <w:tcPr>
                  <w:tcW w:w="530" w:type="pct"/>
                  <w:vMerge w:val="restart"/>
                  <w:tcBorders>
                    <w:tl2br w:val="nil"/>
                    <w:tr2bl w:val="nil"/>
                  </w:tcBorders>
                  <w:vAlign w:val="center"/>
                </w:tcPr>
                <w:p w14:paraId="65D96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b/>
                      <w:bCs/>
                      <w:color w:val="auto"/>
                      <w:spacing w:val="0"/>
                      <w:sz w:val="21"/>
                      <w:szCs w:val="21"/>
                      <w:highlight w:val="none"/>
                      <w:lang w:val="en-US" w:eastAsia="zh-CN"/>
                    </w:rPr>
                  </w:pPr>
                  <w:r>
                    <w:rPr>
                      <w:rFonts w:hint="eastAsia" w:ascii="Times New Roman" w:hAnsi="Times New Roman" w:eastAsia="宋体" w:cs="Times New Roman"/>
                      <w:b/>
                      <w:bCs/>
                      <w:color w:val="auto"/>
                      <w:spacing w:val="0"/>
                      <w:sz w:val="21"/>
                      <w:szCs w:val="21"/>
                      <w:highlight w:val="none"/>
                      <w:lang w:val="en-US" w:eastAsia="zh-CN"/>
                    </w:rPr>
                    <w:t>运行时段</w:t>
                  </w:r>
                </w:p>
              </w:tc>
            </w:tr>
            <w:tr w14:paraId="38BA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7" w:type="pct"/>
                  <w:vMerge w:val="continue"/>
                  <w:tcBorders>
                    <w:tl2br w:val="nil"/>
                    <w:tr2bl w:val="nil"/>
                  </w:tcBorders>
                  <w:vAlign w:val="center"/>
                </w:tcPr>
                <w:p w14:paraId="1A0F65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682" w:type="pct"/>
                  <w:vMerge w:val="continue"/>
                  <w:tcBorders>
                    <w:tl2br w:val="nil"/>
                    <w:tr2bl w:val="nil"/>
                  </w:tcBorders>
                  <w:vAlign w:val="center"/>
                </w:tcPr>
                <w:p w14:paraId="72861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499" w:type="pct"/>
                  <w:tcBorders>
                    <w:tl2br w:val="nil"/>
                    <w:tr2bl w:val="nil"/>
                  </w:tcBorders>
                  <w:vAlign w:val="center"/>
                </w:tcPr>
                <w:p w14:paraId="10B0B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X</w:t>
                  </w:r>
                </w:p>
              </w:tc>
              <w:tc>
                <w:tcPr>
                  <w:tcW w:w="499" w:type="pct"/>
                  <w:tcBorders>
                    <w:tl2br w:val="nil"/>
                    <w:tr2bl w:val="nil"/>
                  </w:tcBorders>
                  <w:vAlign w:val="center"/>
                </w:tcPr>
                <w:p w14:paraId="0AB77D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kern w:val="2"/>
                      <w:sz w:val="21"/>
                      <w:szCs w:val="21"/>
                      <w:highlight w:val="none"/>
                      <w:lang w:val="en-US" w:eastAsia="zh-CN" w:bidi="ar-SA"/>
                    </w:rPr>
                  </w:pPr>
                  <w:r>
                    <w:rPr>
                      <w:rFonts w:hint="eastAsia" w:ascii="Times New Roman" w:hAnsi="Times New Roman" w:eastAsia="宋体" w:cs="Times New Roman"/>
                      <w:b/>
                      <w:bCs/>
                      <w:color w:val="auto"/>
                      <w:spacing w:val="0"/>
                      <w:kern w:val="2"/>
                      <w:sz w:val="21"/>
                      <w:szCs w:val="21"/>
                      <w:highlight w:val="none"/>
                      <w:lang w:val="en-US" w:eastAsia="zh-CN" w:bidi="ar-SA"/>
                    </w:rPr>
                    <w:t>Y</w:t>
                  </w:r>
                </w:p>
              </w:tc>
              <w:tc>
                <w:tcPr>
                  <w:tcW w:w="500" w:type="pct"/>
                  <w:tcBorders>
                    <w:tl2br w:val="nil"/>
                    <w:tr2bl w:val="nil"/>
                  </w:tcBorders>
                  <w:vAlign w:val="center"/>
                </w:tcPr>
                <w:p w14:paraId="5C4A6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Z</w:t>
                  </w:r>
                </w:p>
              </w:tc>
              <w:tc>
                <w:tcPr>
                  <w:tcW w:w="741" w:type="pct"/>
                  <w:tcBorders>
                    <w:tl2br w:val="nil"/>
                    <w:tr2bl w:val="nil"/>
                  </w:tcBorders>
                  <w:vAlign w:val="center"/>
                </w:tcPr>
                <w:p w14:paraId="70327B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rPr>
                  </w:pPr>
                  <w:r>
                    <w:rPr>
                      <w:rFonts w:hint="eastAsia" w:ascii="Times New Roman" w:hAnsi="Times New Roman" w:eastAsia="宋体" w:cs="Times New Roman"/>
                      <w:b/>
                      <w:bCs/>
                      <w:color w:val="auto"/>
                      <w:spacing w:val="0"/>
                      <w:sz w:val="21"/>
                      <w:szCs w:val="21"/>
                      <w:highlight w:val="none"/>
                    </w:rPr>
                    <w:t>声功率级</w:t>
                  </w:r>
                  <w:r>
                    <w:rPr>
                      <w:rFonts w:hint="default" w:ascii="Times New Roman" w:hAnsi="Times New Roman" w:eastAsia="宋体" w:cs="Times New Roman"/>
                      <w:b/>
                      <w:bCs/>
                      <w:color w:val="auto"/>
                      <w:spacing w:val="0"/>
                      <w:sz w:val="21"/>
                      <w:szCs w:val="21"/>
                      <w:highlight w:val="none"/>
                    </w:rPr>
                    <w:t>dB</w:t>
                  </w:r>
                  <w:r>
                    <w:rPr>
                      <w:rFonts w:hint="eastAsia" w:cs="Times New Roman"/>
                      <w:b/>
                      <w:bCs/>
                      <w:color w:val="auto"/>
                      <w:spacing w:val="0"/>
                      <w:sz w:val="21"/>
                      <w:szCs w:val="21"/>
                      <w:highlight w:val="none"/>
                      <w:lang w:eastAsia="zh-CN"/>
                    </w:rPr>
                    <w:t>（</w:t>
                  </w:r>
                  <w:r>
                    <w:rPr>
                      <w:rFonts w:hint="default" w:ascii="Times New Roman" w:hAnsi="Times New Roman" w:eastAsia="宋体" w:cs="Times New Roman"/>
                      <w:b/>
                      <w:bCs/>
                      <w:color w:val="auto"/>
                      <w:spacing w:val="0"/>
                      <w:sz w:val="21"/>
                      <w:szCs w:val="21"/>
                      <w:highlight w:val="none"/>
                    </w:rPr>
                    <w:t>A</w:t>
                  </w:r>
                  <w:r>
                    <w:rPr>
                      <w:rFonts w:hint="eastAsia" w:cs="Times New Roman"/>
                      <w:b/>
                      <w:bCs/>
                      <w:color w:val="auto"/>
                      <w:spacing w:val="0"/>
                      <w:sz w:val="21"/>
                      <w:szCs w:val="21"/>
                      <w:highlight w:val="none"/>
                      <w:lang w:eastAsia="zh-CN"/>
                    </w:rPr>
                    <w:t>）</w:t>
                  </w:r>
                </w:p>
              </w:tc>
              <w:tc>
                <w:tcPr>
                  <w:tcW w:w="1188" w:type="pct"/>
                  <w:vMerge w:val="continue"/>
                  <w:tcBorders>
                    <w:tl2br w:val="nil"/>
                    <w:tr2bl w:val="nil"/>
                  </w:tcBorders>
                  <w:vAlign w:val="center"/>
                </w:tcPr>
                <w:p w14:paraId="63261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c>
                <w:tcPr>
                  <w:tcW w:w="530" w:type="pct"/>
                  <w:vMerge w:val="continue"/>
                  <w:tcBorders>
                    <w:tl2br w:val="nil"/>
                    <w:tr2bl w:val="nil"/>
                  </w:tcBorders>
                  <w:vAlign w:val="center"/>
                </w:tcPr>
                <w:p w14:paraId="79AF9F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rPr>
                  </w:pPr>
                </w:p>
              </w:tc>
            </w:tr>
            <w:tr w14:paraId="6DB5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7" w:type="pct"/>
                  <w:tcBorders>
                    <w:tl2br w:val="nil"/>
                    <w:tr2bl w:val="nil"/>
                  </w:tcBorders>
                  <w:vAlign w:val="center"/>
                </w:tcPr>
                <w:p w14:paraId="50366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c>
                <w:tcPr>
                  <w:tcW w:w="682" w:type="pct"/>
                  <w:tcBorders>
                    <w:tl2br w:val="nil"/>
                    <w:tr2bl w:val="nil"/>
                  </w:tcBorders>
                  <w:vAlign w:val="center"/>
                </w:tcPr>
                <w:p w14:paraId="13C75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除尘风机</w:t>
                  </w:r>
                </w:p>
              </w:tc>
              <w:tc>
                <w:tcPr>
                  <w:tcW w:w="499" w:type="pct"/>
                  <w:tcBorders>
                    <w:tl2br w:val="nil"/>
                    <w:tr2bl w:val="nil"/>
                  </w:tcBorders>
                  <w:vAlign w:val="center"/>
                </w:tcPr>
                <w:p w14:paraId="0CA21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47</w:t>
                  </w:r>
                </w:p>
              </w:tc>
              <w:tc>
                <w:tcPr>
                  <w:tcW w:w="499" w:type="pct"/>
                  <w:tcBorders>
                    <w:tl2br w:val="nil"/>
                    <w:tr2bl w:val="nil"/>
                  </w:tcBorders>
                  <w:vAlign w:val="center"/>
                </w:tcPr>
                <w:p w14:paraId="0433F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59</w:t>
                  </w:r>
                </w:p>
              </w:tc>
              <w:tc>
                <w:tcPr>
                  <w:tcW w:w="500" w:type="pct"/>
                  <w:tcBorders>
                    <w:tl2br w:val="nil"/>
                    <w:tr2bl w:val="nil"/>
                  </w:tcBorders>
                  <w:vAlign w:val="center"/>
                </w:tcPr>
                <w:p w14:paraId="75FAC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741" w:type="pct"/>
                  <w:tcBorders>
                    <w:tl2br w:val="nil"/>
                    <w:tr2bl w:val="nil"/>
                  </w:tcBorders>
                  <w:vAlign w:val="center"/>
                </w:tcPr>
                <w:p w14:paraId="034F51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80</w:t>
                  </w:r>
                </w:p>
              </w:tc>
              <w:tc>
                <w:tcPr>
                  <w:tcW w:w="1188" w:type="pct"/>
                  <w:vMerge w:val="restart"/>
                  <w:tcBorders>
                    <w:tl2br w:val="nil"/>
                    <w:tr2bl w:val="nil"/>
                  </w:tcBorders>
                  <w:vAlign w:val="center"/>
                </w:tcPr>
                <w:p w14:paraId="580AD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rPr>
                    <w:t>减振</w:t>
                  </w:r>
                  <w:r>
                    <w:rPr>
                      <w:rFonts w:hint="eastAsia" w:ascii="Times New Roman" w:hAnsi="Times New Roman" w:eastAsia="宋体" w:cs="Times New Roman"/>
                      <w:color w:val="auto"/>
                      <w:spacing w:val="0"/>
                      <w:sz w:val="21"/>
                      <w:szCs w:val="21"/>
                      <w:highlight w:val="none"/>
                      <w:lang w:eastAsia="zh-CN"/>
                    </w:rPr>
                    <w:t>、</w:t>
                  </w:r>
                  <w:r>
                    <w:rPr>
                      <w:rFonts w:hint="eastAsia" w:ascii="Times New Roman" w:hAnsi="Times New Roman" w:eastAsia="宋体" w:cs="Times New Roman"/>
                      <w:color w:val="auto"/>
                      <w:spacing w:val="0"/>
                      <w:sz w:val="21"/>
                      <w:szCs w:val="21"/>
                      <w:highlight w:val="none"/>
                      <w:lang w:val="en-US" w:eastAsia="zh-CN"/>
                    </w:rPr>
                    <w:t>风机</w:t>
                  </w:r>
                  <w:r>
                    <w:rPr>
                      <w:rFonts w:hint="default" w:ascii="Times New Roman" w:cs="Times New Roman"/>
                      <w:color w:val="auto"/>
                      <w:sz w:val="21"/>
                      <w:szCs w:val="21"/>
                      <w:highlight w:val="none"/>
                    </w:rPr>
                    <w:t>出口安装消声器</w:t>
                  </w:r>
                  <w:r>
                    <w:rPr>
                      <w:rFonts w:hint="eastAsia" w:ascii="Times New Roman" w:hAnsi="Times New Roman" w:eastAsia="宋体" w:cs="Times New Roman"/>
                      <w:color w:val="auto"/>
                      <w:spacing w:val="0"/>
                      <w:sz w:val="21"/>
                      <w:szCs w:val="21"/>
                      <w:highlight w:val="none"/>
                    </w:rPr>
                    <w:t>；</w:t>
                  </w:r>
                  <w:r>
                    <w:rPr>
                      <w:rFonts w:hint="eastAsia" w:ascii="Times New Roman" w:hAnsi="Times New Roman" w:eastAsia="宋体" w:cs="Times New Roman"/>
                      <w:color w:val="auto"/>
                      <w:spacing w:val="0"/>
                      <w:sz w:val="21"/>
                      <w:szCs w:val="21"/>
                      <w:highlight w:val="none"/>
                      <w:lang w:val="en-US" w:eastAsia="zh-CN"/>
                    </w:rPr>
                    <w:t>定期维护</w:t>
                  </w:r>
                  <w:r>
                    <w:rPr>
                      <w:rFonts w:hint="eastAsia" w:cs="Times New Roman"/>
                      <w:color w:val="auto"/>
                      <w:spacing w:val="0"/>
                      <w:sz w:val="21"/>
                      <w:szCs w:val="21"/>
                      <w:highlight w:val="none"/>
                      <w:lang w:val="en-US" w:eastAsia="zh-CN"/>
                    </w:rPr>
                    <w:t>；加强绿化等</w:t>
                  </w:r>
                </w:p>
              </w:tc>
              <w:tc>
                <w:tcPr>
                  <w:tcW w:w="530" w:type="pct"/>
                  <w:vMerge w:val="restart"/>
                  <w:tcBorders>
                    <w:tl2br w:val="nil"/>
                    <w:tr2bl w:val="nil"/>
                  </w:tcBorders>
                  <w:vAlign w:val="center"/>
                </w:tcPr>
                <w:p w14:paraId="6BC7B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8:00-18:00</w:t>
                  </w:r>
                </w:p>
              </w:tc>
            </w:tr>
            <w:tr w14:paraId="3995D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7" w:type="pct"/>
                  <w:tcBorders>
                    <w:tl2br w:val="nil"/>
                    <w:tr2bl w:val="nil"/>
                  </w:tcBorders>
                  <w:vAlign w:val="center"/>
                </w:tcPr>
                <w:p w14:paraId="6B6679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682" w:type="pct"/>
                  <w:tcBorders>
                    <w:tl2br w:val="nil"/>
                    <w:tr2bl w:val="nil"/>
                  </w:tcBorders>
                  <w:vAlign w:val="center"/>
                </w:tcPr>
                <w:p w14:paraId="76FE8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除尘风机</w:t>
                  </w:r>
                </w:p>
              </w:tc>
              <w:tc>
                <w:tcPr>
                  <w:tcW w:w="499" w:type="pct"/>
                  <w:tcBorders>
                    <w:tl2br w:val="nil"/>
                    <w:tr2bl w:val="nil"/>
                  </w:tcBorders>
                  <w:vAlign w:val="center"/>
                </w:tcPr>
                <w:p w14:paraId="1C922D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46</w:t>
                  </w:r>
                </w:p>
              </w:tc>
              <w:tc>
                <w:tcPr>
                  <w:tcW w:w="499" w:type="pct"/>
                  <w:tcBorders>
                    <w:tl2br w:val="nil"/>
                    <w:tr2bl w:val="nil"/>
                  </w:tcBorders>
                  <w:vAlign w:val="center"/>
                </w:tcPr>
                <w:p w14:paraId="5BFD3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75</w:t>
                  </w:r>
                </w:p>
              </w:tc>
              <w:tc>
                <w:tcPr>
                  <w:tcW w:w="500" w:type="pct"/>
                  <w:tcBorders>
                    <w:tl2br w:val="nil"/>
                    <w:tr2bl w:val="nil"/>
                  </w:tcBorders>
                  <w:vAlign w:val="center"/>
                </w:tcPr>
                <w:p w14:paraId="480DB7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1</w:t>
                  </w:r>
                </w:p>
              </w:tc>
              <w:tc>
                <w:tcPr>
                  <w:tcW w:w="741" w:type="pct"/>
                  <w:tcBorders>
                    <w:tl2br w:val="nil"/>
                    <w:tr2bl w:val="nil"/>
                  </w:tcBorders>
                  <w:vAlign w:val="center"/>
                </w:tcPr>
                <w:p w14:paraId="2057B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80</w:t>
                  </w:r>
                </w:p>
              </w:tc>
              <w:tc>
                <w:tcPr>
                  <w:tcW w:w="1188" w:type="pct"/>
                  <w:vMerge w:val="continue"/>
                  <w:tcBorders>
                    <w:tl2br w:val="nil"/>
                    <w:tr2bl w:val="nil"/>
                  </w:tcBorders>
                  <w:vAlign w:val="center"/>
                </w:tcPr>
                <w:p w14:paraId="4AFA9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 w:val="21"/>
                      <w:szCs w:val="21"/>
                      <w:highlight w:val="none"/>
                    </w:rPr>
                  </w:pPr>
                </w:p>
              </w:tc>
              <w:tc>
                <w:tcPr>
                  <w:tcW w:w="530" w:type="pct"/>
                  <w:vMerge w:val="continue"/>
                  <w:tcBorders>
                    <w:tl2br w:val="nil"/>
                    <w:tr2bl w:val="nil"/>
                  </w:tcBorders>
                  <w:vAlign w:val="center"/>
                </w:tcPr>
                <w:p w14:paraId="6E75C4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sz w:val="21"/>
                      <w:szCs w:val="21"/>
                      <w:highlight w:val="none"/>
                      <w:lang w:val="en-US" w:eastAsia="zh-CN"/>
                    </w:rPr>
                  </w:pPr>
                </w:p>
              </w:tc>
            </w:tr>
          </w:tbl>
          <w:p w14:paraId="457CF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35B621CC">
      <w:pPr>
        <w:rPr>
          <w:rFonts w:hint="default"/>
          <w:color w:val="auto"/>
          <w:highlight w:val="none"/>
        </w:rPr>
        <w:sectPr>
          <w:headerReference r:id="rId13" w:type="default"/>
          <w:pgSz w:w="16840" w:h="11907" w:orient="landscape"/>
          <w:pgMar w:top="1531" w:right="1701" w:bottom="1531" w:left="2127"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28"/>
        <w:tblW w:w="0" w:type="auto"/>
        <w:tblInd w:w="-10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3"/>
        <w:gridCol w:w="8589"/>
      </w:tblGrid>
      <w:tr w14:paraId="213445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73" w:type="dxa"/>
            <w:vAlign w:val="center"/>
          </w:tcPr>
          <w:p w14:paraId="2B835D20">
            <w:pPr>
              <w:keepNext w:val="0"/>
              <w:keepLines w:val="0"/>
              <w:suppressLineNumbers w:val="0"/>
              <w:adjustRightInd w:val="0"/>
              <w:snapToGrid w:val="0"/>
              <w:spacing w:before="0" w:beforeAutospacing="0" w:after="0" w:afterAutospacing="0"/>
              <w:ind w:left="0" w:right="0"/>
              <w:jc w:val="center"/>
              <w:rPr>
                <w:rFonts w:hint="default"/>
                <w:b/>
                <w:bCs w:val="0"/>
                <w:color w:val="auto"/>
                <w:highlight w:val="none"/>
                <w:vertAlign w:val="baseline"/>
              </w:rPr>
            </w:pPr>
            <w:r>
              <w:rPr>
                <w:rFonts w:hint="default" w:ascii="Times New Roman" w:hAnsi="Times New Roman" w:eastAsia="宋体" w:cs="Times New Roman"/>
                <w:b/>
                <w:bCs w:val="0"/>
                <w:color w:val="auto"/>
                <w:szCs w:val="21"/>
                <w:highlight w:val="none"/>
                <w:lang w:val="en-US" w:eastAsia="zh-CN"/>
              </w:rPr>
              <w:t>运营期环境影响和保护措施</w:t>
            </w:r>
          </w:p>
        </w:tc>
        <w:tc>
          <w:tcPr>
            <w:tcW w:w="8589" w:type="dxa"/>
          </w:tcPr>
          <w:p w14:paraId="1DFEA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eastAsia" w:cs="Times New Roman"/>
                <w:b/>
                <w:bCs/>
                <w:color w:val="auto"/>
                <w:sz w:val="24"/>
                <w:highlight w:val="none"/>
                <w:lang w:val="en-US" w:eastAsia="zh-CN"/>
              </w:rPr>
              <w:t>4.7.</w:t>
            </w:r>
            <w:r>
              <w:rPr>
                <w:rFonts w:hint="eastAsia" w:ascii="Times New Roman" w:hAnsi="Times New Roman" w:eastAsia="宋体"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rPr>
              <w:t>噪声预测</w:t>
            </w:r>
          </w:p>
          <w:p w14:paraId="6D7BD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pacing w:val="0"/>
                <w:sz w:val="24"/>
                <w:szCs w:val="24"/>
                <w:highlight w:val="none"/>
                <w:lang w:eastAsia="zh-CN"/>
              </w:rPr>
            </w:pPr>
            <w:r>
              <w:rPr>
                <w:rFonts w:hint="default" w:ascii="Times New Roman" w:hAnsi="Times New Roman" w:eastAsia="宋体" w:cs="Times New Roman"/>
                <w:bCs/>
                <w:color w:val="auto"/>
                <w:spacing w:val="0"/>
                <w:sz w:val="24"/>
                <w:szCs w:val="24"/>
                <w:highlight w:val="none"/>
              </w:rPr>
              <w:t>本次预测采用《环境影响评价技术导则</w:t>
            </w:r>
            <w:r>
              <w:rPr>
                <w:rFonts w:hint="eastAsia" w:ascii="Times New Roman" w:hAnsi="Times New Roman" w:eastAsia="宋体" w:cs="Times New Roman"/>
                <w:bCs/>
                <w:color w:val="auto"/>
                <w:spacing w:val="0"/>
                <w:sz w:val="24"/>
                <w:szCs w:val="24"/>
                <w:highlight w:val="none"/>
                <w:lang w:val="en-US" w:eastAsia="zh-CN"/>
              </w:rPr>
              <w:t xml:space="preserve"> </w:t>
            </w:r>
            <w:r>
              <w:rPr>
                <w:rFonts w:hint="default" w:ascii="Times New Roman" w:hAnsi="Times New Roman" w:eastAsia="宋体" w:cs="Times New Roman"/>
                <w:bCs/>
                <w:color w:val="auto"/>
                <w:spacing w:val="0"/>
                <w:sz w:val="24"/>
                <w:szCs w:val="24"/>
                <w:highlight w:val="none"/>
              </w:rPr>
              <w:t>声环境》（HJ2.4-2021）中推荐的工业噪声预测计算模式</w:t>
            </w:r>
            <w:r>
              <w:rPr>
                <w:rFonts w:hint="eastAsia" w:ascii="Times New Roman" w:hAnsi="Times New Roman" w:eastAsia="宋体" w:cs="Times New Roman"/>
                <w:bCs/>
                <w:color w:val="auto"/>
                <w:spacing w:val="0"/>
                <w:sz w:val="24"/>
                <w:szCs w:val="24"/>
                <w:highlight w:val="none"/>
                <w:lang w:eastAsia="zh-CN"/>
              </w:rPr>
              <w:t>。</w:t>
            </w:r>
          </w:p>
          <w:p w14:paraId="5E92952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line="480" w:lineRule="exact"/>
              <w:ind w:left="0" w:right="0"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828800" cy="219075"/>
                  <wp:effectExtent l="0" t="0" r="0" b="8255"/>
                  <wp:docPr id="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
                          <pic:cNvPicPr>
                            <a:picLocks noChangeAspect="1"/>
                          </pic:cNvPicPr>
                        </pic:nvPicPr>
                        <pic:blipFill>
                          <a:blip r:embed="rId29"/>
                          <a:stretch>
                            <a:fillRect/>
                          </a:stretch>
                        </pic:blipFill>
                        <pic:spPr>
                          <a:xfrm>
                            <a:off x="0" y="0"/>
                            <a:ext cx="1828800" cy="219075"/>
                          </a:xfrm>
                          <a:prstGeom prst="rect">
                            <a:avLst/>
                          </a:prstGeom>
                          <a:noFill/>
                          <a:ln>
                            <a:noFill/>
                          </a:ln>
                        </pic:spPr>
                      </pic:pic>
                    </a:graphicData>
                  </a:graphic>
                </wp:inline>
              </w:drawing>
            </w:r>
          </w:p>
          <w:p w14:paraId="2BAD2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w:t>
            </w:r>
            <w:r>
              <w:rPr>
                <w:rFonts w:hint="default" w:ascii="Times New Roman" w:hAnsi="Times New Roman" w:eastAsia="宋体" w:cs="Times New Roman"/>
                <w:color w:val="auto"/>
                <w:sz w:val="24"/>
                <w:vertAlign w:val="subscript"/>
              </w:rPr>
              <w:t>A</w:t>
            </w:r>
            <w:r>
              <w:rPr>
                <w:rFonts w:hint="default" w:ascii="Times New Roman" w:hAnsi="Times New Roman" w:eastAsia="宋体" w:cs="Times New Roman"/>
                <w:color w:val="auto"/>
                <w:sz w:val="24"/>
              </w:rPr>
              <w:t>（r）为距声源r处的A声级；</w:t>
            </w:r>
          </w:p>
          <w:p w14:paraId="17067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w:t>
            </w:r>
            <w:r>
              <w:rPr>
                <w:rFonts w:hint="default" w:ascii="Times New Roman" w:hAnsi="Times New Roman" w:eastAsia="宋体" w:cs="Times New Roman"/>
                <w:color w:val="auto"/>
                <w:sz w:val="24"/>
                <w:vertAlign w:val="subscript"/>
              </w:rPr>
              <w:t>A</w:t>
            </w:r>
            <w:r>
              <w:rPr>
                <w:rFonts w:hint="default" w:ascii="Times New Roman" w:hAnsi="Times New Roman" w:eastAsia="宋体" w:cs="Times New Roman"/>
                <w:color w:val="auto"/>
                <w:sz w:val="24"/>
              </w:rPr>
              <w:t>（r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）为参考位置r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的A声级；</w:t>
            </w:r>
          </w:p>
          <w:p w14:paraId="091838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A</w:t>
            </w:r>
            <w:r>
              <w:rPr>
                <w:rFonts w:hint="default" w:ascii="Times New Roman" w:hAnsi="Times New Roman" w:eastAsia="宋体" w:cs="Times New Roman"/>
                <w:color w:val="auto"/>
                <w:sz w:val="24"/>
                <w:vertAlign w:val="subscript"/>
              </w:rPr>
              <w:t>div</w:t>
            </w:r>
            <w:r>
              <w:rPr>
                <w:rFonts w:hint="default" w:ascii="Times New Roman" w:hAnsi="Times New Roman" w:eastAsia="宋体" w:cs="Times New Roman"/>
                <w:color w:val="auto"/>
                <w:sz w:val="24"/>
              </w:rPr>
              <w:t>为声波几何发散引起的A声级衰减量；</w:t>
            </w:r>
          </w:p>
          <w:p w14:paraId="2BC2F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1200" w:firstLineChars="5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Aatm为大气吸收引起的A声级衰减量。</w:t>
            </w:r>
          </w:p>
          <w:p w14:paraId="0248B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本评价根据各噪声源的噪声水平及其采取的降噪及隔声效果，综合考虑Adiv、Aatm和Agr的衰减量，来预测本工程主要噪声源对周围声环境的影响。其中几何发散引起的A声级衰减量的计算公式如下：</w:t>
            </w:r>
          </w:p>
          <w:p w14:paraId="2A9662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143000" cy="447675"/>
                  <wp:effectExtent l="0" t="0" r="0" b="7620"/>
                  <wp:docPr id="8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4"/>
                          <pic:cNvPicPr>
                            <a:picLocks noChangeAspect="1"/>
                          </pic:cNvPicPr>
                        </pic:nvPicPr>
                        <pic:blipFill>
                          <a:blip r:embed="rId30"/>
                          <a:stretch>
                            <a:fillRect/>
                          </a:stretch>
                        </pic:blipFill>
                        <pic:spPr>
                          <a:xfrm>
                            <a:off x="0" y="0"/>
                            <a:ext cx="1143000" cy="447675"/>
                          </a:xfrm>
                          <a:prstGeom prst="rect">
                            <a:avLst/>
                          </a:prstGeom>
                          <a:noFill/>
                          <a:ln>
                            <a:noFill/>
                          </a:ln>
                        </pic:spPr>
                      </pic:pic>
                    </a:graphicData>
                  </a:graphic>
                </wp:inline>
              </w:drawing>
            </w:r>
          </w:p>
          <w:p w14:paraId="551C6C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大气吸收引起的A声级衰减量的计算公式如下：</w:t>
            </w:r>
          </w:p>
          <w:p w14:paraId="229152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171575" cy="419100"/>
                  <wp:effectExtent l="0" t="0" r="9525" b="0"/>
                  <wp:docPr id="7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5"/>
                          <pic:cNvPicPr>
                            <a:picLocks noChangeAspect="1"/>
                          </pic:cNvPicPr>
                        </pic:nvPicPr>
                        <pic:blipFill>
                          <a:blip r:embed="rId31"/>
                          <a:stretch>
                            <a:fillRect/>
                          </a:stretch>
                        </pic:blipFill>
                        <pic:spPr>
                          <a:xfrm>
                            <a:off x="0" y="0"/>
                            <a:ext cx="1171575" cy="419100"/>
                          </a:xfrm>
                          <a:prstGeom prst="rect">
                            <a:avLst/>
                          </a:prstGeom>
                          <a:noFill/>
                          <a:ln>
                            <a:noFill/>
                          </a:ln>
                        </pic:spPr>
                      </pic:pic>
                    </a:graphicData>
                  </a:graphic>
                </wp:inline>
              </w:drawing>
            </w:r>
          </w:p>
          <w:p w14:paraId="5F2F1E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式中：α为温度、湿度和声波频率的函数，预测计算中一般根据当地常年平均气温和湿度选择相应的空气吸收系数。</w:t>
            </w:r>
          </w:p>
          <w:p w14:paraId="1C33EE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对多个声源同时存在时，其总A声级用下式计算：</w:t>
            </w:r>
          </w:p>
          <w:p w14:paraId="6BAC1C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562100" cy="457200"/>
                  <wp:effectExtent l="0" t="0" r="0" b="0"/>
                  <wp:docPr id="8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pic:cNvPicPr>
                            <a:picLocks noChangeAspect="1"/>
                          </pic:cNvPicPr>
                        </pic:nvPicPr>
                        <pic:blipFill>
                          <a:blip r:embed="rId32"/>
                          <a:stretch>
                            <a:fillRect/>
                          </a:stretch>
                        </pic:blipFill>
                        <pic:spPr>
                          <a:xfrm>
                            <a:off x="0" y="0"/>
                            <a:ext cx="1562100" cy="457200"/>
                          </a:xfrm>
                          <a:prstGeom prst="rect">
                            <a:avLst/>
                          </a:prstGeom>
                          <a:noFill/>
                          <a:ln>
                            <a:noFill/>
                          </a:ln>
                        </pic:spPr>
                      </pic:pic>
                    </a:graphicData>
                  </a:graphic>
                </wp:inline>
              </w:drawing>
            </w:r>
          </w:p>
          <w:p w14:paraId="0C6644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w:t>
            </w:r>
            <w:r>
              <w:rPr>
                <w:rFonts w:hint="default" w:ascii="Times New Roman" w:hAnsi="Times New Roman" w:eastAsia="宋体" w:cs="Times New Roman"/>
                <w:color w:val="auto"/>
                <w:sz w:val="24"/>
                <w:vertAlign w:val="subscript"/>
              </w:rPr>
              <w:t>eqg</w:t>
            </w:r>
            <w:r>
              <w:rPr>
                <w:rFonts w:hint="default" w:ascii="Times New Roman" w:hAnsi="Times New Roman" w:eastAsia="宋体" w:cs="Times New Roman"/>
                <w:color w:val="auto"/>
                <w:sz w:val="24"/>
              </w:rPr>
              <w:t>为本项目声源在预测点的等效声级贡献值，dB（A）；</w:t>
            </w:r>
          </w:p>
          <w:p w14:paraId="2473EF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1197" w:leftChars="570" w:right="0" w:firstLine="0" w:firstLineChars="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w:t>
            </w:r>
            <w:r>
              <w:rPr>
                <w:rFonts w:hint="default" w:ascii="Times New Roman" w:hAnsi="Times New Roman" w:eastAsia="宋体" w:cs="Times New Roman"/>
                <w:color w:val="auto"/>
                <w:sz w:val="24"/>
                <w:vertAlign w:val="subscript"/>
              </w:rPr>
              <w:t>Ai</w:t>
            </w:r>
            <w:r>
              <w:rPr>
                <w:rFonts w:hint="default" w:ascii="Times New Roman" w:hAnsi="Times New Roman" w:eastAsia="宋体" w:cs="Times New Roman"/>
                <w:color w:val="auto"/>
                <w:sz w:val="24"/>
              </w:rPr>
              <w:t>为i声源在预测点产生的A声级，dB（A）；</w:t>
            </w:r>
          </w:p>
          <w:p w14:paraId="5670C7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1197" w:leftChars="570" w:right="0" w:firstLine="0" w:firstLineChars="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T预测计算的时间段，s；</w:t>
            </w:r>
          </w:p>
          <w:p w14:paraId="664BFF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1197" w:leftChars="570" w:right="0" w:firstLine="0" w:firstLineChars="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t</w:t>
            </w:r>
            <w:r>
              <w:rPr>
                <w:rFonts w:hint="default" w:ascii="Times New Roman" w:hAnsi="Times New Roman" w:eastAsia="宋体" w:cs="Times New Roman"/>
                <w:color w:val="auto"/>
                <w:sz w:val="24"/>
                <w:vertAlign w:val="subscript"/>
              </w:rPr>
              <w:t>i</w:t>
            </w:r>
            <w:r>
              <w:rPr>
                <w:rFonts w:hint="default" w:ascii="Times New Roman" w:hAnsi="Times New Roman" w:eastAsia="宋体" w:cs="Times New Roman"/>
                <w:color w:val="auto"/>
                <w:sz w:val="24"/>
              </w:rPr>
              <w:t>为i声源在T时段内的运行时间，s。</w:t>
            </w:r>
          </w:p>
          <w:p w14:paraId="4CC549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预测贡献值叠加的预测总A声级计算公式如下：</w:t>
            </w:r>
          </w:p>
          <w:p w14:paraId="60AD4784">
            <w:pPr>
              <w:keepNext w:val="0"/>
              <w:keepLines w:val="0"/>
              <w:pageBreakBefore w:val="0"/>
              <w:widowControl w:val="0"/>
              <w:suppressLineNumbers w:val="0"/>
              <w:kinsoku/>
              <w:wordWrap/>
              <w:overflowPunct/>
              <w:topLinePunct w:val="0"/>
              <w:autoSpaceDE/>
              <w:autoSpaceDN/>
              <w:bidi w:val="0"/>
              <w:adjustRightInd w:val="0"/>
              <w:snapToGrid w:val="0"/>
              <w:spacing w:before="157" w:beforeLines="50" w:beforeAutospacing="0" w:after="0" w:afterAutospacing="0" w:line="480" w:lineRule="exact"/>
              <w:ind w:left="0" w:right="0"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1790700" cy="266700"/>
                  <wp:effectExtent l="0" t="0" r="0" b="0"/>
                  <wp:docPr id="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7"/>
                          <pic:cNvPicPr>
                            <a:picLocks noChangeAspect="1"/>
                          </pic:cNvPicPr>
                        </pic:nvPicPr>
                        <pic:blipFill>
                          <a:blip r:embed="rId33"/>
                          <a:stretch>
                            <a:fillRect/>
                          </a:stretch>
                        </pic:blipFill>
                        <pic:spPr>
                          <a:xfrm>
                            <a:off x="0" y="0"/>
                            <a:ext cx="1790700" cy="266700"/>
                          </a:xfrm>
                          <a:prstGeom prst="rect">
                            <a:avLst/>
                          </a:prstGeom>
                          <a:noFill/>
                          <a:ln>
                            <a:noFill/>
                          </a:ln>
                        </pic:spPr>
                      </pic:pic>
                    </a:graphicData>
                  </a:graphic>
                </wp:inline>
              </w:drawing>
            </w:r>
          </w:p>
          <w:p w14:paraId="7E2258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w:t>
            </w:r>
            <w:r>
              <w:rPr>
                <w:rFonts w:hint="default" w:ascii="Times New Roman" w:hAnsi="Times New Roman" w:eastAsia="宋体" w:cs="Times New Roman"/>
                <w:color w:val="auto"/>
                <w:sz w:val="24"/>
                <w:vertAlign w:val="subscript"/>
              </w:rPr>
              <w:t>eqg</w:t>
            </w:r>
            <w:r>
              <w:rPr>
                <w:rFonts w:hint="default" w:ascii="Times New Roman" w:hAnsi="Times New Roman" w:eastAsia="宋体" w:cs="Times New Roman"/>
                <w:color w:val="auto"/>
                <w:sz w:val="24"/>
              </w:rPr>
              <w:t>为本项目声源在预测点的等效声级贡献值；L</w:t>
            </w:r>
            <w:r>
              <w:rPr>
                <w:rFonts w:hint="default" w:ascii="Times New Roman" w:hAnsi="Times New Roman" w:eastAsia="宋体" w:cs="Times New Roman"/>
                <w:color w:val="auto"/>
                <w:sz w:val="24"/>
                <w:vertAlign w:val="subscript"/>
              </w:rPr>
              <w:t>eqb</w:t>
            </w:r>
            <w:r>
              <w:rPr>
                <w:rFonts w:hint="default" w:ascii="Times New Roman" w:hAnsi="Times New Roman" w:eastAsia="宋体" w:cs="Times New Roman"/>
                <w:color w:val="auto"/>
                <w:sz w:val="24"/>
              </w:rPr>
              <w:t>为预测点的背景值。</w:t>
            </w:r>
          </w:p>
          <w:p w14:paraId="3B030D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根据《环境影响评价技术导则声环境》（HJ2.4-2021），项目厂界噪声以工程噪声预测值作为评价量进行分析预测，同时考虑建筑物的屏蔽和遮挡，本项目</w:t>
            </w:r>
            <w:r>
              <w:rPr>
                <w:rFonts w:hint="eastAsia" w:cs="Times New Roman"/>
                <w:color w:val="auto"/>
                <w:sz w:val="24"/>
                <w:highlight w:val="none"/>
                <w:lang w:val="en-US" w:eastAsia="zh-CN"/>
              </w:rPr>
              <w:t>仅为昼间生产，</w:t>
            </w:r>
            <w:r>
              <w:rPr>
                <w:rFonts w:hint="default" w:ascii="Times New Roman" w:hAnsi="Times New Roman" w:eastAsia="宋体" w:cs="Times New Roman"/>
                <w:color w:val="auto"/>
                <w:sz w:val="24"/>
                <w:highlight w:val="none"/>
              </w:rPr>
              <w:t>夜间不运行，</w:t>
            </w:r>
            <w:r>
              <w:rPr>
                <w:rFonts w:hint="eastAsia" w:cs="Times New Roman"/>
                <w:color w:val="auto"/>
                <w:sz w:val="24"/>
                <w:highlight w:val="none"/>
                <w:lang w:val="en-US" w:eastAsia="zh-CN"/>
              </w:rPr>
              <w:t>因此本次评价对项目所在厂区厂界</w:t>
            </w:r>
            <w:r>
              <w:rPr>
                <w:rFonts w:hint="default" w:ascii="Times New Roman" w:hAnsi="Times New Roman" w:eastAsia="宋体" w:cs="Times New Roman"/>
                <w:color w:val="auto"/>
                <w:sz w:val="24"/>
                <w:highlight w:val="none"/>
              </w:rPr>
              <w:t>进行昼间噪声预测。</w:t>
            </w:r>
            <w:r>
              <w:rPr>
                <w:rFonts w:hint="eastAsia" w:cs="Times New Roman"/>
                <w:color w:val="auto"/>
                <w:sz w:val="24"/>
                <w:highlight w:val="none"/>
                <w:lang w:val="en-US" w:eastAsia="zh-CN"/>
              </w:rPr>
              <w:t>本项目</w:t>
            </w:r>
            <w:r>
              <w:rPr>
                <w:rFonts w:hint="eastAsia" w:ascii="Times New Roman" w:hAnsi="Times New Roman" w:eastAsia="宋体" w:cs="Times New Roman"/>
                <w:color w:val="auto"/>
                <w:sz w:val="24"/>
                <w:highlight w:val="none"/>
                <w:lang w:val="en-US" w:eastAsia="zh-CN"/>
              </w:rPr>
              <w:t>厂界</w:t>
            </w:r>
            <w:r>
              <w:rPr>
                <w:rFonts w:hint="default" w:ascii="Times New Roman" w:hAnsi="Times New Roman" w:eastAsia="宋体" w:cs="Times New Roman"/>
                <w:color w:val="auto"/>
                <w:sz w:val="24"/>
                <w:highlight w:val="none"/>
                <w:lang w:val="en-US" w:eastAsia="zh-CN"/>
              </w:rPr>
              <w:t>噪声预测结果见表4.7-</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lang w:val="en-US" w:eastAsia="zh-CN"/>
              </w:rPr>
              <w:t>。</w:t>
            </w:r>
          </w:p>
          <w:p w14:paraId="676F3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w:t>
            </w:r>
            <w:r>
              <w:rPr>
                <w:rFonts w:hint="default" w:ascii="Times New Roman" w:hAnsi="Times New Roman" w:eastAsia="宋体" w:cs="Times New Roman"/>
                <w:b/>
                <w:bCs/>
                <w:color w:val="auto"/>
                <w:spacing w:val="0"/>
                <w:kern w:val="2"/>
                <w:sz w:val="21"/>
                <w:szCs w:val="21"/>
                <w:highlight w:val="none"/>
                <w:lang w:val="en-US" w:eastAsia="zh-CN" w:bidi="ar-SA"/>
              </w:rPr>
              <w:t>4.7-</w:t>
            </w:r>
            <w:r>
              <w:rPr>
                <w:rFonts w:hint="eastAsia" w:eastAsia="宋体" w:cs="Times New Roman"/>
                <w:b/>
                <w:bCs/>
                <w:color w:val="auto"/>
                <w:spacing w:val="0"/>
                <w:kern w:val="2"/>
                <w:sz w:val="21"/>
                <w:szCs w:val="21"/>
                <w:highlight w:val="none"/>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t xml:space="preserve">  环境噪声预测结果</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4"/>
              <w:gridCol w:w="1435"/>
              <w:gridCol w:w="1186"/>
              <w:gridCol w:w="1199"/>
              <w:gridCol w:w="1281"/>
              <w:gridCol w:w="1595"/>
            </w:tblGrid>
            <w:tr w14:paraId="4816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vMerge w:val="restart"/>
                  <w:tcBorders>
                    <w:tl2br w:val="nil"/>
                    <w:tr2bl w:val="nil"/>
                  </w:tcBorders>
                  <w:noWrap w:val="0"/>
                  <w:vAlign w:val="center"/>
                </w:tcPr>
                <w:p w14:paraId="09D98FAD">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b/>
                      <w:color w:val="auto"/>
                      <w:szCs w:val="21"/>
                      <w:lang w:val="en-US" w:eastAsia="zh-CN"/>
                    </w:rPr>
                  </w:pPr>
                  <w:r>
                    <w:rPr>
                      <w:rFonts w:hint="eastAsia"/>
                      <w:b/>
                      <w:color w:val="auto"/>
                      <w:szCs w:val="21"/>
                      <w:lang w:val="en-US" w:eastAsia="zh-CN"/>
                    </w:rPr>
                    <w:t>点位</w:t>
                  </w:r>
                </w:p>
              </w:tc>
              <w:tc>
                <w:tcPr>
                  <w:tcW w:w="3050" w:type="pct"/>
                  <w:gridSpan w:val="4"/>
                  <w:tcBorders>
                    <w:tl2br w:val="nil"/>
                    <w:tr2bl w:val="nil"/>
                  </w:tcBorders>
                  <w:noWrap w:val="0"/>
                  <w:vAlign w:val="center"/>
                </w:tcPr>
                <w:p w14:paraId="77499C51">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b/>
                      <w:color w:val="auto"/>
                      <w:szCs w:val="21"/>
                    </w:rPr>
                  </w:pPr>
                  <w:r>
                    <w:rPr>
                      <w:rFonts w:hint="default"/>
                      <w:b/>
                      <w:bCs w:val="0"/>
                      <w:color w:val="auto"/>
                      <w:szCs w:val="21"/>
                    </w:rPr>
                    <w:t>贡献值</w:t>
                  </w:r>
                  <w:r>
                    <w:rPr>
                      <w:rFonts w:hint="default" w:ascii="Times New Roman" w:hAnsi="Times New Roman" w:eastAsia="宋体" w:cs="Times New Roman"/>
                      <w:b/>
                      <w:bCs/>
                      <w:color w:val="auto"/>
                      <w:kern w:val="2"/>
                      <w:sz w:val="21"/>
                      <w:szCs w:val="21"/>
                      <w:highlight w:val="none"/>
                      <w:lang w:val="en-US" w:eastAsia="zh-CN" w:bidi="ar-SA"/>
                    </w:rPr>
                    <w:t>dB（A）</w:t>
                  </w:r>
                </w:p>
              </w:tc>
              <w:tc>
                <w:tcPr>
                  <w:tcW w:w="953" w:type="pct"/>
                  <w:vMerge w:val="restart"/>
                  <w:tcBorders>
                    <w:tl2br w:val="nil"/>
                    <w:tr2bl w:val="nil"/>
                  </w:tcBorders>
                  <w:noWrap w:val="0"/>
                  <w:vAlign w:val="center"/>
                </w:tcPr>
                <w:p w14:paraId="02C90E6E">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eastAsia="宋体"/>
                      <w:b/>
                      <w:color w:val="auto"/>
                      <w:szCs w:val="21"/>
                      <w:lang w:val="en-US" w:eastAsia="zh-CN"/>
                    </w:rPr>
                  </w:pPr>
                  <w:r>
                    <w:rPr>
                      <w:rFonts w:hint="eastAsia"/>
                      <w:b/>
                      <w:color w:val="auto"/>
                      <w:szCs w:val="21"/>
                      <w:lang w:val="en-US" w:eastAsia="zh-CN"/>
                    </w:rPr>
                    <w:t>达标情况</w:t>
                  </w:r>
                </w:p>
              </w:tc>
            </w:tr>
            <w:tr w14:paraId="1FAF8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vMerge w:val="continue"/>
                  <w:tcBorders>
                    <w:tl2br w:val="nil"/>
                    <w:tr2bl w:val="nil"/>
                  </w:tcBorders>
                  <w:noWrap w:val="0"/>
                  <w:vAlign w:val="center"/>
                </w:tcPr>
                <w:p w14:paraId="0C7BBCE9">
                  <w:pPr>
                    <w:keepNext w:val="0"/>
                    <w:keepLines w:val="0"/>
                    <w:pageBreakBefore w:val="0"/>
                    <w:suppressLineNumbers w:val="0"/>
                    <w:kinsoku/>
                    <w:wordWrap/>
                    <w:overflowPunct/>
                    <w:topLinePunct w:val="0"/>
                    <w:bidi w:val="0"/>
                    <w:snapToGrid/>
                    <w:spacing w:before="0" w:beforeAutospacing="0" w:after="0" w:afterAutospacing="0" w:line="240" w:lineRule="auto"/>
                    <w:ind w:left="0" w:right="0" w:firstLine="480"/>
                    <w:jc w:val="center"/>
                    <w:textAlignment w:val="auto"/>
                    <w:rPr>
                      <w:rFonts w:hint="default"/>
                      <w:b/>
                      <w:color w:val="auto"/>
                      <w:szCs w:val="21"/>
                    </w:rPr>
                  </w:pPr>
                </w:p>
              </w:tc>
              <w:tc>
                <w:tcPr>
                  <w:tcW w:w="858" w:type="pct"/>
                  <w:tcBorders>
                    <w:tl2br w:val="nil"/>
                    <w:tr2bl w:val="nil"/>
                  </w:tcBorders>
                  <w:noWrap w:val="0"/>
                  <w:vAlign w:val="center"/>
                </w:tcPr>
                <w:p w14:paraId="09D89B6B">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b/>
                      <w:bCs w:val="0"/>
                      <w:color w:val="auto"/>
                      <w:szCs w:val="21"/>
                      <w:highlight w:val="yellow"/>
                    </w:rPr>
                  </w:pPr>
                  <w:r>
                    <w:rPr>
                      <w:rFonts w:hint="default"/>
                      <w:b/>
                      <w:color w:val="auto"/>
                      <w:szCs w:val="21"/>
                    </w:rPr>
                    <w:t>昼间</w:t>
                  </w:r>
                </w:p>
              </w:tc>
              <w:tc>
                <w:tcPr>
                  <w:tcW w:w="709" w:type="pct"/>
                  <w:tcBorders>
                    <w:tl2br w:val="nil"/>
                    <w:tr2bl w:val="nil"/>
                  </w:tcBorders>
                  <w:noWrap w:val="0"/>
                  <w:vAlign w:val="center"/>
                </w:tcPr>
                <w:p w14:paraId="2012C4C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eastAsia="宋体"/>
                      <w:b/>
                      <w:bCs w:val="0"/>
                      <w:color w:val="auto"/>
                      <w:szCs w:val="21"/>
                      <w:lang w:val="en-US" w:eastAsia="zh-CN"/>
                    </w:rPr>
                  </w:pPr>
                  <w:r>
                    <w:rPr>
                      <w:rFonts w:hint="default"/>
                      <w:b/>
                      <w:bCs w:val="0"/>
                      <w:color w:val="auto"/>
                      <w:szCs w:val="21"/>
                    </w:rPr>
                    <w:t>标准值</w:t>
                  </w:r>
                </w:p>
              </w:tc>
              <w:tc>
                <w:tcPr>
                  <w:tcW w:w="717" w:type="pct"/>
                  <w:tcBorders>
                    <w:tl2br w:val="nil"/>
                    <w:tr2bl w:val="nil"/>
                  </w:tcBorders>
                  <w:noWrap w:val="0"/>
                  <w:vAlign w:val="center"/>
                </w:tcPr>
                <w:p w14:paraId="2F22E2FB">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eastAsia" w:eastAsia="宋体"/>
                      <w:b/>
                      <w:bCs w:val="0"/>
                      <w:color w:val="auto"/>
                      <w:szCs w:val="21"/>
                      <w:lang w:val="en-US" w:eastAsia="zh-CN"/>
                    </w:rPr>
                  </w:pPr>
                  <w:r>
                    <w:rPr>
                      <w:rFonts w:hint="eastAsia"/>
                      <w:b/>
                      <w:bCs w:val="0"/>
                      <w:color w:val="auto"/>
                      <w:szCs w:val="21"/>
                      <w:lang w:val="en-US" w:eastAsia="zh-CN"/>
                    </w:rPr>
                    <w:t>夜间</w:t>
                  </w:r>
                </w:p>
              </w:tc>
              <w:tc>
                <w:tcPr>
                  <w:tcW w:w="766" w:type="pct"/>
                  <w:tcBorders>
                    <w:tl2br w:val="nil"/>
                    <w:tr2bl w:val="nil"/>
                  </w:tcBorders>
                  <w:noWrap w:val="0"/>
                  <w:vAlign w:val="center"/>
                </w:tcPr>
                <w:p w14:paraId="1771FC38">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eastAsia="宋体"/>
                      <w:b/>
                      <w:bCs w:val="0"/>
                      <w:color w:val="auto"/>
                      <w:szCs w:val="21"/>
                      <w:lang w:val="en-US" w:eastAsia="zh-CN"/>
                    </w:rPr>
                  </w:pPr>
                  <w:r>
                    <w:rPr>
                      <w:rFonts w:hint="eastAsia"/>
                      <w:b/>
                      <w:bCs w:val="0"/>
                      <w:color w:val="auto"/>
                      <w:szCs w:val="21"/>
                      <w:lang w:val="en-US" w:eastAsia="zh-CN"/>
                    </w:rPr>
                    <w:t>标准值</w:t>
                  </w:r>
                </w:p>
              </w:tc>
              <w:tc>
                <w:tcPr>
                  <w:tcW w:w="953" w:type="pct"/>
                  <w:vMerge w:val="continue"/>
                  <w:tcBorders>
                    <w:tl2br w:val="nil"/>
                    <w:tr2bl w:val="nil"/>
                  </w:tcBorders>
                  <w:noWrap w:val="0"/>
                  <w:vAlign w:val="center"/>
                </w:tcPr>
                <w:p w14:paraId="7A301647">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b/>
                      <w:bCs w:val="0"/>
                      <w:color w:val="auto"/>
                      <w:szCs w:val="21"/>
                    </w:rPr>
                  </w:pPr>
                </w:p>
              </w:tc>
            </w:tr>
            <w:tr w14:paraId="3AA7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tcBorders>
                    <w:tl2br w:val="nil"/>
                    <w:tr2bl w:val="nil"/>
                  </w:tcBorders>
                  <w:noWrap w:val="0"/>
                  <w:vAlign w:val="center"/>
                </w:tcPr>
                <w:p w14:paraId="4944E0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auto"/>
                      <w:szCs w:val="21"/>
                    </w:rPr>
                  </w:pPr>
                  <w:r>
                    <w:rPr>
                      <w:rFonts w:hint="eastAsia"/>
                      <w:b w:val="0"/>
                      <w:bCs w:val="0"/>
                      <w:color w:val="auto"/>
                      <w:lang w:val="en-US" w:eastAsia="zh-CN"/>
                    </w:rPr>
                    <w:t>厂界东</w:t>
                  </w:r>
                </w:p>
              </w:tc>
              <w:tc>
                <w:tcPr>
                  <w:tcW w:w="858" w:type="pct"/>
                  <w:tcBorders>
                    <w:tl2br w:val="nil"/>
                    <w:tr2bl w:val="nil"/>
                  </w:tcBorders>
                  <w:noWrap w:val="0"/>
                  <w:vAlign w:val="center"/>
                </w:tcPr>
                <w:p w14:paraId="42650D0F">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color w:val="auto"/>
                      <w:kern w:val="0"/>
                      <w:szCs w:val="21"/>
                      <w:highlight w:val="yellow"/>
                      <w:lang w:val="en-US"/>
                    </w:rPr>
                  </w:pPr>
                  <w:r>
                    <w:rPr>
                      <w:rFonts w:hint="eastAsia"/>
                      <w:color w:val="auto"/>
                      <w:szCs w:val="21"/>
                      <w:lang w:val="en-US" w:eastAsia="zh-CN"/>
                    </w:rPr>
                    <w:t>42.6</w:t>
                  </w:r>
                </w:p>
              </w:tc>
              <w:tc>
                <w:tcPr>
                  <w:tcW w:w="709" w:type="pct"/>
                  <w:tcBorders>
                    <w:tl2br w:val="nil"/>
                    <w:tr2bl w:val="nil"/>
                  </w:tcBorders>
                  <w:noWrap w:val="0"/>
                  <w:vAlign w:val="center"/>
                </w:tcPr>
                <w:p w14:paraId="2603EF3C">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eastAsia="宋体"/>
                      <w:color w:val="auto"/>
                      <w:szCs w:val="21"/>
                      <w:lang w:val="en-US" w:eastAsia="zh-CN"/>
                    </w:rPr>
                  </w:pPr>
                  <w:r>
                    <w:rPr>
                      <w:rFonts w:hint="eastAsia"/>
                      <w:color w:val="auto"/>
                      <w:szCs w:val="21"/>
                      <w:lang w:val="en-US" w:eastAsia="zh-CN"/>
                    </w:rPr>
                    <w:t>60</w:t>
                  </w:r>
                </w:p>
              </w:tc>
              <w:tc>
                <w:tcPr>
                  <w:tcW w:w="717" w:type="pct"/>
                  <w:tcBorders>
                    <w:tl2br w:val="nil"/>
                    <w:tr2bl w:val="nil"/>
                  </w:tcBorders>
                  <w:noWrap w:val="0"/>
                  <w:vAlign w:val="center"/>
                </w:tcPr>
                <w:p w14:paraId="02BFA819">
                  <w:pPr>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766" w:type="pct"/>
                  <w:tcBorders>
                    <w:tl2br w:val="nil"/>
                    <w:tr2bl w:val="nil"/>
                  </w:tcBorders>
                  <w:noWrap w:val="0"/>
                  <w:vAlign w:val="center"/>
                </w:tcPr>
                <w:p w14:paraId="7E8E3A4C">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eastAsia="宋体"/>
                      <w:color w:val="auto"/>
                      <w:szCs w:val="21"/>
                      <w:lang w:val="en-US" w:eastAsia="zh-CN"/>
                    </w:rPr>
                  </w:pPr>
                  <w:r>
                    <w:rPr>
                      <w:rFonts w:hint="eastAsia"/>
                      <w:color w:val="auto"/>
                      <w:szCs w:val="21"/>
                      <w:lang w:val="en-US" w:eastAsia="zh-CN"/>
                    </w:rPr>
                    <w:t>50</w:t>
                  </w:r>
                </w:p>
              </w:tc>
              <w:tc>
                <w:tcPr>
                  <w:tcW w:w="953" w:type="pct"/>
                  <w:tcBorders>
                    <w:tl2br w:val="nil"/>
                    <w:tr2bl w:val="nil"/>
                  </w:tcBorders>
                  <w:noWrap w:val="0"/>
                  <w:vAlign w:val="center"/>
                </w:tcPr>
                <w:p w14:paraId="1E57009B">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color w:val="auto"/>
                      <w:szCs w:val="21"/>
                      <w:lang w:val="en-US" w:eastAsia="zh-CN"/>
                    </w:rPr>
                  </w:pPr>
                  <w:r>
                    <w:rPr>
                      <w:rFonts w:hint="eastAsia"/>
                      <w:color w:val="auto"/>
                      <w:szCs w:val="21"/>
                      <w:lang w:val="en-US" w:eastAsia="zh-CN"/>
                    </w:rPr>
                    <w:t>达标</w:t>
                  </w:r>
                </w:p>
              </w:tc>
            </w:tr>
            <w:tr w14:paraId="07EB5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tcBorders>
                    <w:tl2br w:val="nil"/>
                    <w:tr2bl w:val="nil"/>
                  </w:tcBorders>
                  <w:noWrap w:val="0"/>
                  <w:vAlign w:val="center"/>
                </w:tcPr>
                <w:p w14:paraId="656C32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auto"/>
                      <w:szCs w:val="21"/>
                    </w:rPr>
                  </w:pPr>
                  <w:r>
                    <w:rPr>
                      <w:rFonts w:hint="eastAsia"/>
                      <w:b w:val="0"/>
                      <w:bCs w:val="0"/>
                      <w:color w:val="auto"/>
                      <w:lang w:val="en-US" w:eastAsia="zh-CN"/>
                    </w:rPr>
                    <w:t>厂界南</w:t>
                  </w:r>
                </w:p>
              </w:tc>
              <w:tc>
                <w:tcPr>
                  <w:tcW w:w="858" w:type="pct"/>
                  <w:tcBorders>
                    <w:tl2br w:val="nil"/>
                    <w:tr2bl w:val="nil"/>
                  </w:tcBorders>
                  <w:noWrap w:val="0"/>
                  <w:vAlign w:val="center"/>
                </w:tcPr>
                <w:p w14:paraId="7374A855">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color w:val="auto"/>
                      <w:kern w:val="0"/>
                      <w:szCs w:val="21"/>
                      <w:highlight w:val="yellow"/>
                      <w:lang w:val="en-US"/>
                    </w:rPr>
                  </w:pPr>
                  <w:r>
                    <w:rPr>
                      <w:rFonts w:hint="eastAsia"/>
                      <w:color w:val="auto"/>
                      <w:szCs w:val="21"/>
                      <w:lang w:val="en-US" w:eastAsia="zh-CN"/>
                    </w:rPr>
                    <w:t>35.9</w:t>
                  </w:r>
                </w:p>
              </w:tc>
              <w:tc>
                <w:tcPr>
                  <w:tcW w:w="709" w:type="pct"/>
                  <w:tcBorders>
                    <w:tl2br w:val="nil"/>
                    <w:tr2bl w:val="nil"/>
                  </w:tcBorders>
                  <w:noWrap w:val="0"/>
                  <w:vAlign w:val="center"/>
                </w:tcPr>
                <w:p w14:paraId="2830CD2E">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eastAsia="宋体"/>
                      <w:color w:val="auto"/>
                      <w:szCs w:val="21"/>
                      <w:lang w:val="en-US" w:eastAsia="zh-CN"/>
                    </w:rPr>
                  </w:pPr>
                  <w:r>
                    <w:rPr>
                      <w:rFonts w:hint="eastAsia"/>
                      <w:color w:val="auto"/>
                      <w:szCs w:val="21"/>
                      <w:lang w:val="en-US" w:eastAsia="zh-CN"/>
                    </w:rPr>
                    <w:t>60</w:t>
                  </w:r>
                </w:p>
              </w:tc>
              <w:tc>
                <w:tcPr>
                  <w:tcW w:w="717" w:type="pct"/>
                  <w:tcBorders>
                    <w:tl2br w:val="nil"/>
                    <w:tr2bl w:val="nil"/>
                  </w:tcBorders>
                  <w:noWrap w:val="0"/>
                  <w:vAlign w:val="center"/>
                </w:tcPr>
                <w:p w14:paraId="00818639">
                  <w:pPr>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766" w:type="pct"/>
                  <w:tcBorders>
                    <w:tl2br w:val="nil"/>
                    <w:tr2bl w:val="nil"/>
                  </w:tcBorders>
                  <w:noWrap w:val="0"/>
                  <w:vAlign w:val="center"/>
                </w:tcPr>
                <w:p w14:paraId="48AA7FD6">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color w:val="auto"/>
                      <w:szCs w:val="21"/>
                    </w:rPr>
                  </w:pPr>
                  <w:r>
                    <w:rPr>
                      <w:rFonts w:hint="eastAsia"/>
                      <w:color w:val="auto"/>
                      <w:szCs w:val="21"/>
                      <w:lang w:val="en-US" w:eastAsia="zh-CN"/>
                    </w:rPr>
                    <w:t>50</w:t>
                  </w:r>
                </w:p>
              </w:tc>
              <w:tc>
                <w:tcPr>
                  <w:tcW w:w="953" w:type="pct"/>
                  <w:tcBorders>
                    <w:tl2br w:val="nil"/>
                    <w:tr2bl w:val="nil"/>
                  </w:tcBorders>
                  <w:noWrap w:val="0"/>
                  <w:vAlign w:val="center"/>
                </w:tcPr>
                <w:p w14:paraId="43080CA1">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color w:val="auto"/>
                      <w:szCs w:val="21"/>
                      <w:lang w:val="en-US" w:eastAsia="zh-CN"/>
                    </w:rPr>
                  </w:pPr>
                  <w:r>
                    <w:rPr>
                      <w:rFonts w:hint="eastAsia"/>
                      <w:color w:val="auto"/>
                      <w:szCs w:val="21"/>
                      <w:lang w:val="en-US" w:eastAsia="zh-CN"/>
                    </w:rPr>
                    <w:t>达标</w:t>
                  </w:r>
                </w:p>
              </w:tc>
            </w:tr>
            <w:tr w14:paraId="03EAB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tcBorders>
                    <w:tl2br w:val="nil"/>
                    <w:tr2bl w:val="nil"/>
                  </w:tcBorders>
                  <w:noWrap w:val="0"/>
                  <w:vAlign w:val="center"/>
                </w:tcPr>
                <w:p w14:paraId="5C27E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auto"/>
                      <w:szCs w:val="21"/>
                    </w:rPr>
                  </w:pPr>
                  <w:r>
                    <w:rPr>
                      <w:rFonts w:hint="eastAsia"/>
                      <w:b w:val="0"/>
                      <w:bCs w:val="0"/>
                      <w:color w:val="auto"/>
                      <w:lang w:val="en-US" w:eastAsia="zh-CN"/>
                    </w:rPr>
                    <w:t>厂界西</w:t>
                  </w:r>
                </w:p>
              </w:tc>
              <w:tc>
                <w:tcPr>
                  <w:tcW w:w="858" w:type="pct"/>
                  <w:tcBorders>
                    <w:tl2br w:val="nil"/>
                    <w:tr2bl w:val="nil"/>
                  </w:tcBorders>
                  <w:noWrap w:val="0"/>
                  <w:vAlign w:val="center"/>
                </w:tcPr>
                <w:p w14:paraId="230A35D4">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color w:val="auto"/>
                      <w:kern w:val="0"/>
                      <w:szCs w:val="21"/>
                      <w:highlight w:val="yellow"/>
                      <w:lang w:val="en-US"/>
                    </w:rPr>
                  </w:pPr>
                  <w:r>
                    <w:rPr>
                      <w:rFonts w:hint="eastAsia"/>
                      <w:color w:val="auto"/>
                      <w:szCs w:val="21"/>
                      <w:lang w:val="en-US" w:eastAsia="zh-CN"/>
                    </w:rPr>
                    <w:t>38.7</w:t>
                  </w:r>
                </w:p>
              </w:tc>
              <w:tc>
                <w:tcPr>
                  <w:tcW w:w="709" w:type="pct"/>
                  <w:tcBorders>
                    <w:tl2br w:val="nil"/>
                    <w:tr2bl w:val="nil"/>
                  </w:tcBorders>
                  <w:noWrap w:val="0"/>
                  <w:vAlign w:val="center"/>
                </w:tcPr>
                <w:p w14:paraId="58D083C9">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eastAsia="宋体"/>
                      <w:color w:val="auto"/>
                      <w:szCs w:val="21"/>
                      <w:lang w:val="en-US" w:eastAsia="zh-CN"/>
                    </w:rPr>
                  </w:pPr>
                  <w:r>
                    <w:rPr>
                      <w:rFonts w:hint="eastAsia"/>
                      <w:color w:val="auto"/>
                      <w:szCs w:val="21"/>
                      <w:lang w:val="en-US" w:eastAsia="zh-CN"/>
                    </w:rPr>
                    <w:t>60</w:t>
                  </w:r>
                </w:p>
              </w:tc>
              <w:tc>
                <w:tcPr>
                  <w:tcW w:w="717" w:type="pct"/>
                  <w:tcBorders>
                    <w:tl2br w:val="nil"/>
                    <w:tr2bl w:val="nil"/>
                  </w:tcBorders>
                  <w:noWrap w:val="0"/>
                  <w:vAlign w:val="center"/>
                </w:tcPr>
                <w:p w14:paraId="0DD88836">
                  <w:pPr>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766" w:type="pct"/>
                  <w:tcBorders>
                    <w:tl2br w:val="nil"/>
                    <w:tr2bl w:val="nil"/>
                  </w:tcBorders>
                  <w:noWrap w:val="0"/>
                  <w:vAlign w:val="center"/>
                </w:tcPr>
                <w:p w14:paraId="6E4EA604">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eastAsia="宋体"/>
                      <w:color w:val="auto"/>
                      <w:szCs w:val="21"/>
                      <w:lang w:val="en-US" w:eastAsia="zh-CN"/>
                    </w:rPr>
                  </w:pPr>
                  <w:r>
                    <w:rPr>
                      <w:rFonts w:hint="eastAsia"/>
                      <w:color w:val="auto"/>
                      <w:szCs w:val="21"/>
                      <w:lang w:val="en-US" w:eastAsia="zh-CN"/>
                    </w:rPr>
                    <w:t>50</w:t>
                  </w:r>
                </w:p>
              </w:tc>
              <w:tc>
                <w:tcPr>
                  <w:tcW w:w="953" w:type="pct"/>
                  <w:tcBorders>
                    <w:tl2br w:val="nil"/>
                    <w:tr2bl w:val="nil"/>
                  </w:tcBorders>
                  <w:noWrap w:val="0"/>
                  <w:vAlign w:val="center"/>
                </w:tcPr>
                <w:p w14:paraId="6179D54A">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color w:val="auto"/>
                      <w:szCs w:val="21"/>
                      <w:lang w:val="en-US" w:eastAsia="zh-CN"/>
                    </w:rPr>
                  </w:pPr>
                  <w:r>
                    <w:rPr>
                      <w:rFonts w:hint="eastAsia"/>
                      <w:color w:val="auto"/>
                      <w:szCs w:val="21"/>
                      <w:lang w:val="en-US" w:eastAsia="zh-CN"/>
                    </w:rPr>
                    <w:t>达标</w:t>
                  </w:r>
                </w:p>
              </w:tc>
            </w:tr>
            <w:tr w14:paraId="005B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995" w:type="pct"/>
                  <w:tcBorders>
                    <w:tl2br w:val="nil"/>
                    <w:tr2bl w:val="nil"/>
                  </w:tcBorders>
                  <w:noWrap w:val="0"/>
                  <w:vAlign w:val="center"/>
                </w:tcPr>
                <w:p w14:paraId="002B0B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olor w:val="auto"/>
                      <w:szCs w:val="21"/>
                      <w:lang w:val="en-US"/>
                    </w:rPr>
                  </w:pPr>
                  <w:r>
                    <w:rPr>
                      <w:rFonts w:hint="eastAsia"/>
                      <w:b w:val="0"/>
                      <w:bCs w:val="0"/>
                      <w:color w:val="auto"/>
                      <w:lang w:val="en-US" w:eastAsia="zh-CN"/>
                    </w:rPr>
                    <w:t>厂界北</w:t>
                  </w:r>
                </w:p>
              </w:tc>
              <w:tc>
                <w:tcPr>
                  <w:tcW w:w="858" w:type="pct"/>
                  <w:tcBorders>
                    <w:tl2br w:val="nil"/>
                    <w:tr2bl w:val="nil"/>
                  </w:tcBorders>
                  <w:noWrap w:val="0"/>
                  <w:vAlign w:val="center"/>
                </w:tcPr>
                <w:p w14:paraId="0017B111">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color w:val="auto"/>
                      <w:kern w:val="0"/>
                      <w:szCs w:val="21"/>
                      <w:highlight w:val="yellow"/>
                      <w:lang w:val="en-US"/>
                    </w:rPr>
                  </w:pPr>
                  <w:r>
                    <w:rPr>
                      <w:rFonts w:hint="eastAsia"/>
                      <w:color w:val="auto"/>
                      <w:szCs w:val="21"/>
                      <w:lang w:val="en-US" w:eastAsia="zh-CN"/>
                    </w:rPr>
                    <w:t>36.5</w:t>
                  </w:r>
                </w:p>
              </w:tc>
              <w:tc>
                <w:tcPr>
                  <w:tcW w:w="709" w:type="pct"/>
                  <w:tcBorders>
                    <w:tl2br w:val="nil"/>
                    <w:tr2bl w:val="nil"/>
                  </w:tcBorders>
                  <w:noWrap w:val="0"/>
                  <w:vAlign w:val="center"/>
                </w:tcPr>
                <w:p w14:paraId="07339246">
                  <w:pPr>
                    <w:keepNext w:val="0"/>
                    <w:keepLines w:val="0"/>
                    <w:pageBreakBefore w:val="0"/>
                    <w:suppressLineNumbers w:val="0"/>
                    <w:kinsoku/>
                    <w:wordWrap/>
                    <w:overflowPunct/>
                    <w:topLinePunct w:val="0"/>
                    <w:bidi w:val="0"/>
                    <w:snapToGrid/>
                    <w:spacing w:before="0" w:beforeAutospacing="0" w:after="0" w:afterAutospacing="0" w:line="240" w:lineRule="auto"/>
                    <w:ind w:left="0" w:leftChars="0" w:right="0" w:rightChars="0"/>
                    <w:jc w:val="center"/>
                    <w:textAlignment w:val="auto"/>
                    <w:rPr>
                      <w:rFonts w:hint="default" w:eastAsia="宋体"/>
                      <w:color w:val="auto"/>
                      <w:szCs w:val="21"/>
                      <w:lang w:val="en-US" w:eastAsia="zh-CN"/>
                    </w:rPr>
                  </w:pPr>
                  <w:r>
                    <w:rPr>
                      <w:rFonts w:hint="eastAsia"/>
                      <w:color w:val="auto"/>
                      <w:szCs w:val="21"/>
                      <w:lang w:val="en-US" w:eastAsia="zh-CN"/>
                    </w:rPr>
                    <w:t>60</w:t>
                  </w:r>
                </w:p>
              </w:tc>
              <w:tc>
                <w:tcPr>
                  <w:tcW w:w="717" w:type="pct"/>
                  <w:tcBorders>
                    <w:tl2br w:val="nil"/>
                    <w:tr2bl w:val="nil"/>
                  </w:tcBorders>
                  <w:noWrap w:val="0"/>
                  <w:vAlign w:val="center"/>
                </w:tcPr>
                <w:p w14:paraId="40C62C75">
                  <w:pPr>
                    <w:keepNext w:val="0"/>
                    <w:keepLines w:val="0"/>
                    <w:pageBreakBefore w:val="0"/>
                    <w:widowControl/>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eastAsia" w:eastAsia="宋体"/>
                      <w:color w:val="auto"/>
                      <w:kern w:val="0"/>
                      <w:sz w:val="21"/>
                      <w:szCs w:val="21"/>
                      <w:lang w:val="en-US" w:eastAsia="zh-CN"/>
                    </w:rPr>
                  </w:pPr>
                  <w:r>
                    <w:rPr>
                      <w:rFonts w:hint="eastAsia"/>
                      <w:color w:val="auto"/>
                      <w:kern w:val="0"/>
                      <w:sz w:val="21"/>
                      <w:szCs w:val="21"/>
                      <w:lang w:val="en-US" w:eastAsia="zh-CN"/>
                    </w:rPr>
                    <w:t>/</w:t>
                  </w:r>
                </w:p>
              </w:tc>
              <w:tc>
                <w:tcPr>
                  <w:tcW w:w="766" w:type="pct"/>
                  <w:tcBorders>
                    <w:tl2br w:val="nil"/>
                    <w:tr2bl w:val="nil"/>
                  </w:tcBorders>
                  <w:noWrap w:val="0"/>
                  <w:vAlign w:val="center"/>
                </w:tcPr>
                <w:p w14:paraId="4761037F">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default"/>
                      <w:color w:val="auto"/>
                      <w:szCs w:val="21"/>
                    </w:rPr>
                  </w:pPr>
                  <w:r>
                    <w:rPr>
                      <w:rFonts w:hint="eastAsia"/>
                      <w:color w:val="auto"/>
                      <w:szCs w:val="21"/>
                      <w:lang w:val="en-US" w:eastAsia="zh-CN"/>
                    </w:rPr>
                    <w:t>50</w:t>
                  </w:r>
                </w:p>
              </w:tc>
              <w:tc>
                <w:tcPr>
                  <w:tcW w:w="953" w:type="pct"/>
                  <w:tcBorders>
                    <w:tl2br w:val="nil"/>
                    <w:tr2bl w:val="nil"/>
                  </w:tcBorders>
                  <w:noWrap w:val="0"/>
                  <w:vAlign w:val="center"/>
                </w:tcPr>
                <w:p w14:paraId="1F801F09">
                  <w:pPr>
                    <w:keepNext w:val="0"/>
                    <w:keepLines w:val="0"/>
                    <w:pageBreakBefore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color w:val="auto"/>
                      <w:szCs w:val="21"/>
                      <w:lang w:val="en-US" w:eastAsia="zh-CN"/>
                    </w:rPr>
                  </w:pPr>
                  <w:r>
                    <w:rPr>
                      <w:rFonts w:hint="eastAsia"/>
                      <w:color w:val="auto"/>
                      <w:szCs w:val="21"/>
                      <w:lang w:val="en-US" w:eastAsia="zh-CN"/>
                    </w:rPr>
                    <w:t>达标</w:t>
                  </w:r>
                </w:p>
              </w:tc>
            </w:tr>
          </w:tbl>
          <w:p w14:paraId="45B992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96"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pacing w:val="4"/>
                <w:kern w:val="2"/>
                <w:sz w:val="24"/>
                <w:szCs w:val="24"/>
                <w:highlight w:val="none"/>
                <w:lang w:val="en-US" w:eastAsia="zh-CN" w:bidi="ar-SA"/>
              </w:rPr>
              <w:t>根据</w:t>
            </w:r>
            <w:r>
              <w:rPr>
                <w:rFonts w:hint="eastAsia" w:ascii="Times New Roman" w:hAnsi="Times New Roman" w:eastAsia="宋体" w:cs="Times New Roman"/>
                <w:color w:val="auto"/>
                <w:spacing w:val="4"/>
                <w:kern w:val="2"/>
                <w:sz w:val="24"/>
                <w:szCs w:val="24"/>
                <w:highlight w:val="none"/>
                <w:lang w:val="en-US" w:eastAsia="zh-CN" w:bidi="ar-SA"/>
              </w:rPr>
              <w:t>以上</w:t>
            </w:r>
            <w:r>
              <w:rPr>
                <w:rFonts w:hint="default" w:ascii="Times New Roman" w:hAnsi="Times New Roman" w:eastAsia="宋体" w:cs="Times New Roman"/>
                <w:color w:val="auto"/>
                <w:spacing w:val="4"/>
                <w:kern w:val="2"/>
                <w:sz w:val="24"/>
                <w:szCs w:val="24"/>
                <w:highlight w:val="none"/>
                <w:lang w:val="en-US" w:eastAsia="zh-CN" w:bidi="ar-SA"/>
              </w:rPr>
              <w:t>预测结果可以看出，</w:t>
            </w:r>
            <w:r>
              <w:rPr>
                <w:rFonts w:hint="eastAsia" w:cs="Times New Roman"/>
                <w:color w:val="auto"/>
                <w:spacing w:val="4"/>
                <w:kern w:val="2"/>
                <w:sz w:val="24"/>
                <w:szCs w:val="24"/>
                <w:highlight w:val="none"/>
                <w:lang w:val="en-US" w:eastAsia="zh-CN" w:bidi="ar-SA"/>
              </w:rPr>
              <w:t>本项目厂界四周</w:t>
            </w:r>
            <w:r>
              <w:rPr>
                <w:rFonts w:hint="default" w:ascii="Times New Roman" w:hAnsi="Times New Roman" w:eastAsia="宋体" w:cs="Times New Roman"/>
                <w:color w:val="auto"/>
                <w:spacing w:val="4"/>
                <w:kern w:val="2"/>
                <w:sz w:val="24"/>
                <w:szCs w:val="24"/>
                <w:highlight w:val="none"/>
                <w:lang w:val="en-US" w:eastAsia="zh-CN" w:bidi="ar-SA"/>
              </w:rPr>
              <w:t>噪声</w:t>
            </w:r>
            <w:r>
              <w:rPr>
                <w:rFonts w:hint="eastAsia" w:cs="Times New Roman"/>
                <w:color w:val="auto"/>
                <w:spacing w:val="4"/>
                <w:kern w:val="2"/>
                <w:sz w:val="24"/>
                <w:szCs w:val="24"/>
                <w:highlight w:val="none"/>
                <w:lang w:val="en-US" w:eastAsia="zh-CN" w:bidi="ar-SA"/>
              </w:rPr>
              <w:t>贡献值</w:t>
            </w:r>
            <w:r>
              <w:rPr>
                <w:rFonts w:hint="default" w:ascii="Times New Roman" w:hAnsi="Times New Roman" w:eastAsia="宋体" w:cs="Times New Roman"/>
                <w:color w:val="auto"/>
                <w:spacing w:val="4"/>
                <w:kern w:val="2"/>
                <w:sz w:val="24"/>
                <w:szCs w:val="24"/>
                <w:highlight w:val="none"/>
                <w:lang w:val="en-US" w:eastAsia="zh-CN" w:bidi="ar-SA"/>
              </w:rPr>
              <w:t>可满足《工业企业厂界环境噪声排放标准》（GB12348-2008）</w:t>
            </w:r>
            <w:r>
              <w:rPr>
                <w:rFonts w:hint="eastAsia" w:cs="Times New Roman"/>
                <w:color w:val="auto"/>
                <w:spacing w:val="4"/>
                <w:kern w:val="2"/>
                <w:sz w:val="24"/>
                <w:szCs w:val="24"/>
                <w:highlight w:val="none"/>
                <w:lang w:val="en-US" w:eastAsia="zh-CN" w:bidi="ar-SA"/>
              </w:rPr>
              <w:t>2</w:t>
            </w:r>
            <w:r>
              <w:rPr>
                <w:rFonts w:hint="default" w:ascii="Times New Roman" w:hAnsi="Times New Roman" w:eastAsia="宋体" w:cs="Times New Roman"/>
                <w:color w:val="auto"/>
                <w:spacing w:val="4"/>
                <w:kern w:val="2"/>
                <w:sz w:val="24"/>
                <w:szCs w:val="24"/>
                <w:highlight w:val="none"/>
                <w:lang w:val="en-US" w:eastAsia="zh-CN" w:bidi="ar-SA"/>
              </w:rPr>
              <w:t>类标准要求</w:t>
            </w:r>
            <w:r>
              <w:rPr>
                <w:rFonts w:hint="eastAsia" w:cs="Times New Roman"/>
                <w:color w:val="auto"/>
                <w:spacing w:val="4"/>
                <w:kern w:val="2"/>
                <w:sz w:val="24"/>
                <w:szCs w:val="24"/>
                <w:highlight w:val="none"/>
                <w:lang w:val="en-US" w:eastAsia="zh-CN" w:bidi="ar-SA"/>
              </w:rPr>
              <w:t>。</w:t>
            </w:r>
          </w:p>
          <w:p w14:paraId="514D8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rPr>
            </w:pPr>
            <w:r>
              <w:rPr>
                <w:rFonts w:hint="eastAsia" w:cs="Times New Roman"/>
                <w:b/>
                <w:bCs/>
                <w:color w:val="auto"/>
                <w:sz w:val="24"/>
                <w:highlight w:val="none"/>
                <w:lang w:val="en-US" w:eastAsia="zh-CN"/>
              </w:rPr>
              <w:t>4.7.</w:t>
            </w:r>
            <w:r>
              <w:rPr>
                <w:rFonts w:hint="eastAsia" w:ascii="Times New Roman" w:hAnsi="Times New Roman" w:eastAsia="宋体" w:cs="Times New Roman"/>
                <w:b/>
                <w:bCs/>
                <w:color w:val="auto"/>
                <w:sz w:val="24"/>
                <w:highlight w:val="none"/>
                <w:lang w:val="en-US" w:eastAsia="zh-CN"/>
              </w:rPr>
              <w:t>3</w:t>
            </w:r>
            <w:r>
              <w:rPr>
                <w:rFonts w:hint="default" w:ascii="Times New Roman" w:hAnsi="Times New Roman" w:eastAsia="宋体" w:cs="Times New Roman"/>
                <w:b/>
                <w:bCs/>
                <w:color w:val="auto"/>
                <w:sz w:val="24"/>
                <w:highlight w:val="none"/>
              </w:rPr>
              <w:t>噪声污染防治措施</w:t>
            </w:r>
          </w:p>
          <w:p w14:paraId="6F4D4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color w:val="auto"/>
                <w:spacing w:val="0"/>
                <w:sz w:val="24"/>
                <w:highlight w:val="none"/>
                <w:lang w:val="en-US" w:eastAsia="zh-CN"/>
              </w:rPr>
            </w:pPr>
            <w:r>
              <w:rPr>
                <w:rFonts w:hint="eastAsia" w:ascii="Times New Roman" w:hAnsi="Times New Roman" w:eastAsia="宋体" w:cs="Times New Roman"/>
                <w:color w:val="auto"/>
                <w:spacing w:val="0"/>
                <w:sz w:val="24"/>
                <w:highlight w:val="none"/>
                <w:lang w:val="en-US" w:eastAsia="zh-CN"/>
              </w:rPr>
              <w:t>根据本项目的工程和周围环境特征，提出如下治理措施：</w:t>
            </w:r>
          </w:p>
          <w:p w14:paraId="4DF9F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1</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加强治理</w:t>
            </w:r>
          </w:p>
          <w:p w14:paraId="593D6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highlight w:val="none"/>
              </w:rPr>
              <w:t>尽量选用低噪声</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性能好、对</w:t>
            </w:r>
            <w:r>
              <w:rPr>
                <w:rFonts w:hint="default" w:ascii="Times New Roman" w:hAnsi="Times New Roman" w:eastAsia="宋体" w:cs="Times New Roman"/>
                <w:color w:val="auto"/>
                <w:sz w:val="24"/>
                <w:highlight w:val="none"/>
              </w:rPr>
              <w:t>环境影响小的</w:t>
            </w:r>
            <w:r>
              <w:rPr>
                <w:rFonts w:hint="eastAsia" w:ascii="Times New Roman" w:hAnsi="Times New Roman" w:eastAsia="宋体" w:cs="Times New Roman"/>
                <w:color w:val="auto"/>
                <w:sz w:val="24"/>
                <w:highlight w:val="none"/>
                <w:lang w:val="en-US" w:eastAsia="zh-CN"/>
              </w:rPr>
              <w:t>设备</w:t>
            </w:r>
            <w:r>
              <w:rPr>
                <w:rFonts w:hint="default" w:ascii="Times New Roman" w:hAnsi="Times New Roman" w:eastAsia="宋体" w:cs="Times New Roman"/>
                <w:color w:val="auto"/>
                <w:sz w:val="24"/>
                <w:highlight w:val="none"/>
              </w:rPr>
              <w:t>，使本工程运行噪声对环境的影响达到规定标准</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将生产设备全部进行室内安装，降低噪声影响；对风机类的噪声设备</w:t>
            </w:r>
            <w:r>
              <w:rPr>
                <w:rFonts w:hint="eastAsia" w:cs="Times New Roman"/>
                <w:color w:val="auto"/>
                <w:sz w:val="24"/>
                <w:highlight w:val="none"/>
                <w:lang w:val="en-US" w:eastAsia="zh-CN"/>
              </w:rPr>
              <w:t>，在</w:t>
            </w:r>
            <w:r>
              <w:rPr>
                <w:rFonts w:hint="eastAsia" w:ascii="Times New Roman" w:hAnsi="Times New Roman" w:eastAsia="宋体" w:cs="Times New Roman"/>
                <w:color w:val="auto"/>
                <w:sz w:val="24"/>
                <w:highlight w:val="none"/>
                <w:lang w:val="en-US" w:eastAsia="zh-CN"/>
              </w:rPr>
              <w:t>通风进出口设置消声器，安装减振装置</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本次评价</w:t>
            </w:r>
            <w:r>
              <w:rPr>
                <w:rFonts w:hint="default" w:ascii="Times New Roman" w:hAnsi="Times New Roman" w:eastAsia="宋体" w:cs="Times New Roman"/>
                <w:color w:val="auto"/>
                <w:sz w:val="24"/>
                <w:highlight w:val="none"/>
              </w:rPr>
              <w:t>要求企业修筑平滑路面，尽量减小路面坡度，</w:t>
            </w:r>
            <w:r>
              <w:rPr>
                <w:rFonts w:hint="eastAsia" w:ascii="Times New Roman" w:hAnsi="Times New Roman" w:eastAsia="宋体" w:cs="Times New Roman"/>
                <w:color w:val="auto"/>
                <w:sz w:val="24"/>
                <w:highlight w:val="none"/>
                <w:lang w:val="en-US" w:eastAsia="zh-CN"/>
              </w:rPr>
              <w:t>以此</w:t>
            </w:r>
            <w:r>
              <w:rPr>
                <w:rFonts w:hint="default" w:ascii="Times New Roman" w:hAnsi="Times New Roman" w:eastAsia="宋体" w:cs="Times New Roman"/>
                <w:color w:val="auto"/>
                <w:sz w:val="24"/>
                <w:highlight w:val="none"/>
              </w:rPr>
              <w:t>减轻车辆在启动及行驶过</w:t>
            </w:r>
            <w:r>
              <w:rPr>
                <w:rFonts w:hint="eastAsia" w:cs="Times New Roman"/>
                <w:color w:val="auto"/>
                <w:sz w:val="24"/>
                <w:highlight w:val="none"/>
                <w:lang w:eastAsia="zh-CN"/>
              </w:rPr>
              <w:t>程中</w:t>
            </w:r>
            <w:r>
              <w:rPr>
                <w:rFonts w:hint="default" w:ascii="Times New Roman" w:hAnsi="Times New Roman" w:eastAsia="宋体" w:cs="Times New Roman"/>
                <w:color w:val="auto"/>
                <w:sz w:val="24"/>
                <w:highlight w:val="none"/>
              </w:rPr>
              <w:t>发动机轰鸣噪声。</w:t>
            </w:r>
          </w:p>
          <w:p w14:paraId="1A45B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eastAsia" w:cs="Times New Roman"/>
                <w:color w:val="auto"/>
                <w:sz w:val="24"/>
                <w:highlight w:val="none"/>
                <w:lang w:val="en-US" w:eastAsia="zh-CN"/>
              </w:rPr>
              <w:t>2</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加强管理</w:t>
            </w:r>
          </w:p>
          <w:p w14:paraId="1B9441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建立设备定期维护</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保养的管理制度，以防止设备故障形成的非正常生产噪声，同时确保环保措施发挥最佳有效的功能；加强职工环保意识教育，提倡文明生产，防止人为噪声；强化行车管理制度，设置降噪标准，严禁鸣号，进入厂区低速行驶，最大限度减少流动噪声源。</w:t>
            </w:r>
          </w:p>
          <w:p w14:paraId="1A992E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（3）运输对沿线敏感点的影响</w:t>
            </w:r>
          </w:p>
          <w:p w14:paraId="73998A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olor w:val="auto"/>
                <w:sz w:val="24"/>
                <w:lang w:val="en-US" w:eastAsia="zh-CN"/>
              </w:rPr>
            </w:pPr>
            <w:r>
              <w:rPr>
                <w:rFonts w:hint="eastAsia" w:cs="Times New Roman"/>
                <w:color w:val="auto"/>
                <w:sz w:val="24"/>
                <w:highlight w:val="none"/>
                <w:lang w:val="en-US" w:eastAsia="zh-CN"/>
              </w:rPr>
              <w:t>本项目运输主要通过厂区南侧、东侧等乡村道路运输，噪声敏感点主要为姬村、路村、常西村等村庄，煤矸石运输道路见附图11。环评要求</w:t>
            </w:r>
            <w:r>
              <w:rPr>
                <w:rFonts w:hint="default" w:ascii="Times New Roman" w:hAnsi="Times New Roman" w:eastAsia="宋体" w:cs="Times New Roman"/>
                <w:color w:val="auto"/>
                <w:sz w:val="24"/>
                <w:highlight w:val="none"/>
              </w:rPr>
              <w:t>运输车辆经过敏感点时要限制车速、减速行驶，夜间要禁止鸣笛。</w:t>
            </w:r>
            <w:r>
              <w:rPr>
                <w:rFonts w:hint="eastAsia" w:cs="Times New Roman"/>
                <w:color w:val="auto"/>
                <w:sz w:val="24"/>
                <w:highlight w:val="none"/>
                <w:lang w:val="en-US" w:eastAsia="zh-CN"/>
              </w:rPr>
              <w:t>运输过程中</w:t>
            </w:r>
            <w:r>
              <w:rPr>
                <w:rFonts w:hint="eastAsia"/>
                <w:color w:val="auto"/>
                <w:sz w:val="24"/>
                <w:lang w:val="en-US" w:eastAsia="zh-CN"/>
              </w:rPr>
              <w:t>可能对沿路村庄造成影响主要为运输噪声，应在运输过程中控制车速，在村庄周围禁止鸣笛，本项目为昼间生产，夜间不运行，因此评价要求运输车辆夜间不运输。</w:t>
            </w:r>
          </w:p>
          <w:p w14:paraId="094EB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宋体" w:cs="Times New Roman"/>
                <w:color w:val="auto"/>
                <w:sz w:val="24"/>
              </w:rPr>
              <w:t>采取以上措施，厂界噪声可达标排放，噪声对周围环境影响</w:t>
            </w:r>
            <w:r>
              <w:rPr>
                <w:rFonts w:hint="default" w:ascii="Times New Roman" w:hAnsi="Times New Roman" w:eastAsia="宋体" w:cs="Times New Roman"/>
                <w:bCs/>
                <w:color w:val="auto"/>
                <w:sz w:val="24"/>
                <w:highlight w:val="none"/>
              </w:rPr>
              <w:t>不大</w:t>
            </w:r>
            <w:r>
              <w:rPr>
                <w:rFonts w:hint="default" w:ascii="Times New Roman" w:hAnsi="Times New Roman" w:eastAsia="宋体" w:cs="Times New Roman"/>
                <w:bCs/>
                <w:color w:val="auto"/>
                <w:sz w:val="24"/>
                <w:highlight w:val="none"/>
                <w:lang w:eastAsia="zh-CN"/>
              </w:rPr>
              <w:t>。</w:t>
            </w:r>
          </w:p>
          <w:p w14:paraId="4259FD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4.8</w:t>
            </w:r>
            <w:r>
              <w:rPr>
                <w:rFonts w:hint="default" w:ascii="Times New Roman" w:hAnsi="Times New Roman" w:eastAsia="宋体" w:cs="Times New Roman"/>
                <w:b/>
                <w:color w:val="auto"/>
                <w:sz w:val="24"/>
                <w:szCs w:val="24"/>
                <w:highlight w:val="none"/>
              </w:rPr>
              <w:t>固体废物</w:t>
            </w:r>
          </w:p>
          <w:p w14:paraId="38103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z w:val="24"/>
                <w:highlight w:val="none"/>
                <w:lang w:val="en-US" w:eastAsia="zh-CN"/>
              </w:rPr>
            </w:pPr>
            <w:r>
              <w:rPr>
                <w:rFonts w:hint="eastAsia" w:cs="Times New Roman"/>
                <w:b/>
                <w:color w:val="auto"/>
                <w:sz w:val="24"/>
                <w:szCs w:val="24"/>
                <w:highlight w:val="none"/>
                <w:lang w:val="en-US" w:eastAsia="zh-CN"/>
              </w:rPr>
              <w:t>4.8.</w:t>
            </w:r>
            <w:r>
              <w:rPr>
                <w:rFonts w:hint="default" w:ascii="Times New Roman" w:hAnsi="Times New Roman" w:eastAsia="宋体" w:cs="Times New Roman"/>
                <w:b/>
                <w:bCs w:val="0"/>
                <w:color w:val="auto"/>
                <w:sz w:val="24"/>
                <w:highlight w:val="none"/>
                <w:lang w:val="en-US" w:eastAsia="zh-CN"/>
              </w:rPr>
              <w:t>1固体废物产生及利用处置情况</w:t>
            </w:r>
          </w:p>
          <w:p w14:paraId="52BA9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本项目固体废物产生及利用处置情况见表4</w:t>
            </w:r>
            <w:r>
              <w:rPr>
                <w:rFonts w:hint="eastAsia" w:cs="Times New Roman"/>
                <w:bCs/>
                <w:color w:val="auto"/>
                <w:sz w:val="24"/>
                <w:highlight w:val="none"/>
                <w:lang w:val="en-US" w:eastAsia="zh-CN"/>
              </w:rPr>
              <w:t>.8-1</w:t>
            </w:r>
            <w:r>
              <w:rPr>
                <w:rFonts w:hint="default" w:ascii="Times New Roman" w:hAnsi="Times New Roman" w:eastAsia="宋体" w:cs="Times New Roman"/>
                <w:bCs/>
                <w:color w:val="auto"/>
                <w:sz w:val="24"/>
                <w:highlight w:val="none"/>
                <w:lang w:val="en-US" w:eastAsia="zh-CN"/>
              </w:rPr>
              <w:t>。</w:t>
            </w:r>
          </w:p>
          <w:p w14:paraId="36F14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-1  固体废物产生情况及利用处置情况表</w:t>
            </w:r>
          </w:p>
          <w:tbl>
            <w:tblPr>
              <w:tblStyle w:val="2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76"/>
              <w:gridCol w:w="927"/>
              <w:gridCol w:w="1256"/>
              <w:gridCol w:w="803"/>
              <w:gridCol w:w="1082"/>
              <w:gridCol w:w="855"/>
              <w:gridCol w:w="2356"/>
            </w:tblGrid>
            <w:tr w14:paraId="5C98D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tcBorders>
                    <w:tl2br w:val="nil"/>
                    <w:tr2bl w:val="nil"/>
                  </w:tcBorders>
                  <w:vAlign w:val="center"/>
                </w:tcPr>
                <w:p w14:paraId="3D624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default" w:ascii="Times New Roman" w:hAnsi="Times New Roman" w:eastAsia="宋体" w:cs="Times New Roman"/>
                      <w:b/>
                      <w:bCs/>
                      <w:color w:val="auto"/>
                      <w:spacing w:val="0"/>
                      <w:szCs w:val="21"/>
                      <w:highlight w:val="none"/>
                      <w:lang w:val="en-US" w:eastAsia="zh-CN"/>
                    </w:rPr>
                    <w:t>分类</w:t>
                  </w:r>
                </w:p>
              </w:tc>
              <w:tc>
                <w:tcPr>
                  <w:tcW w:w="554" w:type="pct"/>
                  <w:tcBorders>
                    <w:tl2br w:val="nil"/>
                    <w:tr2bl w:val="nil"/>
                  </w:tcBorders>
                  <w:vAlign w:val="center"/>
                </w:tcPr>
                <w:p w14:paraId="433DDD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rPr>
                  </w:pPr>
                  <w:r>
                    <w:rPr>
                      <w:rFonts w:hint="default" w:ascii="Times New Roman" w:hAnsi="Times New Roman" w:eastAsia="宋体" w:cs="Times New Roman"/>
                      <w:b/>
                      <w:bCs/>
                      <w:color w:val="auto"/>
                      <w:spacing w:val="0"/>
                      <w:szCs w:val="21"/>
                      <w:highlight w:val="none"/>
                    </w:rPr>
                    <w:t>名称</w:t>
                  </w:r>
                </w:p>
              </w:tc>
              <w:tc>
                <w:tcPr>
                  <w:tcW w:w="751" w:type="pct"/>
                  <w:tcBorders>
                    <w:tl2br w:val="nil"/>
                    <w:tr2bl w:val="nil"/>
                  </w:tcBorders>
                  <w:vAlign w:val="center"/>
                </w:tcPr>
                <w:p w14:paraId="61E13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default" w:ascii="Times New Roman" w:hAnsi="Times New Roman" w:eastAsia="宋体" w:cs="Times New Roman"/>
                      <w:b/>
                      <w:bCs/>
                      <w:color w:val="auto"/>
                      <w:spacing w:val="0"/>
                      <w:szCs w:val="21"/>
                      <w:highlight w:val="none"/>
                      <w:lang w:val="en-US" w:eastAsia="zh-CN"/>
                    </w:rPr>
                    <w:t>代码</w:t>
                  </w:r>
                </w:p>
              </w:tc>
              <w:tc>
                <w:tcPr>
                  <w:tcW w:w="480" w:type="pct"/>
                  <w:tcBorders>
                    <w:tl2br w:val="nil"/>
                    <w:tr2bl w:val="nil"/>
                  </w:tcBorders>
                  <w:vAlign w:val="center"/>
                </w:tcPr>
                <w:p w14:paraId="40789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eastAsia="zh-CN"/>
                    </w:rPr>
                  </w:pPr>
                  <w:r>
                    <w:rPr>
                      <w:rFonts w:hint="default" w:ascii="Times New Roman" w:hAnsi="Times New Roman" w:eastAsia="宋体" w:cs="Times New Roman"/>
                      <w:b/>
                      <w:bCs/>
                      <w:color w:val="auto"/>
                      <w:spacing w:val="0"/>
                      <w:szCs w:val="21"/>
                      <w:highlight w:val="none"/>
                    </w:rPr>
                    <w:t>产生量</w:t>
                  </w:r>
                  <w:r>
                    <w:rPr>
                      <w:rFonts w:hint="default" w:ascii="Times New Roman" w:hAnsi="Times New Roman" w:eastAsia="宋体" w:cs="Times New Roman"/>
                      <w:b/>
                      <w:bCs/>
                      <w:color w:val="auto"/>
                      <w:spacing w:val="0"/>
                      <w:szCs w:val="21"/>
                      <w:highlight w:val="none"/>
                      <w:lang w:eastAsia="zh-CN"/>
                    </w:rPr>
                    <w:t>（</w:t>
                  </w:r>
                  <w:r>
                    <w:rPr>
                      <w:rFonts w:hint="default" w:ascii="Times New Roman" w:hAnsi="Times New Roman" w:eastAsia="宋体" w:cs="Times New Roman"/>
                      <w:b/>
                      <w:bCs/>
                      <w:color w:val="auto"/>
                      <w:spacing w:val="0"/>
                      <w:szCs w:val="21"/>
                      <w:highlight w:val="none"/>
                    </w:rPr>
                    <w:t>t/a</w:t>
                  </w:r>
                  <w:r>
                    <w:rPr>
                      <w:rFonts w:hint="default" w:ascii="Times New Roman" w:hAnsi="Times New Roman" w:eastAsia="宋体" w:cs="Times New Roman"/>
                      <w:b/>
                      <w:bCs/>
                      <w:color w:val="auto"/>
                      <w:spacing w:val="0"/>
                      <w:szCs w:val="21"/>
                      <w:highlight w:val="none"/>
                      <w:lang w:eastAsia="zh-CN"/>
                    </w:rPr>
                    <w:t>）</w:t>
                  </w:r>
                </w:p>
              </w:tc>
              <w:tc>
                <w:tcPr>
                  <w:tcW w:w="647" w:type="pct"/>
                  <w:tcBorders>
                    <w:tl2br w:val="nil"/>
                    <w:tr2bl w:val="nil"/>
                  </w:tcBorders>
                  <w:vAlign w:val="center"/>
                </w:tcPr>
                <w:p w14:paraId="38ECE9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default" w:ascii="Times New Roman" w:hAnsi="Times New Roman" w:eastAsia="宋体" w:cs="Times New Roman"/>
                      <w:b/>
                      <w:bCs/>
                      <w:color w:val="auto"/>
                      <w:spacing w:val="0"/>
                      <w:szCs w:val="21"/>
                      <w:highlight w:val="none"/>
                      <w:lang w:val="en-US" w:eastAsia="zh-CN"/>
                    </w:rPr>
                    <w:t>综合利用量（</w:t>
                  </w:r>
                  <w:r>
                    <w:rPr>
                      <w:rFonts w:hint="default" w:ascii="Times New Roman" w:hAnsi="Times New Roman" w:eastAsia="宋体" w:cs="Times New Roman"/>
                      <w:b/>
                      <w:bCs/>
                      <w:color w:val="auto"/>
                      <w:spacing w:val="0"/>
                      <w:szCs w:val="21"/>
                      <w:highlight w:val="none"/>
                    </w:rPr>
                    <w:t>t/a</w:t>
                  </w:r>
                  <w:r>
                    <w:rPr>
                      <w:rFonts w:hint="default" w:ascii="Times New Roman" w:hAnsi="Times New Roman" w:eastAsia="宋体" w:cs="Times New Roman"/>
                      <w:b/>
                      <w:bCs/>
                      <w:color w:val="auto"/>
                      <w:spacing w:val="0"/>
                      <w:szCs w:val="21"/>
                      <w:highlight w:val="none"/>
                      <w:lang w:val="en-US" w:eastAsia="zh-CN"/>
                    </w:rPr>
                    <w:t>）</w:t>
                  </w:r>
                </w:p>
              </w:tc>
              <w:tc>
                <w:tcPr>
                  <w:tcW w:w="511" w:type="pct"/>
                  <w:tcBorders>
                    <w:tl2br w:val="nil"/>
                    <w:tr2bl w:val="nil"/>
                  </w:tcBorders>
                  <w:vAlign w:val="center"/>
                </w:tcPr>
                <w:p w14:paraId="71C93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default" w:ascii="Times New Roman" w:hAnsi="Times New Roman" w:eastAsia="宋体" w:cs="Times New Roman"/>
                      <w:b/>
                      <w:bCs/>
                      <w:color w:val="auto"/>
                      <w:spacing w:val="0"/>
                      <w:szCs w:val="21"/>
                      <w:highlight w:val="none"/>
                      <w:lang w:val="en-US" w:eastAsia="zh-CN"/>
                    </w:rPr>
                    <w:t>处置量（</w:t>
                  </w:r>
                  <w:r>
                    <w:rPr>
                      <w:rFonts w:hint="default" w:ascii="Times New Roman" w:hAnsi="Times New Roman" w:eastAsia="宋体" w:cs="Times New Roman"/>
                      <w:b/>
                      <w:bCs/>
                      <w:color w:val="auto"/>
                      <w:spacing w:val="0"/>
                      <w:szCs w:val="21"/>
                      <w:highlight w:val="none"/>
                    </w:rPr>
                    <w:t>t/a</w:t>
                  </w:r>
                  <w:r>
                    <w:rPr>
                      <w:rFonts w:hint="default" w:ascii="Times New Roman" w:hAnsi="Times New Roman" w:eastAsia="宋体" w:cs="Times New Roman"/>
                      <w:b/>
                      <w:bCs/>
                      <w:color w:val="auto"/>
                      <w:spacing w:val="0"/>
                      <w:szCs w:val="21"/>
                      <w:highlight w:val="none"/>
                      <w:lang w:val="en-US" w:eastAsia="zh-CN"/>
                    </w:rPr>
                    <w:t>）</w:t>
                  </w:r>
                </w:p>
              </w:tc>
              <w:tc>
                <w:tcPr>
                  <w:tcW w:w="1409" w:type="pct"/>
                  <w:tcBorders>
                    <w:tl2br w:val="nil"/>
                    <w:tr2bl w:val="nil"/>
                  </w:tcBorders>
                  <w:vAlign w:val="center"/>
                </w:tcPr>
                <w:p w14:paraId="06FDBD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default" w:ascii="Times New Roman" w:hAnsi="Times New Roman" w:eastAsia="宋体" w:cs="Times New Roman"/>
                      <w:b/>
                      <w:bCs/>
                      <w:color w:val="auto"/>
                      <w:spacing w:val="0"/>
                      <w:szCs w:val="21"/>
                      <w:highlight w:val="none"/>
                      <w:lang w:val="en-US" w:eastAsia="zh-CN"/>
                    </w:rPr>
                    <w:t>综合利用或处置方式</w:t>
                  </w:r>
                </w:p>
              </w:tc>
            </w:tr>
            <w:tr w14:paraId="45C1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tcBorders>
                    <w:tl2br w:val="nil"/>
                    <w:tr2bl w:val="nil"/>
                  </w:tcBorders>
                  <w:vAlign w:val="center"/>
                </w:tcPr>
                <w:p w14:paraId="723FD9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pacing w:val="0"/>
                      <w:szCs w:val="21"/>
                      <w:highlight w:val="none"/>
                      <w:lang w:val="en-US" w:eastAsia="zh-CN"/>
                    </w:rPr>
                  </w:pPr>
                  <w:r>
                    <w:rPr>
                      <w:rFonts w:hint="default" w:ascii="Times New Roman" w:hAnsi="Times New Roman" w:eastAsia="宋体" w:cs="Times New Roman"/>
                      <w:color w:val="auto"/>
                      <w:spacing w:val="0"/>
                      <w:kern w:val="0"/>
                      <w:szCs w:val="21"/>
                      <w:highlight w:val="none"/>
                      <w:lang w:val="en-US" w:eastAsia="zh-CN"/>
                    </w:rPr>
                    <w:t>职工生活</w:t>
                  </w:r>
                </w:p>
              </w:tc>
              <w:tc>
                <w:tcPr>
                  <w:tcW w:w="554" w:type="pct"/>
                  <w:tcBorders>
                    <w:tl2br w:val="nil"/>
                    <w:tr2bl w:val="nil"/>
                  </w:tcBorders>
                  <w:vAlign w:val="center"/>
                </w:tcPr>
                <w:p w14:paraId="2CFB9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spacing w:val="0"/>
                      <w:szCs w:val="21"/>
                      <w:highlight w:val="none"/>
                    </w:rPr>
                  </w:pPr>
                  <w:r>
                    <w:rPr>
                      <w:rFonts w:hint="eastAsia" w:cs="Times New Roman"/>
                      <w:b w:val="0"/>
                      <w:bCs w:val="0"/>
                      <w:color w:val="auto"/>
                      <w:spacing w:val="0"/>
                      <w:szCs w:val="21"/>
                      <w:highlight w:val="none"/>
                      <w:lang w:val="en-US" w:eastAsia="zh-CN"/>
                    </w:rPr>
                    <w:t>生活垃圾</w:t>
                  </w:r>
                </w:p>
              </w:tc>
              <w:tc>
                <w:tcPr>
                  <w:tcW w:w="751" w:type="pct"/>
                  <w:tcBorders>
                    <w:tl2br w:val="nil"/>
                    <w:tr2bl w:val="nil"/>
                  </w:tcBorders>
                  <w:vAlign w:val="center"/>
                </w:tcPr>
                <w:p w14:paraId="00358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eastAsia" w:cs="Times New Roman"/>
                      <w:b/>
                      <w:bCs/>
                      <w:color w:val="auto"/>
                      <w:spacing w:val="0"/>
                      <w:szCs w:val="21"/>
                      <w:highlight w:val="none"/>
                      <w:lang w:val="en-US" w:eastAsia="zh-CN"/>
                    </w:rPr>
                    <w:t>/</w:t>
                  </w:r>
                </w:p>
              </w:tc>
              <w:tc>
                <w:tcPr>
                  <w:tcW w:w="480" w:type="pct"/>
                  <w:tcBorders>
                    <w:tl2br w:val="nil"/>
                    <w:tr2bl w:val="nil"/>
                  </w:tcBorders>
                  <w:vAlign w:val="center"/>
                </w:tcPr>
                <w:p w14:paraId="014DE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lang w:val="en-US"/>
                    </w:rPr>
                  </w:pPr>
                  <w:r>
                    <w:rPr>
                      <w:rFonts w:hint="eastAsia" w:cs="Times New Roman"/>
                      <w:color w:val="auto"/>
                      <w:sz w:val="21"/>
                      <w:szCs w:val="21"/>
                      <w:lang w:val="en-US" w:eastAsia="zh-CN"/>
                    </w:rPr>
                    <w:t>1.98</w:t>
                  </w:r>
                </w:p>
              </w:tc>
              <w:tc>
                <w:tcPr>
                  <w:tcW w:w="647" w:type="pct"/>
                  <w:tcBorders>
                    <w:tl2br w:val="nil"/>
                    <w:tr2bl w:val="nil"/>
                  </w:tcBorders>
                  <w:vAlign w:val="center"/>
                </w:tcPr>
                <w:p w14:paraId="74A25C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eastAsia" w:cs="Times New Roman"/>
                      <w:color w:val="auto"/>
                      <w:sz w:val="21"/>
                      <w:szCs w:val="21"/>
                      <w:lang w:val="en-US" w:eastAsia="zh-CN"/>
                    </w:rPr>
                    <w:t>0</w:t>
                  </w:r>
                </w:p>
              </w:tc>
              <w:tc>
                <w:tcPr>
                  <w:tcW w:w="511" w:type="pct"/>
                  <w:tcBorders>
                    <w:tl2br w:val="nil"/>
                    <w:tr2bl w:val="nil"/>
                  </w:tcBorders>
                  <w:vAlign w:val="center"/>
                </w:tcPr>
                <w:p w14:paraId="0838C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 w:val="21"/>
                      <w:szCs w:val="21"/>
                      <w:highlight w:val="none"/>
                      <w:lang w:val="en-US" w:eastAsia="zh-CN"/>
                    </w:rPr>
                  </w:pPr>
                  <w:r>
                    <w:rPr>
                      <w:rFonts w:hint="eastAsia" w:cs="Times New Roman"/>
                      <w:color w:val="auto"/>
                      <w:sz w:val="21"/>
                      <w:szCs w:val="21"/>
                      <w:lang w:val="en-US" w:eastAsia="zh-CN"/>
                    </w:rPr>
                    <w:t>1.98</w:t>
                  </w:r>
                </w:p>
              </w:tc>
              <w:tc>
                <w:tcPr>
                  <w:tcW w:w="1409" w:type="pct"/>
                  <w:tcBorders>
                    <w:tl2br w:val="nil"/>
                    <w:tr2bl w:val="nil"/>
                  </w:tcBorders>
                  <w:vAlign w:val="center"/>
                </w:tcPr>
                <w:p w14:paraId="79FE5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spacing w:val="0"/>
                      <w:szCs w:val="21"/>
                      <w:highlight w:val="none"/>
                      <w:lang w:val="en-US" w:eastAsia="zh-CN"/>
                    </w:rPr>
                  </w:pPr>
                  <w:r>
                    <w:rPr>
                      <w:rFonts w:hint="eastAsia" w:cs="Times New Roman"/>
                      <w:color w:val="auto"/>
                      <w:spacing w:val="0"/>
                      <w:kern w:val="2"/>
                      <w:sz w:val="21"/>
                      <w:szCs w:val="21"/>
                      <w:highlight w:val="none"/>
                      <w:lang w:val="en-US" w:eastAsia="zh-CN" w:bidi="ar-SA"/>
                    </w:rPr>
                    <w:t>厂内设置垃圾桶，定期送至当地环卫部门指定地点</w:t>
                  </w:r>
                </w:p>
              </w:tc>
            </w:tr>
            <w:tr w14:paraId="742C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vMerge w:val="restart"/>
                  <w:tcBorders>
                    <w:tl2br w:val="nil"/>
                    <w:tr2bl w:val="nil"/>
                  </w:tcBorders>
                  <w:vAlign w:val="center"/>
                </w:tcPr>
                <w:p w14:paraId="69303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一般工业固体废物</w:t>
                  </w:r>
                </w:p>
              </w:tc>
              <w:tc>
                <w:tcPr>
                  <w:tcW w:w="554" w:type="pct"/>
                  <w:tcBorders>
                    <w:tl2br w:val="nil"/>
                    <w:tr2bl w:val="nil"/>
                  </w:tcBorders>
                  <w:vAlign w:val="center"/>
                </w:tcPr>
                <w:p w14:paraId="1C5E83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除尘灰</w:t>
                  </w:r>
                </w:p>
              </w:tc>
              <w:tc>
                <w:tcPr>
                  <w:tcW w:w="751" w:type="pct"/>
                  <w:tcBorders>
                    <w:tl2br w:val="nil"/>
                    <w:tr2bl w:val="nil"/>
                  </w:tcBorders>
                  <w:vAlign w:val="center"/>
                </w:tcPr>
                <w:p w14:paraId="695962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900-009-S59</w:t>
                  </w:r>
                </w:p>
              </w:tc>
              <w:tc>
                <w:tcPr>
                  <w:tcW w:w="480" w:type="pct"/>
                  <w:tcBorders>
                    <w:tl2br w:val="nil"/>
                    <w:tr2bl w:val="nil"/>
                  </w:tcBorders>
                  <w:vAlign w:val="center"/>
                </w:tcPr>
                <w:p w14:paraId="305F3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default" w:ascii="Times New Roman" w:hAnsi="Times New Roman" w:eastAsia="宋体" w:cs="Times New Roman"/>
                      <w:color w:val="auto"/>
                      <w:spacing w:val="0"/>
                      <w:sz w:val="21"/>
                      <w:szCs w:val="21"/>
                      <w:highlight w:val="none"/>
                      <w:lang w:val="en-US" w:eastAsia="zh-CN"/>
                    </w:rPr>
                    <w:t>349.3</w:t>
                  </w:r>
                  <w:r>
                    <w:rPr>
                      <w:rFonts w:hint="eastAsia" w:cs="Times New Roman"/>
                      <w:color w:val="auto"/>
                      <w:spacing w:val="0"/>
                      <w:sz w:val="21"/>
                      <w:szCs w:val="21"/>
                      <w:highlight w:val="none"/>
                      <w:lang w:val="en-US" w:eastAsia="zh-CN"/>
                    </w:rPr>
                    <w:t>4</w:t>
                  </w:r>
                </w:p>
              </w:tc>
              <w:tc>
                <w:tcPr>
                  <w:tcW w:w="647" w:type="pct"/>
                  <w:tcBorders>
                    <w:tl2br w:val="nil"/>
                    <w:tr2bl w:val="nil"/>
                  </w:tcBorders>
                  <w:vAlign w:val="center"/>
                </w:tcPr>
                <w:p w14:paraId="412D9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349.3</w:t>
                  </w:r>
                  <w:r>
                    <w:rPr>
                      <w:rFonts w:hint="eastAsia" w:cs="Times New Roman"/>
                      <w:color w:val="auto"/>
                      <w:spacing w:val="0"/>
                      <w:kern w:val="2"/>
                      <w:sz w:val="21"/>
                      <w:szCs w:val="21"/>
                      <w:highlight w:val="none"/>
                      <w:lang w:val="en-US" w:eastAsia="zh-CN" w:bidi="ar-SA"/>
                    </w:rPr>
                    <w:t>4</w:t>
                  </w:r>
                </w:p>
              </w:tc>
              <w:tc>
                <w:tcPr>
                  <w:tcW w:w="511" w:type="pct"/>
                  <w:tcBorders>
                    <w:tl2br w:val="nil"/>
                    <w:tr2bl w:val="nil"/>
                  </w:tcBorders>
                  <w:vAlign w:val="center"/>
                </w:tcPr>
                <w:p w14:paraId="62EDC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0</w:t>
                  </w:r>
                </w:p>
              </w:tc>
              <w:tc>
                <w:tcPr>
                  <w:tcW w:w="1409" w:type="pct"/>
                  <w:tcBorders>
                    <w:tl2br w:val="nil"/>
                    <w:tr2bl w:val="nil"/>
                  </w:tcBorders>
                  <w:vAlign w:val="center"/>
                </w:tcPr>
                <w:p w14:paraId="7C6671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定期卸灰，经收集后作为产品外售</w:t>
                  </w:r>
                </w:p>
              </w:tc>
            </w:tr>
            <w:tr w14:paraId="07FD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vMerge w:val="continue"/>
                  <w:tcBorders>
                    <w:tl2br w:val="nil"/>
                    <w:tr2bl w:val="nil"/>
                  </w:tcBorders>
                  <w:vAlign w:val="center"/>
                </w:tcPr>
                <w:p w14:paraId="6B934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p>
              </w:tc>
              <w:tc>
                <w:tcPr>
                  <w:tcW w:w="554" w:type="pct"/>
                  <w:tcBorders>
                    <w:tl2br w:val="nil"/>
                    <w:tr2bl w:val="nil"/>
                  </w:tcBorders>
                  <w:vAlign w:val="center"/>
                </w:tcPr>
                <w:p w14:paraId="22DE0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废布袋</w:t>
                  </w:r>
                </w:p>
              </w:tc>
              <w:tc>
                <w:tcPr>
                  <w:tcW w:w="751" w:type="pct"/>
                  <w:tcBorders>
                    <w:tl2br w:val="nil"/>
                    <w:tr2bl w:val="nil"/>
                  </w:tcBorders>
                  <w:vAlign w:val="center"/>
                </w:tcPr>
                <w:p w14:paraId="7068F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900-009-S59</w:t>
                  </w:r>
                </w:p>
              </w:tc>
              <w:tc>
                <w:tcPr>
                  <w:tcW w:w="480" w:type="pct"/>
                  <w:tcBorders>
                    <w:tl2br w:val="nil"/>
                    <w:tr2bl w:val="nil"/>
                  </w:tcBorders>
                  <w:vAlign w:val="center"/>
                </w:tcPr>
                <w:p w14:paraId="37BAC5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21"/>
                      <w:szCs w:val="21"/>
                      <w:highlight w:val="none"/>
                      <w:lang w:val="en-US" w:eastAsia="zh-CN"/>
                    </w:rPr>
                  </w:pPr>
                  <w:r>
                    <w:rPr>
                      <w:rFonts w:hint="eastAsia" w:cs="Times New Roman"/>
                      <w:bCs/>
                      <w:color w:val="auto"/>
                      <w:sz w:val="21"/>
                      <w:szCs w:val="21"/>
                      <w:highlight w:val="none"/>
                      <w:lang w:eastAsia="zh-CN"/>
                    </w:rPr>
                    <w:t>0.2</w:t>
                  </w:r>
                </w:p>
              </w:tc>
              <w:tc>
                <w:tcPr>
                  <w:tcW w:w="647" w:type="pct"/>
                  <w:tcBorders>
                    <w:tl2br w:val="nil"/>
                    <w:tr2bl w:val="nil"/>
                  </w:tcBorders>
                  <w:vAlign w:val="center"/>
                </w:tcPr>
                <w:p w14:paraId="5265D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0.2</w:t>
                  </w:r>
                </w:p>
              </w:tc>
              <w:tc>
                <w:tcPr>
                  <w:tcW w:w="511" w:type="pct"/>
                  <w:tcBorders>
                    <w:tl2br w:val="nil"/>
                    <w:tr2bl w:val="nil"/>
                  </w:tcBorders>
                  <w:vAlign w:val="center"/>
                </w:tcPr>
                <w:p w14:paraId="0B8903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0</w:t>
                  </w:r>
                </w:p>
              </w:tc>
              <w:tc>
                <w:tcPr>
                  <w:tcW w:w="1409" w:type="pct"/>
                  <w:tcBorders>
                    <w:tl2br w:val="nil"/>
                    <w:tr2bl w:val="nil"/>
                  </w:tcBorders>
                  <w:vAlign w:val="center"/>
                </w:tcPr>
                <w:p w14:paraId="36D2E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szCs w:val="21"/>
                      <w:highlight w:val="none"/>
                      <w:lang w:val="en-US" w:eastAsia="zh-CN"/>
                    </w:rPr>
                  </w:pPr>
                  <w:r>
                    <w:rPr>
                      <w:rFonts w:hint="eastAsia" w:cs="Times New Roman"/>
                      <w:color w:val="auto"/>
                      <w:spacing w:val="0"/>
                      <w:szCs w:val="21"/>
                      <w:highlight w:val="none"/>
                      <w:lang w:val="en-US" w:eastAsia="zh-CN"/>
                    </w:rPr>
                    <w:t>定期由除尘器厂家回收</w:t>
                  </w:r>
                </w:p>
              </w:tc>
            </w:tr>
            <w:tr w14:paraId="2F10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vMerge w:val="continue"/>
                  <w:tcBorders>
                    <w:tl2br w:val="nil"/>
                    <w:tr2bl w:val="nil"/>
                  </w:tcBorders>
                  <w:vAlign w:val="center"/>
                </w:tcPr>
                <w:p w14:paraId="40B9A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p>
              </w:tc>
              <w:tc>
                <w:tcPr>
                  <w:tcW w:w="554" w:type="pct"/>
                  <w:tcBorders>
                    <w:tl2br w:val="nil"/>
                    <w:tr2bl w:val="nil"/>
                  </w:tcBorders>
                  <w:vAlign w:val="center"/>
                </w:tcPr>
                <w:p w14:paraId="78FC23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废铁屑</w:t>
                  </w:r>
                </w:p>
              </w:tc>
              <w:tc>
                <w:tcPr>
                  <w:tcW w:w="751" w:type="pct"/>
                  <w:tcBorders>
                    <w:tl2br w:val="nil"/>
                    <w:tr2bl w:val="nil"/>
                  </w:tcBorders>
                  <w:vAlign w:val="center"/>
                </w:tcPr>
                <w:p w14:paraId="34FE1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900-009-S59</w:t>
                  </w:r>
                </w:p>
              </w:tc>
              <w:tc>
                <w:tcPr>
                  <w:tcW w:w="480" w:type="pct"/>
                  <w:tcBorders>
                    <w:tl2br w:val="nil"/>
                    <w:tr2bl w:val="nil"/>
                  </w:tcBorders>
                  <w:vAlign w:val="center"/>
                </w:tcPr>
                <w:p w14:paraId="55D9E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21"/>
                      <w:szCs w:val="21"/>
                      <w:highlight w:val="none"/>
                      <w:lang w:val="en-US" w:eastAsia="zh-CN"/>
                    </w:rPr>
                  </w:pPr>
                  <w:r>
                    <w:rPr>
                      <w:rFonts w:hint="eastAsia" w:cs="Times New Roman"/>
                      <w:bCs/>
                      <w:color w:val="auto"/>
                      <w:sz w:val="21"/>
                      <w:szCs w:val="21"/>
                      <w:highlight w:val="none"/>
                      <w:lang w:val="en-US" w:eastAsia="zh-CN"/>
                    </w:rPr>
                    <w:t>2</w:t>
                  </w:r>
                </w:p>
              </w:tc>
              <w:tc>
                <w:tcPr>
                  <w:tcW w:w="647" w:type="pct"/>
                  <w:tcBorders>
                    <w:tl2br w:val="nil"/>
                    <w:tr2bl w:val="nil"/>
                  </w:tcBorders>
                  <w:vAlign w:val="center"/>
                </w:tcPr>
                <w:p w14:paraId="14CEB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z w:val="21"/>
                      <w:szCs w:val="21"/>
                      <w:highlight w:val="none"/>
                      <w:lang w:val="en-US" w:eastAsia="zh-CN"/>
                    </w:rPr>
                  </w:pPr>
                  <w:r>
                    <w:rPr>
                      <w:rFonts w:hint="eastAsia" w:cs="Times New Roman"/>
                      <w:bCs/>
                      <w:color w:val="auto"/>
                      <w:sz w:val="21"/>
                      <w:szCs w:val="21"/>
                      <w:highlight w:val="none"/>
                      <w:lang w:val="en-US" w:eastAsia="zh-CN"/>
                    </w:rPr>
                    <w:t>2</w:t>
                  </w:r>
                </w:p>
              </w:tc>
              <w:tc>
                <w:tcPr>
                  <w:tcW w:w="511" w:type="pct"/>
                  <w:tcBorders>
                    <w:tl2br w:val="nil"/>
                    <w:tr2bl w:val="nil"/>
                  </w:tcBorders>
                  <w:vAlign w:val="center"/>
                </w:tcPr>
                <w:p w14:paraId="06437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0</w:t>
                  </w:r>
                </w:p>
              </w:tc>
              <w:tc>
                <w:tcPr>
                  <w:tcW w:w="1409" w:type="pct"/>
                  <w:tcBorders>
                    <w:tl2br w:val="nil"/>
                    <w:tr2bl w:val="nil"/>
                  </w:tcBorders>
                  <w:vAlign w:val="center"/>
                </w:tcPr>
                <w:p w14:paraId="163D8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color w:val="auto"/>
                      <w:spacing w:val="0"/>
                      <w:szCs w:val="21"/>
                      <w:highlight w:val="none"/>
                      <w:lang w:val="en-US" w:eastAsia="zh-CN"/>
                    </w:rPr>
                  </w:pPr>
                  <w:r>
                    <w:rPr>
                      <w:rFonts w:hint="eastAsia" w:cs="Times New Roman"/>
                      <w:color w:val="auto"/>
                      <w:spacing w:val="0"/>
                      <w:szCs w:val="21"/>
                      <w:highlight w:val="none"/>
                      <w:lang w:val="en-US" w:eastAsia="zh-CN"/>
                    </w:rPr>
                    <w:t>收集后外售废品收购站</w:t>
                  </w:r>
                </w:p>
              </w:tc>
            </w:tr>
            <w:tr w14:paraId="1674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jc w:val="center"/>
              </w:trPr>
              <w:tc>
                <w:tcPr>
                  <w:tcW w:w="644" w:type="pct"/>
                  <w:vMerge w:val="restart"/>
                  <w:tcBorders>
                    <w:tl2br w:val="nil"/>
                    <w:tr2bl w:val="nil"/>
                  </w:tcBorders>
                  <w:vAlign w:val="center"/>
                </w:tcPr>
                <w:p w14:paraId="04DF7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0"/>
                      <w:szCs w:val="21"/>
                      <w:highlight w:val="none"/>
                      <w:lang w:val="en-US" w:eastAsia="zh-CN"/>
                    </w:rPr>
                  </w:pPr>
                  <w:r>
                    <w:rPr>
                      <w:rFonts w:hint="eastAsia" w:ascii="Times New Roman" w:hAnsi="Times New Roman" w:eastAsia="宋体" w:cs="Times New Roman"/>
                      <w:color w:val="auto"/>
                      <w:spacing w:val="0"/>
                      <w:kern w:val="0"/>
                      <w:szCs w:val="21"/>
                      <w:highlight w:val="none"/>
                      <w:lang w:val="en-US" w:eastAsia="zh-CN"/>
                    </w:rPr>
                    <w:t>危险废物</w:t>
                  </w:r>
                </w:p>
              </w:tc>
              <w:tc>
                <w:tcPr>
                  <w:tcW w:w="554" w:type="pct"/>
                  <w:tcBorders>
                    <w:tl2br w:val="nil"/>
                    <w:tr2bl w:val="nil"/>
                  </w:tcBorders>
                  <w:vAlign w:val="center"/>
                </w:tcPr>
                <w:p w14:paraId="62B5F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废矿物油</w:t>
                  </w:r>
                </w:p>
              </w:tc>
              <w:tc>
                <w:tcPr>
                  <w:tcW w:w="751" w:type="pct"/>
                  <w:tcBorders>
                    <w:tl2br w:val="nil"/>
                    <w:tr2bl w:val="nil"/>
                  </w:tcBorders>
                  <w:vAlign w:val="center"/>
                </w:tcPr>
                <w:p w14:paraId="6F765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900-249-08</w:t>
                  </w:r>
                </w:p>
              </w:tc>
              <w:tc>
                <w:tcPr>
                  <w:tcW w:w="480" w:type="pct"/>
                  <w:tcBorders>
                    <w:tl2br w:val="nil"/>
                    <w:tr2bl w:val="nil"/>
                  </w:tcBorders>
                  <w:vAlign w:val="center"/>
                </w:tcPr>
                <w:p w14:paraId="4F1C9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w:t>
                  </w:r>
                  <w:r>
                    <w:rPr>
                      <w:rFonts w:hint="eastAsia" w:cs="Times New Roman"/>
                      <w:bCs/>
                      <w:color w:val="auto"/>
                      <w:kern w:val="2"/>
                      <w:sz w:val="21"/>
                      <w:szCs w:val="21"/>
                      <w:highlight w:val="none"/>
                      <w:lang w:val="en-US" w:eastAsia="zh-CN" w:bidi="ar-SA"/>
                    </w:rPr>
                    <w:t>1</w:t>
                  </w:r>
                </w:p>
              </w:tc>
              <w:tc>
                <w:tcPr>
                  <w:tcW w:w="647" w:type="pct"/>
                  <w:tcBorders>
                    <w:tl2br w:val="nil"/>
                    <w:tr2bl w:val="nil"/>
                  </w:tcBorders>
                  <w:vAlign w:val="center"/>
                </w:tcPr>
                <w:p w14:paraId="29B63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0</w:t>
                  </w:r>
                </w:p>
              </w:tc>
              <w:tc>
                <w:tcPr>
                  <w:tcW w:w="511" w:type="pct"/>
                  <w:tcBorders>
                    <w:tl2br w:val="nil"/>
                    <w:tr2bl w:val="nil"/>
                  </w:tcBorders>
                  <w:vAlign w:val="center"/>
                </w:tcPr>
                <w:p w14:paraId="20584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w:t>
                  </w:r>
                  <w:r>
                    <w:rPr>
                      <w:rFonts w:hint="eastAsia" w:cs="Times New Roman"/>
                      <w:bCs/>
                      <w:color w:val="auto"/>
                      <w:kern w:val="2"/>
                      <w:sz w:val="21"/>
                      <w:szCs w:val="21"/>
                      <w:highlight w:val="none"/>
                      <w:lang w:val="en-US" w:eastAsia="zh-CN" w:bidi="ar-SA"/>
                    </w:rPr>
                    <w:t>1</w:t>
                  </w:r>
                </w:p>
              </w:tc>
              <w:tc>
                <w:tcPr>
                  <w:tcW w:w="1409" w:type="pct"/>
                  <w:vMerge w:val="restart"/>
                  <w:tcBorders>
                    <w:tl2br w:val="nil"/>
                    <w:tr2bl w:val="nil"/>
                  </w:tcBorders>
                  <w:vAlign w:val="center"/>
                </w:tcPr>
                <w:p w14:paraId="42BA7F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分区</w:t>
                  </w:r>
                  <w:r>
                    <w:rPr>
                      <w:rFonts w:hint="default" w:ascii="Times New Roman" w:hAnsi="Times New Roman" w:eastAsia="宋体" w:cs="Times New Roman"/>
                      <w:color w:val="auto"/>
                      <w:spacing w:val="0"/>
                      <w:kern w:val="2"/>
                      <w:sz w:val="21"/>
                      <w:szCs w:val="21"/>
                      <w:highlight w:val="none"/>
                      <w:lang w:val="en-US" w:eastAsia="zh-CN" w:bidi="ar-SA"/>
                    </w:rPr>
                    <w:t>暂存于</w:t>
                  </w:r>
                  <w:r>
                    <w:rPr>
                      <w:rFonts w:hint="eastAsia" w:cs="Times New Roman"/>
                      <w:color w:val="auto"/>
                      <w:spacing w:val="0"/>
                      <w:kern w:val="2"/>
                      <w:sz w:val="21"/>
                      <w:szCs w:val="21"/>
                      <w:highlight w:val="none"/>
                      <w:lang w:val="en-US" w:eastAsia="zh-CN" w:bidi="ar-SA"/>
                    </w:rPr>
                    <w:t>危废贮存点</w:t>
                  </w:r>
                  <w:r>
                    <w:rPr>
                      <w:rFonts w:hint="default" w:ascii="Times New Roman" w:hAnsi="Times New Roman" w:eastAsia="宋体" w:cs="Times New Roman"/>
                      <w:color w:val="auto"/>
                      <w:spacing w:val="0"/>
                      <w:kern w:val="2"/>
                      <w:sz w:val="21"/>
                      <w:szCs w:val="21"/>
                      <w:highlight w:val="none"/>
                      <w:lang w:val="en-US" w:eastAsia="zh-CN" w:bidi="ar-SA"/>
                    </w:rPr>
                    <w:t>，定期</w:t>
                  </w:r>
                  <w:r>
                    <w:rPr>
                      <w:rFonts w:hint="eastAsia" w:ascii="Times New Roman" w:hAnsi="Times New Roman" w:eastAsia="宋体" w:cs="Times New Roman"/>
                      <w:color w:val="auto"/>
                      <w:spacing w:val="0"/>
                      <w:kern w:val="2"/>
                      <w:sz w:val="21"/>
                      <w:szCs w:val="21"/>
                      <w:highlight w:val="none"/>
                      <w:lang w:val="en-US" w:eastAsia="zh-CN" w:bidi="ar-SA"/>
                    </w:rPr>
                    <w:t>交</w:t>
                  </w:r>
                  <w:r>
                    <w:rPr>
                      <w:rFonts w:hint="default" w:ascii="Times New Roman" w:hAnsi="Times New Roman" w:eastAsia="宋体" w:cs="Times New Roman"/>
                      <w:color w:val="auto"/>
                      <w:spacing w:val="0"/>
                      <w:kern w:val="2"/>
                      <w:sz w:val="21"/>
                      <w:szCs w:val="21"/>
                      <w:highlight w:val="none"/>
                      <w:lang w:val="en-US" w:eastAsia="zh-CN" w:bidi="ar-SA"/>
                    </w:rPr>
                    <w:t>由有资质单位处置</w:t>
                  </w:r>
                </w:p>
              </w:tc>
            </w:tr>
            <w:tr w14:paraId="5808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44" w:type="pct"/>
                  <w:vMerge w:val="continue"/>
                  <w:tcBorders>
                    <w:tl2br w:val="nil"/>
                    <w:tr2bl w:val="nil"/>
                  </w:tcBorders>
                  <w:vAlign w:val="center"/>
                </w:tcPr>
                <w:p w14:paraId="34717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0"/>
                      <w:szCs w:val="21"/>
                      <w:highlight w:val="none"/>
                      <w:lang w:val="en-US" w:eastAsia="zh-CN"/>
                    </w:rPr>
                  </w:pPr>
                </w:p>
              </w:tc>
              <w:tc>
                <w:tcPr>
                  <w:tcW w:w="554" w:type="pct"/>
                  <w:tcBorders>
                    <w:tl2br w:val="nil"/>
                    <w:tr2bl w:val="nil"/>
                  </w:tcBorders>
                  <w:vAlign w:val="center"/>
                </w:tcPr>
                <w:p w14:paraId="745FD0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废油桶</w:t>
                  </w:r>
                </w:p>
              </w:tc>
              <w:tc>
                <w:tcPr>
                  <w:tcW w:w="751" w:type="pct"/>
                  <w:tcBorders>
                    <w:tl2br w:val="nil"/>
                    <w:tr2bl w:val="nil"/>
                  </w:tcBorders>
                  <w:vAlign w:val="center"/>
                </w:tcPr>
                <w:p w14:paraId="3D7AB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lang w:val="en-US" w:eastAsia="zh-CN"/>
                    </w:rPr>
                    <w:t>900-249-08</w:t>
                  </w:r>
                </w:p>
              </w:tc>
              <w:tc>
                <w:tcPr>
                  <w:tcW w:w="480" w:type="pct"/>
                  <w:tcBorders>
                    <w:tl2br w:val="nil"/>
                    <w:tr2bl w:val="nil"/>
                  </w:tcBorders>
                  <w:vAlign w:val="center"/>
                </w:tcPr>
                <w:p w14:paraId="0138E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w:t>
                  </w:r>
                  <w:r>
                    <w:rPr>
                      <w:rFonts w:hint="eastAsia" w:cs="Times New Roman"/>
                      <w:bCs/>
                      <w:color w:val="auto"/>
                      <w:kern w:val="2"/>
                      <w:sz w:val="21"/>
                      <w:szCs w:val="21"/>
                      <w:highlight w:val="none"/>
                      <w:lang w:val="en-US" w:eastAsia="zh-CN" w:bidi="ar-SA"/>
                    </w:rPr>
                    <w:t>05</w:t>
                  </w:r>
                </w:p>
              </w:tc>
              <w:tc>
                <w:tcPr>
                  <w:tcW w:w="647" w:type="pct"/>
                  <w:tcBorders>
                    <w:tl2br w:val="nil"/>
                    <w:tr2bl w:val="nil"/>
                  </w:tcBorders>
                  <w:vAlign w:val="center"/>
                </w:tcPr>
                <w:p w14:paraId="29929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kern w:val="2"/>
                      <w:sz w:val="21"/>
                      <w:szCs w:val="21"/>
                      <w:highlight w:val="none"/>
                      <w:lang w:val="en-US" w:eastAsia="zh-CN" w:bidi="ar-SA"/>
                    </w:rPr>
                    <w:t>0</w:t>
                  </w:r>
                </w:p>
              </w:tc>
              <w:tc>
                <w:tcPr>
                  <w:tcW w:w="511" w:type="pct"/>
                  <w:tcBorders>
                    <w:tl2br w:val="nil"/>
                    <w:tr2bl w:val="nil"/>
                  </w:tcBorders>
                  <w:vAlign w:val="center"/>
                </w:tcPr>
                <w:p w14:paraId="0CBBF5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kern w:val="2"/>
                      <w:sz w:val="21"/>
                      <w:szCs w:val="21"/>
                      <w:highlight w:val="none"/>
                      <w:lang w:val="en-US" w:eastAsia="zh-CN" w:bidi="ar-SA"/>
                    </w:rPr>
                    <w:t>0.</w:t>
                  </w:r>
                  <w:r>
                    <w:rPr>
                      <w:rFonts w:hint="eastAsia" w:cs="Times New Roman"/>
                      <w:bCs/>
                      <w:color w:val="auto"/>
                      <w:kern w:val="2"/>
                      <w:sz w:val="21"/>
                      <w:szCs w:val="21"/>
                      <w:highlight w:val="none"/>
                      <w:lang w:val="en-US" w:eastAsia="zh-CN" w:bidi="ar-SA"/>
                    </w:rPr>
                    <w:t>05</w:t>
                  </w:r>
                </w:p>
              </w:tc>
              <w:tc>
                <w:tcPr>
                  <w:tcW w:w="1409" w:type="pct"/>
                  <w:vMerge w:val="continue"/>
                  <w:tcBorders>
                    <w:tl2br w:val="nil"/>
                    <w:tr2bl w:val="nil"/>
                  </w:tcBorders>
                  <w:vAlign w:val="center"/>
                </w:tcPr>
                <w:p w14:paraId="2C045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p>
              </w:tc>
            </w:tr>
          </w:tbl>
          <w:p w14:paraId="03C369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bCs/>
                <w:color w:val="auto"/>
                <w:sz w:val="24"/>
                <w:highlight w:val="none"/>
                <w:lang w:val="en-US" w:eastAsia="zh-CN"/>
              </w:rPr>
            </w:pPr>
            <w:r>
              <w:rPr>
                <w:rFonts w:hint="eastAsia" w:cs="Times New Roman"/>
                <w:bCs/>
                <w:color w:val="auto"/>
                <w:sz w:val="24"/>
                <w:highlight w:val="none"/>
                <w:lang w:val="en-US" w:eastAsia="zh-CN"/>
              </w:rPr>
              <w:t>（1）生活垃圾</w:t>
            </w:r>
          </w:p>
          <w:p w14:paraId="43AB18B6">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color w:val="auto"/>
                <w:lang w:val="en-US" w:eastAsia="zh-CN"/>
              </w:rPr>
            </w:pPr>
            <w:r>
              <w:rPr>
                <w:rFonts w:hint="default" w:ascii="Times New Roman" w:hAnsi="Times New Roman" w:cs="Times New Roman"/>
                <w:color w:val="auto"/>
                <w:sz w:val="24"/>
                <w:szCs w:val="24"/>
              </w:rPr>
              <w:t>本项目职工日常办公生活会产生生活垃圾，根据我国生活污染源产排污系数，生活垃圾产生量人均按0.5kg/d</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z w:val="24"/>
                <w:szCs w:val="24"/>
              </w:rPr>
              <w:t>人计，本项目职工共有</w:t>
            </w:r>
            <w:r>
              <w:rPr>
                <w:rFonts w:hint="eastAsia" w:cs="Times New Roman"/>
                <w:color w:val="auto"/>
                <w:sz w:val="24"/>
                <w:szCs w:val="24"/>
                <w:lang w:val="en-US" w:eastAsia="zh-CN"/>
              </w:rPr>
              <w:t>12</w:t>
            </w:r>
            <w:r>
              <w:rPr>
                <w:rFonts w:hint="default" w:ascii="Times New Roman" w:hAnsi="Times New Roman" w:cs="Times New Roman"/>
                <w:color w:val="auto"/>
                <w:sz w:val="24"/>
                <w:szCs w:val="24"/>
              </w:rPr>
              <w:t>人，预计生活垃圾总产生量为</w:t>
            </w:r>
            <w:r>
              <w:rPr>
                <w:rFonts w:hint="eastAsia" w:cs="Times New Roman"/>
                <w:color w:val="auto"/>
                <w:sz w:val="24"/>
                <w:szCs w:val="24"/>
                <w:lang w:val="en-US" w:eastAsia="zh-CN"/>
              </w:rPr>
              <w:t>1.98</w:t>
            </w:r>
            <w:r>
              <w:rPr>
                <w:rFonts w:hint="eastAsia" w:ascii="Times New Roman" w:hAnsi="Times New Roman" w:cs="Times New Roman"/>
                <w:color w:val="auto"/>
                <w:sz w:val="24"/>
                <w:szCs w:val="24"/>
                <w:lang w:val="en-US" w:eastAsia="zh-CN"/>
              </w:rPr>
              <w:t>t/a</w:t>
            </w:r>
            <w:r>
              <w:rPr>
                <w:rFonts w:hint="default" w:ascii="Times New Roman" w:hAnsi="Times New Roman" w:cs="Times New Roman"/>
                <w:color w:val="auto"/>
                <w:sz w:val="24"/>
                <w:szCs w:val="24"/>
              </w:rPr>
              <w:t>。</w:t>
            </w:r>
            <w:r>
              <w:rPr>
                <w:rFonts w:hint="eastAsia" w:cs="Times New Roman"/>
                <w:color w:val="auto"/>
                <w:sz w:val="24"/>
                <w:szCs w:val="24"/>
                <w:lang w:val="en-US" w:eastAsia="zh-CN"/>
              </w:rPr>
              <w:t>厂区</w:t>
            </w:r>
            <w:r>
              <w:rPr>
                <w:rFonts w:hint="default" w:ascii="Times New Roman" w:hAnsi="Times New Roman" w:cs="Times New Roman"/>
                <w:color w:val="auto"/>
                <w:sz w:val="24"/>
                <w:szCs w:val="24"/>
              </w:rPr>
              <w:t>内设封闭式分类垃圾收集箱若干，将生活垃圾集中分类收集后运送至环卫部门指定的地点进行统一处置，严禁生活垃圾在厂区内长期堆存，随意丢弃</w:t>
            </w:r>
            <w:r>
              <w:rPr>
                <w:rFonts w:hint="eastAsia" w:ascii="Times New Roman" w:hAnsi="Times New Roman" w:cs="Times New Roman"/>
                <w:color w:val="auto"/>
                <w:sz w:val="24"/>
                <w:szCs w:val="24"/>
                <w:lang w:eastAsia="zh-CN"/>
              </w:rPr>
              <w:t>。</w:t>
            </w:r>
          </w:p>
          <w:p w14:paraId="37D03C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2</w:t>
            </w:r>
            <w:r>
              <w:rPr>
                <w:rFonts w:hint="eastAsia" w:cs="Times New Roman"/>
                <w:bCs/>
                <w:color w:val="auto"/>
                <w:sz w:val="24"/>
                <w:highlight w:val="none"/>
                <w:lang w:eastAsia="zh-CN"/>
              </w:rPr>
              <w:t>）</w:t>
            </w:r>
            <w:r>
              <w:rPr>
                <w:rFonts w:hint="default" w:ascii="Times New Roman" w:hAnsi="Times New Roman" w:eastAsia="宋体" w:cs="Times New Roman"/>
                <w:bCs/>
                <w:color w:val="auto"/>
                <w:sz w:val="24"/>
                <w:highlight w:val="none"/>
              </w:rPr>
              <w:t>除尘器</w:t>
            </w:r>
            <w:r>
              <w:rPr>
                <w:rFonts w:hint="default" w:ascii="Times New Roman" w:hAnsi="Times New Roman" w:eastAsia="宋体" w:cs="Times New Roman"/>
                <w:bCs/>
                <w:color w:val="auto"/>
                <w:sz w:val="24"/>
                <w:highlight w:val="none"/>
                <w:lang w:val="en-US" w:eastAsia="zh-CN"/>
              </w:rPr>
              <w:t>除尘灰</w:t>
            </w:r>
          </w:p>
          <w:p w14:paraId="6A70FF45">
            <w:pPr>
              <w:keepNext w:val="0"/>
              <w:keepLines w:val="0"/>
              <w:pageBreakBefore w:val="0"/>
              <w:widowControl w:val="0"/>
              <w:suppressLineNumbers w:val="0"/>
              <w:kinsoku/>
              <w:wordWrap/>
              <w:overflowPunct/>
              <w:topLinePunct w:val="0"/>
              <w:bidi w:val="0"/>
              <w:spacing w:before="0" w:beforeAutospacing="0" w:after="0" w:afterAutospacing="0" w:line="480" w:lineRule="exact"/>
              <w:ind w:left="0" w:right="0" w:firstLine="480" w:firstLineChars="200"/>
              <w:textAlignment w:val="auto"/>
              <w:rPr>
                <w:rFonts w:hint="default" w:ascii="Times New Roman" w:hAnsi="Times New Roman" w:eastAsia="宋体" w:cs="Times New Roman"/>
                <w:color w:val="auto"/>
                <w:sz w:val="24"/>
                <w:highlight w:val="none"/>
                <w:lang w:val="en-US"/>
              </w:rPr>
            </w:pPr>
            <w:r>
              <w:rPr>
                <w:rFonts w:hint="eastAsia" w:ascii="Times New Roman" w:hAnsi="Times New Roman" w:eastAsia="宋体" w:cs="Times New Roman"/>
                <w:color w:val="auto"/>
                <w:sz w:val="24"/>
                <w:highlight w:val="none"/>
                <w:lang w:val="en-US" w:eastAsia="zh-CN"/>
              </w:rPr>
              <w:t>各工序除尘器收集的除尘灰产生量约</w:t>
            </w:r>
            <w:r>
              <w:rPr>
                <w:rFonts w:hint="eastAsia" w:cs="Times New Roman"/>
                <w:color w:val="auto"/>
                <w:sz w:val="24"/>
                <w:highlight w:val="none"/>
                <w:lang w:val="en-US" w:eastAsia="zh-CN"/>
              </w:rPr>
              <w:t>349.34</w:t>
            </w:r>
            <w:r>
              <w:rPr>
                <w:rFonts w:hint="eastAsia" w:ascii="Times New Roman" w:hAnsi="Times New Roman" w:eastAsia="宋体" w:cs="Times New Roman"/>
                <w:color w:val="auto"/>
                <w:sz w:val="24"/>
                <w:highlight w:val="none"/>
                <w:lang w:val="en-US" w:eastAsia="zh-CN"/>
              </w:rPr>
              <w:t>t/a，</w:t>
            </w:r>
            <w:r>
              <w:rPr>
                <w:rFonts w:hint="eastAsia" w:cs="Times New Roman"/>
                <w:color w:val="auto"/>
                <w:sz w:val="24"/>
                <w:highlight w:val="none"/>
                <w:lang w:val="en-US" w:eastAsia="zh-CN"/>
              </w:rPr>
              <w:t>建设单位</w:t>
            </w:r>
            <w:r>
              <w:rPr>
                <w:rFonts w:hint="eastAsia" w:ascii="Times New Roman" w:hAnsi="Times New Roman" w:eastAsia="宋体" w:cs="Times New Roman"/>
                <w:color w:val="auto"/>
                <w:sz w:val="24"/>
                <w:highlight w:val="none"/>
                <w:lang w:val="en-US" w:eastAsia="zh-CN"/>
              </w:rPr>
              <w:t>定时对布袋除尘器进行卸灰，卸灰时将吨袋套在卸灰口上，然后进行卸灰，卸灰完成后及时对包装袋进行封口，并对卸灰场地进行清扫，不得在地面留有灰尘。</w:t>
            </w:r>
            <w:r>
              <w:rPr>
                <w:rFonts w:hint="eastAsia" w:cs="Times New Roman"/>
                <w:color w:val="auto"/>
                <w:sz w:val="24"/>
                <w:highlight w:val="none"/>
                <w:lang w:val="en-US" w:eastAsia="zh-CN"/>
              </w:rPr>
              <w:t>除尘灰属一般工业固废（代码900-009-S59），经收集后作为产品外售</w:t>
            </w:r>
            <w:r>
              <w:rPr>
                <w:rFonts w:hint="eastAsia" w:ascii="Times New Roman" w:hAnsi="Times New Roman" w:eastAsia="宋体" w:cs="Times New Roman"/>
                <w:color w:val="auto"/>
                <w:sz w:val="24"/>
                <w:highlight w:val="none"/>
                <w:lang w:val="en-US" w:eastAsia="zh-CN"/>
              </w:rPr>
              <w:t>。</w:t>
            </w:r>
          </w:p>
          <w:p w14:paraId="66E55C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cs="Times New Roman"/>
                <w:bCs/>
                <w:color w:val="auto"/>
                <w:sz w:val="24"/>
                <w:highlight w:val="none"/>
                <w:lang w:val="en-US" w:eastAsia="zh-CN"/>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3</w:t>
            </w:r>
            <w:r>
              <w:rPr>
                <w:rFonts w:hint="eastAsia" w:cs="Times New Roman"/>
                <w:bCs/>
                <w:color w:val="auto"/>
                <w:sz w:val="24"/>
                <w:highlight w:val="none"/>
                <w:lang w:eastAsia="zh-CN"/>
              </w:rPr>
              <w:t>）</w:t>
            </w:r>
            <w:r>
              <w:rPr>
                <w:rFonts w:hint="eastAsia" w:cs="Times New Roman"/>
                <w:bCs/>
                <w:color w:val="auto"/>
                <w:sz w:val="24"/>
                <w:highlight w:val="none"/>
                <w:lang w:val="en-US" w:eastAsia="zh-CN"/>
              </w:rPr>
              <w:t>除尘器废布袋</w:t>
            </w:r>
          </w:p>
          <w:p w14:paraId="4DC122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eastAsia" w:cs="Times New Roman"/>
                <w:bCs/>
                <w:color w:val="auto"/>
                <w:sz w:val="24"/>
                <w:highlight w:val="none"/>
                <w:lang w:eastAsia="zh-CN"/>
              </w:rPr>
            </w:pPr>
            <w:r>
              <w:rPr>
                <w:rFonts w:hint="eastAsia" w:cs="Times New Roman"/>
                <w:bCs/>
                <w:color w:val="auto"/>
                <w:sz w:val="24"/>
                <w:highlight w:val="none"/>
                <w:lang w:val="en-US" w:eastAsia="zh-CN"/>
              </w:rPr>
              <w:t>本</w:t>
            </w:r>
            <w:r>
              <w:rPr>
                <w:rFonts w:hint="eastAsia" w:cs="Times New Roman"/>
                <w:bCs/>
                <w:color w:val="auto"/>
                <w:sz w:val="24"/>
                <w:highlight w:val="none"/>
                <w:lang w:eastAsia="zh-CN"/>
              </w:rPr>
              <w:t>项目布袋除尘器采用涤纶针刺毡滤袋，煤矸石粉尘常温、中低磨蚀，滤袋更换周期约1~2年，废</w:t>
            </w:r>
            <w:r>
              <w:rPr>
                <w:rFonts w:hint="eastAsia" w:cs="Times New Roman"/>
                <w:bCs/>
                <w:color w:val="auto"/>
                <w:sz w:val="24"/>
                <w:highlight w:val="none"/>
                <w:lang w:val="en-US" w:eastAsia="zh-CN"/>
              </w:rPr>
              <w:t>布</w:t>
            </w:r>
            <w:r>
              <w:rPr>
                <w:rFonts w:hint="eastAsia" w:cs="Times New Roman"/>
                <w:bCs/>
                <w:color w:val="auto"/>
                <w:sz w:val="24"/>
                <w:highlight w:val="none"/>
                <w:lang w:eastAsia="zh-CN"/>
              </w:rPr>
              <w:t>袋产生量约0.2t/a，沾附粉尘主要成分为煤矸石微粉，属一般工业固废（代码900-009-S59），定期</w:t>
            </w:r>
            <w:r>
              <w:rPr>
                <w:rFonts w:hint="eastAsia" w:cs="Times New Roman"/>
                <w:bCs/>
                <w:color w:val="auto"/>
                <w:sz w:val="24"/>
                <w:highlight w:val="none"/>
                <w:lang w:val="en-US" w:eastAsia="zh-CN"/>
              </w:rPr>
              <w:t>由除尘器</w:t>
            </w:r>
            <w:r>
              <w:rPr>
                <w:rFonts w:hint="eastAsia" w:cs="Times New Roman"/>
                <w:bCs/>
                <w:color w:val="auto"/>
                <w:sz w:val="24"/>
                <w:highlight w:val="none"/>
                <w:lang w:eastAsia="zh-CN"/>
              </w:rPr>
              <w:t>厂家回收</w:t>
            </w:r>
            <w:r>
              <w:rPr>
                <w:rFonts w:hint="eastAsia" w:cs="Times New Roman"/>
                <w:bCs/>
                <w:color w:val="auto"/>
                <w:sz w:val="24"/>
                <w:highlight w:val="none"/>
                <w:lang w:val="en-US" w:eastAsia="zh-CN"/>
              </w:rPr>
              <w:t>综合利用</w:t>
            </w:r>
            <w:r>
              <w:rPr>
                <w:rFonts w:hint="eastAsia" w:cs="Times New Roman"/>
                <w:bCs/>
                <w:color w:val="auto"/>
                <w:sz w:val="24"/>
                <w:highlight w:val="none"/>
                <w:lang w:eastAsia="zh-CN"/>
              </w:rPr>
              <w:t>。</w:t>
            </w:r>
          </w:p>
          <w:p w14:paraId="03EBA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0" w:firstLineChars="200"/>
              <w:textAlignment w:val="auto"/>
              <w:rPr>
                <w:rFonts w:hint="default" w:cs="Times New Roman"/>
                <w:bCs/>
                <w:color w:val="auto"/>
                <w:sz w:val="24"/>
                <w:highlight w:val="none"/>
                <w:lang w:val="en-US" w:eastAsia="zh-CN"/>
              </w:rPr>
            </w:pPr>
            <w:r>
              <w:rPr>
                <w:rFonts w:hint="eastAsia" w:cs="Times New Roman"/>
                <w:bCs/>
                <w:color w:val="auto"/>
                <w:sz w:val="24"/>
                <w:highlight w:val="none"/>
                <w:lang w:eastAsia="zh-CN"/>
              </w:rPr>
              <w:t>（</w:t>
            </w:r>
            <w:r>
              <w:rPr>
                <w:rFonts w:hint="eastAsia" w:cs="Times New Roman"/>
                <w:bCs/>
                <w:color w:val="auto"/>
                <w:sz w:val="24"/>
                <w:highlight w:val="none"/>
                <w:lang w:val="en-US" w:eastAsia="zh-CN"/>
              </w:rPr>
              <w:t>4</w:t>
            </w:r>
            <w:r>
              <w:rPr>
                <w:rFonts w:hint="eastAsia" w:cs="Times New Roman"/>
                <w:bCs/>
                <w:color w:val="auto"/>
                <w:sz w:val="24"/>
                <w:highlight w:val="none"/>
                <w:lang w:eastAsia="zh-CN"/>
              </w:rPr>
              <w:t>）</w:t>
            </w:r>
            <w:r>
              <w:rPr>
                <w:rFonts w:hint="eastAsia" w:cs="Times New Roman"/>
                <w:bCs/>
                <w:color w:val="auto"/>
                <w:sz w:val="24"/>
                <w:highlight w:val="none"/>
                <w:lang w:val="en-US" w:eastAsia="zh-CN"/>
              </w:rPr>
              <w:t>废铁屑</w:t>
            </w:r>
          </w:p>
          <w:p w14:paraId="38E090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s="Times New Roman"/>
                <w:bCs/>
                <w:color w:val="auto"/>
                <w:sz w:val="24"/>
                <w:highlight w:val="none"/>
                <w:lang w:val="en-US" w:eastAsia="zh-CN"/>
              </w:rPr>
            </w:pPr>
            <w:r>
              <w:rPr>
                <w:rFonts w:hint="eastAsia" w:cs="Times New Roman"/>
                <w:bCs/>
                <w:color w:val="auto"/>
                <w:sz w:val="24"/>
                <w:highlight w:val="none"/>
                <w:lang w:val="en-US" w:eastAsia="zh-CN"/>
              </w:rPr>
              <w:t>物料在经过破碎后由除铁器进行除铁，根据建设单位提供的资料，去除的废铁屑约2t/a，</w:t>
            </w:r>
            <w:r>
              <w:rPr>
                <w:rFonts w:hint="eastAsia" w:cs="Times New Roman"/>
                <w:bCs/>
                <w:color w:val="auto"/>
                <w:sz w:val="24"/>
                <w:highlight w:val="none"/>
                <w:lang w:eastAsia="zh-CN"/>
              </w:rPr>
              <w:t>属一般工业固废（代码900-009-S59），</w:t>
            </w:r>
            <w:r>
              <w:rPr>
                <w:rFonts w:hint="eastAsia" w:cs="Times New Roman"/>
                <w:bCs/>
                <w:color w:val="auto"/>
                <w:sz w:val="24"/>
                <w:highlight w:val="none"/>
                <w:lang w:val="en-US" w:eastAsia="zh-CN"/>
              </w:rPr>
              <w:t>收集后外售废品收购站。</w:t>
            </w:r>
          </w:p>
          <w:p w14:paraId="4EE132BB">
            <w:pPr>
              <w:pStyle w:val="3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textAlignment w:val="auto"/>
              <w:rPr>
                <w:rFonts w:hint="default" w:ascii="Times New Roman" w:hAnsi="Times New Roman" w:eastAsia="宋体" w:cs="Times New Roman"/>
                <w:bCs/>
                <w:color w:val="auto"/>
                <w:sz w:val="24"/>
                <w:highlight w:val="none"/>
                <w:lang w:val="en-US" w:eastAsia="zh-CN"/>
              </w:rPr>
            </w:pPr>
            <w:r>
              <w:rPr>
                <w:rFonts w:hint="eastAsia" w:cs="Times New Roman"/>
                <w:bCs/>
                <w:color w:val="auto"/>
                <w:sz w:val="24"/>
                <w:highlight w:val="none"/>
                <w:lang w:val="en-US" w:eastAsia="zh-CN"/>
              </w:rPr>
              <w:t>（5）</w:t>
            </w:r>
            <w:r>
              <w:rPr>
                <w:rFonts w:hint="default" w:ascii="Times New Roman" w:hAnsi="Times New Roman" w:eastAsia="宋体" w:cs="Times New Roman"/>
                <w:bCs/>
                <w:color w:val="auto"/>
                <w:sz w:val="24"/>
                <w:highlight w:val="none"/>
                <w:lang w:val="en-US" w:eastAsia="zh-CN"/>
              </w:rPr>
              <w:t>废矿物油</w:t>
            </w:r>
            <w:r>
              <w:rPr>
                <w:rFonts w:hint="eastAsia" w:ascii="Times New Roman" w:hAnsi="Times New Roman" w:eastAsia="宋体" w:cs="Times New Roman"/>
                <w:bCs/>
                <w:color w:val="auto"/>
                <w:sz w:val="24"/>
                <w:highlight w:val="none"/>
                <w:lang w:val="en-US" w:eastAsia="zh-CN"/>
              </w:rPr>
              <w:t>、废油桶</w:t>
            </w:r>
          </w:p>
          <w:p w14:paraId="37075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本项目生产过程各设备</w:t>
            </w:r>
            <w:r>
              <w:rPr>
                <w:rFonts w:hint="eastAsia" w:ascii="Times New Roman" w:hAnsi="Times New Roman" w:eastAsia="宋体" w:cs="Times New Roman"/>
                <w:bCs/>
                <w:color w:val="auto"/>
                <w:sz w:val="24"/>
                <w:highlight w:val="none"/>
                <w:lang w:val="en-US" w:eastAsia="zh-CN"/>
              </w:rPr>
              <w:t>需日常维修保养，在此过程中</w:t>
            </w:r>
            <w:r>
              <w:rPr>
                <w:rFonts w:hint="default" w:ascii="Times New Roman" w:hAnsi="Times New Roman" w:eastAsia="宋体" w:cs="Times New Roman"/>
                <w:bCs/>
                <w:color w:val="auto"/>
                <w:sz w:val="24"/>
                <w:highlight w:val="none"/>
                <w:lang w:val="en-US" w:eastAsia="zh-CN"/>
              </w:rPr>
              <w:t>会产生少量废矿物油</w:t>
            </w:r>
            <w:r>
              <w:rPr>
                <w:rFonts w:hint="eastAsia" w:ascii="Times New Roman" w:hAnsi="Times New Roman" w:eastAsia="宋体" w:cs="Times New Roman"/>
                <w:bCs/>
                <w:color w:val="auto"/>
                <w:sz w:val="24"/>
                <w:highlight w:val="none"/>
                <w:lang w:val="en-US" w:eastAsia="zh-CN"/>
              </w:rPr>
              <w:t>及废油桶</w:t>
            </w:r>
            <w:r>
              <w:rPr>
                <w:rFonts w:hint="default" w:ascii="Times New Roman" w:hAnsi="Times New Roman" w:eastAsia="宋体" w:cs="Times New Roman"/>
                <w:bCs/>
                <w:color w:val="auto"/>
                <w:sz w:val="24"/>
                <w:highlight w:val="none"/>
                <w:lang w:val="en-US" w:eastAsia="zh-CN"/>
              </w:rPr>
              <w:t>，按照《国家危险废物名录》（202</w:t>
            </w:r>
            <w:r>
              <w:rPr>
                <w:rFonts w:hint="eastAsia" w:ascii="Times New Roman" w:hAnsi="Times New Roman" w:eastAsia="宋体" w:cs="Times New Roman"/>
                <w:bCs/>
                <w:color w:val="auto"/>
                <w:sz w:val="24"/>
                <w:highlight w:val="none"/>
                <w:lang w:val="en-US" w:eastAsia="zh-CN"/>
              </w:rPr>
              <w:t>5</w:t>
            </w:r>
            <w:r>
              <w:rPr>
                <w:rFonts w:hint="default" w:ascii="Times New Roman" w:hAnsi="Times New Roman" w:eastAsia="宋体" w:cs="Times New Roman"/>
                <w:bCs/>
                <w:color w:val="auto"/>
                <w:sz w:val="24"/>
                <w:highlight w:val="none"/>
                <w:lang w:val="en-US" w:eastAsia="zh-CN"/>
              </w:rPr>
              <w:t>年版），废矿物油</w:t>
            </w:r>
            <w:r>
              <w:rPr>
                <w:rFonts w:hint="eastAsia" w:ascii="Times New Roman" w:hAnsi="Times New Roman" w:eastAsia="宋体" w:cs="Times New Roman"/>
                <w:bCs/>
                <w:color w:val="auto"/>
                <w:sz w:val="24"/>
                <w:highlight w:val="none"/>
                <w:lang w:val="en-US" w:eastAsia="zh-CN"/>
              </w:rPr>
              <w:t>、废油桶</w:t>
            </w:r>
            <w:r>
              <w:rPr>
                <w:rFonts w:hint="default" w:ascii="Times New Roman" w:hAnsi="Times New Roman" w:eastAsia="宋体" w:cs="Times New Roman"/>
                <w:bCs/>
                <w:color w:val="auto"/>
                <w:sz w:val="24"/>
                <w:highlight w:val="none"/>
                <w:lang w:val="en-US" w:eastAsia="zh-CN"/>
              </w:rPr>
              <w:t>属于危险废物，废矿物油产生量约为</w:t>
            </w:r>
            <w:r>
              <w:rPr>
                <w:rFonts w:hint="eastAsia" w:ascii="Times New Roman" w:hAnsi="Times New Roman" w:eastAsia="宋体" w:cs="Times New Roman"/>
                <w:bCs/>
                <w:color w:val="auto"/>
                <w:sz w:val="24"/>
                <w:highlight w:val="none"/>
                <w:lang w:val="en-US" w:eastAsia="zh-CN"/>
              </w:rPr>
              <w:t>0.</w:t>
            </w:r>
            <w:r>
              <w:rPr>
                <w:rFonts w:hint="eastAsia" w:cs="Times New Roman"/>
                <w:bCs/>
                <w:color w:val="auto"/>
                <w:sz w:val="24"/>
                <w:highlight w:val="none"/>
                <w:lang w:val="en-US" w:eastAsia="zh-CN"/>
              </w:rPr>
              <w:t>1</w:t>
            </w:r>
            <w:r>
              <w:rPr>
                <w:rFonts w:hint="eastAsia" w:ascii="Times New Roman" w:hAnsi="Times New Roman" w:eastAsia="宋体" w:cs="Times New Roman"/>
                <w:bCs/>
                <w:color w:val="auto"/>
                <w:sz w:val="24"/>
                <w:highlight w:val="none"/>
                <w:lang w:val="en-US" w:eastAsia="zh-CN"/>
              </w:rPr>
              <w:t>t/a，废油桶产生量约0.</w:t>
            </w:r>
            <w:r>
              <w:rPr>
                <w:rFonts w:hint="eastAsia" w:cs="Times New Roman"/>
                <w:bCs/>
                <w:color w:val="auto"/>
                <w:sz w:val="24"/>
                <w:highlight w:val="none"/>
                <w:lang w:val="en-US" w:eastAsia="zh-CN"/>
              </w:rPr>
              <w:t>05</w:t>
            </w:r>
            <w:r>
              <w:rPr>
                <w:rFonts w:hint="eastAsia" w:ascii="Times New Roman" w:hAnsi="Times New Roman" w:eastAsia="宋体" w:cs="Times New Roman"/>
                <w:bCs/>
                <w:color w:val="auto"/>
                <w:sz w:val="24"/>
                <w:highlight w:val="none"/>
                <w:lang w:val="en-US" w:eastAsia="zh-CN"/>
              </w:rPr>
              <w:t>t/a</w:t>
            </w:r>
            <w:r>
              <w:rPr>
                <w:rFonts w:hint="default" w:ascii="Times New Roman" w:hAnsi="Times New Roman" w:eastAsia="宋体" w:cs="Times New Roman"/>
                <w:bCs/>
                <w:color w:val="auto"/>
                <w:sz w:val="24"/>
                <w:highlight w:val="none"/>
                <w:lang w:val="en-US" w:eastAsia="zh-CN"/>
              </w:rPr>
              <w:t>。</w:t>
            </w:r>
            <w:r>
              <w:rPr>
                <w:rFonts w:hint="eastAsia" w:cs="Times New Roman"/>
                <w:bCs/>
                <w:color w:val="auto"/>
                <w:sz w:val="24"/>
                <w:highlight w:val="none"/>
                <w:lang w:val="en-US" w:eastAsia="zh-CN"/>
              </w:rPr>
              <w:t>本项目拟在生产车间内东南侧新建1座占地面积约10m</w:t>
            </w:r>
            <w:r>
              <w:rPr>
                <w:rFonts w:hint="eastAsia" w:cs="Times New Roman"/>
                <w:bCs/>
                <w:color w:val="auto"/>
                <w:sz w:val="24"/>
                <w:highlight w:val="none"/>
                <w:vertAlign w:val="superscript"/>
                <w:lang w:val="en-US" w:eastAsia="zh-CN"/>
              </w:rPr>
              <w:t>2</w:t>
            </w:r>
            <w:r>
              <w:rPr>
                <w:rFonts w:hint="eastAsia" w:cs="Times New Roman"/>
                <w:bCs/>
                <w:color w:val="auto"/>
                <w:sz w:val="24"/>
                <w:highlight w:val="none"/>
                <w:lang w:val="en-US" w:eastAsia="zh-CN"/>
              </w:rPr>
              <w:t>危废贮存点，地面应做硬化和防渗处理，并刷有环氧树脂漆，地面设有导流渠和收集池；</w:t>
            </w:r>
            <w:r>
              <w:rPr>
                <w:rFonts w:hint="default" w:ascii="Times New Roman" w:hAnsi="Times New Roman" w:eastAsia="宋体" w:cs="Times New Roman"/>
                <w:bCs/>
                <w:color w:val="auto"/>
                <w:sz w:val="24"/>
                <w:highlight w:val="none"/>
                <w:lang w:val="en-US" w:eastAsia="zh-CN"/>
              </w:rPr>
              <w:t>废矿物油、废油桶分区暂存于</w:t>
            </w:r>
            <w:r>
              <w:rPr>
                <w:rFonts w:hint="eastAsia" w:cs="Times New Roman"/>
                <w:bCs/>
                <w:color w:val="auto"/>
                <w:sz w:val="24"/>
                <w:highlight w:val="none"/>
                <w:lang w:val="en-US" w:eastAsia="zh-CN"/>
              </w:rPr>
              <w:t>危废贮存点内</w:t>
            </w:r>
            <w:r>
              <w:rPr>
                <w:rFonts w:hint="default" w:ascii="Times New Roman" w:hAnsi="Times New Roman" w:eastAsia="宋体" w:cs="Times New Roman"/>
                <w:bCs/>
                <w:color w:val="auto"/>
                <w:sz w:val="24"/>
                <w:highlight w:val="none"/>
                <w:lang w:val="en-US" w:eastAsia="zh-CN"/>
              </w:rPr>
              <w:t>，定期交由有资质单位</w:t>
            </w:r>
            <w:r>
              <w:rPr>
                <w:rFonts w:hint="eastAsia" w:cs="Times New Roman"/>
                <w:bCs/>
                <w:color w:val="auto"/>
                <w:sz w:val="24"/>
                <w:highlight w:val="none"/>
                <w:lang w:val="en-US" w:eastAsia="zh-CN"/>
              </w:rPr>
              <w:t>清运</w:t>
            </w:r>
            <w:r>
              <w:rPr>
                <w:rFonts w:hint="default" w:ascii="Times New Roman" w:hAnsi="Times New Roman" w:eastAsia="宋体" w:cs="Times New Roman"/>
                <w:bCs/>
                <w:color w:val="auto"/>
                <w:sz w:val="24"/>
                <w:highlight w:val="none"/>
                <w:lang w:val="en-US" w:eastAsia="zh-CN"/>
              </w:rPr>
              <w:t>处置</w:t>
            </w:r>
            <w:r>
              <w:rPr>
                <w:rFonts w:hint="eastAsia" w:ascii="Times New Roman" w:hAnsi="Times New Roman" w:eastAsia="宋体" w:cs="Times New Roman"/>
                <w:bCs/>
                <w:color w:val="auto"/>
                <w:sz w:val="24"/>
                <w:highlight w:val="none"/>
                <w:lang w:val="en-US" w:eastAsia="zh-CN"/>
              </w:rPr>
              <w:t>。</w:t>
            </w:r>
          </w:p>
          <w:p w14:paraId="74F6A9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b/>
                <w:bCs w:val="0"/>
                <w:color w:val="auto"/>
                <w:sz w:val="24"/>
                <w:lang w:val="en-US" w:eastAsia="zh-CN"/>
              </w:rPr>
            </w:pPr>
            <w:r>
              <w:rPr>
                <w:rFonts w:hint="eastAsia" w:cs="Times New Roman"/>
                <w:b/>
                <w:color w:val="auto"/>
                <w:sz w:val="24"/>
                <w:szCs w:val="24"/>
                <w:highlight w:val="none"/>
                <w:lang w:val="en-US" w:eastAsia="zh-CN"/>
              </w:rPr>
              <w:t>4.8.</w:t>
            </w:r>
            <w:r>
              <w:rPr>
                <w:rFonts w:hint="eastAsia" w:hAnsi="宋体"/>
                <w:b/>
                <w:bCs w:val="0"/>
                <w:color w:val="auto"/>
                <w:sz w:val="24"/>
                <w:lang w:val="en-US" w:eastAsia="zh-CN"/>
              </w:rPr>
              <w:t>2一般固体废物</w:t>
            </w:r>
            <w:r>
              <w:rPr>
                <w:rFonts w:hint="eastAsia" w:hAnsi="宋体"/>
                <w:b/>
                <w:bCs w:val="0"/>
                <w:color w:val="auto"/>
                <w:sz w:val="24"/>
              </w:rPr>
              <w:t>污染防治措施及管理要求</w:t>
            </w:r>
          </w:p>
          <w:p w14:paraId="37AFE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lang w:val="en-US" w:eastAsia="zh-CN"/>
              </w:rPr>
            </w:pPr>
            <w:r>
              <w:rPr>
                <w:rFonts w:hint="eastAsia"/>
                <w:bCs/>
                <w:color w:val="auto"/>
                <w:sz w:val="24"/>
                <w:lang w:val="en-US" w:eastAsia="zh-CN"/>
              </w:rPr>
              <w:t>本项目一般固体废物台账应按照《一般工业固体废物管理台账制定指南（试行）》中以下要求记录：</w:t>
            </w:r>
          </w:p>
          <w:p w14:paraId="58B8F6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eastAsia"/>
                <w:bCs/>
                <w:color w:val="auto"/>
                <w:sz w:val="24"/>
                <w:lang w:eastAsia="zh-CN"/>
              </w:rPr>
              <w:t>（</w:t>
            </w:r>
            <w:r>
              <w:rPr>
                <w:rFonts w:hint="eastAsia"/>
                <w:bCs/>
                <w:color w:val="auto"/>
                <w:sz w:val="24"/>
                <w:lang w:val="en-US" w:eastAsia="zh-CN"/>
              </w:rPr>
              <w:t>1</w:t>
            </w:r>
            <w:r>
              <w:rPr>
                <w:rFonts w:hint="eastAsia"/>
                <w:bCs/>
                <w:color w:val="auto"/>
                <w:sz w:val="24"/>
                <w:lang w:eastAsia="zh-CN"/>
              </w:rPr>
              <w:t>）</w:t>
            </w:r>
            <w:r>
              <w:rPr>
                <w:rFonts w:hint="eastAsia"/>
                <w:bCs/>
                <w:color w:val="auto"/>
                <w:sz w:val="24"/>
              </w:rPr>
              <w:t>一般工业固体废物产生清单：应记录一般工业固体废物代码、名称、产生环节、物理性状、主要成分、污染特性、年产量、去向等。</w:t>
            </w:r>
          </w:p>
          <w:p w14:paraId="5E9B7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eastAsia"/>
                <w:bCs/>
                <w:color w:val="auto"/>
                <w:sz w:val="24"/>
                <w:lang w:eastAsia="zh-CN"/>
              </w:rPr>
              <w:t>（</w:t>
            </w:r>
            <w:r>
              <w:rPr>
                <w:rFonts w:hint="eastAsia"/>
                <w:bCs/>
                <w:color w:val="auto"/>
                <w:sz w:val="24"/>
                <w:lang w:val="en-US" w:eastAsia="zh-CN"/>
              </w:rPr>
              <w:t>2</w:t>
            </w:r>
            <w:r>
              <w:rPr>
                <w:rFonts w:hint="eastAsia"/>
                <w:bCs/>
                <w:color w:val="auto"/>
                <w:sz w:val="24"/>
                <w:lang w:eastAsia="zh-CN"/>
              </w:rPr>
              <w:t>）</w:t>
            </w:r>
            <w:r>
              <w:rPr>
                <w:rFonts w:hint="eastAsia"/>
                <w:bCs/>
                <w:color w:val="auto"/>
                <w:sz w:val="24"/>
              </w:rPr>
              <w:t>一般工业固体废物流向汇总表：应记录一般工业固体废物代码、名称、产生量、自行利用数量等。</w:t>
            </w:r>
          </w:p>
          <w:p w14:paraId="667BD1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eastAsia"/>
                <w:bCs/>
                <w:color w:val="auto"/>
                <w:sz w:val="24"/>
                <w:lang w:eastAsia="zh-CN"/>
              </w:rPr>
              <w:t>（</w:t>
            </w:r>
            <w:r>
              <w:rPr>
                <w:rFonts w:hint="eastAsia"/>
                <w:bCs/>
                <w:color w:val="auto"/>
                <w:sz w:val="24"/>
                <w:lang w:val="en-US" w:eastAsia="zh-CN"/>
              </w:rPr>
              <w:t>3</w:t>
            </w:r>
            <w:r>
              <w:rPr>
                <w:rFonts w:hint="eastAsia"/>
                <w:bCs/>
                <w:color w:val="auto"/>
                <w:sz w:val="24"/>
                <w:lang w:eastAsia="zh-CN"/>
              </w:rPr>
              <w:t>）</w:t>
            </w:r>
            <w:r>
              <w:rPr>
                <w:rFonts w:hint="eastAsia"/>
                <w:bCs/>
                <w:color w:val="auto"/>
                <w:sz w:val="24"/>
              </w:rPr>
              <w:t>一般工业固体废物出厂环节记录表：应记录一般工业固体废物代码、名称、出厂时间、出厂数量、出厂环节经办人、运输单位、接收单位、废物流向类型等信息。</w:t>
            </w:r>
          </w:p>
          <w:p w14:paraId="4224DD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eastAsia"/>
                <w:bCs/>
                <w:color w:val="auto"/>
                <w:sz w:val="24"/>
                <w:lang w:eastAsia="zh-CN"/>
              </w:rPr>
              <w:t>（</w:t>
            </w:r>
            <w:r>
              <w:rPr>
                <w:rFonts w:hint="eastAsia"/>
                <w:bCs/>
                <w:color w:val="auto"/>
                <w:sz w:val="24"/>
                <w:lang w:val="en-US" w:eastAsia="zh-CN"/>
              </w:rPr>
              <w:t>4</w:t>
            </w:r>
            <w:r>
              <w:rPr>
                <w:rFonts w:hint="eastAsia"/>
                <w:bCs/>
                <w:color w:val="auto"/>
                <w:sz w:val="24"/>
                <w:lang w:eastAsia="zh-CN"/>
              </w:rPr>
              <w:t>）</w:t>
            </w:r>
            <w:r>
              <w:rPr>
                <w:rFonts w:hint="eastAsia"/>
                <w:bCs/>
                <w:color w:val="auto"/>
                <w:sz w:val="24"/>
              </w:rPr>
              <w:t>一般工业固体废物产生环节记录表：应记录一般工业固体废物代码、名称、产生时间、产生数量（单位）、转移时间、转移去向、废物产生部门经办人等。</w:t>
            </w:r>
          </w:p>
          <w:p w14:paraId="47C56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b/>
                <w:bCs w:val="0"/>
                <w:color w:val="auto"/>
                <w:sz w:val="24"/>
                <w:highlight w:val="none"/>
                <w:lang w:val="en-US" w:eastAsia="zh-CN"/>
              </w:rPr>
            </w:pPr>
            <w:r>
              <w:rPr>
                <w:rFonts w:hint="eastAsia"/>
                <w:bCs/>
                <w:color w:val="auto"/>
                <w:sz w:val="24"/>
                <w:lang w:eastAsia="zh-CN"/>
              </w:rPr>
              <w:t>（</w:t>
            </w:r>
            <w:r>
              <w:rPr>
                <w:rFonts w:hint="eastAsia"/>
                <w:bCs/>
                <w:color w:val="auto"/>
                <w:sz w:val="24"/>
                <w:lang w:val="en-US" w:eastAsia="zh-CN"/>
              </w:rPr>
              <w:t>5</w:t>
            </w:r>
            <w:r>
              <w:rPr>
                <w:rFonts w:hint="eastAsia"/>
                <w:bCs/>
                <w:color w:val="auto"/>
                <w:sz w:val="24"/>
                <w:lang w:eastAsia="zh-CN"/>
              </w:rPr>
              <w:t>）</w:t>
            </w:r>
            <w:r>
              <w:rPr>
                <w:rFonts w:hint="eastAsia"/>
                <w:bCs/>
                <w:color w:val="auto"/>
                <w:sz w:val="24"/>
              </w:rPr>
              <w:t>一般工业固体废物贮存环节记录表：应记录入库情况（入库时间、入库编号等）、出库情况（出库时间、出库数量、废物去向等）。</w:t>
            </w:r>
          </w:p>
          <w:p w14:paraId="07A058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val="0"/>
                <w:color w:val="auto"/>
                <w:sz w:val="24"/>
                <w:highlight w:val="none"/>
                <w:lang w:val="en-US" w:eastAsia="zh-CN"/>
              </w:rPr>
            </w:pPr>
            <w:r>
              <w:rPr>
                <w:rFonts w:hint="eastAsia" w:cs="Times New Roman"/>
                <w:b/>
                <w:color w:val="auto"/>
                <w:sz w:val="24"/>
                <w:szCs w:val="24"/>
                <w:highlight w:val="none"/>
                <w:lang w:val="en-US" w:eastAsia="zh-CN"/>
              </w:rPr>
              <w:t>4.8.</w:t>
            </w:r>
            <w:r>
              <w:rPr>
                <w:rFonts w:hint="eastAsia" w:cs="Times New Roman"/>
                <w:b/>
                <w:bCs w:val="0"/>
                <w:color w:val="auto"/>
                <w:sz w:val="24"/>
                <w:highlight w:val="none"/>
                <w:lang w:val="en-US" w:eastAsia="zh-CN"/>
              </w:rPr>
              <w:t>3</w:t>
            </w:r>
            <w:r>
              <w:rPr>
                <w:rFonts w:hint="eastAsia" w:ascii="Times New Roman" w:hAnsi="Times New Roman" w:eastAsia="宋体" w:cs="Times New Roman"/>
                <w:b/>
                <w:bCs w:val="0"/>
                <w:color w:val="auto"/>
                <w:sz w:val="24"/>
                <w:highlight w:val="none"/>
                <w:lang w:val="en-US" w:eastAsia="zh-CN"/>
              </w:rPr>
              <w:t>危险废物环境管理要求</w:t>
            </w:r>
          </w:p>
          <w:p w14:paraId="47A15C08">
            <w:pPr>
              <w:keepNext w:val="0"/>
              <w:keepLines w:val="0"/>
              <w:suppressLineNumbers w:val="0"/>
              <w:adjustRightInd w:val="0"/>
              <w:snapToGrid w:val="0"/>
              <w:spacing w:before="0" w:beforeAutospacing="0" w:after="0" w:afterAutospacing="0" w:line="480" w:lineRule="exact"/>
              <w:ind w:left="0" w:right="0" w:firstLine="480" w:firstLineChars="200"/>
              <w:rPr>
                <w:rFonts w:hint="default"/>
                <w:bCs/>
                <w:color w:val="auto"/>
                <w:sz w:val="24"/>
              </w:rPr>
            </w:pPr>
            <w:r>
              <w:rPr>
                <w:rFonts w:hint="eastAsia" w:cs="Times New Roman"/>
                <w:bCs/>
                <w:color w:val="auto"/>
                <w:sz w:val="24"/>
                <w:highlight w:val="none"/>
                <w:lang w:val="en-US" w:eastAsia="zh-CN"/>
              </w:rPr>
              <w:t>本项目</w:t>
            </w:r>
            <w:r>
              <w:rPr>
                <w:rFonts w:hint="eastAsia" w:eastAsia="宋体"/>
                <w:bCs/>
                <w:color w:val="auto"/>
                <w:sz w:val="24"/>
                <w:lang w:eastAsia="zh-CN"/>
              </w:rPr>
              <w:t>危废贮存点</w:t>
            </w:r>
            <w:r>
              <w:rPr>
                <w:rFonts w:hint="eastAsia" w:ascii="Times New Roman" w:eastAsia="宋体"/>
                <w:bCs/>
                <w:color w:val="auto"/>
                <w:sz w:val="24"/>
                <w:lang w:val="en-US" w:eastAsia="zh-CN"/>
              </w:rPr>
              <w:t>地面应做硬化处理，在地面及墙裙刷环氧树脂漆进行防渗处理，墙体防渗高度大于危险废物堆存高度，地面四周应设有导流渠和收集池，</w:t>
            </w:r>
            <w:r>
              <w:rPr>
                <w:rFonts w:hint="eastAsia"/>
                <w:bCs/>
                <w:color w:val="auto"/>
                <w:sz w:val="24"/>
              </w:rPr>
              <w:t>危险废物环境管理要求如下：</w:t>
            </w:r>
          </w:p>
          <w:p w14:paraId="23F1F2DE">
            <w:pPr>
              <w:keepNext w:val="0"/>
              <w:keepLines w:val="0"/>
              <w:suppressLineNumbers w:val="0"/>
              <w:adjustRightInd w:val="0"/>
              <w:snapToGrid w:val="0"/>
              <w:spacing w:before="0" w:beforeAutospacing="0" w:after="0" w:afterAutospacing="0" w:line="480" w:lineRule="exact"/>
              <w:ind w:left="0" w:right="0" w:firstLine="480" w:firstLineChars="200"/>
              <w:rPr>
                <w:rFonts w:hint="default"/>
                <w:bCs/>
                <w:color w:val="auto"/>
                <w:sz w:val="24"/>
              </w:rPr>
            </w:pPr>
            <w:r>
              <w:rPr>
                <w:rFonts w:hint="eastAsia"/>
                <w:bCs/>
                <w:color w:val="auto"/>
                <w:sz w:val="24"/>
              </w:rPr>
              <w:t>（1）危险废物储存要求</w:t>
            </w:r>
          </w:p>
          <w:p w14:paraId="2FACF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1）不同种类的危险化学品要分区储存，并在储存区贴上符合危险废物种类的相应标签。</w:t>
            </w:r>
          </w:p>
          <w:p w14:paraId="76244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2）贮存场必须做好防渗处理，同时还要略高出地面并加盖防雨措施，防止水流入造成对地表水和大气环境的污染。</w:t>
            </w:r>
          </w:p>
          <w:p w14:paraId="22B1D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3）贮存场设置明显的贮存危险废物种类标识和警示标识，并在贮存场周围显著处标记“严禁烟火”的</w:t>
            </w:r>
            <w:r>
              <w:rPr>
                <w:rFonts w:hint="eastAsia"/>
                <w:bCs/>
                <w:color w:val="auto"/>
                <w:sz w:val="24"/>
                <w:lang w:eastAsia="zh-CN"/>
              </w:rPr>
              <w:t>警示牌</w:t>
            </w:r>
            <w:r>
              <w:rPr>
                <w:rFonts w:hint="eastAsia"/>
                <w:bCs/>
                <w:color w:val="auto"/>
                <w:sz w:val="24"/>
              </w:rPr>
              <w:t>。</w:t>
            </w:r>
          </w:p>
          <w:p w14:paraId="78338B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4）厂内要有专人管理危险废物，危险废物出入贮存场前，应登记造册，做好记录，注明危险废物的名称、来源、数量、特性、入库日期、出库日期、</w:t>
            </w:r>
            <w:r>
              <w:rPr>
                <w:rFonts w:hint="eastAsia"/>
                <w:bCs/>
                <w:color w:val="auto"/>
                <w:sz w:val="24"/>
                <w:lang w:eastAsia="zh-CN"/>
              </w:rPr>
              <w:t>接收单位</w:t>
            </w:r>
            <w:r>
              <w:rPr>
                <w:rFonts w:hint="eastAsia"/>
                <w:bCs/>
                <w:color w:val="auto"/>
                <w:sz w:val="24"/>
              </w:rPr>
              <w:t>等。</w:t>
            </w:r>
          </w:p>
          <w:p w14:paraId="48BF5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5）定期对所贮存的危险废物包装容器及贮存设施进行检查，发现破损及时清理更换。</w:t>
            </w:r>
          </w:p>
          <w:p w14:paraId="00695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6）危险废物应按照国家有关规定向当地环境保护行政主管部门申报登记，接受当地环境保护行政主管部门监督管理。危险废物应按照国家有关规定向当地环境保护行政主管部门申报登记，接受当地环境保护行政主管部门监督管理。</w:t>
            </w:r>
          </w:p>
          <w:p w14:paraId="4BD72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（2）</w:t>
            </w:r>
            <w:r>
              <w:rPr>
                <w:rFonts w:hint="eastAsia"/>
                <w:bCs/>
                <w:color w:val="auto"/>
                <w:sz w:val="24"/>
                <w:lang w:eastAsia="zh-CN"/>
              </w:rPr>
              <w:t>危废贮存点</w:t>
            </w:r>
            <w:r>
              <w:rPr>
                <w:rFonts w:hint="eastAsia"/>
                <w:bCs/>
                <w:color w:val="auto"/>
                <w:sz w:val="24"/>
              </w:rPr>
              <w:t>建设要求</w:t>
            </w:r>
          </w:p>
          <w:p w14:paraId="72FF0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lang w:eastAsia="zh-CN"/>
              </w:rPr>
              <w:t>危废贮存点</w:t>
            </w:r>
            <w:r>
              <w:rPr>
                <w:rFonts w:hint="eastAsia"/>
                <w:bCs/>
                <w:color w:val="auto"/>
                <w:sz w:val="24"/>
                <w:lang w:val="en-US" w:eastAsia="zh-CN"/>
              </w:rPr>
              <w:t>应</w:t>
            </w:r>
            <w:r>
              <w:rPr>
                <w:rFonts w:hint="eastAsia"/>
                <w:bCs/>
                <w:color w:val="auto"/>
                <w:sz w:val="24"/>
              </w:rPr>
              <w:t>按照《危险废物贮存污染控制标准》（GB18597-2023）相关要求采取必要的防风、防晒、防雨、防漏、防渗、防腐以及其他环境污染防治措施，不应露天堆放危险废物，可有效防止临时存放过程中的二次污染，危险废物贮存库按照贮存物质特性分区存放（每个项目单独设置存放区），每个项目指定专人进行管理。按照《危险废物识别标志设置技术规范》（HJ2176-2022）要求设置相应的危废标识。</w:t>
            </w:r>
          </w:p>
          <w:p w14:paraId="759C67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（3）危险废物控制要求</w:t>
            </w:r>
          </w:p>
          <w:p w14:paraId="5694D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企业应严格加强固体废物贮存和处置全过程的管理，具体可如下执行：</w:t>
            </w:r>
          </w:p>
          <w:p w14:paraId="6BE746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①危险废物应与其他固体废物严格隔离，禁止一般工业固废垃圾混入；同时也禁止危险废物混入一般工业固废中。</w:t>
            </w:r>
          </w:p>
          <w:p w14:paraId="6A039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②禁止将不相容（相互反应）的危险废物在同一容器内混装；盛装危险废物的容器上必须粘贴符合标准的标签。</w:t>
            </w:r>
          </w:p>
          <w:p w14:paraId="1D569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lang w:eastAsia="zh-CN"/>
              </w:rPr>
              <w:t>③</w:t>
            </w:r>
            <w:r>
              <w:rPr>
                <w:rFonts w:hint="eastAsia"/>
                <w:bCs/>
                <w:color w:val="auto"/>
                <w:sz w:val="24"/>
              </w:rPr>
              <w:t>检查堆场内的通讯设备、照明设施、安全防护服装及工具，检查应急防护设施。</w:t>
            </w:r>
          </w:p>
          <w:p w14:paraId="42CBF9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④完善维护制度，定期检查维护防渗设施，发现有损坏可能或异常，应及时采取必要措施，以保障正常运行；详细记录入场固体废物的种类和数量以及其他相关资料并长期保存，供随时查阅。</w:t>
            </w:r>
          </w:p>
          <w:p w14:paraId="0FBD7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⑤当贮存库因故不再承担新的贮存、处置任务时，应予以关闭或封场，同时采取措施消除污染，无法消除污染的设备、土壤、墙体等按危险废物处理，并运至正在营运的危险废物处理处置场或其它贮存设施中。关闭或封场后，应设置标志物，注明关闭或封场时间，以及使用该土地时应注意的事项，并继续维护管理，直到稳定为止。监测部门的监测结果表明已不存在污染时，方可摘下警示标志，撤离留守人员。</w:t>
            </w:r>
          </w:p>
          <w:p w14:paraId="48BA56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⑥项目产生的固体废物产生量、拟采取的处置措施及去向按《中华人民共和国固体废物污染环境防治法》的规定向</w:t>
            </w:r>
            <w:r>
              <w:rPr>
                <w:rFonts w:hint="eastAsia"/>
                <w:bCs/>
                <w:color w:val="auto"/>
                <w:sz w:val="24"/>
                <w:lang w:val="en-US" w:eastAsia="zh-CN"/>
              </w:rPr>
              <w:t>当地生态环境部门</w:t>
            </w:r>
            <w:r>
              <w:rPr>
                <w:rFonts w:hint="eastAsia"/>
                <w:bCs/>
                <w:color w:val="auto"/>
                <w:sz w:val="24"/>
              </w:rPr>
              <w:t>申报，填报危险废物转移五联单，按要求对本项目产生的固体废物特别是危险废物进行全过程严格管理和安全处置。</w:t>
            </w:r>
          </w:p>
          <w:p w14:paraId="7E0CC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⑦</w:t>
            </w:r>
            <w:r>
              <w:rPr>
                <w:rFonts w:hint="default" w:ascii="Times New Roman" w:hAnsi="Times New Roman" w:eastAsia="宋体" w:cs="Times New Roman"/>
                <w:bCs/>
                <w:color w:val="auto"/>
                <w:sz w:val="24"/>
                <w:lang w:val="en-US" w:eastAsia="zh-CN"/>
              </w:rPr>
              <w:t>环评提出项目运营期建设单位</w:t>
            </w:r>
            <w:r>
              <w:rPr>
                <w:rFonts w:hint="eastAsia" w:cs="Times New Roman"/>
                <w:bCs/>
                <w:color w:val="auto"/>
                <w:sz w:val="24"/>
                <w:lang w:val="en-US" w:eastAsia="zh-CN"/>
              </w:rPr>
              <w:t>应</w:t>
            </w:r>
            <w:r>
              <w:rPr>
                <w:rFonts w:hint="default" w:ascii="Times New Roman" w:hAnsi="Times New Roman" w:eastAsia="宋体" w:cs="Times New Roman"/>
                <w:bCs/>
                <w:color w:val="auto"/>
                <w:sz w:val="24"/>
                <w:lang w:val="en-US" w:eastAsia="zh-CN"/>
              </w:rPr>
              <w:t>按照《危险废物管理计划和台账指定技术导则》（HJ1259-2022）相关要求制定运营期危险废物管理台账，具体如下：</w:t>
            </w:r>
          </w:p>
          <w:p w14:paraId="63F58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val="en-US" w:eastAsia="zh-CN"/>
              </w:rPr>
              <w:t>A.记录内容</w:t>
            </w:r>
          </w:p>
          <w:p w14:paraId="1E5EE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val="en-US" w:eastAsia="zh-CN"/>
              </w:rPr>
              <w:t>a.危险废物产生环节，应记录产生批次编码、产生时间、危险废物名称、危险废物类别、危险废物代码、产生量、计量单位、容器/包装编码、容器/包装类型、容器/包装数量、产生危险废物设施编码、产生部门经办人、去向等。</w:t>
            </w:r>
          </w:p>
          <w:p w14:paraId="7B166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val="en-US" w:eastAsia="zh-CN"/>
              </w:rPr>
              <w:t>b.危险废物入库环节，应记录入库批次编码、入库时间、容器/包装编码、容器/包装类型、容器/包装数量、危险废物名称、危险废物类别、危险废物代码、入库量、计量单位、贮存设施编码、贮存设施类型、运送部门经办人、贮存部门经办人、产生批次编码等。</w:t>
            </w:r>
          </w:p>
          <w:p w14:paraId="732F5E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c.危险废物出库环节，应记录出库批次编码、出库时间、容器/包装编码、容器/包装类型、容器包装数量、危险废物名称、危险废物类别、危险废物代码、出库量、计量单位、贮存设施编码、贮存设施类型、出库部门经办人、运送部门经办人、入库批次编码、去向等。</w:t>
            </w:r>
          </w:p>
          <w:p w14:paraId="41CAB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d.危险废物委外利用/处置环节，应记录委外利用/处置批次编码、出厂时间、容器/包装编码、容器/包装类型、容器/包装数量、危险废物名称、危险废物类别、危险废物代码、委外利用/处置量、计量单位、利用/处置方式、接收单位类型、利用/处置单位名称、许可证编码/出口核准通知单编号、产生批次编码/出库批次编码等。</w:t>
            </w:r>
          </w:p>
          <w:p w14:paraId="110E0A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lang w:val="en-US" w:eastAsia="zh-CN"/>
              </w:rPr>
            </w:pPr>
            <w:r>
              <w:rPr>
                <w:rFonts w:hint="default" w:ascii="Times New Roman" w:hAnsi="Times New Roman" w:eastAsia="宋体" w:cs="Times New Roman"/>
                <w:bCs/>
                <w:color w:val="auto"/>
                <w:sz w:val="24"/>
                <w:lang w:val="en-US" w:eastAsia="zh-CN"/>
              </w:rPr>
              <w:t>B.记录保存</w:t>
            </w:r>
          </w:p>
          <w:p w14:paraId="5859A0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bCs/>
                <w:color w:val="auto"/>
                <w:sz w:val="24"/>
              </w:rPr>
            </w:pPr>
            <w:r>
              <w:rPr>
                <w:rFonts w:hint="default" w:ascii="Times New Roman" w:hAnsi="Times New Roman" w:eastAsia="宋体" w:cs="Times New Roman"/>
                <w:bCs/>
                <w:color w:val="auto"/>
                <w:sz w:val="24"/>
                <w:lang w:val="en-US" w:eastAsia="zh-CN"/>
              </w:rPr>
              <w:t>保存时间原则上应存档5年以上。</w:t>
            </w:r>
          </w:p>
          <w:p w14:paraId="351A0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（4）危险废物转移要求</w:t>
            </w:r>
          </w:p>
          <w:p w14:paraId="61E7A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eastAsia"/>
                <w:bCs/>
                <w:color w:val="auto"/>
                <w:sz w:val="24"/>
              </w:rPr>
              <w:t>在送往有资质危险废物定点单位处理时严格执行《危险废物转移联单管理办法》中应严格做好相应防范措施，防止危险废物的泄漏，或发生重大交通事故。</w:t>
            </w:r>
          </w:p>
          <w:p w14:paraId="4CD9A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color w:val="auto"/>
              </w:rPr>
            </w:pPr>
            <w:r>
              <w:rPr>
                <w:rFonts w:hint="eastAsia"/>
                <w:color w:val="auto"/>
                <w:sz w:val="24"/>
              </w:rPr>
              <w:t>危险废物标签参考样式见下图：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6"/>
              <w:gridCol w:w="5193"/>
            </w:tblGrid>
            <w:tr w14:paraId="6B6DF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56" w:type="dxa"/>
                  <w:noWrap w:val="0"/>
                  <w:vAlign w:val="center"/>
                </w:tcPr>
                <w:p w14:paraId="37B4292B">
                  <w:pPr>
                    <w:keepNext w:val="0"/>
                    <w:keepLines w:val="0"/>
                    <w:suppressLineNumbers w:val="0"/>
                    <w:spacing w:before="0" w:beforeAutospacing="0" w:after="0" w:afterAutospacing="0"/>
                    <w:ind w:left="0" w:right="0"/>
                    <w:jc w:val="center"/>
                    <w:rPr>
                      <w:rFonts w:hint="default"/>
                      <w:color w:val="auto"/>
                      <w:szCs w:val="20"/>
                    </w:rPr>
                  </w:pPr>
                  <w:r>
                    <w:rPr>
                      <w:rFonts w:hint="default"/>
                      <w:color w:val="auto"/>
                    </w:rPr>
                    <w:fldChar w:fldCharType="begin"/>
                  </w:r>
                  <w:r>
                    <w:rPr>
                      <w:rFonts w:hint="default"/>
                      <w:color w:val="auto"/>
                    </w:rPr>
                    <w:instrText xml:space="preserve"> INCLUDEPICTURE  "https://www.mee.gov.cn/ywgz/fgbz/bz/bzwb/gthw/wxfwjbffbz/202302/W020230515591217696563.jpg" \* MERGEFORMATINET </w:instrText>
                  </w:r>
                  <w:r>
                    <w:rPr>
                      <w:rFonts w:hint="default"/>
                      <w:color w:val="auto"/>
                    </w:rPr>
                    <w:fldChar w:fldCharType="separate"/>
                  </w:r>
                  <w:r>
                    <w:rPr>
                      <w:rFonts w:hint="default"/>
                      <w:color w:val="auto"/>
                    </w:rPr>
                    <w:drawing>
                      <wp:inline distT="0" distB="0" distL="114300" distR="114300">
                        <wp:extent cx="1586230" cy="1586230"/>
                        <wp:effectExtent l="0" t="0" r="6985" b="6985"/>
                        <wp:docPr id="164" name="图片 5" descr="W02023051559121769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 descr="W020230515591217696563"/>
                                <pic:cNvPicPr>
                                  <a:picLocks noChangeAspect="1"/>
                                </pic:cNvPicPr>
                              </pic:nvPicPr>
                              <pic:blipFill>
                                <a:blip r:embed="rId34"/>
                                <a:stretch>
                                  <a:fillRect/>
                                </a:stretch>
                              </pic:blipFill>
                              <pic:spPr>
                                <a:xfrm>
                                  <a:off x="0" y="0"/>
                                  <a:ext cx="1586230" cy="1586230"/>
                                </a:xfrm>
                                <a:prstGeom prst="rect">
                                  <a:avLst/>
                                </a:prstGeom>
                                <a:noFill/>
                                <a:ln>
                                  <a:noFill/>
                                </a:ln>
                              </pic:spPr>
                            </pic:pic>
                          </a:graphicData>
                        </a:graphic>
                      </wp:inline>
                    </w:drawing>
                  </w:r>
                  <w:r>
                    <w:rPr>
                      <w:rFonts w:hint="default"/>
                      <w:color w:val="auto"/>
                    </w:rPr>
                    <w:fldChar w:fldCharType="end"/>
                  </w:r>
                </w:p>
              </w:tc>
              <w:tc>
                <w:tcPr>
                  <w:tcW w:w="5193" w:type="dxa"/>
                  <w:noWrap w:val="0"/>
                  <w:vAlign w:val="center"/>
                </w:tcPr>
                <w:p w14:paraId="5A5C39F0">
                  <w:pPr>
                    <w:keepNext w:val="0"/>
                    <w:keepLines w:val="0"/>
                    <w:suppressLineNumbers w:val="0"/>
                    <w:spacing w:before="0" w:beforeAutospacing="0" w:after="0" w:afterAutospacing="0"/>
                    <w:ind w:left="0" w:right="0"/>
                    <w:jc w:val="center"/>
                    <w:rPr>
                      <w:rFonts w:hint="default"/>
                      <w:b/>
                      <w:color w:val="auto"/>
                      <w:szCs w:val="20"/>
                    </w:rPr>
                  </w:pPr>
                  <w:r>
                    <w:rPr>
                      <w:rFonts w:hint="eastAsia"/>
                      <w:b/>
                      <w:color w:val="auto"/>
                      <w:szCs w:val="20"/>
                    </w:rPr>
                    <w:t>说明</w:t>
                  </w:r>
                </w:p>
                <w:p w14:paraId="4A4F2704">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1、危险废物标签尺寸颜色</w:t>
                  </w:r>
                </w:p>
                <w:p w14:paraId="1E04C7AC">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最小尺寸：100×100mm</w:t>
                  </w:r>
                </w:p>
                <w:p w14:paraId="6AF2554F">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颜色：背景色为醒目的橘黄色，字体和边框颜色为黑色</w:t>
                  </w:r>
                </w:p>
                <w:p w14:paraId="5238FAE1">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字体：黑体字</w:t>
                  </w:r>
                </w:p>
                <w:p w14:paraId="0B930A27">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字体颜色：黑色</w:t>
                  </w:r>
                </w:p>
                <w:p w14:paraId="0FE22B4D">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2、材质：不干胶印刷品，或印刷品外加防水塑料袋或塑封等。</w:t>
                  </w:r>
                </w:p>
                <w:p w14:paraId="03959FF0">
                  <w:pPr>
                    <w:keepNext w:val="0"/>
                    <w:keepLines w:val="0"/>
                    <w:suppressLineNumbers w:val="0"/>
                    <w:spacing w:before="0" w:beforeAutospacing="0" w:after="0" w:afterAutospacing="0"/>
                    <w:ind w:left="0" w:right="0"/>
                    <w:rPr>
                      <w:rFonts w:hint="default"/>
                      <w:color w:val="auto"/>
                      <w:szCs w:val="20"/>
                    </w:rPr>
                  </w:pPr>
                  <w:r>
                    <w:rPr>
                      <w:rFonts w:hint="eastAsia"/>
                      <w:color w:val="auto"/>
                      <w:szCs w:val="20"/>
                    </w:rPr>
                    <w:t>3、使用于：容器或包装物明显处</w:t>
                  </w:r>
                </w:p>
              </w:tc>
            </w:tr>
          </w:tbl>
          <w:p w14:paraId="1986AADE">
            <w:pPr>
              <w:keepNext w:val="0"/>
              <w:keepLines w:val="0"/>
              <w:suppressLineNumbers w:val="0"/>
              <w:spacing w:before="0" w:beforeAutospacing="0" w:after="0" w:afterAutospacing="0" w:line="480" w:lineRule="exact"/>
              <w:ind w:left="0" w:right="0" w:firstLine="480" w:firstLineChars="200"/>
              <w:rPr>
                <w:rFonts w:hint="eastAsia"/>
                <w:color w:val="auto"/>
                <w:sz w:val="24"/>
              </w:rPr>
            </w:pPr>
            <w:r>
              <w:rPr>
                <w:rFonts w:hint="eastAsia"/>
                <w:color w:val="auto"/>
                <w:sz w:val="24"/>
              </w:rPr>
              <w:t>危险废物贮存分区标志牌参考样式见下图：</w:t>
            </w:r>
          </w:p>
          <w:p w14:paraId="73A925A7">
            <w:pPr>
              <w:pStyle w:val="34"/>
              <w:keepNext w:val="0"/>
              <w:keepLines w:val="0"/>
              <w:suppressLineNumbers w:val="0"/>
              <w:spacing w:before="0" w:beforeAutospacing="0" w:after="0" w:afterAutospacing="0"/>
              <w:ind w:left="0" w:right="0"/>
              <w:rPr>
                <w:rFonts w:hint="eastAsia"/>
                <w:color w:val="auto"/>
                <w:sz w:val="24"/>
              </w:rPr>
            </w:pPr>
          </w:p>
          <w:p w14:paraId="61565F6A">
            <w:pPr>
              <w:pStyle w:val="34"/>
              <w:keepNext w:val="0"/>
              <w:keepLines w:val="0"/>
              <w:suppressLineNumbers w:val="0"/>
              <w:spacing w:before="0" w:beforeAutospacing="0" w:after="0" w:afterAutospacing="0"/>
              <w:ind w:left="0" w:right="0"/>
              <w:rPr>
                <w:rFonts w:hint="eastAsia"/>
                <w:color w:val="auto"/>
                <w:sz w:val="24"/>
              </w:rPr>
            </w:pPr>
          </w:p>
          <w:p w14:paraId="20349C8B">
            <w:pPr>
              <w:pStyle w:val="34"/>
              <w:keepNext w:val="0"/>
              <w:keepLines w:val="0"/>
              <w:suppressLineNumbers w:val="0"/>
              <w:spacing w:before="0" w:beforeAutospacing="0" w:after="0" w:afterAutospacing="0"/>
              <w:ind w:left="0" w:right="0"/>
              <w:rPr>
                <w:rFonts w:hint="eastAsia"/>
                <w:color w:val="auto"/>
                <w:sz w:val="24"/>
              </w:rPr>
            </w:pPr>
          </w:p>
          <w:p w14:paraId="012F1676">
            <w:pPr>
              <w:pStyle w:val="34"/>
              <w:keepNext w:val="0"/>
              <w:keepLines w:val="0"/>
              <w:suppressLineNumbers w:val="0"/>
              <w:spacing w:before="0" w:beforeAutospacing="0" w:after="0" w:afterAutospacing="0"/>
              <w:ind w:left="0" w:right="0"/>
              <w:rPr>
                <w:rFonts w:hint="eastAsia"/>
                <w:color w:val="auto"/>
                <w:sz w:val="24"/>
              </w:rPr>
            </w:pPr>
          </w:p>
          <w:p w14:paraId="1B1B9237">
            <w:pPr>
              <w:pStyle w:val="34"/>
              <w:keepNext w:val="0"/>
              <w:keepLines w:val="0"/>
              <w:suppressLineNumbers w:val="0"/>
              <w:spacing w:before="0" w:beforeAutospacing="0" w:after="0" w:afterAutospacing="0"/>
              <w:ind w:left="0" w:right="0"/>
              <w:rPr>
                <w:rFonts w:hint="default"/>
                <w:color w:val="auto"/>
                <w:sz w:val="24"/>
              </w:rPr>
            </w:pP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48"/>
              <w:gridCol w:w="4940"/>
            </w:tblGrid>
            <w:tr w14:paraId="2994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48" w:type="dxa"/>
                  <w:noWrap w:val="0"/>
                  <w:vAlign w:val="center"/>
                </w:tcPr>
                <w:p w14:paraId="45D28E5B">
                  <w:pPr>
                    <w:keepNext w:val="0"/>
                    <w:keepLines w:val="0"/>
                    <w:suppressLineNumbers w:val="0"/>
                    <w:spacing w:before="0" w:beforeAutospacing="0" w:after="0" w:afterAutospacing="0"/>
                    <w:ind w:left="0" w:right="0"/>
                    <w:jc w:val="center"/>
                    <w:rPr>
                      <w:rFonts w:hint="default"/>
                      <w:color w:val="auto"/>
                      <w:szCs w:val="20"/>
                    </w:rPr>
                  </w:pPr>
                  <w:r>
                    <w:rPr>
                      <w:rFonts w:hint="default"/>
                      <w:color w:val="auto"/>
                    </w:rPr>
                    <w:fldChar w:fldCharType="begin"/>
                  </w:r>
                  <w:r>
                    <w:rPr>
                      <w:rFonts w:hint="default"/>
                      <w:color w:val="auto"/>
                    </w:rPr>
                    <w:instrText xml:space="preserve"> INCLUDEPICTURE "https://www.mee.gov.cn/ywgz/fgbz/bz/bzwb/gthw/wxfwjbffbz/202302/W020230515591221300736.jpg" \* MERGEFORMATINET </w:instrText>
                  </w:r>
                  <w:r>
                    <w:rPr>
                      <w:rFonts w:hint="default"/>
                      <w:color w:val="auto"/>
                    </w:rPr>
                    <w:fldChar w:fldCharType="separate"/>
                  </w:r>
                  <w:r>
                    <w:rPr>
                      <w:rFonts w:hint="default"/>
                      <w:color w:val="auto"/>
                    </w:rPr>
                    <w:fldChar w:fldCharType="begin"/>
                  </w:r>
                  <w:r>
                    <w:rPr>
                      <w:rFonts w:hint="default"/>
                      <w:color w:val="auto"/>
                    </w:rPr>
                    <w:instrText xml:space="preserve"> INCLUDEPICTURE  "https://www.mee.gov.cn/ywgz/fgbz/bz/bzwb/gthw/wxfwjbffbz/202302/W020230515591221300736.jpg" \* MERGEFORMATINET </w:instrText>
                  </w:r>
                  <w:r>
                    <w:rPr>
                      <w:rFonts w:hint="default"/>
                      <w:color w:val="auto"/>
                    </w:rPr>
                    <w:fldChar w:fldCharType="separate"/>
                  </w:r>
                  <w:r>
                    <w:rPr>
                      <w:rFonts w:hint="default"/>
                      <w:color w:val="auto"/>
                    </w:rPr>
                    <w:fldChar w:fldCharType="begin"/>
                  </w:r>
                  <w:r>
                    <w:rPr>
                      <w:rFonts w:hint="default"/>
                      <w:color w:val="auto"/>
                    </w:rPr>
                    <w:instrText xml:space="preserve"> INCLUDEPICTURE  "https://www.mee.gov.cn/ywgz/fgbz/bz/bzwb/gthw/wxfwjbffbz/202302/W020230515591221300736.jpg" \* MERGEFORMATINET </w:instrText>
                  </w:r>
                  <w:r>
                    <w:rPr>
                      <w:rFonts w:hint="default"/>
                      <w:color w:val="auto"/>
                    </w:rPr>
                    <w:fldChar w:fldCharType="separate"/>
                  </w:r>
                  <w:r>
                    <w:rPr>
                      <w:rFonts w:hint="default"/>
                      <w:color w:val="auto"/>
                    </w:rPr>
                    <w:fldChar w:fldCharType="begin"/>
                  </w:r>
                  <w:r>
                    <w:rPr>
                      <w:rFonts w:hint="default"/>
                      <w:color w:val="auto"/>
                    </w:rPr>
                    <w:instrText xml:space="preserve"> INCLUDEPICTURE  "https://www.mee.gov.cn/ywgz/fgbz/bz/bzwb/gthw/wxfwjbffbz/202302/W020230515591221300736.jpg" \* MERGEFORMATINET </w:instrText>
                  </w:r>
                  <w:r>
                    <w:rPr>
                      <w:rFonts w:hint="default"/>
                      <w:color w:val="auto"/>
                    </w:rPr>
                    <w:fldChar w:fldCharType="separate"/>
                  </w:r>
                  <w:r>
                    <w:rPr>
                      <w:rFonts w:hint="default"/>
                      <w:color w:val="auto"/>
                    </w:rPr>
                    <w:fldChar w:fldCharType="begin"/>
                  </w:r>
                  <w:r>
                    <w:rPr>
                      <w:rFonts w:hint="default"/>
                      <w:color w:val="auto"/>
                    </w:rPr>
                    <w:instrText xml:space="preserve"> INCLUDEPICTURE  "https://www.mee.gov.cn/ywgz/fgbz/bz/bzwb/gthw/wxfwjbffbz/202302/W020230515591221300736.jpg" \* MERGEFORMATINET </w:instrText>
                  </w:r>
                  <w:r>
                    <w:rPr>
                      <w:rFonts w:hint="default"/>
                      <w:color w:val="auto"/>
                    </w:rPr>
                    <w:fldChar w:fldCharType="separate"/>
                  </w:r>
                  <w:r>
                    <w:rPr>
                      <w:rFonts w:hint="default"/>
                      <w:color w:val="auto"/>
                    </w:rPr>
                    <w:drawing>
                      <wp:inline distT="0" distB="0" distL="114300" distR="114300">
                        <wp:extent cx="1791335" cy="1791335"/>
                        <wp:effectExtent l="0" t="0" r="0" b="0"/>
                        <wp:docPr id="175" name="图片 6" descr="W020230515591221300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6" descr="W020230515591221300736"/>
                                <pic:cNvPicPr>
                                  <a:picLocks noChangeAspect="1"/>
                                </pic:cNvPicPr>
                              </pic:nvPicPr>
                              <pic:blipFill>
                                <a:blip r:embed="rId35"/>
                                <a:stretch>
                                  <a:fillRect/>
                                </a:stretch>
                              </pic:blipFill>
                              <pic:spPr>
                                <a:xfrm>
                                  <a:off x="0" y="0"/>
                                  <a:ext cx="1791335" cy="1791335"/>
                                </a:xfrm>
                                <a:prstGeom prst="rect">
                                  <a:avLst/>
                                </a:prstGeom>
                                <a:noFill/>
                                <a:ln>
                                  <a:noFill/>
                                </a:ln>
                              </pic:spPr>
                            </pic:pic>
                          </a:graphicData>
                        </a:graphic>
                      </wp:inline>
                    </w:drawing>
                  </w:r>
                  <w:r>
                    <w:rPr>
                      <w:rFonts w:hint="default"/>
                      <w:color w:val="auto"/>
                    </w:rPr>
                    <w:fldChar w:fldCharType="end"/>
                  </w:r>
                  <w:r>
                    <w:rPr>
                      <w:rFonts w:hint="default"/>
                      <w:color w:val="auto"/>
                    </w:rPr>
                    <w:fldChar w:fldCharType="end"/>
                  </w:r>
                  <w:r>
                    <w:rPr>
                      <w:rFonts w:hint="default"/>
                      <w:color w:val="auto"/>
                    </w:rPr>
                    <w:fldChar w:fldCharType="end"/>
                  </w:r>
                  <w:r>
                    <w:rPr>
                      <w:rFonts w:hint="default"/>
                      <w:color w:val="auto"/>
                    </w:rPr>
                    <w:fldChar w:fldCharType="end"/>
                  </w:r>
                  <w:r>
                    <w:rPr>
                      <w:rFonts w:hint="default"/>
                      <w:color w:val="auto"/>
                    </w:rPr>
                    <w:fldChar w:fldCharType="end"/>
                  </w:r>
                </w:p>
              </w:tc>
              <w:tc>
                <w:tcPr>
                  <w:tcW w:w="4940" w:type="dxa"/>
                  <w:noWrap w:val="0"/>
                  <w:vAlign w:val="center"/>
                </w:tcPr>
                <w:p w14:paraId="503AC27B">
                  <w:pPr>
                    <w:keepNext w:val="0"/>
                    <w:keepLines w:val="0"/>
                    <w:suppressLineNumbers w:val="0"/>
                    <w:spacing w:before="0" w:beforeAutospacing="0" w:after="0" w:afterAutospacing="0"/>
                    <w:ind w:left="0" w:right="0"/>
                    <w:jc w:val="center"/>
                    <w:rPr>
                      <w:rFonts w:hint="default"/>
                      <w:b/>
                      <w:color w:val="auto"/>
                      <w:szCs w:val="20"/>
                    </w:rPr>
                  </w:pPr>
                  <w:r>
                    <w:rPr>
                      <w:rFonts w:hint="eastAsia"/>
                      <w:b/>
                      <w:color w:val="auto"/>
                      <w:szCs w:val="20"/>
                    </w:rPr>
                    <w:t>说明</w:t>
                  </w:r>
                </w:p>
                <w:p w14:paraId="7D67869B">
                  <w:pPr>
                    <w:keepNext w:val="0"/>
                    <w:keepLines w:val="0"/>
                    <w:suppressLineNumbers w:val="0"/>
                    <w:spacing w:before="0" w:beforeAutospacing="0" w:after="0" w:afterAutospacing="0"/>
                    <w:ind w:left="0" w:right="0"/>
                    <w:jc w:val="left"/>
                    <w:rPr>
                      <w:rFonts w:hint="default"/>
                      <w:color w:val="auto"/>
                      <w:szCs w:val="20"/>
                    </w:rPr>
                  </w:pPr>
                  <w:r>
                    <w:rPr>
                      <w:rFonts w:hint="eastAsia"/>
                      <w:color w:val="auto"/>
                      <w:szCs w:val="20"/>
                    </w:rPr>
                    <w:t>1、颜色：背景颜色为黄色，字体和边框颜色为黑色</w:t>
                  </w:r>
                </w:p>
                <w:p w14:paraId="76CCD751">
                  <w:pPr>
                    <w:keepNext w:val="0"/>
                    <w:keepLines w:val="0"/>
                    <w:suppressLineNumbers w:val="0"/>
                    <w:spacing w:before="0" w:beforeAutospacing="0" w:after="0" w:afterAutospacing="0"/>
                    <w:ind w:left="0" w:right="0"/>
                    <w:jc w:val="left"/>
                    <w:rPr>
                      <w:rFonts w:hint="default"/>
                      <w:color w:val="auto"/>
                      <w:szCs w:val="20"/>
                    </w:rPr>
                  </w:pPr>
                  <w:r>
                    <w:rPr>
                      <w:rFonts w:hint="eastAsia"/>
                      <w:color w:val="auto"/>
                      <w:szCs w:val="20"/>
                    </w:rPr>
                    <w:t>2、字体：黑体字</w:t>
                  </w:r>
                </w:p>
                <w:p w14:paraId="6DE9E09E">
                  <w:pPr>
                    <w:keepNext w:val="0"/>
                    <w:keepLines w:val="0"/>
                    <w:suppressLineNumbers w:val="0"/>
                    <w:spacing w:before="0" w:beforeAutospacing="0" w:after="0" w:afterAutospacing="0"/>
                    <w:ind w:left="0" w:right="0"/>
                    <w:jc w:val="left"/>
                    <w:rPr>
                      <w:rFonts w:hint="default"/>
                      <w:color w:val="auto"/>
                      <w:szCs w:val="20"/>
                    </w:rPr>
                  </w:pPr>
                  <w:r>
                    <w:rPr>
                      <w:rFonts w:hint="eastAsia"/>
                      <w:color w:val="auto"/>
                      <w:szCs w:val="20"/>
                    </w:rPr>
                    <w:t>3、标志整体外形最小尺寸：300×300mm</w:t>
                  </w:r>
                </w:p>
                <w:p w14:paraId="1CB501DD">
                  <w:pPr>
                    <w:keepNext w:val="0"/>
                    <w:keepLines w:val="0"/>
                    <w:suppressLineNumbers w:val="0"/>
                    <w:spacing w:before="0" w:beforeAutospacing="0" w:after="0" w:afterAutospacing="0"/>
                    <w:ind w:left="0" w:right="0"/>
                    <w:jc w:val="left"/>
                    <w:rPr>
                      <w:rFonts w:hint="default"/>
                      <w:color w:val="auto"/>
                      <w:szCs w:val="20"/>
                    </w:rPr>
                  </w:pPr>
                  <w:r>
                    <w:rPr>
                      <w:rFonts w:hint="eastAsia"/>
                      <w:color w:val="auto"/>
                      <w:szCs w:val="20"/>
                    </w:rPr>
                    <w:t>4、材质：衬底宜采用坚固耐用的材料，废物贮存种类信息等可采用印刷纸张、不粘胶材质或塑料卡片等，以便固定在衬底上。</w:t>
                  </w:r>
                </w:p>
                <w:p w14:paraId="367FFE3E">
                  <w:pPr>
                    <w:keepNext w:val="0"/>
                    <w:keepLines w:val="0"/>
                    <w:suppressLineNumbers w:val="0"/>
                    <w:spacing w:before="0" w:beforeAutospacing="0" w:after="0" w:afterAutospacing="0"/>
                    <w:ind w:left="0" w:right="0"/>
                    <w:jc w:val="left"/>
                    <w:rPr>
                      <w:rFonts w:hint="default"/>
                      <w:color w:val="auto"/>
                      <w:szCs w:val="20"/>
                    </w:rPr>
                  </w:pPr>
                  <w:r>
                    <w:rPr>
                      <w:rFonts w:hint="eastAsia"/>
                      <w:color w:val="auto"/>
                      <w:szCs w:val="20"/>
                    </w:rPr>
                    <w:t>5、印刷：危险废物贮存分区标志的图形和文字应清晰、完整，保证在足够的观察距离条件下不影响阅读。“危险废物贮存分区标志”字样与其他信息宜加黑色分界线区分，分界线的宽度不小于2mm。</w:t>
                  </w:r>
                </w:p>
              </w:tc>
            </w:tr>
          </w:tbl>
          <w:p w14:paraId="70BA641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sz w:val="24"/>
              </w:rPr>
            </w:pPr>
            <w:r>
              <w:rPr>
                <w:rFonts w:hint="eastAsia" w:ascii="Times New Roman" w:hAnsi="Times New Roman" w:eastAsia="宋体" w:cs="Times New Roman"/>
                <w:color w:val="auto"/>
                <w:sz w:val="24"/>
              </w:rPr>
              <w:t>危险废物</w:t>
            </w:r>
            <w:r>
              <w:rPr>
                <w:rFonts w:hint="eastAsia" w:ascii="Times New Roman" w:hAnsi="Times New Roman" w:eastAsia="宋体" w:cs="Times New Roman"/>
                <w:color w:val="auto"/>
                <w:sz w:val="24"/>
                <w:lang w:val="en-US" w:eastAsia="zh-CN"/>
              </w:rPr>
              <w:t>贮存</w:t>
            </w:r>
            <w:r>
              <w:rPr>
                <w:rFonts w:hint="eastAsia" w:ascii="Times New Roman" w:hAnsi="Times New Roman" w:eastAsia="宋体" w:cs="Times New Roman"/>
                <w:color w:val="auto"/>
                <w:sz w:val="24"/>
              </w:rPr>
              <w:t>库标志牌参考样式见下图：</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7"/>
              <w:gridCol w:w="4143"/>
            </w:tblGrid>
            <w:tr w14:paraId="447E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7" w:type="dxa"/>
                  <w:noWrap w:val="0"/>
                  <w:vAlign w:val="center"/>
                </w:tcPr>
                <w:p w14:paraId="68DE14E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rPr>
                  </w:pPr>
                  <w:r>
                    <w:rPr>
                      <w:rFonts w:hint="default" w:ascii="Times New Roman" w:hAnsi="Times New Roman" w:eastAsia="宋体" w:cs="Times New Roman"/>
                      <w:color w:val="auto"/>
                      <w:szCs w:val="20"/>
                    </w:rPr>
                    <w:drawing>
                      <wp:inline distT="0" distB="0" distL="114300" distR="114300">
                        <wp:extent cx="2266950" cy="1439545"/>
                        <wp:effectExtent l="0" t="0" r="3175" b="5080"/>
                        <wp:docPr id="7" name="图片 7" descr="W020230515591221879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W020230515591221879653"/>
                                <pic:cNvPicPr>
                                  <a:picLocks noChangeAspect="1"/>
                                </pic:cNvPicPr>
                              </pic:nvPicPr>
                              <pic:blipFill>
                                <a:blip r:embed="rId36"/>
                                <a:stretch>
                                  <a:fillRect/>
                                </a:stretch>
                              </pic:blipFill>
                              <pic:spPr>
                                <a:xfrm>
                                  <a:off x="0" y="0"/>
                                  <a:ext cx="2266950" cy="1439545"/>
                                </a:xfrm>
                                <a:prstGeom prst="rect">
                                  <a:avLst/>
                                </a:prstGeom>
                                <a:noFill/>
                                <a:ln>
                                  <a:noFill/>
                                </a:ln>
                              </pic:spPr>
                            </pic:pic>
                          </a:graphicData>
                        </a:graphic>
                      </wp:inline>
                    </w:drawing>
                  </w:r>
                </w:p>
              </w:tc>
              <w:tc>
                <w:tcPr>
                  <w:tcW w:w="4143" w:type="dxa"/>
                  <w:noWrap w:val="0"/>
                  <w:vAlign w:val="center"/>
                </w:tcPr>
                <w:p w14:paraId="1503B4B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0"/>
                    </w:rPr>
                  </w:pPr>
                  <w:r>
                    <w:rPr>
                      <w:rFonts w:hint="default" w:ascii="Times New Roman" w:hAnsi="Times New Roman" w:eastAsia="宋体" w:cs="Times New Roman"/>
                      <w:color w:val="auto"/>
                      <w:szCs w:val="20"/>
                    </w:rPr>
                    <w:drawing>
                      <wp:inline distT="0" distB="0" distL="114300" distR="114300">
                        <wp:extent cx="1308100" cy="2047240"/>
                        <wp:effectExtent l="0" t="0" r="4445" b="0"/>
                        <wp:docPr id="252" name="图片 8" descr="W020230515591222963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8" descr="W020230515591222963411"/>
                                <pic:cNvPicPr>
                                  <a:picLocks noChangeAspect="1"/>
                                </pic:cNvPicPr>
                              </pic:nvPicPr>
                              <pic:blipFill>
                                <a:blip r:embed="rId37"/>
                                <a:stretch>
                                  <a:fillRect/>
                                </a:stretch>
                              </pic:blipFill>
                              <pic:spPr>
                                <a:xfrm>
                                  <a:off x="0" y="0"/>
                                  <a:ext cx="1308100" cy="2047240"/>
                                </a:xfrm>
                                <a:prstGeom prst="rect">
                                  <a:avLst/>
                                </a:prstGeom>
                                <a:noFill/>
                                <a:ln>
                                  <a:noFill/>
                                </a:ln>
                              </pic:spPr>
                            </pic:pic>
                          </a:graphicData>
                        </a:graphic>
                      </wp:inline>
                    </w:drawing>
                  </w:r>
                </w:p>
              </w:tc>
            </w:tr>
            <w:tr w14:paraId="31A3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0" w:type="dxa"/>
                  <w:gridSpan w:val="2"/>
                  <w:noWrap w:val="0"/>
                  <w:vAlign w:val="center"/>
                </w:tcPr>
                <w:p w14:paraId="69AB7F70">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说明</w:t>
                  </w:r>
                </w:p>
                <w:p w14:paraId="09C57902">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1、颜色：背景颜色为黄色，字体和边框为黑色；</w:t>
                  </w:r>
                </w:p>
                <w:p w14:paraId="22F2A397">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2、字体：黑体字</w:t>
                  </w:r>
                </w:p>
                <w:p w14:paraId="342542D8">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3、标志牌整体外形最小尺寸：露天/室外入口900×558mm</w:t>
                  </w:r>
                </w:p>
                <w:p w14:paraId="5EA5A24F">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4、材质：采用坚固耐用的材料（如1.5mm～2mm冷轧钢板），并做搪瓷处理或贴膜处理。标志的图形和文字应清晰、完整，保证在足够的观察距离条件下也不影响阅读。三角形警告性图形与其他信息间宜加黑色分界线区分，分界线的宽度宜不小于3mm。</w:t>
                  </w:r>
                </w:p>
                <w:p w14:paraId="455410D4">
                  <w:pPr>
                    <w:keepNext w:val="0"/>
                    <w:keepLines w:val="0"/>
                    <w:suppressLineNumbers w:val="0"/>
                    <w:spacing w:before="0" w:beforeAutospacing="0" w:after="0" w:afterAutospacing="0"/>
                    <w:ind w:left="0" w:right="0"/>
                    <w:jc w:val="left"/>
                    <w:rPr>
                      <w:rFonts w:hint="default" w:ascii="Times New Roman" w:hAnsi="Times New Roman" w:eastAsia="宋体" w:cs="Times New Roman"/>
                      <w:color w:val="auto"/>
                      <w:szCs w:val="20"/>
                    </w:rPr>
                  </w:pPr>
                  <w:r>
                    <w:rPr>
                      <w:rFonts w:hint="eastAsia" w:ascii="Times New Roman" w:hAnsi="Times New Roman" w:eastAsia="宋体" w:cs="Times New Roman"/>
                      <w:color w:val="auto"/>
                      <w:szCs w:val="20"/>
                    </w:rPr>
                    <w:t>5、可采用横版或竖版的形式</w:t>
                  </w:r>
                </w:p>
              </w:tc>
            </w:tr>
          </w:tbl>
          <w:p w14:paraId="791E6D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w:t>
            </w:r>
            <w:r>
              <w:rPr>
                <w:rFonts w:hint="eastAsia" w:eastAsia="宋体" w:cs="Times New Roman"/>
                <w:b/>
                <w:bCs/>
                <w:color w:val="auto"/>
                <w:kern w:val="2"/>
                <w:sz w:val="21"/>
                <w:szCs w:val="21"/>
                <w:highlight w:val="none"/>
                <w:lang w:val="en-US" w:eastAsia="zh-CN" w:bidi="ar-SA"/>
              </w:rPr>
              <w:t>2</w:t>
            </w:r>
            <w:r>
              <w:rPr>
                <w:rFonts w:hint="default" w:ascii="Times New Roman" w:hAnsi="Times New Roman" w:eastAsia="宋体" w:cs="Times New Roman"/>
                <w:b/>
                <w:bCs/>
                <w:color w:val="auto"/>
                <w:kern w:val="2"/>
                <w:sz w:val="21"/>
                <w:szCs w:val="21"/>
                <w:highlight w:val="none"/>
                <w:lang w:val="en-US" w:eastAsia="zh-CN" w:bidi="ar-SA"/>
              </w:rPr>
              <w:t xml:space="preserve">  项目危险废物汇总情况</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898"/>
              <w:gridCol w:w="3057"/>
              <w:gridCol w:w="3405"/>
            </w:tblGrid>
            <w:tr w14:paraId="7D8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306" w:hRule="atLeast"/>
                <w:jc w:val="center"/>
              </w:trPr>
              <w:tc>
                <w:tcPr>
                  <w:tcW w:w="1135" w:type="pct"/>
                  <w:tcBorders>
                    <w:tl2br w:val="nil"/>
                    <w:tr2bl w:val="nil"/>
                  </w:tcBorders>
                  <w:shd w:val="clear" w:color="auto" w:fill="auto"/>
                  <w:noWrap w:val="0"/>
                  <w:vAlign w:val="center"/>
                </w:tcPr>
                <w:p w14:paraId="6BC03D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危险废物名称</w:t>
                  </w:r>
                </w:p>
              </w:tc>
              <w:tc>
                <w:tcPr>
                  <w:tcW w:w="1828" w:type="pct"/>
                  <w:tcBorders>
                    <w:tl2br w:val="nil"/>
                    <w:tr2bl w:val="nil"/>
                  </w:tcBorders>
                  <w:shd w:val="clear" w:color="auto" w:fill="auto"/>
                  <w:noWrap w:val="0"/>
                  <w:vAlign w:val="center"/>
                </w:tcPr>
                <w:p w14:paraId="7C590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废</w:t>
                  </w:r>
                  <w:r>
                    <w:rPr>
                      <w:rFonts w:hint="eastAsia" w:ascii="Times New Roman" w:hAnsi="Times New Roman" w:eastAsia="宋体" w:cs="Times New Roman"/>
                      <w:color w:val="auto"/>
                      <w:highlight w:val="none"/>
                      <w:lang w:val="en-US" w:eastAsia="zh-CN"/>
                    </w:rPr>
                    <w:t>矿物油</w:t>
                  </w:r>
                </w:p>
              </w:tc>
              <w:tc>
                <w:tcPr>
                  <w:tcW w:w="2036" w:type="pct"/>
                  <w:tcBorders>
                    <w:tl2br w:val="nil"/>
                    <w:tr2bl w:val="nil"/>
                  </w:tcBorders>
                  <w:shd w:val="clear" w:color="auto" w:fill="auto"/>
                  <w:noWrap w:val="0"/>
                  <w:vAlign w:val="center"/>
                </w:tcPr>
                <w:p w14:paraId="594E8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废</w:t>
                  </w:r>
                  <w:r>
                    <w:rPr>
                      <w:rFonts w:hint="eastAsia" w:ascii="Times New Roman" w:hAnsi="Times New Roman" w:eastAsia="宋体" w:cs="Times New Roman"/>
                      <w:color w:val="auto"/>
                      <w:highlight w:val="none"/>
                      <w:lang w:val="en-US" w:eastAsia="zh-CN"/>
                    </w:rPr>
                    <w:t>油桶</w:t>
                  </w:r>
                </w:p>
              </w:tc>
            </w:tr>
            <w:tr w14:paraId="63F3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1A7445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危险废物类别</w:t>
                  </w:r>
                </w:p>
              </w:tc>
              <w:tc>
                <w:tcPr>
                  <w:tcW w:w="1828" w:type="pct"/>
                  <w:tcBorders>
                    <w:tl2br w:val="nil"/>
                    <w:tr2bl w:val="nil"/>
                  </w:tcBorders>
                  <w:shd w:val="clear" w:color="auto" w:fill="auto"/>
                  <w:noWrap w:val="0"/>
                  <w:vAlign w:val="center"/>
                </w:tcPr>
                <w:p w14:paraId="596D41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HW08</w:t>
                  </w:r>
                </w:p>
              </w:tc>
              <w:tc>
                <w:tcPr>
                  <w:tcW w:w="2036" w:type="pct"/>
                  <w:tcBorders>
                    <w:tl2br w:val="nil"/>
                    <w:tr2bl w:val="nil"/>
                  </w:tcBorders>
                  <w:shd w:val="clear" w:color="auto" w:fill="auto"/>
                  <w:noWrap w:val="0"/>
                  <w:vAlign w:val="center"/>
                </w:tcPr>
                <w:p w14:paraId="045030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HW</w:t>
                  </w:r>
                  <w:r>
                    <w:rPr>
                      <w:rFonts w:hint="eastAsia" w:cs="Times New Roman"/>
                      <w:color w:val="auto"/>
                      <w:highlight w:val="none"/>
                      <w:lang w:val="en-US" w:eastAsia="zh-CN"/>
                    </w:rPr>
                    <w:t>08</w:t>
                  </w:r>
                </w:p>
              </w:tc>
            </w:tr>
            <w:tr w14:paraId="5517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0A1D28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危险废物代码</w:t>
                  </w:r>
                </w:p>
              </w:tc>
              <w:tc>
                <w:tcPr>
                  <w:tcW w:w="1828" w:type="pct"/>
                  <w:tcBorders>
                    <w:tl2br w:val="nil"/>
                    <w:tr2bl w:val="nil"/>
                  </w:tcBorders>
                  <w:shd w:val="clear" w:color="auto" w:fill="auto"/>
                  <w:noWrap w:val="0"/>
                  <w:vAlign w:val="center"/>
                </w:tcPr>
                <w:p w14:paraId="76F0C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900-2</w:t>
                  </w:r>
                  <w:r>
                    <w:rPr>
                      <w:rFonts w:hint="eastAsia" w:cs="Times New Roman"/>
                      <w:color w:val="auto"/>
                      <w:highlight w:val="none"/>
                      <w:lang w:val="en-US" w:eastAsia="zh-CN"/>
                    </w:rPr>
                    <w:t>49</w:t>
                  </w:r>
                  <w:r>
                    <w:rPr>
                      <w:rFonts w:hint="default" w:ascii="Times New Roman" w:hAnsi="Times New Roman" w:eastAsia="宋体" w:cs="Times New Roman"/>
                      <w:color w:val="auto"/>
                      <w:highlight w:val="none"/>
                    </w:rPr>
                    <w:t>-08</w:t>
                  </w:r>
                </w:p>
              </w:tc>
              <w:tc>
                <w:tcPr>
                  <w:tcW w:w="2036" w:type="pct"/>
                  <w:tcBorders>
                    <w:tl2br w:val="nil"/>
                    <w:tr2bl w:val="nil"/>
                  </w:tcBorders>
                  <w:shd w:val="clear" w:color="auto" w:fill="auto"/>
                  <w:noWrap w:val="0"/>
                  <w:vAlign w:val="center"/>
                </w:tcPr>
                <w:p w14:paraId="3850EA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900-2</w:t>
                  </w:r>
                  <w:r>
                    <w:rPr>
                      <w:rFonts w:hint="eastAsia" w:cs="Times New Roman"/>
                      <w:color w:val="auto"/>
                      <w:highlight w:val="none"/>
                      <w:lang w:val="en-US" w:eastAsia="zh-CN"/>
                    </w:rPr>
                    <w:t>49</w:t>
                  </w:r>
                  <w:r>
                    <w:rPr>
                      <w:rFonts w:hint="default" w:ascii="Times New Roman" w:hAnsi="Times New Roman" w:eastAsia="宋体" w:cs="Times New Roman"/>
                      <w:color w:val="auto"/>
                      <w:highlight w:val="none"/>
                    </w:rPr>
                    <w:t>-08</w:t>
                  </w:r>
                </w:p>
              </w:tc>
            </w:tr>
            <w:tr w14:paraId="66CCA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033330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产生量</w:t>
                  </w:r>
                  <w:r>
                    <w:rPr>
                      <w:rFonts w:hint="eastAsia" w:cs="Times New Roman"/>
                      <w:color w:val="auto"/>
                      <w:highlight w:val="none"/>
                      <w:lang w:eastAsia="zh-CN"/>
                    </w:rPr>
                    <w:t>（</w:t>
                  </w:r>
                  <w:r>
                    <w:rPr>
                      <w:rFonts w:hint="eastAsia" w:cs="Times New Roman"/>
                      <w:color w:val="auto"/>
                      <w:highlight w:val="none"/>
                      <w:lang w:val="en-US" w:eastAsia="zh-CN"/>
                    </w:rPr>
                    <w:t>t/a</w:t>
                  </w:r>
                  <w:r>
                    <w:rPr>
                      <w:rFonts w:hint="eastAsia" w:cs="Times New Roman"/>
                      <w:color w:val="auto"/>
                      <w:highlight w:val="none"/>
                      <w:lang w:eastAsia="zh-CN"/>
                    </w:rPr>
                    <w:t>）</w:t>
                  </w:r>
                </w:p>
              </w:tc>
              <w:tc>
                <w:tcPr>
                  <w:tcW w:w="1828" w:type="pct"/>
                  <w:tcBorders>
                    <w:tl2br w:val="nil"/>
                    <w:tr2bl w:val="nil"/>
                  </w:tcBorders>
                  <w:shd w:val="clear" w:color="auto" w:fill="auto"/>
                  <w:noWrap w:val="0"/>
                  <w:vAlign w:val="center"/>
                </w:tcPr>
                <w:p w14:paraId="5B4A6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0.</w:t>
                  </w:r>
                  <w:r>
                    <w:rPr>
                      <w:rFonts w:hint="eastAsia" w:ascii="Times New Roman" w:hAnsi="Times New Roman" w:cs="Times New Roman"/>
                      <w:color w:val="auto"/>
                      <w:highlight w:val="none"/>
                      <w:lang w:val="en-US" w:eastAsia="zh-CN"/>
                    </w:rPr>
                    <w:t>1</w:t>
                  </w:r>
                </w:p>
              </w:tc>
              <w:tc>
                <w:tcPr>
                  <w:tcW w:w="2036" w:type="pct"/>
                  <w:tcBorders>
                    <w:tl2br w:val="nil"/>
                    <w:tr2bl w:val="nil"/>
                  </w:tcBorders>
                  <w:shd w:val="clear" w:color="auto" w:fill="auto"/>
                  <w:noWrap w:val="0"/>
                  <w:vAlign w:val="center"/>
                </w:tcPr>
                <w:p w14:paraId="3012C4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0.0</w:t>
                  </w:r>
                  <w:r>
                    <w:rPr>
                      <w:rFonts w:hint="eastAsia" w:cs="Times New Roman"/>
                      <w:color w:val="auto"/>
                      <w:highlight w:val="none"/>
                      <w:lang w:val="en-US" w:eastAsia="zh-CN"/>
                    </w:rPr>
                    <w:t>5</w:t>
                  </w:r>
                </w:p>
              </w:tc>
            </w:tr>
            <w:tr w14:paraId="5A41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42D2E9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产生工序及装置</w:t>
                  </w:r>
                </w:p>
              </w:tc>
              <w:tc>
                <w:tcPr>
                  <w:tcW w:w="1828" w:type="pct"/>
                  <w:tcBorders>
                    <w:tl2br w:val="nil"/>
                    <w:tr2bl w:val="nil"/>
                  </w:tcBorders>
                  <w:shd w:val="clear" w:color="auto" w:fill="auto"/>
                  <w:noWrap w:val="0"/>
                  <w:vAlign w:val="center"/>
                </w:tcPr>
                <w:p w14:paraId="6524E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生产工艺及设备维护</w:t>
                  </w:r>
                </w:p>
              </w:tc>
              <w:tc>
                <w:tcPr>
                  <w:tcW w:w="2036" w:type="pct"/>
                  <w:tcBorders>
                    <w:tl2br w:val="nil"/>
                    <w:tr2bl w:val="nil"/>
                  </w:tcBorders>
                  <w:shd w:val="clear" w:color="auto" w:fill="auto"/>
                  <w:noWrap w:val="0"/>
                  <w:vAlign w:val="center"/>
                </w:tcPr>
                <w:p w14:paraId="25B13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生产工艺及设备维护</w:t>
                  </w:r>
                </w:p>
              </w:tc>
            </w:tr>
            <w:tr w14:paraId="0308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03CA7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形态</w:t>
                  </w:r>
                </w:p>
              </w:tc>
              <w:tc>
                <w:tcPr>
                  <w:tcW w:w="1828" w:type="pct"/>
                  <w:tcBorders>
                    <w:tl2br w:val="nil"/>
                    <w:tr2bl w:val="nil"/>
                  </w:tcBorders>
                  <w:shd w:val="clear" w:color="auto" w:fill="auto"/>
                  <w:noWrap w:val="0"/>
                  <w:vAlign w:val="center"/>
                </w:tcPr>
                <w:p w14:paraId="73461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液态</w:t>
                  </w:r>
                </w:p>
              </w:tc>
              <w:tc>
                <w:tcPr>
                  <w:tcW w:w="2036" w:type="pct"/>
                  <w:tcBorders>
                    <w:tl2br w:val="nil"/>
                    <w:tr2bl w:val="nil"/>
                  </w:tcBorders>
                  <w:shd w:val="clear" w:color="auto" w:fill="auto"/>
                  <w:noWrap w:val="0"/>
                  <w:vAlign w:val="center"/>
                </w:tcPr>
                <w:p w14:paraId="25A46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固态</w:t>
                  </w:r>
                </w:p>
              </w:tc>
            </w:tr>
            <w:tr w14:paraId="7E19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101E8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主要成分</w:t>
                  </w:r>
                </w:p>
              </w:tc>
              <w:tc>
                <w:tcPr>
                  <w:tcW w:w="1828" w:type="pct"/>
                  <w:tcBorders>
                    <w:tl2br w:val="nil"/>
                    <w:tr2bl w:val="nil"/>
                  </w:tcBorders>
                  <w:shd w:val="clear" w:color="auto" w:fill="auto"/>
                  <w:noWrap w:val="0"/>
                  <w:vAlign w:val="center"/>
                </w:tcPr>
                <w:p w14:paraId="1D44E9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矿物油</w:t>
                  </w:r>
                </w:p>
              </w:tc>
              <w:tc>
                <w:tcPr>
                  <w:tcW w:w="2036" w:type="pct"/>
                  <w:tcBorders>
                    <w:tl2br w:val="nil"/>
                    <w:tr2bl w:val="nil"/>
                  </w:tcBorders>
                  <w:shd w:val="clear" w:color="auto" w:fill="auto"/>
                  <w:noWrap w:val="0"/>
                  <w:vAlign w:val="center"/>
                </w:tcPr>
                <w:p w14:paraId="034176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矿物油</w:t>
                  </w:r>
                </w:p>
              </w:tc>
            </w:tr>
            <w:tr w14:paraId="0EAF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2B0AB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有害成分</w:t>
                  </w:r>
                </w:p>
              </w:tc>
              <w:tc>
                <w:tcPr>
                  <w:tcW w:w="1828" w:type="pct"/>
                  <w:tcBorders>
                    <w:tl2br w:val="nil"/>
                    <w:tr2bl w:val="nil"/>
                  </w:tcBorders>
                  <w:shd w:val="clear" w:color="auto" w:fill="auto"/>
                  <w:noWrap w:val="0"/>
                  <w:vAlign w:val="center"/>
                </w:tcPr>
                <w:p w14:paraId="132E7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矿物油</w:t>
                  </w:r>
                </w:p>
              </w:tc>
              <w:tc>
                <w:tcPr>
                  <w:tcW w:w="2036" w:type="pct"/>
                  <w:tcBorders>
                    <w:tl2br w:val="nil"/>
                    <w:tr2bl w:val="nil"/>
                  </w:tcBorders>
                  <w:shd w:val="clear" w:color="auto" w:fill="auto"/>
                  <w:noWrap w:val="0"/>
                  <w:vAlign w:val="center"/>
                </w:tcPr>
                <w:p w14:paraId="7AAB1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矿物油</w:t>
                  </w:r>
                </w:p>
              </w:tc>
            </w:tr>
            <w:tr w14:paraId="61274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5E9DB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产废周期</w:t>
                  </w:r>
                </w:p>
              </w:tc>
              <w:tc>
                <w:tcPr>
                  <w:tcW w:w="1828" w:type="pct"/>
                  <w:tcBorders>
                    <w:tl2br w:val="nil"/>
                    <w:tr2bl w:val="nil"/>
                  </w:tcBorders>
                  <w:shd w:val="clear" w:color="auto" w:fill="auto"/>
                  <w:noWrap w:val="0"/>
                  <w:vAlign w:val="center"/>
                </w:tcPr>
                <w:p w14:paraId="59928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2月</w:t>
                  </w:r>
                </w:p>
              </w:tc>
              <w:tc>
                <w:tcPr>
                  <w:tcW w:w="2036" w:type="pct"/>
                  <w:tcBorders>
                    <w:tl2br w:val="nil"/>
                    <w:tr2bl w:val="nil"/>
                  </w:tcBorders>
                  <w:shd w:val="clear" w:color="auto" w:fill="auto"/>
                  <w:noWrap w:val="0"/>
                  <w:vAlign w:val="center"/>
                </w:tcPr>
                <w:p w14:paraId="2D61E3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1月</w:t>
                  </w:r>
                </w:p>
              </w:tc>
            </w:tr>
            <w:tr w14:paraId="4F12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11374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危险特性</w:t>
                  </w:r>
                </w:p>
              </w:tc>
              <w:tc>
                <w:tcPr>
                  <w:tcW w:w="1828" w:type="pct"/>
                  <w:tcBorders>
                    <w:tl2br w:val="nil"/>
                    <w:tr2bl w:val="nil"/>
                  </w:tcBorders>
                  <w:shd w:val="clear" w:color="auto" w:fill="auto"/>
                  <w:noWrap w:val="0"/>
                  <w:vAlign w:val="center"/>
                </w:tcPr>
                <w:p w14:paraId="697BC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T、I</w:t>
                  </w:r>
                </w:p>
              </w:tc>
              <w:tc>
                <w:tcPr>
                  <w:tcW w:w="2036" w:type="pct"/>
                  <w:tcBorders>
                    <w:tl2br w:val="nil"/>
                    <w:tr2bl w:val="nil"/>
                  </w:tcBorders>
                  <w:shd w:val="clear" w:color="auto" w:fill="auto"/>
                  <w:noWrap w:val="0"/>
                  <w:vAlign w:val="center"/>
                </w:tcPr>
                <w:p w14:paraId="520D7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T</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rPr>
                    <w:t>I</w:t>
                  </w:r>
                </w:p>
              </w:tc>
            </w:tr>
            <w:tr w14:paraId="692B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4D5069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储存周期</w:t>
                  </w:r>
                </w:p>
              </w:tc>
              <w:tc>
                <w:tcPr>
                  <w:tcW w:w="1828" w:type="pct"/>
                  <w:tcBorders>
                    <w:tl2br w:val="nil"/>
                    <w:tr2bl w:val="nil"/>
                  </w:tcBorders>
                  <w:shd w:val="clear" w:color="auto" w:fill="auto"/>
                  <w:noWrap w:val="0"/>
                  <w:vAlign w:val="center"/>
                </w:tcPr>
                <w:p w14:paraId="26710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1年</w:t>
                  </w:r>
                </w:p>
              </w:tc>
              <w:tc>
                <w:tcPr>
                  <w:tcW w:w="2036" w:type="pct"/>
                  <w:tcBorders>
                    <w:tl2br w:val="nil"/>
                    <w:tr2bl w:val="nil"/>
                  </w:tcBorders>
                  <w:shd w:val="clear" w:color="auto" w:fill="auto"/>
                  <w:noWrap w:val="0"/>
                  <w:vAlign w:val="center"/>
                </w:tcPr>
                <w:p w14:paraId="1F528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1年</w:t>
                  </w:r>
                </w:p>
              </w:tc>
            </w:tr>
            <w:tr w14:paraId="4882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633690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储存方式</w:t>
                  </w:r>
                </w:p>
              </w:tc>
              <w:tc>
                <w:tcPr>
                  <w:tcW w:w="1828" w:type="pct"/>
                  <w:tcBorders>
                    <w:tl2br w:val="nil"/>
                    <w:tr2bl w:val="nil"/>
                  </w:tcBorders>
                  <w:shd w:val="clear" w:color="auto" w:fill="auto"/>
                  <w:noWrap w:val="0"/>
                  <w:vAlign w:val="center"/>
                </w:tcPr>
                <w:p w14:paraId="2CFC4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密闭废油桶，置于防渗托盘上</w:t>
                  </w:r>
                </w:p>
              </w:tc>
              <w:tc>
                <w:tcPr>
                  <w:tcW w:w="2036" w:type="pct"/>
                  <w:tcBorders>
                    <w:tl2br w:val="nil"/>
                    <w:tr2bl w:val="nil"/>
                  </w:tcBorders>
                  <w:shd w:val="clear" w:color="auto" w:fill="auto"/>
                  <w:noWrap w:val="0"/>
                  <w:vAlign w:val="center"/>
                </w:tcPr>
                <w:p w14:paraId="78040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置于防渗托盘上</w:t>
                  </w:r>
                </w:p>
              </w:tc>
            </w:tr>
            <w:tr w14:paraId="6DA1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6" w:hRule="atLeast"/>
                <w:jc w:val="center"/>
              </w:trPr>
              <w:tc>
                <w:tcPr>
                  <w:tcW w:w="1135" w:type="pct"/>
                  <w:tcBorders>
                    <w:tl2br w:val="nil"/>
                    <w:tr2bl w:val="nil"/>
                  </w:tcBorders>
                  <w:shd w:val="clear" w:color="auto" w:fill="auto"/>
                  <w:noWrap w:val="0"/>
                  <w:vAlign w:val="center"/>
                </w:tcPr>
                <w:p w14:paraId="46234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处置方式</w:t>
                  </w:r>
                </w:p>
              </w:tc>
              <w:tc>
                <w:tcPr>
                  <w:tcW w:w="3864" w:type="pct"/>
                  <w:gridSpan w:val="2"/>
                  <w:tcBorders>
                    <w:tl2br w:val="nil"/>
                    <w:tr2bl w:val="nil"/>
                  </w:tcBorders>
                  <w:shd w:val="clear" w:color="auto" w:fill="auto"/>
                  <w:noWrap w:val="0"/>
                  <w:vAlign w:val="center"/>
                </w:tcPr>
                <w:p w14:paraId="1EF187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1"/>
                      <w:szCs w:val="21"/>
                      <w:highlight w:val="none"/>
                    </w:rPr>
                    <w:t>收集至</w:t>
                  </w:r>
                  <w:r>
                    <w:rPr>
                      <w:rFonts w:hint="eastAsia" w:cs="Times New Roman"/>
                      <w:color w:val="auto"/>
                      <w:kern w:val="0"/>
                      <w:sz w:val="21"/>
                      <w:szCs w:val="21"/>
                      <w:highlight w:val="none"/>
                      <w:lang w:val="en-US" w:eastAsia="zh-CN"/>
                    </w:rPr>
                    <w:t>厂区内</w:t>
                  </w:r>
                  <w:r>
                    <w:rPr>
                      <w:rFonts w:hint="eastAsia" w:cs="Times New Roman"/>
                      <w:color w:val="auto"/>
                      <w:kern w:val="0"/>
                      <w:sz w:val="21"/>
                      <w:szCs w:val="21"/>
                      <w:highlight w:val="none"/>
                      <w:lang w:eastAsia="zh-CN"/>
                    </w:rPr>
                    <w:t>危废贮存点</w:t>
                  </w:r>
                  <w:r>
                    <w:rPr>
                      <w:rFonts w:hint="default" w:ascii="Times New Roman" w:hAnsi="Times New Roman" w:eastAsia="宋体" w:cs="Times New Roman"/>
                      <w:color w:val="auto"/>
                      <w:kern w:val="0"/>
                      <w:sz w:val="21"/>
                      <w:szCs w:val="21"/>
                      <w:highlight w:val="none"/>
                    </w:rPr>
                    <w:t>内</w:t>
                  </w:r>
                  <w:r>
                    <w:rPr>
                      <w:rFonts w:hint="eastAsia" w:ascii="Times New Roman" w:hAnsi="Times New Roman" w:eastAsia="宋体" w:cs="Times New Roman"/>
                      <w:color w:val="auto"/>
                      <w:kern w:val="0"/>
                      <w:sz w:val="21"/>
                      <w:szCs w:val="21"/>
                      <w:highlight w:val="none"/>
                      <w:lang w:val="en-US" w:eastAsia="zh-CN"/>
                    </w:rPr>
                    <w:t>分区贮存</w:t>
                  </w:r>
                  <w:r>
                    <w:rPr>
                      <w:rFonts w:hint="default" w:ascii="Times New Roman" w:hAnsi="Times New Roman" w:eastAsia="宋体" w:cs="Times New Roman"/>
                      <w:color w:val="auto"/>
                      <w:kern w:val="0"/>
                      <w:sz w:val="21"/>
                      <w:szCs w:val="21"/>
                      <w:highlight w:val="none"/>
                    </w:rPr>
                    <w:t>，定期交由有资质的单位处置</w:t>
                  </w:r>
                </w:p>
              </w:tc>
            </w:tr>
          </w:tbl>
          <w:p w14:paraId="03B37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bCs/>
                <w:color w:val="auto"/>
                <w:sz w:val="24"/>
              </w:rPr>
            </w:pPr>
            <w:r>
              <w:rPr>
                <w:rFonts w:hint="default"/>
                <w:bCs/>
                <w:color w:val="auto"/>
                <w:sz w:val="24"/>
              </w:rPr>
              <w:t>综上所述，本项目所产生的固体废物均得到了综合利用或合理处置，对周围环境影响较小。</w:t>
            </w:r>
          </w:p>
          <w:p w14:paraId="284A5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z w:val="24"/>
                <w:szCs w:val="24"/>
                <w:highlight w:val="none"/>
              </w:rPr>
            </w:pPr>
            <w:r>
              <w:rPr>
                <w:rFonts w:hint="eastAsia" w:cs="Times New Roman"/>
                <w:b/>
                <w:color w:val="auto"/>
                <w:sz w:val="24"/>
                <w:szCs w:val="24"/>
                <w:highlight w:val="none"/>
                <w:lang w:val="en-US" w:eastAsia="zh-CN"/>
              </w:rPr>
              <w:t>4.9</w:t>
            </w:r>
            <w:r>
              <w:rPr>
                <w:rFonts w:hint="eastAsia" w:ascii="Times New Roman" w:hAnsi="Times New Roman" w:eastAsia="宋体" w:cs="Times New Roman"/>
                <w:b/>
                <w:color w:val="auto"/>
                <w:sz w:val="24"/>
                <w:szCs w:val="24"/>
                <w:highlight w:val="none"/>
                <w:lang w:val="en-US" w:eastAsia="zh-CN"/>
              </w:rPr>
              <w:t>地下水</w:t>
            </w:r>
            <w:r>
              <w:rPr>
                <w:rFonts w:hint="eastAsia"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土壤</w:t>
            </w:r>
          </w:p>
          <w:p w14:paraId="5A399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color w:val="auto"/>
                <w:sz w:val="24"/>
                <w:szCs w:val="24"/>
                <w:highlight w:val="none"/>
                <w:lang w:val="en-US" w:eastAsia="zh-CN"/>
              </w:rPr>
              <w:t>4.9.</w:t>
            </w:r>
            <w:r>
              <w:rPr>
                <w:rFonts w:hint="eastAsia" w:ascii="Times New Roman" w:hAnsi="Times New Roman" w:eastAsia="宋体" w:cs="Times New Roman"/>
                <w:b/>
                <w:bCs/>
                <w:color w:val="auto"/>
                <w:sz w:val="24"/>
                <w:highlight w:val="none"/>
                <w:lang w:val="en-US" w:eastAsia="zh-CN"/>
              </w:rPr>
              <w:t>1</w:t>
            </w:r>
            <w:r>
              <w:rPr>
                <w:rFonts w:hint="default" w:ascii="Times New Roman" w:hAnsi="Times New Roman" w:eastAsia="宋体" w:cs="Times New Roman"/>
                <w:b/>
                <w:bCs/>
                <w:color w:val="auto"/>
                <w:sz w:val="24"/>
                <w:highlight w:val="none"/>
              </w:rPr>
              <w:t>污染源</w:t>
            </w:r>
            <w:r>
              <w:rPr>
                <w:rFonts w:hint="default" w:ascii="Times New Roman" w:hAnsi="Times New Roman" w:eastAsia="宋体" w:cs="Times New Roman"/>
                <w:b/>
                <w:bCs/>
                <w:color w:val="auto"/>
                <w:sz w:val="24"/>
                <w:highlight w:val="none"/>
                <w:lang w:val="en-US" w:eastAsia="zh-CN"/>
              </w:rPr>
              <w:t>和污染途径</w:t>
            </w:r>
          </w:p>
          <w:p w14:paraId="6BC11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eastAsia"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本项目运营期废水主要为</w:t>
            </w:r>
            <w:r>
              <w:rPr>
                <w:rFonts w:hint="eastAsia" w:cs="Times New Roman"/>
                <w:bCs/>
                <w:color w:val="auto"/>
                <w:sz w:val="24"/>
                <w:highlight w:val="none"/>
                <w:lang w:val="en-US" w:eastAsia="zh-CN"/>
              </w:rPr>
              <w:t>生活污水、</w:t>
            </w:r>
            <w:r>
              <w:rPr>
                <w:rFonts w:hint="eastAsia" w:ascii="Times New Roman" w:hAnsi="Times New Roman" w:eastAsia="宋体" w:cs="Times New Roman"/>
                <w:bCs/>
                <w:color w:val="auto"/>
                <w:sz w:val="24"/>
                <w:highlight w:val="none"/>
                <w:lang w:val="en-US" w:eastAsia="zh-CN"/>
              </w:rPr>
              <w:t>洗车废水</w:t>
            </w:r>
            <w:r>
              <w:rPr>
                <w:rFonts w:hint="default" w:ascii="Times New Roman" w:hAnsi="Times New Roman" w:eastAsia="宋体" w:cs="Times New Roman"/>
                <w:bCs/>
                <w:color w:val="auto"/>
                <w:sz w:val="24"/>
                <w:highlight w:val="none"/>
                <w:lang w:val="en-US" w:eastAsia="zh-CN"/>
              </w:rPr>
              <w:t>，废水水质复杂程度属简单</w:t>
            </w:r>
            <w:r>
              <w:rPr>
                <w:rFonts w:hint="eastAsia" w:cs="Times New Roman"/>
                <w:bCs/>
                <w:color w:val="auto"/>
                <w:sz w:val="24"/>
                <w:highlight w:val="none"/>
                <w:lang w:val="en-US" w:eastAsia="zh-CN"/>
              </w:rPr>
              <w:t>，生活污水排入厂区旱厕定时清掏，不外排；</w:t>
            </w:r>
            <w:r>
              <w:rPr>
                <w:rFonts w:hint="eastAsia" w:ascii="Times New Roman" w:hAnsi="Times New Roman" w:eastAsia="宋体" w:cs="Times New Roman"/>
                <w:bCs/>
                <w:color w:val="auto"/>
                <w:sz w:val="24"/>
                <w:highlight w:val="none"/>
                <w:lang w:val="en-US" w:eastAsia="zh-CN"/>
              </w:rPr>
              <w:t>洗车废水</w:t>
            </w:r>
            <w:r>
              <w:rPr>
                <w:rFonts w:hint="eastAsia" w:cs="Times New Roman"/>
                <w:bCs/>
                <w:color w:val="auto"/>
                <w:sz w:val="24"/>
                <w:highlight w:val="none"/>
                <w:lang w:val="en-US" w:eastAsia="zh-CN"/>
              </w:rPr>
              <w:t>经</w:t>
            </w:r>
            <w:r>
              <w:rPr>
                <w:rFonts w:hint="eastAsia" w:ascii="Times New Roman" w:hAnsi="Times New Roman" w:eastAsia="宋体" w:cs="Times New Roman"/>
                <w:bCs/>
                <w:color w:val="auto"/>
                <w:sz w:val="24"/>
                <w:highlight w:val="none"/>
                <w:lang w:val="en-US" w:eastAsia="zh-CN"/>
              </w:rPr>
              <w:t>沉淀池沉淀处理后，回用至洗车工序，循环使用，不</w:t>
            </w:r>
            <w:r>
              <w:rPr>
                <w:rFonts w:hint="eastAsia" w:cs="Times New Roman"/>
                <w:bCs/>
                <w:color w:val="auto"/>
                <w:sz w:val="24"/>
                <w:highlight w:val="none"/>
                <w:lang w:val="en-US" w:eastAsia="zh-CN"/>
              </w:rPr>
              <w:t>外排。</w:t>
            </w:r>
          </w:p>
          <w:p w14:paraId="7E41D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因此</w:t>
            </w:r>
            <w:r>
              <w:rPr>
                <w:rFonts w:hint="eastAsia" w:ascii="Times New Roman" w:hAnsi="Times New Roman" w:eastAsia="宋体"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本项目土壤</w:t>
            </w:r>
            <w:r>
              <w:rPr>
                <w:rFonts w:hint="eastAsia" w:ascii="Times New Roman" w:hAnsi="Times New Roman" w:eastAsia="宋体" w:cs="Times New Roman"/>
                <w:bCs/>
                <w:color w:val="auto"/>
                <w:sz w:val="24"/>
                <w:highlight w:val="none"/>
                <w:lang w:val="en-US" w:eastAsia="zh-CN"/>
              </w:rPr>
              <w:t>、</w:t>
            </w:r>
            <w:r>
              <w:rPr>
                <w:rFonts w:hint="default" w:ascii="Times New Roman" w:hAnsi="Times New Roman" w:eastAsia="宋体" w:cs="Times New Roman"/>
                <w:bCs/>
                <w:color w:val="auto"/>
                <w:sz w:val="24"/>
                <w:highlight w:val="none"/>
                <w:lang w:val="en-US" w:eastAsia="zh-CN"/>
              </w:rPr>
              <w:t>地下水</w:t>
            </w:r>
            <w:r>
              <w:rPr>
                <w:rFonts w:hint="eastAsia" w:ascii="Times New Roman" w:hAnsi="Times New Roman" w:eastAsia="宋体" w:cs="Times New Roman"/>
                <w:bCs/>
                <w:color w:val="auto"/>
                <w:sz w:val="24"/>
                <w:highlight w:val="none"/>
                <w:lang w:val="en-US" w:eastAsia="zh-CN"/>
              </w:rPr>
              <w:t>污染途径</w:t>
            </w:r>
            <w:r>
              <w:rPr>
                <w:rFonts w:hint="default" w:ascii="Times New Roman" w:hAnsi="Times New Roman" w:eastAsia="宋体" w:cs="Times New Roman"/>
                <w:bCs/>
                <w:color w:val="auto"/>
                <w:sz w:val="24"/>
                <w:highlight w:val="none"/>
                <w:lang w:val="en-US" w:eastAsia="zh-CN"/>
              </w:rPr>
              <w:t>主要为</w:t>
            </w:r>
            <w:r>
              <w:rPr>
                <w:rFonts w:hint="eastAsia" w:ascii="Times New Roman" w:hAnsi="Times New Roman" w:eastAsia="宋体" w:cs="Times New Roman"/>
                <w:bCs/>
                <w:color w:val="auto"/>
                <w:sz w:val="24"/>
                <w:highlight w:val="none"/>
                <w:lang w:val="en-US" w:eastAsia="zh-CN"/>
              </w:rPr>
              <w:t>危废贮存</w:t>
            </w:r>
            <w:r>
              <w:rPr>
                <w:rFonts w:hint="eastAsia" w:cs="Times New Roman"/>
                <w:bCs/>
                <w:color w:val="auto"/>
                <w:sz w:val="24"/>
                <w:highlight w:val="none"/>
                <w:lang w:val="en-US" w:eastAsia="zh-CN"/>
              </w:rPr>
              <w:t>点内</w:t>
            </w:r>
            <w:r>
              <w:rPr>
                <w:rFonts w:hint="eastAsia" w:ascii="Times New Roman" w:hAnsi="Times New Roman" w:eastAsia="宋体" w:cs="Times New Roman"/>
                <w:bCs/>
                <w:color w:val="auto"/>
                <w:sz w:val="24"/>
                <w:highlight w:val="none"/>
                <w:lang w:val="en-US" w:eastAsia="zh-CN"/>
              </w:rPr>
              <w:t>地面防渗结构发生破损且包装出现开裂或倾覆</w:t>
            </w:r>
            <w:r>
              <w:rPr>
                <w:rFonts w:hint="default" w:ascii="Times New Roman" w:hAnsi="Times New Roman" w:eastAsia="宋体" w:cs="Times New Roman"/>
                <w:bCs/>
                <w:color w:val="auto"/>
                <w:sz w:val="24"/>
                <w:highlight w:val="none"/>
                <w:lang w:val="en-US" w:eastAsia="zh-CN"/>
              </w:rPr>
              <w:t>造成的</w:t>
            </w:r>
            <w:r>
              <w:rPr>
                <w:rFonts w:hint="eastAsia" w:ascii="Times New Roman" w:hAnsi="Times New Roman" w:eastAsia="宋体" w:cs="Times New Roman"/>
                <w:bCs/>
                <w:color w:val="auto"/>
                <w:sz w:val="24"/>
                <w:highlight w:val="none"/>
                <w:lang w:val="en-US" w:eastAsia="zh-CN"/>
              </w:rPr>
              <w:t>废矿物油</w:t>
            </w:r>
            <w:r>
              <w:rPr>
                <w:rFonts w:hint="default" w:ascii="Times New Roman" w:hAnsi="Times New Roman" w:eastAsia="宋体" w:cs="Times New Roman"/>
                <w:bCs/>
                <w:color w:val="auto"/>
                <w:sz w:val="24"/>
                <w:highlight w:val="none"/>
                <w:lang w:val="en-US" w:eastAsia="zh-CN"/>
              </w:rPr>
              <w:t>泄漏，主要成分为石油类。污染物经土层运移至含水层进而下渗污染土壤、地下水，会对区域土壤及地下水造成影响。</w:t>
            </w:r>
          </w:p>
          <w:p w14:paraId="4A47D0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bCs/>
                <w:color w:val="auto"/>
                <w:sz w:val="24"/>
                <w:highlight w:val="none"/>
                <w:lang w:val="en-US" w:eastAsia="zh-CN"/>
              </w:rPr>
            </w:pPr>
            <w:r>
              <w:rPr>
                <w:rFonts w:hint="eastAsia" w:cs="Times New Roman"/>
                <w:b/>
                <w:color w:val="auto"/>
                <w:sz w:val="24"/>
                <w:szCs w:val="24"/>
                <w:highlight w:val="none"/>
                <w:lang w:val="en-US" w:eastAsia="zh-CN"/>
              </w:rPr>
              <w:t>4.9.</w:t>
            </w:r>
            <w:r>
              <w:rPr>
                <w:rFonts w:hint="eastAsia" w:ascii="Times New Roman" w:hAnsi="Times New Roman" w:eastAsia="宋体" w:cs="Times New Roman"/>
                <w:b/>
                <w:bCs/>
                <w:color w:val="auto"/>
                <w:sz w:val="24"/>
                <w:highlight w:val="none"/>
                <w:lang w:val="en-US" w:eastAsia="zh-CN"/>
              </w:rPr>
              <w:t>2防控措施</w:t>
            </w:r>
          </w:p>
          <w:p w14:paraId="1B2F287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污染防治措施针对项目可能发生的地下水、土壤污染，本项目按照分区防控的要求提出了以下的防控措施：</w:t>
            </w:r>
          </w:p>
          <w:p w14:paraId="0145D99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eastAsia" w:ascii="Times New Roman" w:hAnsi="Times New Roman" w:cs="Times New Roman"/>
                <w:i w:val="0"/>
                <w:iCs w:val="0"/>
                <w:caps w:val="0"/>
                <w:color w:val="auto"/>
                <w:spacing w:val="0"/>
                <w:kern w:val="0"/>
                <w:sz w:val="24"/>
                <w:szCs w:val="24"/>
                <w:shd w:val="clear" w:color="auto" w:fill="FFFFFF"/>
                <w:lang w:val="en-US" w:eastAsia="zh-CN" w:bidi="ar"/>
              </w:rPr>
              <w:t>（1）</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厂区防渗分区及要求</w:t>
            </w:r>
          </w:p>
          <w:p w14:paraId="1143444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对厂区可能泄漏污染物的污染区地面进行防渗处理，并及时地将泄漏</w:t>
            </w:r>
            <w:r>
              <w:rPr>
                <w:rFonts w:hint="eastAsia"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渗漏的污染物收集起来进行处理，可有效</w:t>
            </w:r>
            <w:r>
              <w:rPr>
                <w:rFonts w:hint="eastAsia" w:cs="Times New Roman"/>
                <w:i w:val="0"/>
                <w:iCs w:val="0"/>
                <w:caps w:val="0"/>
                <w:color w:val="auto"/>
                <w:spacing w:val="0"/>
                <w:kern w:val="0"/>
                <w:sz w:val="24"/>
                <w:szCs w:val="24"/>
                <w:shd w:val="clear" w:color="auto" w:fill="FFFFFF"/>
                <w:lang w:val="en-US" w:eastAsia="zh-CN" w:bidi="ar"/>
              </w:rPr>
              <w:t>防止</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洒落地面的污染物渗入地下根据防渗参照的标准和规范，结合目前施工过程中的可操作性和技术水平针对不同的防渗区域采用的防渗措施如下</w:t>
            </w:r>
            <w:r>
              <w:rPr>
                <w:rFonts w:hint="eastAsia" w:cs="Times New Roman"/>
                <w:i w:val="0"/>
                <w:iCs w:val="0"/>
                <w:caps w:val="0"/>
                <w:color w:val="auto"/>
                <w:spacing w:val="0"/>
                <w:kern w:val="0"/>
                <w:sz w:val="24"/>
                <w:szCs w:val="24"/>
                <w:shd w:val="clear" w:color="auto" w:fill="FFFFFF"/>
                <w:lang w:val="en-US" w:eastAsia="zh-CN" w:bidi="ar"/>
              </w:rPr>
              <w:t>：</w:t>
            </w:r>
          </w:p>
          <w:p w14:paraId="53148C0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eastAsia" w:ascii="Times New Roman" w:hAnsi="Times New Roman" w:cs="Times New Roman"/>
                <w:i w:val="0"/>
                <w:iCs w:val="0"/>
                <w:caps w:val="0"/>
                <w:color w:val="auto"/>
                <w:spacing w:val="0"/>
                <w:kern w:val="0"/>
                <w:sz w:val="24"/>
                <w:szCs w:val="24"/>
                <w:shd w:val="clear" w:color="auto" w:fill="FFFFFF"/>
                <w:lang w:val="en-US" w:eastAsia="zh-CN" w:bidi="ar"/>
              </w:rPr>
              <w:t>1）</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重点污染防治区</w:t>
            </w:r>
          </w:p>
          <w:p w14:paraId="367026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主要为危废</w:t>
            </w:r>
            <w:r>
              <w:rPr>
                <w:rFonts w:hint="eastAsia" w:ascii="Times New Roman" w:hAnsi="Times New Roman" w:eastAsia="宋体" w:cs="Times New Roman"/>
                <w:i w:val="0"/>
                <w:iCs w:val="0"/>
                <w:caps w:val="0"/>
                <w:color w:val="auto"/>
                <w:spacing w:val="0"/>
                <w:kern w:val="0"/>
                <w:sz w:val="24"/>
                <w:szCs w:val="24"/>
                <w:shd w:val="clear" w:color="auto" w:fill="FFFFFF"/>
                <w:lang w:val="en-US" w:eastAsia="zh-CN" w:bidi="ar"/>
              </w:rPr>
              <w:t>贮存点</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，防渗标准参照《环境影响评价技术导则 地下水环境》</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HJ610-2016</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中关于重点防渗区的要求</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color w:val="auto"/>
                <w:kern w:val="2"/>
                <w:sz w:val="24"/>
                <w:szCs w:val="24"/>
              </w:rPr>
              <w:t>至少2mm厚高密度聚乙烯，</w:t>
            </w:r>
            <w:r>
              <w:rPr>
                <w:rFonts w:hint="default" w:ascii="Times New Roman" w:hAnsi="Times New Roman" w:eastAsia="宋体" w:cs="Times New Roman"/>
                <w:color w:val="auto"/>
                <w:kern w:val="2"/>
                <w:sz w:val="24"/>
                <w:szCs w:val="24"/>
                <w:lang w:val="en-US" w:eastAsia="zh-CN"/>
              </w:rPr>
              <w:t>等效黏土防渗层Mb</w:t>
            </w:r>
            <w:r>
              <w:rPr>
                <w:rFonts w:hint="eastAsia" w:cs="Times New Roman"/>
                <w:color w:val="auto"/>
                <w:kern w:val="2"/>
                <w:sz w:val="24"/>
                <w:szCs w:val="24"/>
                <w:lang w:val="en-US" w:eastAsia="zh-CN"/>
              </w:rPr>
              <w:t>≥6.0</w:t>
            </w:r>
            <w:r>
              <w:rPr>
                <w:rFonts w:hint="default" w:ascii="Times New Roman" w:hAnsi="Times New Roman" w:eastAsia="宋体" w:cs="Times New Roman"/>
                <w:color w:val="auto"/>
                <w:kern w:val="2"/>
                <w:sz w:val="24"/>
                <w:szCs w:val="24"/>
                <w:lang w:val="en-US" w:eastAsia="zh-CN"/>
              </w:rPr>
              <w:t>m，</w:t>
            </w:r>
            <w:r>
              <w:rPr>
                <w:rFonts w:hint="default" w:ascii="Times New Roman" w:hAnsi="Times New Roman" w:eastAsia="宋体" w:cs="Times New Roman"/>
                <w:color w:val="auto"/>
                <w:kern w:val="2"/>
                <w:sz w:val="24"/>
                <w:szCs w:val="24"/>
              </w:rPr>
              <w:t>渗透系数K</w:t>
            </w:r>
            <w:r>
              <w:rPr>
                <w:rFonts w:hint="eastAsia" w:ascii="宋体" w:hAnsi="宋体" w:eastAsia="宋体" w:cs="宋体"/>
                <w:color w:val="auto"/>
                <w:kern w:val="2"/>
                <w:sz w:val="24"/>
                <w:szCs w:val="24"/>
              </w:rPr>
              <w:t>≤</w:t>
            </w:r>
            <w:r>
              <w:rPr>
                <w:rFonts w:hint="default" w:ascii="Times New Roman" w:hAnsi="Times New Roman" w:eastAsia="宋体" w:cs="Times New Roman"/>
                <w:color w:val="auto"/>
                <w:kern w:val="2"/>
                <w:sz w:val="24"/>
                <w:szCs w:val="24"/>
              </w:rPr>
              <w:t>1×10</w:t>
            </w:r>
            <w:r>
              <w:rPr>
                <w:rFonts w:hint="default" w:ascii="Times New Roman" w:hAnsi="Times New Roman" w:eastAsia="宋体" w:cs="Times New Roman"/>
                <w:color w:val="auto"/>
                <w:kern w:val="2"/>
                <w:sz w:val="24"/>
                <w:szCs w:val="24"/>
                <w:vertAlign w:val="superscript"/>
              </w:rPr>
              <w:t>-</w:t>
            </w:r>
            <w:r>
              <w:rPr>
                <w:rFonts w:hint="eastAsia" w:cs="Times New Roman"/>
                <w:color w:val="auto"/>
                <w:kern w:val="2"/>
                <w:sz w:val="24"/>
                <w:szCs w:val="24"/>
                <w:vertAlign w:val="superscript"/>
                <w:lang w:val="en-US" w:eastAsia="zh-CN"/>
              </w:rPr>
              <w:t>7</w:t>
            </w:r>
            <w:r>
              <w:rPr>
                <w:rFonts w:hint="default" w:ascii="Times New Roman" w:hAnsi="Times New Roman" w:eastAsia="宋体" w:cs="Times New Roman"/>
                <w:color w:val="auto"/>
                <w:kern w:val="2"/>
                <w:sz w:val="24"/>
                <w:szCs w:val="24"/>
              </w:rPr>
              <w:t>cm/s</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p>
          <w:p w14:paraId="226E7AB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eastAsia" w:ascii="Times New Roman" w:hAnsi="Times New Roman" w:cs="Times New Roman"/>
                <w:i w:val="0"/>
                <w:iCs w:val="0"/>
                <w:caps w:val="0"/>
                <w:color w:val="auto"/>
                <w:spacing w:val="0"/>
                <w:kern w:val="0"/>
                <w:sz w:val="24"/>
                <w:szCs w:val="24"/>
                <w:shd w:val="clear" w:color="auto" w:fill="FFFFFF"/>
                <w:lang w:val="en-US" w:eastAsia="zh-CN" w:bidi="ar"/>
              </w:rPr>
              <w:t>2）</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一般防渗区</w:t>
            </w:r>
          </w:p>
          <w:p w14:paraId="6DBB9BA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主要为</w:t>
            </w:r>
            <w:r>
              <w:rPr>
                <w:rFonts w:hint="eastAsia" w:ascii="Times New Roman" w:hAnsi="Times New Roman" w:cs="Times New Roman"/>
                <w:i w:val="0"/>
                <w:iCs w:val="0"/>
                <w:caps w:val="0"/>
                <w:color w:val="auto"/>
                <w:spacing w:val="0"/>
                <w:kern w:val="0"/>
                <w:sz w:val="24"/>
                <w:szCs w:val="24"/>
                <w:highlight w:val="none"/>
                <w:shd w:val="clear" w:color="auto" w:fill="FFFFFF"/>
                <w:lang w:val="en-US" w:eastAsia="zh-CN" w:bidi="ar"/>
              </w:rPr>
              <w:t>生产车间</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w:t>
            </w:r>
            <w:r>
              <w:rPr>
                <w:rFonts w:hint="eastAsia" w:cs="Times New Roman"/>
                <w:i w:val="0"/>
                <w:iCs w:val="0"/>
                <w:caps w:val="0"/>
                <w:color w:val="auto"/>
                <w:spacing w:val="0"/>
                <w:kern w:val="0"/>
                <w:sz w:val="24"/>
                <w:szCs w:val="24"/>
                <w:highlight w:val="none"/>
                <w:shd w:val="clear" w:color="auto" w:fill="FFFFFF"/>
                <w:lang w:val="en-US" w:eastAsia="zh-CN" w:bidi="ar"/>
              </w:rPr>
              <w:t>洗车平台</w:t>
            </w:r>
            <w:r>
              <w:rPr>
                <w:rFonts w:hint="default" w:ascii="Times New Roman" w:hAnsi="Times New Roman" w:eastAsia="宋体" w:cs="Times New Roman"/>
                <w:i w:val="0"/>
                <w:iCs w:val="0"/>
                <w:caps w:val="0"/>
                <w:color w:val="auto"/>
                <w:spacing w:val="0"/>
                <w:kern w:val="0"/>
                <w:sz w:val="24"/>
                <w:szCs w:val="24"/>
                <w:highlight w:val="none"/>
                <w:shd w:val="clear" w:color="auto" w:fill="FFFFFF"/>
                <w:lang w:val="en-US" w:eastAsia="zh-CN" w:bidi="ar"/>
              </w:rPr>
              <w:t>沉淀池、初期雨水收集池等，</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防渗标准参照《环境影响评价技术导则 地下水环境》</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HJ610-2016</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中关于一般防渗区的要求</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等效黏土防渗层Mb</w:t>
            </w:r>
            <w:r>
              <w:rPr>
                <w:rFonts w:hint="eastAsia" w:cs="Times New Roman"/>
                <w:color w:val="auto"/>
                <w:kern w:val="2"/>
                <w:sz w:val="24"/>
                <w:szCs w:val="24"/>
                <w:lang w:val="en-US" w:eastAsia="zh-CN"/>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1.5m，</w:t>
            </w:r>
            <w:r>
              <w:rPr>
                <w:rFonts w:hint="default" w:ascii="Times New Roman" w:hAnsi="Times New Roman" w:eastAsia="宋体" w:cs="Times New Roman"/>
                <w:color w:val="auto"/>
                <w:kern w:val="2"/>
                <w:sz w:val="24"/>
                <w:szCs w:val="24"/>
              </w:rPr>
              <w:t>渗透系数</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K</w:t>
            </w:r>
            <w:r>
              <w:rPr>
                <w:rFonts w:hint="eastAsia" w:cs="Times New Roman"/>
                <w:i w:val="0"/>
                <w:iCs w:val="0"/>
                <w:caps w:val="0"/>
                <w:color w:val="auto"/>
                <w:spacing w:val="0"/>
                <w:kern w:val="0"/>
                <w:sz w:val="24"/>
                <w:szCs w:val="24"/>
                <w:shd w:val="clear" w:color="auto" w:fill="FFFFFF"/>
                <w:lang w:val="en-US" w:eastAsia="zh-CN" w:bidi="ar"/>
              </w:rPr>
              <w:t>≤1</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0</w:t>
            </w:r>
            <w:r>
              <w:rPr>
                <w:rFonts w:hint="default" w:ascii="Times New Roman" w:hAnsi="Times New Roman" w:eastAsia="宋体" w:cs="Times New Roman"/>
                <w:i w:val="0"/>
                <w:iCs w:val="0"/>
                <w:caps w:val="0"/>
                <w:color w:val="auto"/>
                <w:spacing w:val="0"/>
                <w:kern w:val="0"/>
                <w:sz w:val="24"/>
                <w:szCs w:val="24"/>
                <w:shd w:val="clear" w:color="auto" w:fill="FFFFFF"/>
                <w:vertAlign w:val="superscript"/>
                <w:lang w:val="en-US" w:eastAsia="zh-CN" w:bidi="ar"/>
              </w:rPr>
              <w:t>-7</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cm/s</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p>
          <w:p w14:paraId="581FE9C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eastAsia" w:ascii="Times New Roman" w:hAnsi="Times New Roman" w:cs="Times New Roman"/>
                <w:i w:val="0"/>
                <w:iCs w:val="0"/>
                <w:caps w:val="0"/>
                <w:color w:val="auto"/>
                <w:spacing w:val="0"/>
                <w:kern w:val="0"/>
                <w:sz w:val="24"/>
                <w:szCs w:val="24"/>
                <w:shd w:val="clear" w:color="auto" w:fill="FFFFFF"/>
                <w:lang w:val="en-US" w:eastAsia="zh-CN" w:bidi="ar"/>
              </w:rPr>
              <w:t>3）</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简单防渗区</w:t>
            </w:r>
          </w:p>
          <w:p w14:paraId="4225298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厂区道路全部采用</w:t>
            </w:r>
            <w:r>
              <w:rPr>
                <w:rFonts w:hint="eastAsia" w:cs="Times New Roman"/>
                <w:i w:val="0"/>
                <w:iCs w:val="0"/>
                <w:caps w:val="0"/>
                <w:color w:val="auto"/>
                <w:spacing w:val="0"/>
                <w:kern w:val="0"/>
                <w:sz w:val="24"/>
                <w:szCs w:val="24"/>
                <w:shd w:val="clear" w:color="auto" w:fill="FFFFFF"/>
                <w:lang w:val="en-US" w:eastAsia="zh-CN" w:bidi="ar"/>
              </w:rPr>
              <w:t>一般地面</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硬化</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p>
          <w:p w14:paraId="1F522EC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eastAsia" w:cs="Times New Roman"/>
                <w:i w:val="0"/>
                <w:iCs w:val="0"/>
                <w:caps w:val="0"/>
                <w:color w:val="auto"/>
                <w:spacing w:val="0"/>
                <w:kern w:val="0"/>
                <w:sz w:val="24"/>
                <w:szCs w:val="24"/>
                <w:shd w:val="clear" w:color="auto" w:fill="FFFFFF"/>
                <w:lang w:val="en-US" w:eastAsia="zh-CN" w:bidi="ar"/>
              </w:rPr>
              <w:t>2</w:t>
            </w:r>
            <w:r>
              <w:rPr>
                <w:rFonts w:hint="eastAsia" w:ascii="Times New Roman" w:hAnsi="Times New Roman" w:cs="Times New Roman"/>
                <w:i w:val="0"/>
                <w:iCs w:val="0"/>
                <w:caps w:val="0"/>
                <w:color w:val="auto"/>
                <w:spacing w:val="0"/>
                <w:kern w:val="0"/>
                <w:sz w:val="24"/>
                <w:szCs w:val="24"/>
                <w:shd w:val="clear" w:color="auto" w:fill="FFFFFF"/>
                <w:lang w:val="en-US" w:eastAsia="zh-CN" w:bidi="ar"/>
              </w:rPr>
              <w:t>）</w:t>
            </w: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防渗效果的保证性要求</w:t>
            </w:r>
          </w:p>
          <w:p w14:paraId="304930A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kinsoku/>
              <w:wordWrap/>
              <w:overflowPunct/>
              <w:topLinePunct w:val="0"/>
              <w:autoSpaceDE/>
              <w:autoSpaceDN/>
              <w:bidi w:val="0"/>
              <w:adjustRightInd/>
              <w:snapToGrid/>
              <w:spacing w:before="0" w:beforeAutospacing="0" w:after="0" w:afterAutospacing="0" w:line="480" w:lineRule="exact"/>
              <w:ind w:left="0" w:leftChars="0" w:right="0" w:rightChars="0" w:firstLine="480" w:firstLineChars="200"/>
              <w:jc w:val="both"/>
              <w:textAlignment w:val="auto"/>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pPr>
            <w:r>
              <w:rPr>
                <w:rFonts w:hint="default" w:ascii="Times New Roman" w:hAnsi="Times New Roman" w:eastAsia="宋体" w:cs="Times New Roman"/>
                <w:i w:val="0"/>
                <w:iCs w:val="0"/>
                <w:caps w:val="0"/>
                <w:color w:val="auto"/>
                <w:spacing w:val="0"/>
                <w:kern w:val="0"/>
                <w:sz w:val="24"/>
                <w:szCs w:val="24"/>
                <w:shd w:val="clear" w:color="auto" w:fill="FFFFFF"/>
                <w:lang w:val="en-US" w:eastAsia="zh-CN" w:bidi="ar"/>
              </w:rPr>
              <w:t>本次评价要求建设单位加强环保措施的运行管理，保证其稳定运行，降低气态污染物的排放，同时加强车间地面维护工作，防止地面出现裂缝等，降低污染物入渗对地下水环境的影响。</w:t>
            </w:r>
            <w:r>
              <w:rPr>
                <w:rFonts w:hint="eastAsia" w:cs="Times New Roman"/>
                <w:i w:val="0"/>
                <w:iCs w:val="0"/>
                <w:caps w:val="0"/>
                <w:color w:val="auto"/>
                <w:spacing w:val="0"/>
                <w:kern w:val="0"/>
                <w:sz w:val="24"/>
                <w:szCs w:val="24"/>
                <w:shd w:val="clear" w:color="auto" w:fill="FFFFFF"/>
                <w:lang w:val="en-US" w:eastAsia="zh-CN" w:bidi="ar"/>
              </w:rPr>
              <w:t>本项目分区防渗见附图3。</w:t>
            </w:r>
          </w:p>
          <w:p w14:paraId="0B67F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.9-1</w:t>
            </w:r>
            <w:r>
              <w:rPr>
                <w:rFonts w:hint="default" w:ascii="Times New Roman" w:hAnsi="Times New Roman" w:eastAsia="宋体" w:cs="Times New Roman"/>
                <w:b/>
                <w:bCs/>
                <w:color w:val="auto"/>
                <w:kern w:val="2"/>
                <w:sz w:val="21"/>
                <w:szCs w:val="21"/>
                <w:highlight w:val="none"/>
                <w:lang w:val="en-US" w:eastAsia="zh-CN" w:bidi="ar-SA"/>
              </w:rPr>
              <w:t xml:space="preserve">  防渗分区及防渗要求情况表</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1"/>
              <w:gridCol w:w="1574"/>
              <w:gridCol w:w="1589"/>
              <w:gridCol w:w="3866"/>
            </w:tblGrid>
            <w:tr w14:paraId="7737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6" w:type="pct"/>
                  <w:tcBorders>
                    <w:tl2br w:val="nil"/>
                    <w:tr2bl w:val="nil"/>
                  </w:tcBorders>
                  <w:vAlign w:val="center"/>
                </w:tcPr>
                <w:p w14:paraId="462F063E">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Cs w:val="22"/>
                      <w:highlight w:val="none"/>
                      <w:lang w:val="en-US" w:eastAsia="zh-CN"/>
                    </w:rPr>
                  </w:pPr>
                  <w:r>
                    <w:rPr>
                      <w:rFonts w:hint="default" w:ascii="Times New Roman" w:hAnsi="Times New Roman" w:eastAsia="宋体" w:cs="Times New Roman"/>
                      <w:b/>
                      <w:bCs/>
                      <w:color w:val="auto"/>
                      <w:szCs w:val="22"/>
                      <w:highlight w:val="none"/>
                      <w:lang w:val="en-US" w:eastAsia="zh-CN"/>
                    </w:rPr>
                    <w:t>防渗分区</w:t>
                  </w:r>
                </w:p>
              </w:tc>
              <w:tc>
                <w:tcPr>
                  <w:tcW w:w="941" w:type="pct"/>
                  <w:tcBorders>
                    <w:tl2br w:val="nil"/>
                    <w:tr2bl w:val="nil"/>
                  </w:tcBorders>
                  <w:vAlign w:val="center"/>
                </w:tcPr>
                <w:p w14:paraId="08704217">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Cs w:val="22"/>
                      <w:highlight w:val="none"/>
                      <w:lang w:val="en-US" w:eastAsia="zh-CN"/>
                    </w:rPr>
                  </w:pPr>
                  <w:r>
                    <w:rPr>
                      <w:rFonts w:hint="eastAsia" w:ascii="Times New Roman" w:hAnsi="Times New Roman" w:eastAsia="宋体" w:cs="Times New Roman"/>
                      <w:b/>
                      <w:bCs/>
                      <w:color w:val="auto"/>
                      <w:szCs w:val="22"/>
                      <w:highlight w:val="none"/>
                      <w:lang w:val="en-US" w:eastAsia="zh-CN"/>
                    </w:rPr>
                    <w:t>防渗区域</w:t>
                  </w:r>
                </w:p>
              </w:tc>
              <w:tc>
                <w:tcPr>
                  <w:tcW w:w="950" w:type="pct"/>
                  <w:tcBorders>
                    <w:tl2br w:val="nil"/>
                    <w:tr2bl w:val="nil"/>
                  </w:tcBorders>
                  <w:vAlign w:val="center"/>
                </w:tcPr>
                <w:p w14:paraId="1BA6EB3A">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Cs w:val="22"/>
                      <w:highlight w:val="none"/>
                      <w:lang w:val="en-US" w:eastAsia="zh-CN"/>
                    </w:rPr>
                  </w:pPr>
                  <w:r>
                    <w:rPr>
                      <w:rFonts w:hint="default" w:ascii="Times New Roman" w:hAnsi="Times New Roman" w:eastAsia="宋体" w:cs="Times New Roman"/>
                      <w:b/>
                      <w:bCs/>
                      <w:color w:val="auto"/>
                      <w:szCs w:val="22"/>
                      <w:highlight w:val="none"/>
                      <w:lang w:val="en-US" w:eastAsia="zh-CN"/>
                    </w:rPr>
                    <w:t>防渗要求</w:t>
                  </w:r>
                </w:p>
              </w:tc>
              <w:tc>
                <w:tcPr>
                  <w:tcW w:w="2312" w:type="pct"/>
                  <w:tcBorders>
                    <w:tl2br w:val="nil"/>
                    <w:tr2bl w:val="nil"/>
                  </w:tcBorders>
                  <w:vAlign w:val="center"/>
                </w:tcPr>
                <w:p w14:paraId="32B588AA">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Cs w:val="22"/>
                      <w:highlight w:val="none"/>
                      <w:lang w:val="en-US" w:eastAsia="zh-CN"/>
                    </w:rPr>
                  </w:pPr>
                  <w:r>
                    <w:rPr>
                      <w:rFonts w:hint="default" w:ascii="Times New Roman" w:hAnsi="Times New Roman" w:eastAsia="宋体" w:cs="Times New Roman"/>
                      <w:b/>
                      <w:bCs/>
                      <w:color w:val="auto"/>
                      <w:sz w:val="21"/>
                      <w:szCs w:val="21"/>
                    </w:rPr>
                    <w:t>采取的防渗处理措施</w:t>
                  </w:r>
                </w:p>
              </w:tc>
            </w:tr>
            <w:tr w14:paraId="4203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96" w:type="pct"/>
                  <w:tcBorders>
                    <w:tl2br w:val="nil"/>
                    <w:tr2bl w:val="nil"/>
                  </w:tcBorders>
                  <w:vAlign w:val="center"/>
                </w:tcPr>
                <w:p w14:paraId="580B2D9A">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重点防渗区</w:t>
                  </w:r>
                </w:p>
              </w:tc>
              <w:tc>
                <w:tcPr>
                  <w:tcW w:w="941" w:type="pct"/>
                  <w:tcBorders>
                    <w:tl2br w:val="nil"/>
                    <w:tr2bl w:val="nil"/>
                  </w:tcBorders>
                  <w:vAlign w:val="center"/>
                </w:tcPr>
                <w:p w14:paraId="0FD1165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危废贮存点</w:t>
                  </w:r>
                </w:p>
              </w:tc>
              <w:tc>
                <w:tcPr>
                  <w:tcW w:w="950" w:type="pct"/>
                  <w:tcBorders>
                    <w:tl2br w:val="nil"/>
                    <w:tr2bl w:val="nil"/>
                  </w:tcBorders>
                  <w:vAlign w:val="center"/>
                </w:tcPr>
                <w:p w14:paraId="293BD48D">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2"/>
                      <w:highlight w:val="none"/>
                      <w:lang w:val="en-US" w:eastAsia="zh-CN" w:bidi="ar-SA"/>
                    </w:rPr>
                  </w:pPr>
                  <w:r>
                    <w:rPr>
                      <w:rFonts w:hint="eastAsia" w:ascii="Times New Roman" w:hAnsi="Times New Roman" w:eastAsia="宋体" w:cs="Times New Roman"/>
                      <w:color w:val="auto"/>
                      <w:spacing w:val="0"/>
                      <w:szCs w:val="22"/>
                      <w:highlight w:val="none"/>
                      <w:lang w:val="en-US" w:eastAsia="zh-CN"/>
                    </w:rPr>
                    <w:t>等效黏土防渗层Mb≥6.0m，</w:t>
                  </w:r>
                  <w:r>
                    <w:rPr>
                      <w:rFonts w:hint="default" w:ascii="Times New Roman" w:hAnsi="Times New Roman" w:eastAsia="宋体" w:cs="Times New Roman"/>
                      <w:color w:val="auto"/>
                      <w:kern w:val="2"/>
                      <w:sz w:val="21"/>
                      <w:szCs w:val="21"/>
                    </w:rPr>
                    <w:t>渗透系数K</w:t>
                  </w:r>
                  <w:r>
                    <w:rPr>
                      <w:rFonts w:hint="eastAsia" w:ascii="宋体" w:hAnsi="宋体" w:eastAsia="宋体" w:cs="宋体"/>
                      <w:color w:val="auto"/>
                      <w:kern w:val="2"/>
                      <w:sz w:val="21"/>
                      <w:szCs w:val="21"/>
                    </w:rPr>
                    <w:t>≤</w:t>
                  </w:r>
                  <w:r>
                    <w:rPr>
                      <w:rFonts w:hint="default" w:ascii="Times New Roman" w:hAnsi="Times New Roman" w:eastAsia="宋体" w:cs="Times New Roman"/>
                      <w:color w:val="auto"/>
                      <w:kern w:val="2"/>
                      <w:sz w:val="21"/>
                      <w:szCs w:val="21"/>
                    </w:rPr>
                    <w:t>1×10</w:t>
                  </w:r>
                  <w:r>
                    <w:rPr>
                      <w:rFonts w:hint="default" w:ascii="Times New Roman" w:hAnsi="Times New Roman" w:eastAsia="宋体" w:cs="Times New Roman"/>
                      <w:color w:val="auto"/>
                      <w:kern w:val="2"/>
                      <w:sz w:val="21"/>
                      <w:szCs w:val="21"/>
                      <w:vertAlign w:val="superscript"/>
                    </w:rPr>
                    <w:t>-</w:t>
                  </w:r>
                  <w:r>
                    <w:rPr>
                      <w:rFonts w:hint="eastAsia" w:ascii="Times New Roman" w:hAnsi="Times New Roman" w:eastAsia="宋体" w:cs="Times New Roman"/>
                      <w:color w:val="auto"/>
                      <w:kern w:val="2"/>
                      <w:sz w:val="21"/>
                      <w:szCs w:val="21"/>
                      <w:vertAlign w:val="superscript"/>
                      <w:lang w:val="en-US" w:eastAsia="zh-CN"/>
                    </w:rPr>
                    <w:t>7</w:t>
                  </w:r>
                  <w:r>
                    <w:rPr>
                      <w:rFonts w:hint="default" w:ascii="Times New Roman" w:hAnsi="Times New Roman" w:eastAsia="宋体" w:cs="Times New Roman"/>
                      <w:color w:val="auto"/>
                      <w:kern w:val="2"/>
                      <w:sz w:val="21"/>
                      <w:szCs w:val="21"/>
                    </w:rPr>
                    <w:t>cm/s</w:t>
                  </w:r>
                </w:p>
              </w:tc>
              <w:tc>
                <w:tcPr>
                  <w:tcW w:w="2312" w:type="pct"/>
                  <w:tcBorders>
                    <w:tl2br w:val="nil"/>
                    <w:tr2bl w:val="nil"/>
                  </w:tcBorders>
                  <w:vAlign w:val="center"/>
                </w:tcPr>
                <w:p w14:paraId="62556B6A">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Times New Roman"/>
                      <w:color w:val="auto"/>
                      <w:spacing w:val="0"/>
                      <w:szCs w:val="22"/>
                      <w:highlight w:val="none"/>
                      <w:lang w:val="en-US" w:eastAsia="zh-CN"/>
                    </w:rPr>
                  </w:pPr>
                  <w:r>
                    <w:rPr>
                      <w:rFonts w:hint="default" w:ascii="Times New Roman" w:hAnsi="Times New Roman" w:eastAsia="宋体" w:cs="Times New Roman"/>
                      <w:color w:val="auto"/>
                      <w:sz w:val="21"/>
                      <w:szCs w:val="21"/>
                      <w:lang w:val="en-US" w:eastAsia="zh-CN"/>
                    </w:rPr>
                    <w:t>地面</w:t>
                  </w:r>
                  <w:r>
                    <w:rPr>
                      <w:rFonts w:hint="eastAsia" w:cs="Times New Roman"/>
                      <w:color w:val="auto"/>
                      <w:sz w:val="21"/>
                      <w:szCs w:val="21"/>
                      <w:lang w:val="en-US" w:eastAsia="zh-CN"/>
                    </w:rPr>
                    <w:t>应做</w:t>
                  </w:r>
                  <w:r>
                    <w:rPr>
                      <w:rFonts w:hint="default" w:ascii="Times New Roman" w:hAnsi="Times New Roman" w:eastAsia="宋体" w:cs="Times New Roman"/>
                      <w:color w:val="auto"/>
                      <w:sz w:val="21"/>
                      <w:szCs w:val="21"/>
                      <w:lang w:val="en-US" w:eastAsia="zh-CN"/>
                    </w:rPr>
                    <w:t>厚C20混凝土</w:t>
                  </w:r>
                  <w:r>
                    <w:rPr>
                      <w:rFonts w:hint="eastAsia" w:ascii="Times New Roman" w:hAnsi="Times New Roman" w:cs="Times New Roman"/>
                      <w:color w:val="auto"/>
                      <w:sz w:val="21"/>
                      <w:szCs w:val="21"/>
                      <w:lang w:val="en-US" w:eastAsia="zh-CN"/>
                    </w:rPr>
                    <w:t>硬化</w:t>
                  </w:r>
                  <w:r>
                    <w:rPr>
                      <w:rFonts w:hint="default" w:ascii="Times New Roman" w:hAnsi="Times New Roman" w:eastAsia="宋体" w:cs="Times New Roman"/>
                      <w:color w:val="auto"/>
                      <w:sz w:val="21"/>
                      <w:szCs w:val="21"/>
                      <w:lang w:val="en-US" w:eastAsia="zh-CN"/>
                    </w:rPr>
                    <w:t>，在地面涂刷5mm厚环氧树脂漆，</w:t>
                  </w:r>
                  <w:r>
                    <w:rPr>
                      <w:rFonts w:hint="eastAsia" w:cs="Times New Roman"/>
                      <w:color w:val="auto"/>
                      <w:sz w:val="21"/>
                      <w:szCs w:val="21"/>
                      <w:lang w:val="en-US" w:eastAsia="zh-CN"/>
                    </w:rPr>
                    <w:t>并</w:t>
                  </w:r>
                  <w:r>
                    <w:rPr>
                      <w:rFonts w:hint="default" w:ascii="Times New Roman" w:hAnsi="Times New Roman" w:eastAsia="宋体" w:cs="Times New Roman"/>
                      <w:color w:val="auto"/>
                      <w:sz w:val="21"/>
                      <w:szCs w:val="21"/>
                      <w:lang w:val="en-US" w:eastAsia="zh-CN"/>
                    </w:rPr>
                    <w:t>在门口设置围堰，设置0.5cm高的铁质托盘</w:t>
                  </w:r>
                </w:p>
              </w:tc>
            </w:tr>
            <w:tr w14:paraId="2FE3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96" w:type="pct"/>
                  <w:vMerge w:val="restart"/>
                  <w:tcBorders>
                    <w:tl2br w:val="nil"/>
                    <w:tr2bl w:val="nil"/>
                  </w:tcBorders>
                  <w:vAlign w:val="center"/>
                </w:tcPr>
                <w:p w14:paraId="7012618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一般防渗区</w:t>
                  </w:r>
                </w:p>
              </w:tc>
              <w:tc>
                <w:tcPr>
                  <w:tcW w:w="941" w:type="pct"/>
                  <w:tcBorders>
                    <w:tl2br w:val="nil"/>
                    <w:tr2bl w:val="nil"/>
                  </w:tcBorders>
                  <w:vAlign w:val="center"/>
                </w:tcPr>
                <w:p w14:paraId="78122609">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生产车间</w:t>
                  </w:r>
                </w:p>
              </w:tc>
              <w:tc>
                <w:tcPr>
                  <w:tcW w:w="950" w:type="pct"/>
                  <w:vMerge w:val="restart"/>
                  <w:tcBorders>
                    <w:tl2br w:val="nil"/>
                    <w:tr2bl w:val="nil"/>
                  </w:tcBorders>
                  <w:vAlign w:val="center"/>
                </w:tcPr>
                <w:p w14:paraId="61E36C0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2"/>
                      <w:highlight w:val="none"/>
                      <w:lang w:val="en-US" w:eastAsia="zh-CN"/>
                    </w:rPr>
                  </w:pPr>
                  <w:r>
                    <w:rPr>
                      <w:rFonts w:hint="eastAsia" w:ascii="Times New Roman" w:hAnsi="Times New Roman" w:eastAsia="宋体" w:cs="Times New Roman"/>
                      <w:color w:val="auto"/>
                      <w:spacing w:val="0"/>
                      <w:szCs w:val="22"/>
                      <w:highlight w:val="none"/>
                      <w:lang w:val="en-US" w:eastAsia="zh-CN"/>
                    </w:rPr>
                    <w:t>等效黏土防渗层Mb≥1.5m，</w:t>
                  </w:r>
                  <w:r>
                    <w:rPr>
                      <w:rFonts w:hint="default" w:ascii="Times New Roman" w:hAnsi="Times New Roman" w:eastAsia="宋体" w:cs="Times New Roman"/>
                      <w:color w:val="auto"/>
                      <w:spacing w:val="0"/>
                      <w:szCs w:val="22"/>
                      <w:highlight w:val="none"/>
                      <w:lang w:val="en-US" w:eastAsia="zh-CN"/>
                    </w:rPr>
                    <w:t>渗透系数</w:t>
                  </w:r>
                  <w:r>
                    <w:rPr>
                      <w:rFonts w:hint="default" w:ascii="Times New Roman" w:hAnsi="Times New Roman" w:eastAsia="宋体" w:cs="Times New Roman"/>
                      <w:color w:val="auto"/>
                      <w:kern w:val="2"/>
                      <w:sz w:val="21"/>
                      <w:szCs w:val="21"/>
                    </w:rPr>
                    <w:t>K</w:t>
                  </w:r>
                  <w:r>
                    <w:rPr>
                      <w:rFonts w:hint="eastAsia" w:ascii="宋体" w:hAnsi="宋体" w:eastAsia="宋体" w:cs="宋体"/>
                      <w:color w:val="auto"/>
                      <w:kern w:val="2"/>
                      <w:sz w:val="21"/>
                      <w:szCs w:val="21"/>
                    </w:rPr>
                    <w:t>≤</w:t>
                  </w:r>
                  <w:r>
                    <w:rPr>
                      <w:rFonts w:hint="default" w:ascii="Times New Roman" w:hAnsi="Times New Roman" w:eastAsia="宋体" w:cs="Times New Roman"/>
                      <w:color w:val="auto"/>
                      <w:kern w:val="2"/>
                      <w:sz w:val="21"/>
                      <w:szCs w:val="21"/>
                    </w:rPr>
                    <w:t>1×10</w:t>
                  </w:r>
                  <w:r>
                    <w:rPr>
                      <w:rFonts w:hint="default" w:ascii="Times New Roman" w:hAnsi="Times New Roman" w:eastAsia="宋体" w:cs="Times New Roman"/>
                      <w:color w:val="auto"/>
                      <w:kern w:val="2"/>
                      <w:sz w:val="21"/>
                      <w:szCs w:val="21"/>
                      <w:vertAlign w:val="superscript"/>
                    </w:rPr>
                    <w:t>-</w:t>
                  </w:r>
                  <w:r>
                    <w:rPr>
                      <w:rFonts w:hint="eastAsia" w:ascii="Times New Roman" w:hAnsi="Times New Roman" w:eastAsia="宋体" w:cs="Times New Roman"/>
                      <w:color w:val="auto"/>
                      <w:kern w:val="2"/>
                      <w:sz w:val="21"/>
                      <w:szCs w:val="21"/>
                      <w:vertAlign w:val="superscript"/>
                      <w:lang w:val="en-US" w:eastAsia="zh-CN"/>
                    </w:rPr>
                    <w:t>7</w:t>
                  </w:r>
                  <w:r>
                    <w:rPr>
                      <w:rFonts w:hint="default" w:ascii="Times New Roman" w:hAnsi="Times New Roman" w:eastAsia="宋体" w:cs="Times New Roman"/>
                      <w:color w:val="auto"/>
                      <w:kern w:val="2"/>
                      <w:sz w:val="21"/>
                      <w:szCs w:val="21"/>
                    </w:rPr>
                    <w:t>cm/s</w:t>
                  </w:r>
                </w:p>
              </w:tc>
              <w:tc>
                <w:tcPr>
                  <w:tcW w:w="2312" w:type="pct"/>
                  <w:tcBorders>
                    <w:tl2br w:val="nil"/>
                    <w:tr2bl w:val="nil"/>
                  </w:tcBorders>
                  <w:vAlign w:val="center"/>
                </w:tcPr>
                <w:p w14:paraId="7FA56D28">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Times New Roman"/>
                      <w:color w:val="auto"/>
                      <w:spacing w:val="0"/>
                      <w:szCs w:val="22"/>
                      <w:highlight w:val="none"/>
                      <w:lang w:val="en-US" w:eastAsia="zh-CN"/>
                    </w:rPr>
                  </w:pPr>
                  <w:r>
                    <w:rPr>
                      <w:rFonts w:hint="eastAsia" w:cs="Times New Roman"/>
                      <w:color w:val="auto"/>
                      <w:sz w:val="21"/>
                      <w:szCs w:val="21"/>
                      <w:highlight w:val="none"/>
                      <w:lang w:val="en-US" w:eastAsia="zh-CN"/>
                    </w:rPr>
                    <w:t>已做硬化处理，</w:t>
                  </w:r>
                  <w:r>
                    <w:rPr>
                      <w:rFonts w:hint="eastAsia" w:ascii="Times New Roman" w:hAnsi="Times New Roman" w:eastAsia="宋体" w:cs="Times New Roman"/>
                      <w:color w:val="auto"/>
                      <w:sz w:val="21"/>
                      <w:szCs w:val="21"/>
                      <w:highlight w:val="none"/>
                      <w:lang w:val="en-US" w:eastAsia="zh-CN"/>
                    </w:rPr>
                    <w:t>混凝土抗渗等级</w:t>
                  </w:r>
                  <w:r>
                    <w:rPr>
                      <w:rFonts w:hint="eastAsia" w:cs="Times New Roman"/>
                      <w:color w:val="auto"/>
                      <w:sz w:val="21"/>
                      <w:szCs w:val="21"/>
                      <w:highlight w:val="none"/>
                      <w:lang w:val="en-US" w:eastAsia="zh-CN"/>
                    </w:rPr>
                    <w:t>为</w:t>
                  </w:r>
                  <w:r>
                    <w:rPr>
                      <w:rFonts w:hint="eastAsia" w:ascii="Times New Roman" w:hAnsi="Times New Roman" w:eastAsia="宋体" w:cs="Times New Roman"/>
                      <w:color w:val="auto"/>
                      <w:sz w:val="21"/>
                      <w:szCs w:val="21"/>
                      <w:highlight w:val="none"/>
                      <w:lang w:val="en-US" w:eastAsia="zh-CN"/>
                    </w:rPr>
                    <w:t>P6，基础之下的地基均采取强夯处理</w:t>
                  </w:r>
                </w:p>
              </w:tc>
            </w:tr>
            <w:tr w14:paraId="594D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796" w:type="pct"/>
                  <w:vMerge w:val="continue"/>
                  <w:tcBorders>
                    <w:tl2br w:val="nil"/>
                    <w:tr2bl w:val="nil"/>
                  </w:tcBorders>
                  <w:vAlign w:val="center"/>
                </w:tcPr>
                <w:p w14:paraId="7F33DFF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color w:val="auto"/>
                    </w:rPr>
                  </w:pPr>
                </w:p>
              </w:tc>
              <w:tc>
                <w:tcPr>
                  <w:tcW w:w="941" w:type="pct"/>
                  <w:tcBorders>
                    <w:tl2br w:val="nil"/>
                    <w:tr2bl w:val="nil"/>
                  </w:tcBorders>
                  <w:vAlign w:val="center"/>
                </w:tcPr>
                <w:p w14:paraId="5355A2B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洗车平台沉淀池、雨水收集池、旱厕</w:t>
                  </w:r>
                </w:p>
              </w:tc>
              <w:tc>
                <w:tcPr>
                  <w:tcW w:w="950" w:type="pct"/>
                  <w:vMerge w:val="continue"/>
                  <w:tcBorders>
                    <w:tl2br w:val="nil"/>
                    <w:tr2bl w:val="nil"/>
                  </w:tcBorders>
                  <w:vAlign w:val="center"/>
                </w:tcPr>
                <w:p w14:paraId="2A869EFC">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eastAsia" w:ascii="Times New Roman" w:hAnsi="Times New Roman" w:eastAsia="宋体" w:cs="Times New Roman"/>
                      <w:color w:val="auto"/>
                      <w:kern w:val="0"/>
                      <w:sz w:val="21"/>
                      <w:szCs w:val="21"/>
                      <w:highlight w:val="none"/>
                      <w:lang w:val="en-US" w:eastAsia="zh-CN" w:bidi="ar-SA"/>
                    </w:rPr>
                  </w:pPr>
                </w:p>
              </w:tc>
              <w:tc>
                <w:tcPr>
                  <w:tcW w:w="2312" w:type="pct"/>
                  <w:tcBorders>
                    <w:tl2br w:val="nil"/>
                    <w:tr2bl w:val="nil"/>
                  </w:tcBorders>
                  <w:vAlign w:val="center"/>
                </w:tcPr>
                <w:p w14:paraId="0E38CD1B">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both"/>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1"/>
                      <w:lang w:val="en-US" w:eastAsia="zh-CN"/>
                    </w:rPr>
                    <w:t>已做</w:t>
                  </w:r>
                  <w:r>
                    <w:rPr>
                      <w:rFonts w:hint="default" w:ascii="Times New Roman" w:hAnsi="Times New Roman" w:eastAsia="宋体" w:cs="Times New Roman"/>
                      <w:color w:val="auto"/>
                      <w:sz w:val="21"/>
                      <w:szCs w:val="21"/>
                    </w:rPr>
                    <w:t>钢筋混凝土池体，池底及池壁为混凝土，强度等级为C30，抗渗等级为P6，池体内表面刷防腐防渗涂料，基础土分层夯实。</w:t>
                  </w:r>
                  <w:r>
                    <w:rPr>
                      <w:rFonts w:hint="default" w:ascii="Times New Roman" w:hAnsi="Times New Roman" w:eastAsia="宋体" w:cs="Times New Roman"/>
                      <w:color w:val="auto"/>
                      <w:sz w:val="21"/>
                      <w:szCs w:val="21"/>
                      <w:lang w:val="en-US" w:eastAsia="zh-CN"/>
                    </w:rPr>
                    <w:t>加强地下管道及设施的固化和密封，管道拟采用耐腐蚀抗压的钢质管道</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管道与池壁的连接采用柔性的橡胶圈接口，减少连接不良引起的泄漏</w:t>
                  </w:r>
                </w:p>
              </w:tc>
            </w:tr>
            <w:tr w14:paraId="6E8B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796" w:type="pct"/>
                  <w:tcBorders>
                    <w:tl2br w:val="nil"/>
                    <w:tr2bl w:val="nil"/>
                  </w:tcBorders>
                  <w:vAlign w:val="center"/>
                </w:tcPr>
                <w:p w14:paraId="04F270F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简单防渗区</w:t>
                  </w:r>
                </w:p>
              </w:tc>
              <w:tc>
                <w:tcPr>
                  <w:tcW w:w="941" w:type="pct"/>
                  <w:tcBorders>
                    <w:tl2br w:val="nil"/>
                    <w:tr2bl w:val="nil"/>
                  </w:tcBorders>
                  <w:vAlign w:val="center"/>
                </w:tcPr>
                <w:p w14:paraId="7CF4D7D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厂区道路</w:t>
                  </w:r>
                </w:p>
              </w:tc>
              <w:tc>
                <w:tcPr>
                  <w:tcW w:w="950" w:type="pct"/>
                  <w:tcBorders>
                    <w:tl2br w:val="nil"/>
                    <w:tr2bl w:val="nil"/>
                  </w:tcBorders>
                  <w:vAlign w:val="center"/>
                </w:tcPr>
                <w:p w14:paraId="40A50CB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一般地面硬化</w:t>
                  </w:r>
                </w:p>
              </w:tc>
              <w:tc>
                <w:tcPr>
                  <w:tcW w:w="2312" w:type="pct"/>
                  <w:tcBorders>
                    <w:tl2br w:val="nil"/>
                    <w:tr2bl w:val="nil"/>
                  </w:tcBorders>
                  <w:vAlign w:val="center"/>
                </w:tcPr>
                <w:p w14:paraId="323B8665">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both"/>
                    <w:textAlignment w:val="auto"/>
                    <w:rPr>
                      <w:rFonts w:hint="eastAsia" w:cs="Times New Roman"/>
                      <w:color w:val="auto"/>
                      <w:spacing w:val="0"/>
                      <w:szCs w:val="22"/>
                      <w:highlight w:val="none"/>
                      <w:lang w:val="en-US" w:eastAsia="zh-CN"/>
                    </w:rPr>
                  </w:pPr>
                  <w:r>
                    <w:rPr>
                      <w:rFonts w:hint="eastAsia" w:cs="Times New Roman"/>
                      <w:color w:val="auto"/>
                      <w:spacing w:val="-4"/>
                      <w:sz w:val="21"/>
                      <w:szCs w:val="21"/>
                      <w:lang w:val="en-US" w:eastAsia="zh-CN"/>
                    </w:rPr>
                    <w:t>已做</w:t>
                  </w:r>
                  <w:r>
                    <w:rPr>
                      <w:rFonts w:hint="eastAsia" w:ascii="Times New Roman" w:hAnsi="Times New Roman" w:eastAsia="宋体" w:cs="Times New Roman"/>
                      <w:color w:val="auto"/>
                      <w:spacing w:val="-4"/>
                      <w:sz w:val="21"/>
                      <w:szCs w:val="21"/>
                      <w:lang w:val="en-US" w:eastAsia="zh-CN"/>
                    </w:rPr>
                    <w:t>沥青</w:t>
                  </w:r>
                  <w:r>
                    <w:rPr>
                      <w:rFonts w:hint="default" w:ascii="Times New Roman" w:hAnsi="Times New Roman" w:eastAsia="宋体" w:cs="Times New Roman"/>
                      <w:color w:val="auto"/>
                      <w:spacing w:val="-4"/>
                      <w:sz w:val="21"/>
                      <w:szCs w:val="21"/>
                    </w:rPr>
                    <w:t>混凝土硬化</w:t>
                  </w:r>
                  <w:r>
                    <w:rPr>
                      <w:rFonts w:hint="default" w:ascii="Times New Roman" w:hAnsi="Times New Roman" w:eastAsia="宋体" w:cs="Times New Roman"/>
                      <w:color w:val="auto"/>
                      <w:sz w:val="21"/>
                      <w:szCs w:val="21"/>
                    </w:rPr>
                    <w:t>；基础土分层夯实，压实系数不小于0.95</w:t>
                  </w:r>
                </w:p>
              </w:tc>
            </w:tr>
          </w:tbl>
          <w:p w14:paraId="5D51A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cs="Times New Roman"/>
                <w:b/>
                <w:color w:val="auto"/>
                <w:sz w:val="24"/>
                <w:szCs w:val="24"/>
                <w:highlight w:val="none"/>
                <w:lang w:val="en-US" w:eastAsia="zh-CN"/>
              </w:rPr>
              <w:t>4.10</w:t>
            </w:r>
            <w:r>
              <w:rPr>
                <w:rFonts w:hint="default" w:ascii="Times New Roman" w:hAnsi="Times New Roman" w:eastAsia="宋体" w:cs="Times New Roman"/>
                <w:b/>
                <w:color w:val="auto"/>
                <w:sz w:val="24"/>
                <w:szCs w:val="24"/>
                <w:highlight w:val="none"/>
              </w:rPr>
              <w:t>环境风险</w:t>
            </w:r>
            <w:r>
              <w:rPr>
                <w:rFonts w:hint="default" w:ascii="Times New Roman" w:hAnsi="Times New Roman" w:eastAsia="宋体" w:cs="Times New Roman"/>
                <w:b/>
                <w:color w:val="auto"/>
                <w:sz w:val="24"/>
                <w:szCs w:val="24"/>
                <w:highlight w:val="none"/>
                <w:lang w:val="en-US" w:eastAsia="zh-CN"/>
              </w:rPr>
              <w:t>评价</w:t>
            </w:r>
          </w:p>
          <w:p w14:paraId="63F8F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eastAsia" w:cs="Times New Roman"/>
                <w:b/>
                <w:color w:val="auto"/>
                <w:sz w:val="24"/>
                <w:szCs w:val="24"/>
                <w:highlight w:val="none"/>
                <w:lang w:val="en-US" w:eastAsia="zh-CN"/>
              </w:rPr>
              <w:t>4.10.</w:t>
            </w:r>
            <w:r>
              <w:rPr>
                <w:rFonts w:hint="default" w:ascii="Times New Roman" w:hAnsi="Times New Roman" w:eastAsia="宋体" w:cs="Times New Roman"/>
                <w:b/>
                <w:bCs/>
                <w:color w:val="auto"/>
                <w:sz w:val="24"/>
                <w:szCs w:val="24"/>
                <w:highlight w:val="none"/>
              </w:rPr>
              <w:t>1风险评价等级判定</w:t>
            </w:r>
          </w:p>
          <w:p w14:paraId="5D60C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）风险调查</w:t>
            </w:r>
          </w:p>
          <w:p w14:paraId="6D7AF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根据工程分析，结合《建设项目环境风险评价技术导则》（HJ169-2018）中附录B可知，本项目涉及的危险物质主要为</w:t>
            </w:r>
            <w:r>
              <w:rPr>
                <w:rFonts w:hint="eastAsia" w:ascii="Times New Roman" w:hAnsi="Times New Roman" w:eastAsia="宋体" w:cs="Times New Roman"/>
                <w:color w:val="auto"/>
                <w:sz w:val="24"/>
                <w:szCs w:val="24"/>
                <w:highlight w:val="none"/>
                <w:lang w:val="en-US" w:eastAsia="zh-CN"/>
              </w:rPr>
              <w:t>废矿物油</w:t>
            </w:r>
            <w:r>
              <w:rPr>
                <w:rFonts w:hint="default" w:ascii="Times New Roman" w:hAnsi="Times New Roman" w:eastAsia="宋体" w:cs="Times New Roman"/>
                <w:color w:val="auto"/>
                <w:sz w:val="24"/>
                <w:szCs w:val="24"/>
                <w:highlight w:val="none"/>
              </w:rPr>
              <w:t>。</w:t>
            </w:r>
          </w:p>
          <w:p w14:paraId="5BCAA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环境风险潜势初判</w:t>
            </w:r>
          </w:p>
          <w:p w14:paraId="2E8F8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根据《建设项目环境风险评价技术导则》（HJ 169-2018）附录B、附录C的有关规定，当</w:t>
            </w:r>
            <w:r>
              <w:rPr>
                <w:rFonts w:hint="eastAsia" w:ascii="Times New Roman" w:hAnsi="Times New Roman" w:eastAsia="宋体" w:cs="Times New Roman"/>
                <w:color w:val="auto"/>
                <w:sz w:val="24"/>
                <w:szCs w:val="24"/>
                <w:highlight w:val="none"/>
                <w:lang w:val="en-US" w:eastAsia="zh-CN"/>
              </w:rPr>
              <w:t>只涉及一种</w:t>
            </w:r>
            <w:r>
              <w:rPr>
                <w:rFonts w:hint="default" w:ascii="Times New Roman" w:hAnsi="Times New Roman" w:eastAsia="宋体" w:cs="Times New Roman"/>
                <w:color w:val="auto"/>
                <w:sz w:val="24"/>
                <w:szCs w:val="24"/>
                <w:highlight w:val="none"/>
                <w:lang w:val="en-US" w:eastAsia="zh-CN"/>
              </w:rPr>
              <w:t>危险物质时，计算</w:t>
            </w:r>
            <w:r>
              <w:rPr>
                <w:rFonts w:hint="eastAsia" w:ascii="Times New Roman" w:hAnsi="Times New Roman" w:eastAsia="宋体" w:cs="Times New Roman"/>
                <w:color w:val="auto"/>
                <w:sz w:val="24"/>
                <w:szCs w:val="24"/>
                <w:highlight w:val="none"/>
                <w:lang w:val="en-US" w:eastAsia="zh-CN"/>
              </w:rPr>
              <w:t>该</w:t>
            </w:r>
            <w:r>
              <w:rPr>
                <w:rFonts w:hint="default" w:ascii="Times New Roman" w:hAnsi="Times New Roman" w:eastAsia="宋体" w:cs="Times New Roman"/>
                <w:color w:val="auto"/>
                <w:sz w:val="24"/>
                <w:szCs w:val="24"/>
                <w:highlight w:val="none"/>
                <w:lang w:val="en-US" w:eastAsia="zh-CN"/>
              </w:rPr>
              <w:t>物质</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总量与其临界量比值</w:t>
            </w:r>
            <w:r>
              <w:rPr>
                <w:rFonts w:hint="eastAsia" w:ascii="Times New Roman" w:hAnsi="Times New Roman" w:eastAsia="宋体" w:cs="Times New Roman"/>
                <w:color w:val="auto"/>
                <w:sz w:val="24"/>
                <w:szCs w:val="24"/>
                <w:highlight w:val="none"/>
                <w:lang w:val="en-US" w:eastAsia="zh-CN"/>
              </w:rPr>
              <w:t>，即为Q。</w:t>
            </w:r>
          </w:p>
          <w:p w14:paraId="1B7BF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w:t>
            </w:r>
            <w:r>
              <w:rPr>
                <w:rFonts w:hint="default"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0-1</w:t>
            </w:r>
            <w:r>
              <w:rPr>
                <w:rFonts w:hint="default" w:ascii="Times New Roman" w:hAnsi="Times New Roman" w:eastAsia="宋体" w:cs="Times New Roman"/>
                <w:b/>
                <w:bCs/>
                <w:color w:val="auto"/>
                <w:kern w:val="2"/>
                <w:sz w:val="21"/>
                <w:szCs w:val="21"/>
                <w:highlight w:val="none"/>
                <w:lang w:val="en-US" w:eastAsia="zh-CN" w:bidi="ar-SA"/>
              </w:rPr>
              <w:t xml:space="preserve">  重大危险源判定一览表</w:t>
            </w:r>
          </w:p>
          <w:tbl>
            <w:tblPr>
              <w:tblStyle w:val="27"/>
              <w:tblW w:w="8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8"/>
              <w:gridCol w:w="2226"/>
              <w:gridCol w:w="1915"/>
              <w:gridCol w:w="1812"/>
            </w:tblGrid>
            <w:tr w14:paraId="4D868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368" w:type="dxa"/>
                  <w:tcBorders>
                    <w:tl2br w:val="nil"/>
                    <w:tr2bl w:val="nil"/>
                  </w:tcBorders>
                  <w:vAlign w:val="center"/>
                </w:tcPr>
                <w:p w14:paraId="6A39BC6E">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危险物质名称</w:t>
                  </w:r>
                </w:p>
              </w:tc>
              <w:tc>
                <w:tcPr>
                  <w:tcW w:w="2226" w:type="dxa"/>
                  <w:tcBorders>
                    <w:tl2br w:val="nil"/>
                    <w:tr2bl w:val="nil"/>
                  </w:tcBorders>
                  <w:vAlign w:val="center"/>
                </w:tcPr>
                <w:p w14:paraId="0F774B8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物质总量</w:t>
                  </w:r>
                  <w:r>
                    <w:rPr>
                      <w:rFonts w:hint="default" w:ascii="Times New Roman" w:hAnsi="Times New Roman" w:eastAsia="宋体" w:cs="Times New Roman"/>
                      <w:b/>
                      <w:bCs/>
                      <w:color w:val="auto"/>
                      <w:sz w:val="21"/>
                      <w:szCs w:val="21"/>
                      <w:highlight w:val="none"/>
                      <w:lang w:val="en-US" w:eastAsia="zh-CN"/>
                    </w:rPr>
                    <w:t>（t）</w:t>
                  </w:r>
                </w:p>
              </w:tc>
              <w:tc>
                <w:tcPr>
                  <w:tcW w:w="1915" w:type="dxa"/>
                  <w:tcBorders>
                    <w:tl2br w:val="nil"/>
                    <w:tr2bl w:val="nil"/>
                  </w:tcBorders>
                  <w:vAlign w:val="center"/>
                </w:tcPr>
                <w:p w14:paraId="58F19D4E">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临界量（t）</w:t>
                  </w:r>
                </w:p>
              </w:tc>
              <w:tc>
                <w:tcPr>
                  <w:tcW w:w="1812" w:type="dxa"/>
                  <w:tcBorders>
                    <w:tl2br w:val="nil"/>
                    <w:tr2bl w:val="nil"/>
                  </w:tcBorders>
                  <w:vAlign w:val="center"/>
                </w:tcPr>
                <w:p w14:paraId="1EDE7764">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Q值</w:t>
                  </w:r>
                </w:p>
              </w:tc>
            </w:tr>
            <w:tr w14:paraId="7515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2368" w:type="dxa"/>
                  <w:tcBorders>
                    <w:tl2br w:val="nil"/>
                    <w:tr2bl w:val="nil"/>
                  </w:tcBorders>
                  <w:vAlign w:val="center"/>
                </w:tcPr>
                <w:p w14:paraId="1EFFA8A4">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废矿物油</w:t>
                  </w:r>
                </w:p>
              </w:tc>
              <w:tc>
                <w:tcPr>
                  <w:tcW w:w="2226" w:type="dxa"/>
                  <w:tcBorders>
                    <w:tl2br w:val="nil"/>
                    <w:tr2bl w:val="nil"/>
                  </w:tcBorders>
                  <w:vAlign w:val="center"/>
                </w:tcPr>
                <w:p w14:paraId="0E2D417D">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p>
              </w:tc>
              <w:tc>
                <w:tcPr>
                  <w:tcW w:w="1915" w:type="dxa"/>
                  <w:tcBorders>
                    <w:tl2br w:val="nil"/>
                    <w:tr2bl w:val="nil"/>
                  </w:tcBorders>
                  <w:vAlign w:val="center"/>
                </w:tcPr>
                <w:p w14:paraId="641569B4">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2500</w:t>
                  </w:r>
                </w:p>
              </w:tc>
              <w:tc>
                <w:tcPr>
                  <w:tcW w:w="1812" w:type="dxa"/>
                  <w:tcBorders>
                    <w:tl2br w:val="nil"/>
                    <w:tr2bl w:val="nil"/>
                  </w:tcBorders>
                  <w:vAlign w:val="center"/>
                </w:tcPr>
                <w:p w14:paraId="0AA84DFD">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0.000</w:t>
                  </w:r>
                  <w:r>
                    <w:rPr>
                      <w:rFonts w:hint="eastAsia" w:cs="Times New Roman"/>
                      <w:color w:val="auto"/>
                      <w:kern w:val="2"/>
                      <w:sz w:val="21"/>
                      <w:szCs w:val="21"/>
                      <w:highlight w:val="none"/>
                      <w:lang w:val="en-US" w:eastAsia="zh-CN" w:bidi="ar-SA"/>
                    </w:rPr>
                    <w:t>04</w:t>
                  </w:r>
                </w:p>
              </w:tc>
            </w:tr>
            <w:tr w14:paraId="1C60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09" w:type="dxa"/>
                  <w:gridSpan w:val="3"/>
                  <w:tcBorders>
                    <w:tl2br w:val="nil"/>
                    <w:tr2bl w:val="nil"/>
                  </w:tcBorders>
                  <w:vAlign w:val="center"/>
                </w:tcPr>
                <w:p w14:paraId="6F3CDF6F">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合计</w:t>
                  </w:r>
                </w:p>
              </w:tc>
              <w:tc>
                <w:tcPr>
                  <w:tcW w:w="1812" w:type="dxa"/>
                  <w:tcBorders>
                    <w:tl2br w:val="nil"/>
                    <w:tr2bl w:val="nil"/>
                  </w:tcBorders>
                  <w:vAlign w:val="center"/>
                </w:tcPr>
                <w:p w14:paraId="55EDCE2F">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2"/>
                      <w:sz w:val="21"/>
                      <w:szCs w:val="21"/>
                      <w:highlight w:val="none"/>
                      <w:lang w:val="en-US" w:eastAsia="zh-CN" w:bidi="ar-SA"/>
                    </w:rPr>
                  </w:pPr>
                  <w:r>
                    <w:rPr>
                      <w:rFonts w:hint="eastAsia" w:cs="Times New Roman"/>
                      <w:b w:val="0"/>
                      <w:bCs w:val="0"/>
                      <w:color w:val="auto"/>
                      <w:kern w:val="2"/>
                      <w:sz w:val="21"/>
                      <w:szCs w:val="21"/>
                      <w:highlight w:val="none"/>
                      <w:lang w:val="en-US" w:eastAsia="zh-CN" w:bidi="ar-SA"/>
                    </w:rPr>
                    <w:t>0.00004</w:t>
                  </w:r>
                </w:p>
              </w:tc>
            </w:tr>
          </w:tbl>
          <w:p w14:paraId="4093A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经计算，Q&lt;1，本项目风险潜势为I，风险评价仅需简单分析，无需设置风险评价范围。</w:t>
            </w:r>
          </w:p>
          <w:p w14:paraId="49F21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color w:val="auto"/>
                <w:sz w:val="24"/>
                <w:szCs w:val="24"/>
                <w:highlight w:val="none"/>
                <w:lang w:val="en-US" w:eastAsia="zh-CN"/>
              </w:rPr>
              <w:t>4.10.</w:t>
            </w:r>
            <w:r>
              <w:rPr>
                <w:rFonts w:hint="default" w:ascii="Times New Roman" w:hAnsi="Times New Roman" w:eastAsia="宋体" w:cs="Times New Roman"/>
                <w:b/>
                <w:bCs/>
                <w:color w:val="auto"/>
                <w:sz w:val="24"/>
                <w:szCs w:val="24"/>
                <w:highlight w:val="none"/>
                <w:lang w:val="en-US" w:eastAsia="zh-CN"/>
              </w:rPr>
              <w:t>2环境风险分析</w:t>
            </w:r>
          </w:p>
          <w:p w14:paraId="244619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废矿物油在</w:t>
            </w:r>
            <w:r>
              <w:rPr>
                <w:rFonts w:hint="eastAsia" w:ascii="Times New Roman" w:hAnsi="Times New Roman" w:eastAsia="宋体" w:cs="Times New Roman"/>
                <w:color w:val="auto"/>
                <w:sz w:val="24"/>
                <w:szCs w:val="24"/>
                <w:highlight w:val="none"/>
                <w:lang w:val="en-US" w:eastAsia="zh-CN"/>
              </w:rPr>
              <w:t>暂存</w:t>
            </w:r>
            <w:r>
              <w:rPr>
                <w:rFonts w:hint="default" w:ascii="Times New Roman" w:hAnsi="Times New Roman" w:eastAsia="宋体" w:cs="Times New Roman"/>
                <w:color w:val="auto"/>
                <w:sz w:val="24"/>
                <w:szCs w:val="24"/>
                <w:highlight w:val="none"/>
                <w:lang w:val="en-US" w:eastAsia="zh-CN"/>
              </w:rPr>
              <w:t>过程中会因包装桶破裂或操作不当引起泄漏，可能导致项目区域地下水、地表水、土壤等被污染</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当废矿物油泄漏引发火灾事故时，环境风险物质燃烧过程中会产生烟尘、二氧化硫和氮氧化物等多种大气污染物，会对大气环境造成负面影响；消防废水外排会对地表水环境造成负面影响。</w:t>
            </w:r>
          </w:p>
          <w:p w14:paraId="3AE94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rPr>
            </w:pPr>
            <w:r>
              <w:rPr>
                <w:rFonts w:hint="eastAsia" w:cs="Times New Roman"/>
                <w:b/>
                <w:color w:val="auto"/>
                <w:sz w:val="24"/>
                <w:szCs w:val="24"/>
                <w:highlight w:val="none"/>
                <w:lang w:val="en-US" w:eastAsia="zh-CN"/>
              </w:rPr>
              <w:t>4.10.</w:t>
            </w:r>
            <w:r>
              <w:rPr>
                <w:rFonts w:hint="eastAsia"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环境风险防范措施</w:t>
            </w:r>
          </w:p>
          <w:p w14:paraId="19DB7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pacing w:val="0"/>
                <w:sz w:val="24"/>
                <w:szCs w:val="24"/>
                <w:highlight w:val="none"/>
              </w:rPr>
            </w:pPr>
            <w:r>
              <w:rPr>
                <w:rFonts w:hint="eastAsia" w:ascii="Times New Roman" w:hAnsi="Times New Roman" w:eastAsia="宋体" w:cs="Times New Roman"/>
                <w:color w:val="auto"/>
                <w:spacing w:val="0"/>
                <w:sz w:val="24"/>
                <w:szCs w:val="24"/>
                <w:highlight w:val="none"/>
                <w:lang w:eastAsia="zh-CN"/>
              </w:rPr>
              <w:t>（</w:t>
            </w:r>
            <w:r>
              <w:rPr>
                <w:rFonts w:hint="eastAsia" w:ascii="Times New Roman" w:hAnsi="Times New Roman" w:eastAsia="宋体" w:cs="Times New Roman"/>
                <w:color w:val="auto"/>
                <w:spacing w:val="0"/>
                <w:sz w:val="24"/>
                <w:szCs w:val="24"/>
                <w:highlight w:val="none"/>
                <w:lang w:val="en-US" w:eastAsia="zh-CN"/>
              </w:rPr>
              <w:t>1</w:t>
            </w:r>
            <w:r>
              <w:rPr>
                <w:rFonts w:hint="eastAsia" w:ascii="Times New Roman" w:hAnsi="Times New Roman" w:eastAsia="宋体" w:cs="Times New Roman"/>
                <w:color w:val="auto"/>
                <w:spacing w:val="0"/>
                <w:sz w:val="24"/>
                <w:szCs w:val="24"/>
                <w:highlight w:val="none"/>
                <w:lang w:eastAsia="zh-CN"/>
              </w:rPr>
              <w:t>）</w:t>
            </w:r>
            <w:r>
              <w:rPr>
                <w:rFonts w:hint="eastAsia" w:ascii="Times New Roman" w:hAnsi="Times New Roman" w:eastAsia="宋体" w:cs="Times New Roman"/>
                <w:color w:val="auto"/>
                <w:spacing w:val="0"/>
                <w:sz w:val="24"/>
                <w:szCs w:val="24"/>
                <w:highlight w:val="none"/>
                <w:lang w:val="en-US" w:eastAsia="zh-CN"/>
              </w:rPr>
              <w:t>本项目产生废矿物油的设备底部均进行防渗、并设置钢制托盘收集废矿物油；危废贮存</w:t>
            </w:r>
            <w:r>
              <w:rPr>
                <w:rFonts w:hint="eastAsia" w:cs="Times New Roman"/>
                <w:color w:val="auto"/>
                <w:spacing w:val="0"/>
                <w:sz w:val="24"/>
                <w:szCs w:val="24"/>
                <w:highlight w:val="none"/>
                <w:lang w:val="en-US" w:eastAsia="zh-CN"/>
              </w:rPr>
              <w:t>点</w:t>
            </w:r>
            <w:r>
              <w:rPr>
                <w:rFonts w:hint="eastAsia" w:ascii="Times New Roman" w:hAnsi="Times New Roman" w:eastAsia="宋体" w:cs="Times New Roman"/>
                <w:color w:val="auto"/>
                <w:spacing w:val="0"/>
                <w:sz w:val="24"/>
                <w:szCs w:val="24"/>
                <w:highlight w:val="none"/>
                <w:lang w:val="en-US" w:eastAsia="zh-CN"/>
              </w:rPr>
              <w:t>已</w:t>
            </w:r>
            <w:r>
              <w:rPr>
                <w:rFonts w:hint="eastAsia" w:cs="Times New Roman"/>
                <w:color w:val="auto"/>
                <w:spacing w:val="0"/>
                <w:sz w:val="24"/>
                <w:szCs w:val="24"/>
                <w:highlight w:val="none"/>
                <w:lang w:val="en-US" w:eastAsia="zh-CN"/>
              </w:rPr>
              <w:t>做好</w:t>
            </w:r>
            <w:r>
              <w:rPr>
                <w:rFonts w:hint="eastAsia" w:ascii="Times New Roman" w:hAnsi="Times New Roman" w:eastAsia="宋体" w:cs="Times New Roman"/>
                <w:color w:val="auto"/>
                <w:kern w:val="2"/>
                <w:sz w:val="24"/>
                <w:highlight w:val="none"/>
                <w:lang w:val="en-US" w:eastAsia="zh-CN"/>
              </w:rPr>
              <w:t>防风、</w:t>
            </w:r>
            <w:r>
              <w:rPr>
                <w:rFonts w:hint="eastAsia" w:cs="Times New Roman"/>
                <w:color w:val="auto"/>
                <w:kern w:val="2"/>
                <w:sz w:val="24"/>
                <w:highlight w:val="none"/>
                <w:lang w:val="en-US" w:eastAsia="zh-CN"/>
              </w:rPr>
              <w:t>防晒、</w:t>
            </w:r>
            <w:r>
              <w:rPr>
                <w:rFonts w:hint="eastAsia" w:ascii="Times New Roman" w:hAnsi="Times New Roman" w:eastAsia="宋体" w:cs="Times New Roman"/>
                <w:color w:val="auto"/>
                <w:kern w:val="2"/>
                <w:sz w:val="24"/>
                <w:highlight w:val="none"/>
                <w:lang w:val="en-US" w:eastAsia="zh-CN"/>
              </w:rPr>
              <w:t>防雨、</w:t>
            </w:r>
            <w:r>
              <w:rPr>
                <w:rFonts w:hint="eastAsia" w:cs="Times New Roman"/>
                <w:color w:val="auto"/>
                <w:kern w:val="2"/>
                <w:sz w:val="24"/>
                <w:highlight w:val="none"/>
                <w:lang w:val="en-US" w:eastAsia="zh-CN"/>
              </w:rPr>
              <w:t>防漏、</w:t>
            </w:r>
            <w:r>
              <w:rPr>
                <w:rFonts w:hint="eastAsia" w:ascii="Times New Roman" w:hAnsi="Times New Roman" w:eastAsia="宋体" w:cs="Times New Roman"/>
                <w:color w:val="auto"/>
                <w:kern w:val="2"/>
                <w:sz w:val="24"/>
                <w:highlight w:val="none"/>
                <w:lang w:val="en-US" w:eastAsia="zh-CN"/>
              </w:rPr>
              <w:t>防</w:t>
            </w:r>
            <w:r>
              <w:rPr>
                <w:rFonts w:hint="eastAsia" w:cs="Times New Roman"/>
                <w:color w:val="auto"/>
                <w:kern w:val="2"/>
                <w:sz w:val="24"/>
                <w:highlight w:val="none"/>
                <w:lang w:val="en-US" w:eastAsia="zh-CN"/>
              </w:rPr>
              <w:t>渗、防腐</w:t>
            </w:r>
            <w:r>
              <w:rPr>
                <w:rFonts w:hint="default" w:ascii="Times New Roman" w:hAnsi="Times New Roman" w:eastAsia="宋体" w:cs="Times New Roman"/>
                <w:color w:val="auto"/>
                <w:sz w:val="24"/>
                <w:highlight w:val="none"/>
                <w:lang w:val="en-US" w:eastAsia="zh-CN"/>
              </w:rPr>
              <w:t>措施</w:t>
            </w:r>
            <w:r>
              <w:rPr>
                <w:rFonts w:hint="eastAsia" w:cs="Times New Roman"/>
                <w:color w:val="auto"/>
                <w:spacing w:val="0"/>
                <w:sz w:val="24"/>
                <w:szCs w:val="24"/>
                <w:highlight w:val="none"/>
                <w:lang w:val="en-US" w:eastAsia="zh-CN"/>
              </w:rPr>
              <w:t>，具</w:t>
            </w:r>
            <w:r>
              <w:rPr>
                <w:rFonts w:hint="eastAsia" w:ascii="Times New Roman" w:hAnsi="Times New Roman" w:eastAsia="宋体" w:cs="Times New Roman"/>
                <w:color w:val="auto"/>
                <w:spacing w:val="0"/>
                <w:sz w:val="24"/>
                <w:szCs w:val="24"/>
                <w:highlight w:val="none"/>
                <w:lang w:val="en-US" w:eastAsia="zh-CN"/>
              </w:rPr>
              <w:t>有足够地面承载能力，并能确保雨水不会流至贮存设施内，贮存设施</w:t>
            </w:r>
            <w:r>
              <w:rPr>
                <w:rFonts w:hint="eastAsia" w:cs="Times New Roman"/>
                <w:color w:val="auto"/>
                <w:spacing w:val="0"/>
                <w:sz w:val="24"/>
                <w:szCs w:val="24"/>
                <w:highlight w:val="none"/>
                <w:lang w:val="en-US" w:eastAsia="zh-CN"/>
              </w:rPr>
              <w:t>为</w:t>
            </w:r>
            <w:r>
              <w:rPr>
                <w:rFonts w:hint="eastAsia" w:ascii="Times New Roman" w:hAnsi="Times New Roman" w:eastAsia="宋体" w:cs="Times New Roman"/>
                <w:color w:val="auto"/>
                <w:spacing w:val="0"/>
                <w:sz w:val="24"/>
                <w:szCs w:val="24"/>
                <w:highlight w:val="none"/>
                <w:lang w:val="en-US" w:eastAsia="zh-CN"/>
              </w:rPr>
              <w:t>封闭</w:t>
            </w:r>
            <w:r>
              <w:rPr>
                <w:rFonts w:hint="eastAsia" w:cs="Times New Roman"/>
                <w:color w:val="auto"/>
                <w:spacing w:val="0"/>
                <w:sz w:val="24"/>
                <w:szCs w:val="24"/>
                <w:highlight w:val="none"/>
                <w:lang w:val="en-US" w:eastAsia="zh-CN"/>
              </w:rPr>
              <w:t>式，</w:t>
            </w:r>
            <w:r>
              <w:rPr>
                <w:rFonts w:hint="default" w:ascii="Times New Roman" w:hAnsi="Times New Roman" w:eastAsia="宋体" w:cs="Times New Roman"/>
                <w:color w:val="auto"/>
                <w:sz w:val="24"/>
                <w:highlight w:val="none"/>
                <w:lang w:val="en-US" w:eastAsia="zh-CN"/>
              </w:rPr>
              <w:t>加强对</w:t>
            </w:r>
            <w:r>
              <w:rPr>
                <w:rFonts w:hint="eastAsia" w:ascii="Times New Roman" w:hAnsi="Times New Roman" w:eastAsia="宋体" w:cs="Times New Roman"/>
                <w:color w:val="auto"/>
                <w:sz w:val="24"/>
                <w:highlight w:val="none"/>
                <w:lang w:val="en-US" w:eastAsia="zh-CN"/>
              </w:rPr>
              <w:t>废矿物油</w:t>
            </w:r>
            <w:r>
              <w:rPr>
                <w:rFonts w:hint="default" w:ascii="Times New Roman" w:hAnsi="Times New Roman" w:eastAsia="宋体" w:cs="Times New Roman"/>
                <w:color w:val="auto"/>
                <w:sz w:val="24"/>
                <w:highlight w:val="none"/>
                <w:lang w:val="en-US" w:eastAsia="zh-CN"/>
              </w:rPr>
              <w:t>贮存包装的管理，一旦发现有破损现象须及时更换包装，防止发生泄漏进入土壤及地下水</w:t>
            </w:r>
            <w:r>
              <w:rPr>
                <w:rFonts w:hint="default" w:ascii="Times New Roman" w:hAnsi="Times New Roman" w:eastAsia="宋体" w:cs="Times New Roman"/>
                <w:color w:val="auto"/>
                <w:spacing w:val="0"/>
                <w:sz w:val="24"/>
                <w:szCs w:val="24"/>
                <w:highlight w:val="none"/>
              </w:rPr>
              <w:t>。</w:t>
            </w:r>
          </w:p>
          <w:p w14:paraId="478A8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2</w:t>
            </w: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lang w:val="en-US" w:eastAsia="zh-CN"/>
              </w:rPr>
              <w:t>严禁火源进入</w:t>
            </w:r>
            <w:r>
              <w:rPr>
                <w:rFonts w:hint="eastAsia" w:ascii="Times New Roman" w:hAnsi="Times New Roman" w:eastAsia="宋体" w:cs="Times New Roman"/>
                <w:color w:val="auto"/>
                <w:spacing w:val="0"/>
                <w:sz w:val="24"/>
                <w:szCs w:val="24"/>
                <w:highlight w:val="none"/>
                <w:lang w:val="en-US" w:eastAsia="zh-CN"/>
              </w:rPr>
              <w:t>危废贮存</w:t>
            </w:r>
            <w:r>
              <w:rPr>
                <w:rFonts w:hint="eastAsia" w:cs="Times New Roman"/>
                <w:color w:val="auto"/>
                <w:spacing w:val="0"/>
                <w:sz w:val="24"/>
                <w:szCs w:val="24"/>
                <w:highlight w:val="none"/>
                <w:lang w:val="en-US" w:eastAsia="zh-CN"/>
              </w:rPr>
              <w:t>点</w:t>
            </w:r>
            <w:r>
              <w:rPr>
                <w:rFonts w:hint="default" w:ascii="Times New Roman" w:hAnsi="Times New Roman" w:eastAsia="宋体" w:cs="Times New Roman"/>
                <w:color w:val="auto"/>
                <w:spacing w:val="0"/>
                <w:sz w:val="24"/>
                <w:szCs w:val="24"/>
                <w:highlight w:val="none"/>
                <w:lang w:val="en-US" w:eastAsia="zh-CN"/>
              </w:rPr>
              <w:t>，对明火严格控制。配置相应的灭火装置和设施，如灭火器、消防砂、消火栓等，并保持完好。值班人员应掌握一般消防知识。</w:t>
            </w:r>
          </w:p>
          <w:p w14:paraId="7AE69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color w:val="auto"/>
                <w:sz w:val="24"/>
                <w:szCs w:val="24"/>
                <w:highlight w:val="none"/>
                <w:lang w:val="en-US" w:eastAsia="zh-CN"/>
              </w:rPr>
              <w:t>4.10.</w:t>
            </w:r>
            <w:r>
              <w:rPr>
                <w:rFonts w:hint="eastAsia" w:ascii="Times New Roman" w:hAnsi="Times New Roman" w:eastAsia="宋体" w:cs="Times New Roman"/>
                <w:b/>
                <w:bCs/>
                <w:color w:val="auto"/>
                <w:sz w:val="24"/>
                <w:szCs w:val="24"/>
                <w:highlight w:val="none"/>
                <w:lang w:val="en-US" w:eastAsia="zh-CN"/>
              </w:rPr>
              <w:t>4</w:t>
            </w:r>
            <w:bookmarkStart w:id="17" w:name="_Toc219170345"/>
            <w:bookmarkStart w:id="18" w:name="_Toc164788227"/>
            <w:bookmarkStart w:id="19" w:name="_Toc179601982"/>
            <w:bookmarkStart w:id="20" w:name="_Toc222586620"/>
            <w:bookmarkStart w:id="21" w:name="_Toc157591136"/>
            <w:bookmarkStart w:id="22" w:name="_Toc306609410"/>
            <w:r>
              <w:rPr>
                <w:rFonts w:hint="default" w:ascii="Times New Roman" w:hAnsi="Times New Roman" w:eastAsia="宋体" w:cs="Times New Roman"/>
                <w:b/>
                <w:bCs/>
                <w:color w:val="auto"/>
                <w:sz w:val="24"/>
                <w:szCs w:val="24"/>
                <w:highlight w:val="none"/>
                <w:lang w:val="en-US" w:eastAsia="zh-CN"/>
              </w:rPr>
              <w:t>环境风险应急预案</w:t>
            </w:r>
            <w:bookmarkEnd w:id="17"/>
            <w:bookmarkEnd w:id="18"/>
            <w:bookmarkEnd w:id="19"/>
            <w:bookmarkEnd w:id="20"/>
            <w:bookmarkEnd w:id="21"/>
            <w:bookmarkEnd w:id="22"/>
          </w:p>
          <w:p w14:paraId="1B07B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对可能发生的事故，应制定应急计划，使各部门在事故发生后能有步骤、有秩序地采取各项应急措施。</w:t>
            </w:r>
          </w:p>
          <w:p w14:paraId="6F657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（1）事故发生后，应根据具体情况采取应急措施，切断泄漏源、火源，控制事故扩大，同时通知控制室，根据事故类型、大小启动相应的应急预案；</w:t>
            </w:r>
          </w:p>
          <w:p w14:paraId="70AE5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（2）发生重大事故，应立即上报相关部门，启动社会救援系统，就近地区调拨到专业救援队伍协助处理；</w:t>
            </w:r>
          </w:p>
          <w:p w14:paraId="20A67B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（3）事故发生后，应立即通知当地</w:t>
            </w:r>
            <w:r>
              <w:rPr>
                <w:rFonts w:hint="eastAsia" w:ascii="Times New Roman" w:hAnsi="Times New Roman" w:eastAsia="宋体" w:cs="Times New Roman"/>
                <w:color w:val="auto"/>
                <w:sz w:val="24"/>
                <w:szCs w:val="24"/>
                <w:highlight w:val="none"/>
                <w:lang w:val="en-US" w:eastAsia="zh-CN"/>
              </w:rPr>
              <w:t>生态环境</w:t>
            </w:r>
            <w:r>
              <w:rPr>
                <w:rFonts w:hint="default" w:ascii="Times New Roman" w:hAnsi="Times New Roman" w:eastAsia="宋体" w:cs="Times New Roman"/>
                <w:color w:val="auto"/>
                <w:sz w:val="24"/>
                <w:szCs w:val="24"/>
                <w:highlight w:val="none"/>
                <w:lang w:val="en-US" w:eastAsia="zh-CN"/>
              </w:rPr>
              <w:t>、消防等部门，进行救援与监控。</w:t>
            </w:r>
          </w:p>
          <w:p w14:paraId="006B60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.10-2</w:t>
            </w:r>
            <w:r>
              <w:rPr>
                <w:rFonts w:hint="default" w:ascii="Times New Roman" w:hAnsi="Times New Roman" w:eastAsia="宋体" w:cs="Times New Roman"/>
                <w:b/>
                <w:bCs/>
                <w:color w:val="auto"/>
                <w:kern w:val="2"/>
                <w:sz w:val="21"/>
                <w:szCs w:val="21"/>
                <w:highlight w:val="none"/>
                <w:lang w:val="en-US" w:eastAsia="zh-CN" w:bidi="ar-SA"/>
              </w:rPr>
              <w:t xml:space="preserve">  环境风险应急预案内容一览表</w:t>
            </w:r>
          </w:p>
          <w:tbl>
            <w:tblPr>
              <w:tblStyle w:val="27"/>
              <w:tblW w:w="83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615"/>
              <w:gridCol w:w="6040"/>
            </w:tblGrid>
            <w:tr w14:paraId="453AA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2FD876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序号</w:t>
                  </w:r>
                </w:p>
              </w:tc>
              <w:tc>
                <w:tcPr>
                  <w:tcW w:w="1615" w:type="dxa"/>
                  <w:tcBorders>
                    <w:tl2br w:val="nil"/>
                    <w:tr2bl w:val="nil"/>
                  </w:tcBorders>
                  <w:vAlign w:val="center"/>
                </w:tcPr>
                <w:p w14:paraId="483617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项目</w:t>
                  </w:r>
                </w:p>
              </w:tc>
              <w:tc>
                <w:tcPr>
                  <w:tcW w:w="6040" w:type="dxa"/>
                  <w:tcBorders>
                    <w:tl2br w:val="nil"/>
                    <w:tr2bl w:val="nil"/>
                  </w:tcBorders>
                  <w:vAlign w:val="center"/>
                </w:tcPr>
                <w:p w14:paraId="5EE6BD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内容及要求</w:t>
                  </w:r>
                </w:p>
              </w:tc>
            </w:tr>
            <w:tr w14:paraId="7A42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1AEBD1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615" w:type="dxa"/>
                  <w:tcBorders>
                    <w:tl2br w:val="nil"/>
                    <w:tr2bl w:val="nil"/>
                  </w:tcBorders>
                  <w:vAlign w:val="center"/>
                </w:tcPr>
                <w:p w14:paraId="08B68A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应急计划区</w:t>
                  </w:r>
                </w:p>
              </w:tc>
              <w:tc>
                <w:tcPr>
                  <w:tcW w:w="6040" w:type="dxa"/>
                  <w:tcBorders>
                    <w:tl2br w:val="nil"/>
                    <w:tr2bl w:val="nil"/>
                  </w:tcBorders>
                  <w:vAlign w:val="center"/>
                </w:tcPr>
                <w:p w14:paraId="50D0D3EE">
                  <w:pPr>
                    <w:keepNext w:val="0"/>
                    <w:keepLines w:val="0"/>
                    <w:suppressLineNumbers w:val="0"/>
                    <w:autoSpaceDE w:val="0"/>
                    <w:autoSpaceDN w:val="0"/>
                    <w:adjustRightInd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bidi="ar-SA"/>
                    </w:rPr>
                  </w:pPr>
                  <w:r>
                    <w:rPr>
                      <w:rFonts w:hint="default"/>
                      <w:color w:val="auto"/>
                      <w:kern w:val="0"/>
                      <w:szCs w:val="21"/>
                    </w:rPr>
                    <w:t>废物运输路线及敏感路段（如人口密集区、敏感水体）、项目所在地周围</w:t>
                  </w:r>
                </w:p>
              </w:tc>
            </w:tr>
            <w:tr w14:paraId="5167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4982F8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p>
              </w:tc>
              <w:tc>
                <w:tcPr>
                  <w:tcW w:w="1615" w:type="dxa"/>
                  <w:tcBorders>
                    <w:tl2br w:val="nil"/>
                    <w:tr2bl w:val="nil"/>
                  </w:tcBorders>
                  <w:vAlign w:val="center"/>
                </w:tcPr>
                <w:p w14:paraId="4728C5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应急组织</w:t>
                  </w:r>
                </w:p>
              </w:tc>
              <w:tc>
                <w:tcPr>
                  <w:tcW w:w="6040" w:type="dxa"/>
                  <w:tcBorders>
                    <w:tl2br w:val="nil"/>
                    <w:tr2bl w:val="nil"/>
                  </w:tcBorders>
                  <w:vAlign w:val="center"/>
                </w:tcPr>
                <w:p w14:paraId="23793652">
                  <w:pPr>
                    <w:keepNext w:val="0"/>
                    <w:keepLines w:val="0"/>
                    <w:suppressLineNumbers w:val="0"/>
                    <w:autoSpaceDE w:val="0"/>
                    <w:autoSpaceDN w:val="0"/>
                    <w:adjustRightInd w:val="0"/>
                    <w:spacing w:before="0" w:beforeAutospacing="0" w:after="0" w:afterAutospacing="0"/>
                    <w:ind w:left="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Cs w:val="21"/>
                      <w:lang w:val="en-US" w:eastAsia="zh-CN"/>
                    </w:rPr>
                    <w:t>屯留区</w:t>
                  </w:r>
                  <w:r>
                    <w:rPr>
                      <w:rFonts w:hint="default"/>
                      <w:color w:val="auto"/>
                      <w:kern w:val="0"/>
                      <w:szCs w:val="21"/>
                    </w:rPr>
                    <w:t>有关部门</w:t>
                  </w:r>
                  <w:r>
                    <w:rPr>
                      <w:rFonts w:hint="eastAsia"/>
                      <w:color w:val="auto"/>
                      <w:kern w:val="0"/>
                      <w:szCs w:val="21"/>
                    </w:rPr>
                    <w:t>、</w:t>
                  </w:r>
                  <w:r>
                    <w:rPr>
                      <w:rFonts w:hint="default"/>
                      <w:color w:val="auto"/>
                      <w:kern w:val="0"/>
                      <w:szCs w:val="21"/>
                    </w:rPr>
                    <w:t>本项目建设单位和运营单位、地区应急组织等机构及其人员</w:t>
                  </w:r>
                </w:p>
              </w:tc>
            </w:tr>
            <w:tr w14:paraId="1401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24396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w:t>
                  </w:r>
                </w:p>
              </w:tc>
              <w:tc>
                <w:tcPr>
                  <w:tcW w:w="1615" w:type="dxa"/>
                  <w:tcBorders>
                    <w:tl2br w:val="nil"/>
                    <w:tr2bl w:val="nil"/>
                  </w:tcBorders>
                  <w:vAlign w:val="center"/>
                </w:tcPr>
                <w:p w14:paraId="38E679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预案分级响应条件</w:t>
                  </w:r>
                </w:p>
              </w:tc>
              <w:tc>
                <w:tcPr>
                  <w:tcW w:w="6040" w:type="dxa"/>
                  <w:tcBorders>
                    <w:tl2br w:val="nil"/>
                    <w:tr2bl w:val="nil"/>
                  </w:tcBorders>
                  <w:vAlign w:val="center"/>
                </w:tcPr>
                <w:p w14:paraId="630ECC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规定预案的级别及分级响应条件</w:t>
                  </w:r>
                </w:p>
              </w:tc>
            </w:tr>
            <w:tr w14:paraId="3C5D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0C43BE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p>
              </w:tc>
              <w:tc>
                <w:tcPr>
                  <w:tcW w:w="1615" w:type="dxa"/>
                  <w:tcBorders>
                    <w:tl2br w:val="nil"/>
                    <w:tr2bl w:val="nil"/>
                  </w:tcBorders>
                  <w:vAlign w:val="center"/>
                </w:tcPr>
                <w:p w14:paraId="5E4E59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应急救援保障</w:t>
                  </w:r>
                </w:p>
              </w:tc>
              <w:tc>
                <w:tcPr>
                  <w:tcW w:w="6040" w:type="dxa"/>
                  <w:tcBorders>
                    <w:tl2br w:val="nil"/>
                    <w:tr2bl w:val="nil"/>
                  </w:tcBorders>
                  <w:vAlign w:val="center"/>
                </w:tcPr>
                <w:p w14:paraId="101D3B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应急设施、设备及器材等</w:t>
                  </w:r>
                </w:p>
              </w:tc>
            </w:tr>
            <w:tr w14:paraId="2959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4AB544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w:t>
                  </w:r>
                </w:p>
              </w:tc>
              <w:tc>
                <w:tcPr>
                  <w:tcW w:w="1615" w:type="dxa"/>
                  <w:tcBorders>
                    <w:tl2br w:val="nil"/>
                    <w:tr2bl w:val="nil"/>
                  </w:tcBorders>
                  <w:vAlign w:val="center"/>
                </w:tcPr>
                <w:p w14:paraId="65BA19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应急通讯通告与交通</w:t>
                  </w:r>
                </w:p>
              </w:tc>
              <w:tc>
                <w:tcPr>
                  <w:tcW w:w="6040" w:type="dxa"/>
                  <w:tcBorders>
                    <w:tl2br w:val="nil"/>
                    <w:tr2bl w:val="nil"/>
                  </w:tcBorders>
                  <w:vAlign w:val="center"/>
                </w:tcPr>
                <w:p w14:paraId="7701D0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规定应急状态下的通讯、通告方式和交通保障、管制等事项</w:t>
                  </w:r>
                </w:p>
              </w:tc>
            </w:tr>
            <w:tr w14:paraId="13F4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016FC5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w:t>
                  </w:r>
                </w:p>
              </w:tc>
              <w:tc>
                <w:tcPr>
                  <w:tcW w:w="1615" w:type="dxa"/>
                  <w:tcBorders>
                    <w:tl2br w:val="nil"/>
                    <w:tr2bl w:val="nil"/>
                  </w:tcBorders>
                  <w:vAlign w:val="center"/>
                </w:tcPr>
                <w:p w14:paraId="787731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应急环境监测及事故评估</w:t>
                  </w:r>
                </w:p>
              </w:tc>
              <w:tc>
                <w:tcPr>
                  <w:tcW w:w="6040" w:type="dxa"/>
                  <w:tcBorders>
                    <w:tl2br w:val="nil"/>
                    <w:tr2bl w:val="nil"/>
                  </w:tcBorders>
                  <w:vAlign w:val="center"/>
                </w:tcPr>
                <w:p w14:paraId="226B9D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由专业人员对环境风险事故现场进行应急监测，对事故性质、严重程度等所造成的环境危害后果进行评估，吸取经验教</w:t>
                  </w:r>
                  <w:r>
                    <w:rPr>
                      <w:rFonts w:hint="eastAsia" w:cs="Times New Roman"/>
                      <w:color w:val="auto"/>
                      <w:kern w:val="0"/>
                      <w:sz w:val="21"/>
                      <w:szCs w:val="21"/>
                      <w:highlight w:val="none"/>
                      <w:lang w:val="en-US" w:eastAsia="zh-CN" w:bidi="ar-SA"/>
                    </w:rPr>
                    <w:t>训避</w:t>
                  </w:r>
                  <w:r>
                    <w:rPr>
                      <w:rFonts w:hint="default" w:ascii="Times New Roman" w:hAnsi="Times New Roman" w:eastAsia="宋体" w:cs="Times New Roman"/>
                      <w:color w:val="auto"/>
                      <w:kern w:val="0"/>
                      <w:sz w:val="21"/>
                      <w:szCs w:val="21"/>
                      <w:highlight w:val="none"/>
                      <w:lang w:val="en-US" w:eastAsia="zh-CN" w:bidi="ar-SA"/>
                    </w:rPr>
                    <w:t>免再次发生事故，为指挥部门提供决策依据。</w:t>
                  </w:r>
                </w:p>
              </w:tc>
            </w:tr>
            <w:tr w14:paraId="3C48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532C28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w:t>
                  </w:r>
                </w:p>
              </w:tc>
              <w:tc>
                <w:tcPr>
                  <w:tcW w:w="1615" w:type="dxa"/>
                  <w:tcBorders>
                    <w:tl2br w:val="nil"/>
                    <w:tr2bl w:val="nil"/>
                  </w:tcBorders>
                  <w:vAlign w:val="center"/>
                </w:tcPr>
                <w:p w14:paraId="1CDB0D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应急防护措施</w:t>
                  </w:r>
                </w:p>
              </w:tc>
              <w:tc>
                <w:tcPr>
                  <w:tcW w:w="6040" w:type="dxa"/>
                  <w:tcBorders>
                    <w:tl2br w:val="nil"/>
                    <w:tr2bl w:val="nil"/>
                  </w:tcBorders>
                  <w:vAlign w:val="center"/>
                </w:tcPr>
                <w:p w14:paraId="7622E6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事故现场：控制事故发展，防止扩大、蔓延及连锁反应；相应的设施器材配备；临近地区：控制防火区域，控制和消除环境污染的措施及相应的设备设施</w:t>
                  </w:r>
                </w:p>
              </w:tc>
            </w:tr>
            <w:tr w14:paraId="206F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37D0D5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c>
                <w:tcPr>
                  <w:tcW w:w="1615" w:type="dxa"/>
                  <w:tcBorders>
                    <w:tl2br w:val="nil"/>
                    <w:tr2bl w:val="nil"/>
                  </w:tcBorders>
                  <w:vAlign w:val="center"/>
                </w:tcPr>
                <w:p w14:paraId="29BE5F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撤离组织计划，医疗救护与公众健康</w:t>
                  </w:r>
                </w:p>
              </w:tc>
              <w:tc>
                <w:tcPr>
                  <w:tcW w:w="6040" w:type="dxa"/>
                  <w:tcBorders>
                    <w:tl2br w:val="nil"/>
                    <w:tr2bl w:val="nil"/>
                  </w:tcBorders>
                  <w:vAlign w:val="center"/>
                </w:tcPr>
                <w:p w14:paraId="423188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事故现场：事故处理人员、现场及临近人员的撤离组织计划和紧急救护方案；邻近地区：制定受事故影响的临近地区人员的疏散组织计划和紧急救护方案</w:t>
                  </w:r>
                </w:p>
              </w:tc>
            </w:tr>
            <w:tr w14:paraId="091B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6E0173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9</w:t>
                  </w:r>
                </w:p>
              </w:tc>
              <w:tc>
                <w:tcPr>
                  <w:tcW w:w="1615" w:type="dxa"/>
                  <w:tcBorders>
                    <w:tl2br w:val="nil"/>
                    <w:tr2bl w:val="nil"/>
                  </w:tcBorders>
                  <w:vAlign w:val="center"/>
                </w:tcPr>
                <w:p w14:paraId="327D92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应急状态终止恢复措施</w:t>
                  </w:r>
                </w:p>
              </w:tc>
              <w:tc>
                <w:tcPr>
                  <w:tcW w:w="6040" w:type="dxa"/>
                  <w:tcBorders>
                    <w:tl2br w:val="nil"/>
                    <w:tr2bl w:val="nil"/>
                  </w:tcBorders>
                  <w:vAlign w:val="center"/>
                </w:tcPr>
                <w:p w14:paraId="60038B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事故现场：规定应急状态终止秩序，事故善后处理，恢复生产措施；临近地区：解除事故警戒、公众返回和善后恢复措施</w:t>
                  </w:r>
                </w:p>
              </w:tc>
            </w:tr>
            <w:tr w14:paraId="70700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5B20BA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615" w:type="dxa"/>
                  <w:tcBorders>
                    <w:tl2br w:val="nil"/>
                    <w:tr2bl w:val="nil"/>
                  </w:tcBorders>
                  <w:vAlign w:val="center"/>
                </w:tcPr>
                <w:p w14:paraId="219F2A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人员培训与</w:t>
                  </w:r>
                </w:p>
                <w:p w14:paraId="305273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演习</w:t>
                  </w:r>
                </w:p>
              </w:tc>
              <w:tc>
                <w:tcPr>
                  <w:tcW w:w="6040" w:type="dxa"/>
                  <w:tcBorders>
                    <w:tl2br w:val="nil"/>
                    <w:tr2bl w:val="nil"/>
                  </w:tcBorders>
                  <w:vAlign w:val="center"/>
                </w:tcPr>
                <w:p w14:paraId="3559C4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应急计划制定后，平时安排事故处理人员进行相关知识培训、进行事故应急处理演习；对企业职工进行安全卫生教育</w:t>
                  </w:r>
                </w:p>
              </w:tc>
            </w:tr>
            <w:tr w14:paraId="70DEC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354F23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11</w:t>
                  </w:r>
                </w:p>
              </w:tc>
              <w:tc>
                <w:tcPr>
                  <w:tcW w:w="1615" w:type="dxa"/>
                  <w:tcBorders>
                    <w:tl2br w:val="nil"/>
                    <w:tr2bl w:val="nil"/>
                  </w:tcBorders>
                  <w:vAlign w:val="center"/>
                </w:tcPr>
                <w:p w14:paraId="63C72B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公众教育</w:t>
                  </w:r>
                </w:p>
              </w:tc>
              <w:tc>
                <w:tcPr>
                  <w:tcW w:w="6040" w:type="dxa"/>
                  <w:tcBorders>
                    <w:tl2br w:val="nil"/>
                    <w:tr2bl w:val="nil"/>
                  </w:tcBorders>
                  <w:vAlign w:val="center"/>
                </w:tcPr>
                <w:p w14:paraId="2A7907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对企业临近地区公众开展环境风险事故预防教育、应急知识培训并定期发布相关信息</w:t>
                  </w:r>
                </w:p>
              </w:tc>
            </w:tr>
            <w:tr w14:paraId="01CB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38A46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12</w:t>
                  </w:r>
                </w:p>
              </w:tc>
              <w:tc>
                <w:tcPr>
                  <w:tcW w:w="1615" w:type="dxa"/>
                  <w:tcBorders>
                    <w:tl2br w:val="nil"/>
                    <w:tr2bl w:val="nil"/>
                  </w:tcBorders>
                  <w:vAlign w:val="center"/>
                </w:tcPr>
                <w:p w14:paraId="7A8069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记录和报告</w:t>
                  </w:r>
                </w:p>
              </w:tc>
              <w:tc>
                <w:tcPr>
                  <w:tcW w:w="6040" w:type="dxa"/>
                  <w:tcBorders>
                    <w:tl2br w:val="nil"/>
                    <w:tr2bl w:val="nil"/>
                  </w:tcBorders>
                  <w:vAlign w:val="center"/>
                </w:tcPr>
                <w:p w14:paraId="3BDEDB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设立</w:t>
                  </w:r>
                  <w:r>
                    <w:rPr>
                      <w:rFonts w:hint="default" w:ascii="Times New Roman" w:hAnsi="Times New Roman" w:eastAsia="宋体" w:cs="Times New Roman"/>
                      <w:color w:val="auto"/>
                      <w:kern w:val="0"/>
                      <w:sz w:val="21"/>
                      <w:szCs w:val="21"/>
                      <w:highlight w:val="none"/>
                      <w:lang w:val="en-US" w:eastAsia="zh-CN" w:bidi="ar-SA"/>
                    </w:rPr>
                    <w:t>应急事故专门记录，建立档案和报告制度，设专门部门负责管理</w:t>
                  </w:r>
                </w:p>
              </w:tc>
            </w:tr>
            <w:tr w14:paraId="4E7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82" w:type="dxa"/>
                  <w:tcBorders>
                    <w:tl2br w:val="nil"/>
                    <w:tr2bl w:val="nil"/>
                  </w:tcBorders>
                  <w:vAlign w:val="center"/>
                </w:tcPr>
                <w:p w14:paraId="4D45DE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13</w:t>
                  </w:r>
                </w:p>
              </w:tc>
              <w:tc>
                <w:tcPr>
                  <w:tcW w:w="1615" w:type="dxa"/>
                  <w:tcBorders>
                    <w:tl2br w:val="nil"/>
                    <w:tr2bl w:val="nil"/>
                  </w:tcBorders>
                  <w:vAlign w:val="center"/>
                </w:tcPr>
                <w:p w14:paraId="7609B7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附件</w:t>
                  </w:r>
                </w:p>
              </w:tc>
              <w:tc>
                <w:tcPr>
                  <w:tcW w:w="6040" w:type="dxa"/>
                  <w:tcBorders>
                    <w:tl2br w:val="nil"/>
                    <w:tr2bl w:val="nil"/>
                  </w:tcBorders>
                  <w:vAlign w:val="center"/>
                </w:tcPr>
                <w:p w14:paraId="5B0121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准备并形成环境风险事故应急处理有关的附件材料</w:t>
                  </w:r>
                </w:p>
              </w:tc>
            </w:tr>
          </w:tbl>
          <w:p w14:paraId="5F001D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color w:val="auto"/>
                <w:sz w:val="24"/>
                <w:szCs w:val="24"/>
                <w:highlight w:val="none"/>
                <w:lang w:val="en-US" w:eastAsia="zh-CN"/>
              </w:rPr>
              <w:t>4.10.</w:t>
            </w:r>
            <w:r>
              <w:rPr>
                <w:rFonts w:hint="default" w:ascii="Times New Roman" w:hAnsi="Times New Roman" w:eastAsia="宋体" w:cs="Times New Roman"/>
                <w:b/>
                <w:bCs/>
                <w:color w:val="auto"/>
                <w:kern w:val="2"/>
                <w:sz w:val="24"/>
                <w:szCs w:val="24"/>
                <w:highlight w:val="none"/>
                <w:lang w:val="en-US" w:eastAsia="zh-CN" w:bidi="ar-SA"/>
              </w:rPr>
              <w:t>5环境风险评价小结</w:t>
            </w:r>
          </w:p>
          <w:p w14:paraId="271A75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本次评价通过对项目可能发生的环境风险事故进行定性分析，在采取</w:t>
            </w:r>
            <w:r>
              <w:rPr>
                <w:rFonts w:hint="eastAsia" w:ascii="Times New Roman" w:hAnsi="Times New Roman" w:eastAsia="宋体" w:cs="Times New Roman"/>
                <w:b w:val="0"/>
                <w:bCs w:val="0"/>
                <w:color w:val="auto"/>
                <w:kern w:val="2"/>
                <w:sz w:val="24"/>
                <w:szCs w:val="24"/>
                <w:highlight w:val="none"/>
                <w:lang w:val="en-US" w:eastAsia="zh-CN" w:bidi="ar-SA"/>
              </w:rPr>
              <w:t>应急</w:t>
            </w:r>
            <w:r>
              <w:rPr>
                <w:rFonts w:hint="default" w:ascii="Times New Roman" w:hAnsi="Times New Roman" w:eastAsia="宋体" w:cs="Times New Roman"/>
                <w:b w:val="0"/>
                <w:bCs w:val="0"/>
                <w:color w:val="auto"/>
                <w:kern w:val="2"/>
                <w:sz w:val="24"/>
                <w:szCs w:val="24"/>
                <w:highlight w:val="none"/>
                <w:lang w:val="en-US" w:eastAsia="zh-CN" w:bidi="ar-SA"/>
              </w:rPr>
              <w:t>防范措施、综合管理措施、制定风险应急预案等措施后，可将泄漏、火灾等事故对环境的影响减少到最低和可接受范围，避免使项目本身及周边环境遭受损失。</w:t>
            </w:r>
          </w:p>
          <w:p w14:paraId="624D79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val="0"/>
                <w:bCs w:val="0"/>
                <w:color w:val="auto"/>
                <w:kern w:val="2"/>
                <w:sz w:val="24"/>
                <w:szCs w:val="24"/>
                <w:highlight w:val="none"/>
                <w:lang w:val="en-US" w:eastAsia="zh-CN" w:bidi="ar-SA"/>
              </w:rPr>
              <w:t>因此，在加强对各类风险的管理，做到各项管理措施及要求后，本项目风险处于可接受水平，风险管理措施有效、可靠，从风险角度而言是可行的</w:t>
            </w:r>
            <w:r>
              <w:rPr>
                <w:rFonts w:hint="default" w:ascii="Times New Roman" w:hAnsi="Times New Roman" w:eastAsia="宋体" w:cs="Times New Roman"/>
                <w:color w:val="auto"/>
                <w:sz w:val="24"/>
                <w:szCs w:val="24"/>
                <w:highlight w:val="none"/>
              </w:rPr>
              <w:t>。</w:t>
            </w:r>
          </w:p>
          <w:p w14:paraId="70F2F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firstLineChars="200"/>
              <w:jc w:val="both"/>
              <w:textAlignment w:val="auto"/>
              <w:rPr>
                <w:rFonts w:hint="default" w:eastAsia="宋体" w:cs="Times New Roman"/>
                <w:b/>
                <w:bCs/>
                <w:color w:val="auto"/>
                <w:sz w:val="24"/>
                <w:szCs w:val="24"/>
                <w:highlight w:val="none"/>
                <w:lang w:val="en-US" w:eastAsia="zh-CN"/>
              </w:rPr>
            </w:pPr>
            <w:r>
              <w:rPr>
                <w:rFonts w:hint="eastAsia" w:cs="Times New Roman"/>
                <w:b/>
                <w:color w:val="auto"/>
                <w:sz w:val="24"/>
                <w:szCs w:val="24"/>
                <w:highlight w:val="none"/>
                <w:lang w:val="en-US" w:eastAsia="zh-CN"/>
              </w:rPr>
              <w:t>4.11</w:t>
            </w:r>
            <w:r>
              <w:rPr>
                <w:rFonts w:hint="eastAsia" w:cs="Times New Roman"/>
                <w:b/>
                <w:bCs/>
                <w:color w:val="auto"/>
                <w:sz w:val="24"/>
                <w:szCs w:val="24"/>
                <w:highlight w:val="none"/>
                <w:lang w:val="en-US" w:eastAsia="zh-CN"/>
              </w:rPr>
              <w:t>监测计划</w:t>
            </w:r>
          </w:p>
          <w:p w14:paraId="0A4EB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根据《排污单位自行监测技术指南</w:t>
            </w:r>
            <w:r>
              <w:rPr>
                <w:rFonts w:hint="eastAsia" w:ascii="Times New Roman" w:hAnsi="Times New Roman" w:eastAsia="宋体" w:cs="Times New Roman"/>
                <w:b w:val="0"/>
                <w:bCs w:val="0"/>
                <w:color w:val="auto"/>
                <w:kern w:val="2"/>
                <w:sz w:val="24"/>
                <w:szCs w:val="24"/>
                <w:highlight w:val="none"/>
                <w:lang w:val="en-US" w:eastAsia="zh-CN" w:bidi="ar-SA"/>
              </w:rPr>
              <w:t xml:space="preserve"> 总则</w:t>
            </w:r>
            <w:r>
              <w:rPr>
                <w:rFonts w:hint="default" w:ascii="Times New Roman" w:hAnsi="Times New Roman" w:eastAsia="宋体" w:cs="Times New Roman"/>
                <w:b w:val="0"/>
                <w:bCs w:val="0"/>
                <w:color w:val="auto"/>
                <w:kern w:val="2"/>
                <w:sz w:val="24"/>
                <w:szCs w:val="24"/>
                <w:highlight w:val="none"/>
                <w:lang w:val="en-US" w:eastAsia="zh-CN" w:bidi="ar-SA"/>
              </w:rPr>
              <w:t>》（HJ819-2017）</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《排污许可证申请与核发技术规范 石墨及其他非金属矿物制品制造》（HJ 1119）等要求制定监测计划</w:t>
            </w:r>
            <w:r>
              <w:rPr>
                <w:rFonts w:hint="eastAsia" w:cs="Times New Roman"/>
                <w:b w:val="0"/>
                <w:bCs w:val="0"/>
                <w:color w:val="auto"/>
                <w:kern w:val="2"/>
                <w:sz w:val="24"/>
                <w:szCs w:val="24"/>
                <w:highlight w:val="none"/>
                <w:lang w:val="en-US" w:eastAsia="zh-CN" w:bidi="ar-SA"/>
              </w:rPr>
              <w:t>，</w:t>
            </w:r>
            <w:r>
              <w:rPr>
                <w:rFonts w:hint="eastAsia" w:ascii="Times New Roman" w:hAnsi="Times New Roman" w:eastAsia="宋体" w:cs="Times New Roman"/>
                <w:b w:val="0"/>
                <w:bCs w:val="0"/>
                <w:color w:val="auto"/>
                <w:kern w:val="2"/>
                <w:sz w:val="24"/>
                <w:szCs w:val="24"/>
                <w:highlight w:val="none"/>
                <w:lang w:val="en-US" w:eastAsia="zh-CN" w:bidi="ar-SA"/>
              </w:rPr>
              <w:t>见下表。</w:t>
            </w:r>
          </w:p>
          <w:p w14:paraId="02D665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w:t>
            </w:r>
            <w:r>
              <w:rPr>
                <w:rFonts w:hint="eastAsia" w:ascii="Times New Roman" w:hAnsi="Times New Roman" w:eastAsia="宋体" w:cs="Times New Roman"/>
                <w:b/>
                <w:bCs/>
                <w:color w:val="auto"/>
                <w:kern w:val="2"/>
                <w:sz w:val="21"/>
                <w:szCs w:val="21"/>
                <w:highlight w:val="none"/>
                <w:lang w:val="en-US" w:eastAsia="zh-CN" w:bidi="ar-SA"/>
              </w:rPr>
              <w:t>1</w:t>
            </w:r>
            <w:r>
              <w:rPr>
                <w:rFonts w:hint="eastAsia" w:cs="Times New Roman"/>
                <w:b/>
                <w:bCs/>
                <w:color w:val="auto"/>
                <w:kern w:val="2"/>
                <w:sz w:val="21"/>
                <w:szCs w:val="21"/>
                <w:highlight w:val="none"/>
                <w:lang w:val="en-US" w:eastAsia="zh-CN" w:bidi="ar-SA"/>
              </w:rPr>
              <w:t>1-1</w:t>
            </w:r>
            <w:r>
              <w:rPr>
                <w:rFonts w:hint="eastAsia" w:ascii="Times New Roman" w:hAnsi="Times New Roman" w:eastAsia="宋体" w:cs="Times New Roman"/>
                <w:b/>
                <w:bCs/>
                <w:color w:val="auto"/>
                <w:kern w:val="2"/>
                <w:sz w:val="21"/>
                <w:szCs w:val="21"/>
                <w:highlight w:val="none"/>
                <w:lang w:val="en-US" w:eastAsia="zh-CN" w:bidi="ar-SA"/>
              </w:rPr>
              <w:t xml:space="preserve">  污染源监测计划一览表</w:t>
            </w:r>
          </w:p>
          <w:tbl>
            <w:tblPr>
              <w:tblStyle w:val="27"/>
              <w:tblW w:w="8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3713"/>
              <w:gridCol w:w="808"/>
              <w:gridCol w:w="1950"/>
              <w:gridCol w:w="1123"/>
            </w:tblGrid>
            <w:tr w14:paraId="780D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8" w:type="dxa"/>
                  <w:tcBorders>
                    <w:tl2br w:val="nil"/>
                    <w:tr2bl w:val="nil"/>
                  </w:tcBorders>
                  <w:vAlign w:val="center"/>
                </w:tcPr>
                <w:p w14:paraId="18F5C5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
                      <w:bCs/>
                      <w:color w:val="auto"/>
                      <w:sz w:val="21"/>
                      <w:szCs w:val="21"/>
                      <w:highlight w:val="none"/>
                      <w:u w:val="none"/>
                      <w:lang w:val="en-US" w:eastAsia="zh-CN"/>
                    </w:rPr>
                  </w:pPr>
                  <w:r>
                    <w:rPr>
                      <w:rFonts w:hint="eastAsia" w:ascii="Times New Roman" w:hAnsi="Times New Roman" w:eastAsia="宋体" w:cs="Times New Roman"/>
                      <w:b/>
                      <w:bCs/>
                      <w:color w:val="auto"/>
                      <w:sz w:val="21"/>
                      <w:szCs w:val="21"/>
                      <w:highlight w:val="none"/>
                      <w:u w:val="none"/>
                      <w:lang w:val="en-US" w:eastAsia="zh-CN"/>
                    </w:rPr>
                    <w:t>类别</w:t>
                  </w:r>
                </w:p>
              </w:tc>
              <w:tc>
                <w:tcPr>
                  <w:tcW w:w="3713" w:type="dxa"/>
                  <w:tcBorders>
                    <w:tl2br w:val="nil"/>
                    <w:tr2bl w:val="nil"/>
                  </w:tcBorders>
                  <w:vAlign w:val="center"/>
                </w:tcPr>
                <w:p w14:paraId="7E58F0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Times New Roman" w:hAnsi="Times New Roman" w:eastAsia="宋体" w:cs="Times New Roman"/>
                      <w:b/>
                      <w:bCs/>
                      <w:color w:val="auto"/>
                      <w:sz w:val="21"/>
                      <w:szCs w:val="21"/>
                      <w:highlight w:val="none"/>
                      <w:u w:val="none"/>
                      <w:lang w:val="en-US" w:eastAsia="zh-CN"/>
                    </w:rPr>
                  </w:pPr>
                  <w:r>
                    <w:rPr>
                      <w:rFonts w:hint="default" w:ascii="Times New Roman" w:hAnsi="Times New Roman" w:eastAsia="宋体" w:cs="Times New Roman"/>
                      <w:b/>
                      <w:bCs/>
                      <w:color w:val="auto"/>
                      <w:sz w:val="21"/>
                      <w:szCs w:val="21"/>
                      <w:highlight w:val="none"/>
                      <w:u w:val="none"/>
                    </w:rPr>
                    <w:t>监测点位</w:t>
                  </w:r>
                </w:p>
              </w:tc>
              <w:tc>
                <w:tcPr>
                  <w:tcW w:w="808" w:type="dxa"/>
                  <w:tcBorders>
                    <w:tl2br w:val="nil"/>
                    <w:tr2bl w:val="nil"/>
                  </w:tcBorders>
                  <w:vAlign w:val="center"/>
                </w:tcPr>
                <w:p w14:paraId="7F0153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Times New Roman" w:hAnsi="Times New Roman" w:eastAsia="宋体" w:cs="Times New Roman"/>
                      <w:b/>
                      <w:bCs/>
                      <w:color w:val="auto"/>
                      <w:kern w:val="2"/>
                      <w:sz w:val="21"/>
                      <w:szCs w:val="21"/>
                      <w:highlight w:val="none"/>
                      <w:u w:val="none"/>
                      <w:lang w:val="en-US" w:eastAsia="zh-CN"/>
                    </w:rPr>
                  </w:pPr>
                  <w:r>
                    <w:rPr>
                      <w:rFonts w:hint="eastAsia" w:ascii="Times New Roman" w:hAnsi="Times New Roman" w:eastAsia="宋体" w:cs="Times New Roman"/>
                      <w:b/>
                      <w:bCs/>
                      <w:color w:val="auto"/>
                      <w:kern w:val="2"/>
                      <w:sz w:val="21"/>
                      <w:szCs w:val="21"/>
                      <w:highlight w:val="none"/>
                      <w:u w:val="none"/>
                      <w:lang w:val="en-US" w:eastAsia="zh-CN"/>
                    </w:rPr>
                    <w:t>点数</w:t>
                  </w:r>
                </w:p>
              </w:tc>
              <w:tc>
                <w:tcPr>
                  <w:tcW w:w="1950" w:type="dxa"/>
                  <w:tcBorders>
                    <w:tl2br w:val="nil"/>
                    <w:tr2bl w:val="nil"/>
                  </w:tcBorders>
                  <w:vAlign w:val="center"/>
                </w:tcPr>
                <w:p w14:paraId="7230FC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b/>
                      <w:bCs/>
                      <w:color w:val="auto"/>
                      <w:kern w:val="2"/>
                      <w:sz w:val="21"/>
                      <w:szCs w:val="21"/>
                      <w:highlight w:val="none"/>
                      <w:u w:val="none"/>
                      <w:lang w:val="en-US" w:eastAsia="zh-CN"/>
                    </w:rPr>
                  </w:pPr>
                  <w:r>
                    <w:rPr>
                      <w:rFonts w:hint="eastAsia" w:ascii="Times New Roman" w:hAnsi="Times New Roman" w:eastAsia="宋体" w:cs="Times New Roman"/>
                      <w:b/>
                      <w:bCs/>
                      <w:color w:val="auto"/>
                      <w:sz w:val="21"/>
                      <w:szCs w:val="21"/>
                      <w:highlight w:val="none"/>
                      <w:u w:val="none"/>
                      <w:lang w:val="en-US" w:eastAsia="zh-CN"/>
                    </w:rPr>
                    <w:t>监测项目</w:t>
                  </w:r>
                </w:p>
              </w:tc>
              <w:tc>
                <w:tcPr>
                  <w:tcW w:w="1123" w:type="dxa"/>
                  <w:tcBorders>
                    <w:tl2br w:val="nil"/>
                    <w:tr2bl w:val="nil"/>
                  </w:tcBorders>
                  <w:vAlign w:val="center"/>
                </w:tcPr>
                <w:p w14:paraId="422E8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eastAsia" w:ascii="Times New Roman" w:hAnsi="Times New Roman" w:eastAsia="宋体" w:cs="Times New Roman"/>
                      <w:b/>
                      <w:bCs/>
                      <w:color w:val="auto"/>
                      <w:kern w:val="2"/>
                      <w:sz w:val="21"/>
                      <w:szCs w:val="21"/>
                      <w:highlight w:val="none"/>
                      <w:u w:val="none"/>
                      <w:lang w:val="en-US" w:eastAsia="zh-CN"/>
                    </w:rPr>
                  </w:pPr>
                  <w:r>
                    <w:rPr>
                      <w:rFonts w:hint="default" w:ascii="Times New Roman" w:hAnsi="Times New Roman" w:eastAsia="宋体" w:cs="Times New Roman"/>
                      <w:b/>
                      <w:bCs/>
                      <w:color w:val="auto"/>
                      <w:sz w:val="21"/>
                      <w:szCs w:val="21"/>
                      <w:highlight w:val="none"/>
                      <w:u w:val="none"/>
                    </w:rPr>
                    <w:t>监测</w:t>
                  </w:r>
                  <w:r>
                    <w:rPr>
                      <w:rFonts w:hint="eastAsia" w:ascii="Times New Roman" w:hAnsi="Times New Roman" w:eastAsia="宋体" w:cs="Times New Roman"/>
                      <w:b/>
                      <w:bCs/>
                      <w:color w:val="auto"/>
                      <w:sz w:val="21"/>
                      <w:szCs w:val="21"/>
                      <w:highlight w:val="none"/>
                      <w:u w:val="none"/>
                      <w:lang w:val="en-US" w:eastAsia="zh-CN"/>
                    </w:rPr>
                    <w:t>频次</w:t>
                  </w:r>
                </w:p>
              </w:tc>
            </w:tr>
            <w:tr w14:paraId="06A8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8" w:type="dxa"/>
                  <w:vMerge w:val="restart"/>
                  <w:tcBorders>
                    <w:tl2br w:val="nil"/>
                    <w:tr2bl w:val="nil"/>
                  </w:tcBorders>
                  <w:vAlign w:val="center"/>
                </w:tcPr>
                <w:p w14:paraId="3E1A9D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firstLine="0" w:firstLine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b w:val="0"/>
                      <w:bCs w:val="0"/>
                      <w:color w:val="auto"/>
                      <w:kern w:val="2"/>
                      <w:sz w:val="21"/>
                      <w:szCs w:val="21"/>
                      <w:highlight w:val="none"/>
                      <w:u w:val="none"/>
                      <w:lang w:val="en-US" w:eastAsia="zh-CN" w:bidi="ar-SA"/>
                    </w:rPr>
                    <w:t>废气</w:t>
                  </w:r>
                </w:p>
              </w:tc>
              <w:tc>
                <w:tcPr>
                  <w:tcW w:w="3713" w:type="dxa"/>
                  <w:tcBorders>
                    <w:tl2br w:val="nil"/>
                    <w:tr2bl w:val="nil"/>
                  </w:tcBorders>
                  <w:vAlign w:val="center"/>
                </w:tcPr>
                <w:p w14:paraId="1C95666E">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cs="Times New Roman"/>
                      <w:b w:val="0"/>
                      <w:bCs/>
                      <w:color w:val="auto"/>
                      <w:kern w:val="2"/>
                      <w:sz w:val="21"/>
                      <w:szCs w:val="21"/>
                      <w:highlight w:val="none"/>
                      <w:lang w:val="en-US" w:eastAsia="zh-CN" w:bidi="ar-SA"/>
                    </w:rPr>
                    <w:t>给料、破碎、筛分废气</w:t>
                  </w:r>
                  <w:r>
                    <w:rPr>
                      <w:rFonts w:hint="eastAsia" w:ascii="Times New Roman" w:hAnsi="Times New Roman" w:eastAsia="宋体" w:cs="Times New Roman"/>
                      <w:b w:val="0"/>
                      <w:bCs/>
                      <w:color w:val="auto"/>
                      <w:kern w:val="2"/>
                      <w:sz w:val="21"/>
                      <w:szCs w:val="21"/>
                      <w:highlight w:val="none"/>
                      <w:lang w:val="en-US" w:eastAsia="zh-CN" w:bidi="ar-SA"/>
                    </w:rPr>
                    <w:t>排放口</w:t>
                  </w:r>
                </w:p>
              </w:tc>
              <w:tc>
                <w:tcPr>
                  <w:tcW w:w="808" w:type="dxa"/>
                  <w:tcBorders>
                    <w:tl2br w:val="nil"/>
                    <w:tr2bl w:val="nil"/>
                  </w:tcBorders>
                  <w:vAlign w:val="center"/>
                </w:tcPr>
                <w:p w14:paraId="7E0AEFE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1个</w:t>
                  </w:r>
                </w:p>
              </w:tc>
              <w:tc>
                <w:tcPr>
                  <w:tcW w:w="1950" w:type="dxa"/>
                  <w:tcBorders>
                    <w:tl2br w:val="nil"/>
                    <w:tr2bl w:val="nil"/>
                  </w:tcBorders>
                  <w:vAlign w:val="center"/>
                </w:tcPr>
                <w:p w14:paraId="1AC3D7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1123" w:type="dxa"/>
                  <w:tcBorders>
                    <w:tl2br w:val="nil"/>
                    <w:tr2bl w:val="nil"/>
                  </w:tcBorders>
                  <w:vAlign w:val="center"/>
                </w:tcPr>
                <w:p w14:paraId="74D745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1次/年</w:t>
                  </w:r>
                </w:p>
              </w:tc>
            </w:tr>
            <w:tr w14:paraId="11446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8" w:type="dxa"/>
                  <w:vMerge w:val="continue"/>
                  <w:tcBorders>
                    <w:tl2br w:val="nil"/>
                    <w:tr2bl w:val="nil"/>
                  </w:tcBorders>
                  <w:vAlign w:val="center"/>
                </w:tcPr>
                <w:p w14:paraId="62DDEA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jc w:val="center"/>
                    <w:textAlignment w:val="auto"/>
                    <w:rPr>
                      <w:rFonts w:hint="default" w:ascii="Times New Roman" w:hAnsi="Times New Roman" w:eastAsia="宋体" w:cs="Times New Roman"/>
                      <w:color w:val="auto"/>
                      <w:sz w:val="21"/>
                      <w:szCs w:val="21"/>
                      <w:highlight w:val="none"/>
                      <w:u w:val="none"/>
                      <w:lang w:val="en-US" w:eastAsia="zh-CN"/>
                    </w:rPr>
                  </w:pPr>
                </w:p>
              </w:tc>
              <w:tc>
                <w:tcPr>
                  <w:tcW w:w="3713" w:type="dxa"/>
                  <w:tcBorders>
                    <w:tl2br w:val="nil"/>
                    <w:tr2bl w:val="nil"/>
                  </w:tcBorders>
                  <w:vAlign w:val="center"/>
                </w:tcPr>
                <w:p w14:paraId="4DC9B5CA">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cs="Times New Roman"/>
                      <w:b w:val="0"/>
                      <w:bCs/>
                      <w:color w:val="auto"/>
                      <w:kern w:val="2"/>
                      <w:sz w:val="21"/>
                      <w:szCs w:val="21"/>
                      <w:highlight w:val="none"/>
                      <w:lang w:val="en-US" w:eastAsia="zh-CN" w:bidi="ar-SA"/>
                    </w:rPr>
                    <w:t>制砂、筛分废气排放口</w:t>
                  </w:r>
                </w:p>
              </w:tc>
              <w:tc>
                <w:tcPr>
                  <w:tcW w:w="808" w:type="dxa"/>
                  <w:tcBorders>
                    <w:tl2br w:val="nil"/>
                    <w:tr2bl w:val="nil"/>
                  </w:tcBorders>
                  <w:vAlign w:val="center"/>
                </w:tcPr>
                <w:p w14:paraId="79FCF0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1</w:t>
                  </w:r>
                  <w:r>
                    <w:rPr>
                      <w:rFonts w:hint="eastAsia" w:ascii="Times New Roman" w:hAnsi="Times New Roman" w:eastAsia="宋体" w:cs="Times New Roman"/>
                      <w:color w:val="auto"/>
                      <w:kern w:val="2"/>
                      <w:sz w:val="21"/>
                      <w:szCs w:val="21"/>
                      <w:highlight w:val="none"/>
                      <w:lang w:val="en-US" w:eastAsia="zh-CN" w:bidi="ar-SA"/>
                    </w:rPr>
                    <w:t>个</w:t>
                  </w:r>
                </w:p>
              </w:tc>
              <w:tc>
                <w:tcPr>
                  <w:tcW w:w="1950" w:type="dxa"/>
                  <w:tcBorders>
                    <w:tl2br w:val="nil"/>
                    <w:tr2bl w:val="nil"/>
                  </w:tcBorders>
                  <w:vAlign w:val="center"/>
                </w:tcPr>
                <w:p w14:paraId="5FCABC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auto"/>
                      <w:kern w:val="2"/>
                      <w:sz w:val="21"/>
                      <w:szCs w:val="21"/>
                      <w:highlight w:val="none"/>
                      <w:u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1123" w:type="dxa"/>
                  <w:tcBorders>
                    <w:tl2br w:val="nil"/>
                    <w:tr2bl w:val="nil"/>
                  </w:tcBorders>
                  <w:vAlign w:val="center"/>
                </w:tcPr>
                <w:p w14:paraId="0C55F4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kern w:val="2"/>
                      <w:sz w:val="21"/>
                      <w:szCs w:val="21"/>
                      <w:highlight w:val="none"/>
                      <w:u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1次/年</w:t>
                  </w:r>
                </w:p>
              </w:tc>
            </w:tr>
            <w:tr w14:paraId="4C7DA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8" w:type="dxa"/>
                  <w:vMerge w:val="continue"/>
                  <w:tcBorders>
                    <w:tl2br w:val="nil"/>
                    <w:tr2bl w:val="nil"/>
                  </w:tcBorders>
                  <w:vAlign w:val="center"/>
                </w:tcPr>
                <w:p w14:paraId="20A649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auto"/>
                      <w:sz w:val="21"/>
                      <w:szCs w:val="21"/>
                      <w:highlight w:val="none"/>
                      <w:u w:val="none"/>
                      <w:lang w:val="en-US" w:eastAsia="zh-CN"/>
                    </w:rPr>
                  </w:pPr>
                </w:p>
              </w:tc>
              <w:tc>
                <w:tcPr>
                  <w:tcW w:w="3713" w:type="dxa"/>
                  <w:tcBorders>
                    <w:tl2br w:val="nil"/>
                    <w:tr2bl w:val="nil"/>
                  </w:tcBorders>
                  <w:vAlign w:val="center"/>
                </w:tcPr>
                <w:p w14:paraId="24AF68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default" w:ascii="Times New Roman" w:hAnsi="Times New Roman" w:eastAsia="宋体" w:cs="Times New Roman"/>
                      <w:color w:val="auto"/>
                      <w:sz w:val="21"/>
                      <w:szCs w:val="21"/>
                      <w:highlight w:val="none"/>
                      <w:u w:val="none"/>
                      <w:lang w:val="en-US" w:eastAsia="zh-CN"/>
                    </w:rPr>
                    <w:t>厂界</w:t>
                  </w:r>
                  <w:r>
                    <w:rPr>
                      <w:rFonts w:hint="default" w:ascii="Times New Roman" w:hAnsi="Times New Roman" w:eastAsia="宋体" w:cs="Times New Roman"/>
                      <w:color w:val="auto"/>
                      <w:sz w:val="21"/>
                      <w:szCs w:val="21"/>
                      <w:highlight w:val="none"/>
                      <w:u w:val="none"/>
                    </w:rPr>
                    <w:t>上风向1个点位，下风向</w:t>
                  </w:r>
                  <w:r>
                    <w:rPr>
                      <w:rFonts w:hint="eastAsia" w:ascii="Times New Roman" w:hAnsi="Times New Roman" w:eastAsia="宋体" w:cs="Times New Roman"/>
                      <w:color w:val="auto"/>
                      <w:sz w:val="21"/>
                      <w:szCs w:val="21"/>
                      <w:highlight w:val="none"/>
                      <w:u w:val="none"/>
                      <w:lang w:val="en-US" w:eastAsia="zh-CN"/>
                    </w:rPr>
                    <w:t>4</w:t>
                  </w:r>
                  <w:r>
                    <w:rPr>
                      <w:rFonts w:hint="default" w:ascii="Times New Roman" w:hAnsi="Times New Roman" w:eastAsia="宋体" w:cs="Times New Roman"/>
                      <w:color w:val="auto"/>
                      <w:sz w:val="21"/>
                      <w:szCs w:val="21"/>
                      <w:highlight w:val="none"/>
                      <w:u w:val="none"/>
                    </w:rPr>
                    <w:t>个点位</w:t>
                  </w:r>
                </w:p>
              </w:tc>
              <w:tc>
                <w:tcPr>
                  <w:tcW w:w="808" w:type="dxa"/>
                  <w:tcBorders>
                    <w:tl2br w:val="nil"/>
                    <w:tr2bl w:val="nil"/>
                  </w:tcBorders>
                  <w:vAlign w:val="center"/>
                </w:tcPr>
                <w:p w14:paraId="04658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5个</w:t>
                  </w:r>
                </w:p>
              </w:tc>
              <w:tc>
                <w:tcPr>
                  <w:tcW w:w="1950" w:type="dxa"/>
                  <w:tcBorders>
                    <w:tl2br w:val="nil"/>
                    <w:tr2bl w:val="nil"/>
                  </w:tcBorders>
                  <w:vAlign w:val="center"/>
                </w:tcPr>
                <w:p w14:paraId="201131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1123" w:type="dxa"/>
                  <w:tcBorders>
                    <w:tl2br w:val="nil"/>
                    <w:tr2bl w:val="nil"/>
                  </w:tcBorders>
                  <w:vAlign w:val="center"/>
                </w:tcPr>
                <w:p w14:paraId="1EF372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1次/年</w:t>
                  </w:r>
                </w:p>
              </w:tc>
            </w:tr>
            <w:tr w14:paraId="061F0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8" w:type="dxa"/>
                  <w:tcBorders>
                    <w:tl2br w:val="nil"/>
                    <w:tr2bl w:val="nil"/>
                  </w:tcBorders>
                  <w:vAlign w:val="center"/>
                </w:tcPr>
                <w:p w14:paraId="58F304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噪声</w:t>
                  </w:r>
                </w:p>
              </w:tc>
              <w:tc>
                <w:tcPr>
                  <w:tcW w:w="3713" w:type="dxa"/>
                  <w:tcBorders>
                    <w:tl2br w:val="nil"/>
                    <w:tr2bl w:val="nil"/>
                  </w:tcBorders>
                  <w:vAlign w:val="center"/>
                </w:tcPr>
                <w:p w14:paraId="0E3163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厂界四周外1m</w:t>
                  </w:r>
                </w:p>
              </w:tc>
              <w:tc>
                <w:tcPr>
                  <w:tcW w:w="808" w:type="dxa"/>
                  <w:tcBorders>
                    <w:tl2br w:val="nil"/>
                    <w:tr2bl w:val="nil"/>
                  </w:tcBorders>
                  <w:vAlign w:val="center"/>
                </w:tcPr>
                <w:p w14:paraId="776661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cs="Times New Roman"/>
                      <w:color w:val="auto"/>
                      <w:sz w:val="21"/>
                      <w:szCs w:val="21"/>
                      <w:highlight w:val="none"/>
                      <w:u w:val="none"/>
                      <w:lang w:val="en-US" w:eastAsia="zh-CN"/>
                    </w:rPr>
                    <w:t>4</w:t>
                  </w:r>
                  <w:r>
                    <w:rPr>
                      <w:rFonts w:hint="eastAsia" w:ascii="Times New Roman" w:hAnsi="Times New Roman" w:eastAsia="宋体" w:cs="Times New Roman"/>
                      <w:color w:val="auto"/>
                      <w:sz w:val="21"/>
                      <w:szCs w:val="21"/>
                      <w:highlight w:val="none"/>
                      <w:u w:val="none"/>
                      <w:lang w:val="en-US" w:eastAsia="zh-CN"/>
                    </w:rPr>
                    <w:t>个</w:t>
                  </w:r>
                </w:p>
              </w:tc>
              <w:tc>
                <w:tcPr>
                  <w:tcW w:w="1950" w:type="dxa"/>
                  <w:tcBorders>
                    <w:tl2br w:val="nil"/>
                    <w:tr2bl w:val="nil"/>
                  </w:tcBorders>
                  <w:vAlign w:val="center"/>
                </w:tcPr>
                <w:p w14:paraId="2846AF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szCs w:val="21"/>
                      <w:highlight w:val="none"/>
                      <w:lang w:val="en-US" w:eastAsia="zh-CN"/>
                    </w:rPr>
                    <w:t>L</w:t>
                  </w:r>
                  <w:r>
                    <w:rPr>
                      <w:rFonts w:hint="eastAsia" w:ascii="Times New Roman" w:hAnsi="Times New Roman" w:eastAsia="宋体" w:cs="Times New Roman"/>
                      <w:color w:val="auto"/>
                      <w:szCs w:val="21"/>
                      <w:highlight w:val="none"/>
                      <w:vertAlign w:val="subscript"/>
                      <w:lang w:val="en-US" w:eastAsia="zh-CN"/>
                    </w:rPr>
                    <w:t>10</w:t>
                  </w:r>
                  <w:r>
                    <w:rPr>
                      <w:rFonts w:hint="eastAsia" w:ascii="Times New Roman" w:hAnsi="Times New Roman" w:eastAsia="宋体" w:cs="Times New Roman"/>
                      <w:color w:val="auto"/>
                      <w:szCs w:val="21"/>
                      <w:highlight w:val="none"/>
                      <w:lang w:val="en-US" w:eastAsia="zh-CN"/>
                    </w:rPr>
                    <w:t>、L</w:t>
                  </w:r>
                  <w:r>
                    <w:rPr>
                      <w:rFonts w:hint="eastAsia" w:ascii="Times New Roman" w:hAnsi="Times New Roman" w:eastAsia="宋体" w:cs="Times New Roman"/>
                      <w:color w:val="auto"/>
                      <w:szCs w:val="21"/>
                      <w:highlight w:val="none"/>
                      <w:vertAlign w:val="subscript"/>
                      <w:lang w:val="en-US" w:eastAsia="zh-CN"/>
                    </w:rPr>
                    <w:t>50</w:t>
                  </w:r>
                  <w:r>
                    <w:rPr>
                      <w:rFonts w:hint="eastAsia" w:ascii="Times New Roman" w:hAnsi="Times New Roman" w:eastAsia="宋体" w:cs="Times New Roman"/>
                      <w:color w:val="auto"/>
                      <w:szCs w:val="21"/>
                      <w:highlight w:val="none"/>
                      <w:lang w:val="en-US" w:eastAsia="zh-CN"/>
                    </w:rPr>
                    <w:t>、L</w:t>
                  </w:r>
                  <w:r>
                    <w:rPr>
                      <w:rFonts w:hint="eastAsia" w:ascii="Times New Roman" w:hAnsi="Times New Roman" w:eastAsia="宋体" w:cs="Times New Roman"/>
                      <w:color w:val="auto"/>
                      <w:szCs w:val="21"/>
                      <w:highlight w:val="none"/>
                      <w:vertAlign w:val="subscript"/>
                      <w:lang w:val="en-US" w:eastAsia="zh-CN"/>
                    </w:rPr>
                    <w:t>90</w:t>
                  </w:r>
                  <w:r>
                    <w:rPr>
                      <w:rFonts w:hint="eastAsia" w:ascii="Times New Roman" w:hAnsi="Times New Roman" w:eastAsia="宋体" w:cs="Times New Roman"/>
                      <w:color w:val="auto"/>
                      <w:szCs w:val="21"/>
                      <w:highlight w:val="none"/>
                      <w:vertAlign w:val="baseline"/>
                      <w:lang w:val="en-US" w:eastAsia="zh-CN"/>
                    </w:rPr>
                    <w:t>、Leq</w:t>
                  </w:r>
                </w:p>
              </w:tc>
              <w:tc>
                <w:tcPr>
                  <w:tcW w:w="1123" w:type="dxa"/>
                  <w:tcBorders>
                    <w:tl2br w:val="nil"/>
                    <w:tr2bl w:val="nil"/>
                  </w:tcBorders>
                  <w:vAlign w:val="center"/>
                </w:tcPr>
                <w:p w14:paraId="79E56F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color w:val="auto"/>
                      <w:sz w:val="21"/>
                      <w:szCs w:val="21"/>
                      <w:highlight w:val="none"/>
                      <w:u w:val="none"/>
                      <w:lang w:val="en-US" w:eastAsia="zh-CN"/>
                    </w:rPr>
                  </w:pPr>
                  <w:r>
                    <w:rPr>
                      <w:rFonts w:hint="eastAsia" w:ascii="Times New Roman" w:hAnsi="Times New Roman" w:eastAsia="宋体" w:cs="Times New Roman"/>
                      <w:color w:val="auto"/>
                      <w:sz w:val="21"/>
                      <w:szCs w:val="21"/>
                      <w:highlight w:val="none"/>
                      <w:u w:val="none"/>
                      <w:lang w:val="en-US" w:eastAsia="zh-CN"/>
                    </w:rPr>
                    <w:t>1次/季</w:t>
                  </w:r>
                </w:p>
              </w:tc>
            </w:tr>
          </w:tbl>
          <w:p w14:paraId="15F39EE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firstLine="482" w:firstLineChars="200"/>
              <w:textAlignment w:val="auto"/>
              <w:outlineLvl w:val="9"/>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color w:val="auto"/>
                <w:sz w:val="24"/>
                <w:szCs w:val="24"/>
                <w:highlight w:val="none"/>
                <w:lang w:val="en-US" w:eastAsia="zh-CN"/>
              </w:rPr>
              <w:t>4.12</w:t>
            </w:r>
            <w:r>
              <w:rPr>
                <w:rFonts w:hint="eastAsia" w:ascii="Times New Roman" w:hAnsi="Times New Roman" w:eastAsia="宋体" w:cs="Times New Roman"/>
                <w:b/>
                <w:bCs/>
                <w:color w:val="auto"/>
                <w:kern w:val="2"/>
                <w:sz w:val="24"/>
                <w:szCs w:val="24"/>
                <w:highlight w:val="none"/>
                <w:lang w:val="en-US" w:eastAsia="zh-CN" w:bidi="ar-SA"/>
              </w:rPr>
              <w:t>环保投资估算</w:t>
            </w:r>
          </w:p>
          <w:p w14:paraId="6E92B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outlineLvl w:val="9"/>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本项目总投资</w:t>
            </w:r>
            <w:r>
              <w:rPr>
                <w:rFonts w:hint="eastAsia" w:cs="Times New Roman"/>
                <w:color w:val="auto"/>
                <w:kern w:val="0"/>
                <w:sz w:val="24"/>
                <w:highlight w:val="none"/>
                <w:lang w:val="en-US" w:eastAsia="zh-CN"/>
              </w:rPr>
              <w:t>20</w:t>
            </w:r>
            <w:r>
              <w:rPr>
                <w:rFonts w:hint="eastAsia" w:ascii="Times New Roman" w:hAnsi="Times New Roman" w:eastAsia="宋体" w:cs="Times New Roman"/>
                <w:color w:val="auto"/>
                <w:kern w:val="0"/>
                <w:sz w:val="24"/>
                <w:highlight w:val="none"/>
                <w:lang w:val="en-US" w:eastAsia="zh-CN"/>
              </w:rPr>
              <w:t>00</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其中</w:t>
            </w:r>
            <w:r>
              <w:rPr>
                <w:rFonts w:hint="default" w:ascii="Times New Roman" w:hAnsi="Times New Roman" w:eastAsia="宋体" w:cs="Times New Roman"/>
                <w:color w:val="auto"/>
                <w:kern w:val="0"/>
                <w:sz w:val="24"/>
                <w:highlight w:val="none"/>
              </w:rPr>
              <w:t>环保投资约</w:t>
            </w:r>
            <w:r>
              <w:rPr>
                <w:rFonts w:hint="eastAsia" w:cs="Times New Roman"/>
                <w:color w:val="auto"/>
                <w:kern w:val="0"/>
                <w:sz w:val="24"/>
                <w:highlight w:val="none"/>
                <w:lang w:val="en-US" w:eastAsia="zh-CN"/>
              </w:rPr>
              <w:t>120</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占总投资比例为</w:t>
            </w:r>
            <w:r>
              <w:rPr>
                <w:rFonts w:hint="eastAsia" w:cs="Times New Roman"/>
                <w:color w:val="auto"/>
                <w:kern w:val="0"/>
                <w:sz w:val="24"/>
                <w:highlight w:val="none"/>
                <w:lang w:val="en-US" w:eastAsia="zh-CN"/>
              </w:rPr>
              <w:t>6</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。具体见表</w:t>
            </w:r>
            <w:r>
              <w:rPr>
                <w:rFonts w:hint="eastAsia" w:ascii="Times New Roman" w:hAnsi="Times New Roman" w:eastAsia="宋体" w:cs="Times New Roman"/>
                <w:color w:val="auto"/>
                <w:kern w:val="0"/>
                <w:sz w:val="24"/>
                <w:highlight w:val="none"/>
                <w:lang w:val="en-US" w:eastAsia="zh-CN"/>
              </w:rPr>
              <w:t>4</w:t>
            </w:r>
            <w:r>
              <w:rPr>
                <w:rFonts w:hint="eastAsia" w:cs="Times New Roman"/>
                <w:color w:val="auto"/>
                <w:kern w:val="0"/>
                <w:sz w:val="24"/>
                <w:highlight w:val="none"/>
                <w:lang w:val="en-US" w:eastAsia="zh-CN"/>
              </w:rPr>
              <w:t>.12-1</w:t>
            </w:r>
            <w:r>
              <w:rPr>
                <w:rFonts w:hint="default" w:ascii="Times New Roman" w:hAnsi="Times New Roman" w:eastAsia="宋体" w:cs="Times New Roman"/>
                <w:color w:val="auto"/>
                <w:kern w:val="0"/>
                <w:sz w:val="24"/>
                <w:highlight w:val="none"/>
              </w:rPr>
              <w:t>。</w:t>
            </w:r>
          </w:p>
          <w:p w14:paraId="51CA05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0" w:firstLine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表4</w:t>
            </w:r>
            <w:r>
              <w:rPr>
                <w:rFonts w:hint="eastAsia" w:cs="Times New Roman"/>
                <w:b/>
                <w:bCs/>
                <w:color w:val="auto"/>
                <w:kern w:val="2"/>
                <w:sz w:val="21"/>
                <w:szCs w:val="21"/>
                <w:highlight w:val="none"/>
                <w:lang w:val="en-US" w:eastAsia="zh-CN" w:bidi="ar-SA"/>
              </w:rPr>
              <w:t>.12-1</w:t>
            </w:r>
            <w:r>
              <w:rPr>
                <w:rFonts w:hint="eastAsia" w:ascii="Times New Roman" w:hAnsi="Times New Roman" w:eastAsia="宋体" w:cs="Times New Roman"/>
                <w:b/>
                <w:bCs/>
                <w:color w:val="auto"/>
                <w:kern w:val="2"/>
                <w:sz w:val="21"/>
                <w:szCs w:val="21"/>
                <w:highlight w:val="none"/>
                <w:lang w:val="en-US" w:eastAsia="zh-CN" w:bidi="ar-SA"/>
              </w:rPr>
              <w:t xml:space="preserve">  环保投资估算一览表</w:t>
            </w:r>
          </w:p>
          <w:tbl>
            <w:tblPr>
              <w:tblStyle w:val="27"/>
              <w:tblW w:w="83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362"/>
              <w:gridCol w:w="5319"/>
              <w:gridCol w:w="994"/>
            </w:tblGrid>
            <w:tr w14:paraId="15454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tcBorders>
                    <w:tl2br w:val="nil"/>
                    <w:tr2bl w:val="nil"/>
                  </w:tcBorders>
                  <w:vAlign w:val="center"/>
                </w:tcPr>
                <w:p w14:paraId="1353DF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类型</w:t>
                  </w:r>
                </w:p>
              </w:tc>
              <w:tc>
                <w:tcPr>
                  <w:tcW w:w="1362" w:type="dxa"/>
                  <w:tcBorders>
                    <w:tl2br w:val="nil"/>
                    <w:tr2bl w:val="nil"/>
                  </w:tcBorders>
                  <w:vAlign w:val="center"/>
                </w:tcPr>
                <w:p w14:paraId="52CE48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highlight w:val="none"/>
                      <w:lang w:val="en-US" w:eastAsia="zh-CN"/>
                    </w:rPr>
                  </w:pPr>
                  <w:r>
                    <w:rPr>
                      <w:rFonts w:hint="default" w:ascii="Times New Roman" w:hAnsi="Times New Roman" w:eastAsia="宋体" w:cs="Times New Roman"/>
                      <w:b/>
                      <w:bCs w:val="0"/>
                      <w:color w:val="auto"/>
                      <w:sz w:val="21"/>
                      <w:szCs w:val="21"/>
                      <w:highlight w:val="none"/>
                      <w:lang w:val="en-US" w:eastAsia="zh-CN"/>
                    </w:rPr>
                    <w:t>污染源</w:t>
                  </w:r>
                </w:p>
              </w:tc>
              <w:tc>
                <w:tcPr>
                  <w:tcW w:w="5319" w:type="dxa"/>
                  <w:tcBorders>
                    <w:tl2br w:val="nil"/>
                    <w:tr2bl w:val="nil"/>
                  </w:tcBorders>
                  <w:vAlign w:val="center"/>
                </w:tcPr>
                <w:p w14:paraId="7C86DC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sz w:val="21"/>
                      <w:szCs w:val="21"/>
                      <w:highlight w:val="none"/>
                    </w:rPr>
                    <w:t>环保设施</w:t>
                  </w:r>
                </w:p>
              </w:tc>
              <w:tc>
                <w:tcPr>
                  <w:tcW w:w="994" w:type="dxa"/>
                  <w:tcBorders>
                    <w:tl2br w:val="nil"/>
                    <w:tr2bl w:val="nil"/>
                  </w:tcBorders>
                  <w:vAlign w:val="center"/>
                </w:tcPr>
                <w:p w14:paraId="7D5CEE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投资</w:t>
                  </w:r>
                </w:p>
                <w:p w14:paraId="5D660E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（万元）</w:t>
                  </w:r>
                </w:p>
              </w:tc>
            </w:tr>
            <w:tr w14:paraId="4556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restart"/>
                  <w:tcBorders>
                    <w:tl2br w:val="nil"/>
                    <w:tr2bl w:val="nil"/>
                  </w:tcBorders>
                  <w:vAlign w:val="center"/>
                </w:tcPr>
                <w:p w14:paraId="45D19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废气</w:t>
                  </w:r>
                </w:p>
              </w:tc>
              <w:tc>
                <w:tcPr>
                  <w:tcW w:w="1362" w:type="dxa"/>
                  <w:tcBorders>
                    <w:tl2br w:val="nil"/>
                    <w:tr2bl w:val="nil"/>
                  </w:tcBorders>
                  <w:vAlign w:val="center"/>
                </w:tcPr>
                <w:p w14:paraId="46081F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给料、破碎、筛分粉尘</w:t>
                  </w:r>
                </w:p>
              </w:tc>
              <w:tc>
                <w:tcPr>
                  <w:tcW w:w="5319" w:type="dxa"/>
                  <w:tcBorders>
                    <w:tl2br w:val="nil"/>
                    <w:tr2bl w:val="nil"/>
                  </w:tcBorders>
                  <w:vAlign w:val="center"/>
                </w:tcPr>
                <w:p w14:paraId="7473C5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给料机</w:t>
                  </w:r>
                  <w:r>
                    <w:rPr>
                      <w:rFonts w:hint="eastAsia" w:cs="Times New Roman"/>
                      <w:color w:val="auto"/>
                      <w:spacing w:val="0"/>
                      <w:kern w:val="2"/>
                      <w:sz w:val="21"/>
                      <w:szCs w:val="21"/>
                      <w:highlight w:val="none"/>
                      <w:vertAlign w:val="baseline"/>
                      <w:lang w:val="en-US" w:eastAsia="zh-CN" w:bidi="ar-SA"/>
                    </w:rPr>
                    <w:t>上方料仓设置柜</w:t>
                  </w:r>
                  <w:r>
                    <w:rPr>
                      <w:rFonts w:hint="default" w:ascii="Times New Roman" w:hAnsi="Times New Roman" w:eastAsia="宋体" w:cs="Times New Roman"/>
                      <w:color w:val="auto"/>
                      <w:spacing w:val="0"/>
                      <w:kern w:val="2"/>
                      <w:sz w:val="21"/>
                      <w:szCs w:val="21"/>
                      <w:highlight w:val="none"/>
                      <w:vertAlign w:val="baseline"/>
                      <w:lang w:val="en-US" w:eastAsia="zh-CN" w:bidi="ar-SA"/>
                    </w:rPr>
                    <w:t>式集气罩，</w:t>
                  </w:r>
                  <w:r>
                    <w:rPr>
                      <w:rFonts w:hint="eastAsia" w:cs="Times New Roman"/>
                      <w:color w:val="auto"/>
                      <w:spacing w:val="0"/>
                      <w:kern w:val="2"/>
                      <w:sz w:val="21"/>
                      <w:szCs w:val="21"/>
                      <w:highlight w:val="none"/>
                      <w:vertAlign w:val="baseline"/>
                      <w:lang w:val="en-US" w:eastAsia="zh-CN" w:bidi="ar-SA"/>
                    </w:rPr>
                    <w:t>三面封闭，留入料口一侧并安装软帘，</w:t>
                  </w:r>
                  <w:r>
                    <w:rPr>
                      <w:rFonts w:hint="default" w:ascii="Times New Roman" w:hAnsi="Times New Roman" w:eastAsia="宋体" w:cs="Times New Roman"/>
                      <w:color w:val="auto"/>
                      <w:spacing w:val="0"/>
                      <w:kern w:val="2"/>
                      <w:sz w:val="21"/>
                      <w:szCs w:val="21"/>
                      <w:highlight w:val="none"/>
                      <w:vertAlign w:val="baseline"/>
                      <w:lang w:val="en-US" w:eastAsia="zh-CN" w:bidi="ar-SA"/>
                    </w:rPr>
                    <w:t>颚式破碎机、1#振动筛和2台细颚式破碎机为全封闭式，上方均设置集气管道，废气经收集后共同引入1台布袋除尘器（TA001）处理后，由1根20m高排气筒（DA001）排放</w:t>
                  </w:r>
                </w:p>
              </w:tc>
              <w:tc>
                <w:tcPr>
                  <w:tcW w:w="994" w:type="dxa"/>
                  <w:tcBorders>
                    <w:tl2br w:val="nil"/>
                    <w:tr2bl w:val="nil"/>
                  </w:tcBorders>
                  <w:vAlign w:val="center"/>
                </w:tcPr>
                <w:p w14:paraId="572110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30</w:t>
                  </w:r>
                </w:p>
              </w:tc>
            </w:tr>
            <w:tr w14:paraId="5F66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30ED0B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10ED87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制砂、筛分</w:t>
                  </w:r>
                </w:p>
                <w:p w14:paraId="023209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粉尘</w:t>
                  </w:r>
                </w:p>
              </w:tc>
              <w:tc>
                <w:tcPr>
                  <w:tcW w:w="5319" w:type="dxa"/>
                  <w:tcBorders>
                    <w:tl2br w:val="nil"/>
                    <w:tr2bl w:val="nil"/>
                  </w:tcBorders>
                  <w:shd w:val="clear" w:color="auto" w:fill="auto"/>
                  <w:vAlign w:val="center"/>
                </w:tcPr>
                <w:p w14:paraId="05D72E7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制砂机和</w:t>
                  </w:r>
                  <w:r>
                    <w:rPr>
                      <w:rFonts w:hint="default" w:ascii="Times New Roman" w:hAnsi="Times New Roman" w:eastAsia="宋体" w:cs="Times New Roman"/>
                      <w:color w:val="auto"/>
                      <w:kern w:val="2"/>
                      <w:sz w:val="21"/>
                      <w:szCs w:val="21"/>
                      <w:lang w:val="en-US" w:eastAsia="zh-CN" w:bidi="ar-SA"/>
                    </w:rPr>
                    <w:t>2</w:t>
                  </w:r>
                  <w:r>
                    <w:rPr>
                      <w:rFonts w:hint="eastAsia" w:cs="Times New Roman"/>
                      <w:color w:val="auto"/>
                      <w:kern w:val="2"/>
                      <w:sz w:val="21"/>
                      <w:szCs w:val="21"/>
                      <w:lang w:val="en-US" w:eastAsia="zh-CN" w:bidi="ar-SA"/>
                    </w:rPr>
                    <w:t>#</w:t>
                  </w:r>
                  <w:r>
                    <w:rPr>
                      <w:rFonts w:hint="default" w:ascii="Times New Roman" w:hAnsi="Times New Roman" w:eastAsia="宋体" w:cs="Times New Roman"/>
                      <w:color w:val="auto"/>
                      <w:kern w:val="2"/>
                      <w:sz w:val="21"/>
                      <w:szCs w:val="21"/>
                      <w:lang w:val="en-US" w:eastAsia="zh-CN" w:bidi="ar-SA"/>
                    </w:rPr>
                    <w:t>振动筛均为全封闭式，上方设置集气管道，废气经收集后共同引入1台布袋除尘器（TA002）处理后，由1根20m高排气筒（DA002）排放</w:t>
                  </w:r>
                </w:p>
              </w:tc>
              <w:tc>
                <w:tcPr>
                  <w:tcW w:w="994" w:type="dxa"/>
                  <w:tcBorders>
                    <w:tl2br w:val="nil"/>
                    <w:tr2bl w:val="nil"/>
                  </w:tcBorders>
                  <w:vAlign w:val="center"/>
                </w:tcPr>
                <w:p w14:paraId="4DDC18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20</w:t>
                  </w:r>
                </w:p>
              </w:tc>
            </w:tr>
            <w:tr w14:paraId="1FE9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56CA78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064AAF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原料及成品堆放、卸料粉尘</w:t>
                  </w:r>
                </w:p>
              </w:tc>
              <w:tc>
                <w:tcPr>
                  <w:tcW w:w="5319" w:type="dxa"/>
                  <w:tcBorders>
                    <w:tl2br w:val="nil"/>
                    <w:tr2bl w:val="nil"/>
                  </w:tcBorders>
                  <w:vAlign w:val="center"/>
                </w:tcPr>
                <w:p w14:paraId="709FA8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原料、成品堆放区位于全封闭生产车间内，顶部安装喷雾抑尘措施，装卸物料时设有移动式雾炮机同时抑尘，地面硬化，车辆出入口设有自动感应密闭门，同时加设扬尘在线监测和视频监控设施，并与生态环境部门联网</w:t>
                  </w:r>
                </w:p>
              </w:tc>
              <w:tc>
                <w:tcPr>
                  <w:tcW w:w="994" w:type="dxa"/>
                  <w:tcBorders>
                    <w:tl2br w:val="nil"/>
                    <w:tr2bl w:val="nil"/>
                  </w:tcBorders>
                  <w:vAlign w:val="center"/>
                </w:tcPr>
                <w:p w14:paraId="4CF0EC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20</w:t>
                  </w:r>
                </w:p>
              </w:tc>
            </w:tr>
            <w:tr w14:paraId="3764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61FCAD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25B266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spacing w:val="0"/>
                      <w:kern w:val="28"/>
                      <w:sz w:val="24"/>
                      <w:szCs w:val="24"/>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物料输送及转载</w:t>
                  </w:r>
                  <w:r>
                    <w:rPr>
                      <w:rFonts w:hint="eastAsia" w:ascii="Times New Roman" w:hAnsi="Times New Roman" w:eastAsia="宋体" w:cs="Times New Roman"/>
                      <w:color w:val="auto"/>
                      <w:spacing w:val="0"/>
                      <w:kern w:val="2"/>
                      <w:sz w:val="21"/>
                      <w:szCs w:val="21"/>
                      <w:highlight w:val="none"/>
                      <w:vertAlign w:val="baseline"/>
                      <w:lang w:val="en-US" w:eastAsia="zh-CN" w:bidi="ar-SA"/>
                    </w:rPr>
                    <w:t>废气</w:t>
                  </w:r>
                </w:p>
              </w:tc>
              <w:tc>
                <w:tcPr>
                  <w:tcW w:w="5319" w:type="dxa"/>
                  <w:tcBorders>
                    <w:tl2br w:val="nil"/>
                    <w:tr2bl w:val="nil"/>
                  </w:tcBorders>
                  <w:vAlign w:val="center"/>
                </w:tcPr>
                <w:p w14:paraId="493AE7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b w:val="0"/>
                      <w:bCs/>
                      <w:color w:val="auto"/>
                      <w:spacing w:val="0"/>
                      <w:kern w:val="2"/>
                      <w:sz w:val="21"/>
                      <w:szCs w:val="21"/>
                      <w:highlight w:val="none"/>
                      <w:lang w:val="en-US" w:eastAsia="zh-CN" w:bidi="ar-SA"/>
                    </w:rPr>
                    <w:t>采用全封</w:t>
                  </w:r>
                  <w:r>
                    <w:rPr>
                      <w:rFonts w:hint="eastAsia" w:ascii="Times New Roman" w:hAnsi="Times New Roman" w:eastAsia="宋体" w:cs="Times New Roman"/>
                      <w:b w:val="0"/>
                      <w:bCs/>
                      <w:color w:val="auto"/>
                      <w:spacing w:val="0"/>
                      <w:kern w:val="2"/>
                      <w:sz w:val="21"/>
                      <w:szCs w:val="21"/>
                      <w:highlight w:val="none"/>
                      <w:lang w:val="en-GB" w:eastAsia="zh-CN" w:bidi="ar-SA"/>
                    </w:rPr>
                    <w:t>闭皮带</w:t>
                  </w:r>
                  <w:r>
                    <w:rPr>
                      <w:rFonts w:hint="eastAsia" w:ascii="Times New Roman" w:hAnsi="Times New Roman" w:eastAsia="宋体" w:cs="Times New Roman"/>
                      <w:b w:val="0"/>
                      <w:bCs/>
                      <w:color w:val="auto"/>
                      <w:spacing w:val="0"/>
                      <w:kern w:val="2"/>
                      <w:sz w:val="21"/>
                      <w:szCs w:val="21"/>
                      <w:highlight w:val="none"/>
                      <w:lang w:val="en-US" w:eastAsia="zh-CN" w:bidi="ar-SA"/>
                    </w:rPr>
                    <w:t>输送，降低落料点高度，在原料堆放处、皮带转运跌落点处设固定式雾化喷头</w:t>
                  </w:r>
                </w:p>
              </w:tc>
              <w:tc>
                <w:tcPr>
                  <w:tcW w:w="994" w:type="dxa"/>
                  <w:tcBorders>
                    <w:tl2br w:val="nil"/>
                    <w:tr2bl w:val="nil"/>
                  </w:tcBorders>
                  <w:vAlign w:val="center"/>
                </w:tcPr>
                <w:p w14:paraId="18DE8B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8</w:t>
                  </w:r>
                </w:p>
              </w:tc>
            </w:tr>
            <w:tr w14:paraId="7DCE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7EF25D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74073B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道路运输</w:t>
                  </w:r>
                </w:p>
                <w:p w14:paraId="259FDF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扬尘</w:t>
                  </w:r>
                </w:p>
              </w:tc>
              <w:tc>
                <w:tcPr>
                  <w:tcW w:w="5319" w:type="dxa"/>
                  <w:tcBorders>
                    <w:tl2br w:val="nil"/>
                    <w:tr2bl w:val="nil"/>
                  </w:tcBorders>
                  <w:vAlign w:val="center"/>
                </w:tcPr>
                <w:p w14:paraId="569C11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厂区运输道路全部硬化，对道路定期洒水，并对物料运输车辆采取加盖篷布等封闭措施，限制车速</w:t>
                  </w:r>
                  <w:r>
                    <w:rPr>
                      <w:rFonts w:hint="eastAsia" w:cs="Times New Roman"/>
                      <w:color w:val="auto"/>
                      <w:spacing w:val="0"/>
                      <w:kern w:val="2"/>
                      <w:sz w:val="21"/>
                      <w:szCs w:val="21"/>
                      <w:highlight w:val="none"/>
                      <w:lang w:val="en-US" w:eastAsia="zh-CN" w:bidi="ar-SA"/>
                    </w:rPr>
                    <w:t>；</w:t>
                  </w:r>
                  <w:r>
                    <w:rPr>
                      <w:rFonts w:hint="eastAsia" w:ascii="Times New Roman" w:hAnsi="Times New Roman" w:eastAsia="宋体" w:cs="Times New Roman"/>
                      <w:color w:val="auto"/>
                      <w:sz w:val="21"/>
                      <w:szCs w:val="21"/>
                      <w:highlight w:val="none"/>
                      <w:shd w:val="clear" w:color="auto" w:fill="auto"/>
                      <w:vertAlign w:val="baseline"/>
                      <w:lang w:val="en-US" w:eastAsia="zh-CN"/>
                    </w:rPr>
                    <w:t>进出厂道路与交通干线连接点上下各2km范围内的道路为本单位卫生责任区，每日开展道路清洗工作，厂区配备新能源喷雾降尘设施以及新能源洗扫吸尘设施</w:t>
                  </w:r>
                </w:p>
              </w:tc>
              <w:tc>
                <w:tcPr>
                  <w:tcW w:w="994" w:type="dxa"/>
                  <w:tcBorders>
                    <w:tl2br w:val="nil"/>
                    <w:tr2bl w:val="nil"/>
                  </w:tcBorders>
                  <w:vAlign w:val="center"/>
                </w:tcPr>
                <w:p w14:paraId="00B30F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10</w:t>
                  </w:r>
                </w:p>
              </w:tc>
            </w:tr>
            <w:tr w14:paraId="360D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restart"/>
                  <w:tcBorders>
                    <w:tl2br w:val="nil"/>
                    <w:tr2bl w:val="nil"/>
                  </w:tcBorders>
                  <w:vAlign w:val="center"/>
                </w:tcPr>
                <w:p w14:paraId="70D979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废水</w:t>
                  </w:r>
                </w:p>
              </w:tc>
              <w:tc>
                <w:tcPr>
                  <w:tcW w:w="1362" w:type="dxa"/>
                  <w:tcBorders>
                    <w:tl2br w:val="nil"/>
                    <w:tr2bl w:val="nil"/>
                  </w:tcBorders>
                  <w:vAlign w:val="center"/>
                </w:tcPr>
                <w:p w14:paraId="524220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生活污水</w:t>
                  </w:r>
                </w:p>
              </w:tc>
              <w:tc>
                <w:tcPr>
                  <w:tcW w:w="5319" w:type="dxa"/>
                  <w:tcBorders>
                    <w:tl2br w:val="nil"/>
                    <w:tr2bl w:val="nil"/>
                  </w:tcBorders>
                  <w:vAlign w:val="center"/>
                </w:tcPr>
                <w:p w14:paraId="3CB7DD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cs="Times New Roman"/>
                      <w:color w:val="auto"/>
                      <w:spacing w:val="0"/>
                      <w:kern w:val="2"/>
                      <w:sz w:val="21"/>
                      <w:szCs w:val="21"/>
                      <w:highlight w:val="none"/>
                      <w:vertAlign w:val="baseline"/>
                      <w:lang w:val="en-US" w:eastAsia="zh-CN" w:bidi="ar-SA"/>
                    </w:rPr>
                    <w:t>排入</w:t>
                  </w:r>
                  <w:r>
                    <w:rPr>
                      <w:rFonts w:hint="eastAsia" w:ascii="Times New Roman" w:hAnsi="Times New Roman" w:eastAsia="宋体" w:cs="Times New Roman"/>
                      <w:color w:val="auto"/>
                      <w:spacing w:val="0"/>
                      <w:kern w:val="2"/>
                      <w:sz w:val="21"/>
                      <w:szCs w:val="21"/>
                      <w:highlight w:val="none"/>
                      <w:vertAlign w:val="baseline"/>
                      <w:lang w:val="en-US" w:eastAsia="zh-CN" w:bidi="ar-SA"/>
                    </w:rPr>
                    <w:t>厂区现有旱厕，定时清掏，不外排</w:t>
                  </w:r>
                </w:p>
              </w:tc>
              <w:tc>
                <w:tcPr>
                  <w:tcW w:w="994" w:type="dxa"/>
                  <w:tcBorders>
                    <w:tl2br w:val="nil"/>
                    <w:tr2bl w:val="nil"/>
                  </w:tcBorders>
                  <w:vAlign w:val="center"/>
                </w:tcPr>
                <w:p w14:paraId="1EACF2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r>
            <w:tr w14:paraId="3A7A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41013E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79351D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洗车废水</w:t>
                  </w:r>
                </w:p>
              </w:tc>
              <w:tc>
                <w:tcPr>
                  <w:tcW w:w="5319" w:type="dxa"/>
                  <w:tcBorders>
                    <w:tl2br w:val="nil"/>
                    <w:tr2bl w:val="nil"/>
                  </w:tcBorders>
                  <w:vAlign w:val="center"/>
                </w:tcPr>
                <w:p w14:paraId="6B5FC1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经</w:t>
                  </w:r>
                  <w:r>
                    <w:rPr>
                      <w:rFonts w:hint="default" w:ascii="Times New Roman" w:hAnsi="Times New Roman" w:eastAsia="宋体" w:cs="Times New Roman"/>
                      <w:color w:val="auto"/>
                      <w:spacing w:val="0"/>
                      <w:kern w:val="2"/>
                      <w:sz w:val="21"/>
                      <w:szCs w:val="21"/>
                      <w:highlight w:val="none"/>
                      <w:lang w:val="en-US" w:eastAsia="zh-CN" w:bidi="ar-SA"/>
                    </w:rPr>
                    <w:t>沉淀池沉淀后，回用至洗车工序，循环使，不</w:t>
                  </w:r>
                  <w:r>
                    <w:rPr>
                      <w:rFonts w:hint="default" w:ascii="Times New Roman" w:hAnsi="Times New Roman" w:eastAsia="宋体" w:cs="Times New Roman"/>
                      <w:color w:val="auto"/>
                      <w:spacing w:val="0"/>
                      <w:sz w:val="21"/>
                      <w:szCs w:val="21"/>
                      <w:highlight w:val="none"/>
                      <w:vertAlign w:val="baseline"/>
                      <w:lang w:val="en-US" w:eastAsia="zh-CN"/>
                    </w:rPr>
                    <w:t>外排</w:t>
                  </w:r>
                </w:p>
              </w:tc>
              <w:tc>
                <w:tcPr>
                  <w:tcW w:w="994" w:type="dxa"/>
                  <w:tcBorders>
                    <w:tl2br w:val="nil"/>
                    <w:tr2bl w:val="nil"/>
                  </w:tcBorders>
                  <w:vAlign w:val="center"/>
                </w:tcPr>
                <w:p w14:paraId="3E54B6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r>
            <w:tr w14:paraId="63657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595768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0F1520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初期雨水</w:t>
                  </w:r>
                </w:p>
              </w:tc>
              <w:tc>
                <w:tcPr>
                  <w:tcW w:w="5319" w:type="dxa"/>
                  <w:tcBorders>
                    <w:tl2br w:val="nil"/>
                    <w:tr2bl w:val="nil"/>
                  </w:tcBorders>
                  <w:vAlign w:val="center"/>
                </w:tcPr>
                <w:p w14:paraId="242893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依托厂区内现有</w:t>
                  </w:r>
                  <w:r>
                    <w:rPr>
                      <w:rFonts w:hint="eastAsia" w:ascii="Times New Roman" w:hAnsi="Times New Roman" w:eastAsia="宋体" w:cs="Times New Roman"/>
                      <w:color w:val="auto"/>
                      <w:spacing w:val="0"/>
                      <w:sz w:val="21"/>
                      <w:szCs w:val="21"/>
                      <w:highlight w:val="none"/>
                      <w:lang w:val="en-US" w:eastAsia="zh-CN"/>
                    </w:rPr>
                    <w:t>1座360m</w:t>
                  </w:r>
                  <w:r>
                    <w:rPr>
                      <w:rFonts w:hint="eastAsia" w:ascii="Times New Roman" w:hAnsi="Times New Roman" w:eastAsia="宋体" w:cs="Times New Roman"/>
                      <w:color w:val="auto"/>
                      <w:spacing w:val="0"/>
                      <w:sz w:val="21"/>
                      <w:szCs w:val="21"/>
                      <w:highlight w:val="none"/>
                      <w:vertAlign w:val="superscript"/>
                      <w:lang w:val="en-US" w:eastAsia="zh-CN"/>
                    </w:rPr>
                    <w:t>3</w:t>
                  </w:r>
                  <w:r>
                    <w:rPr>
                      <w:rFonts w:hint="eastAsia" w:ascii="Times New Roman" w:hAnsi="Times New Roman" w:eastAsia="宋体" w:cs="Times New Roman"/>
                      <w:color w:val="auto"/>
                      <w:spacing w:val="0"/>
                      <w:sz w:val="21"/>
                      <w:szCs w:val="21"/>
                      <w:highlight w:val="none"/>
                      <w:vertAlign w:val="baseline"/>
                      <w:lang w:val="en-US" w:eastAsia="zh-CN"/>
                    </w:rPr>
                    <w:t>雨水收集池，</w:t>
                  </w:r>
                  <w:r>
                    <w:rPr>
                      <w:rFonts w:hint="eastAsia" w:cs="Times New Roman"/>
                      <w:color w:val="auto"/>
                      <w:spacing w:val="0"/>
                      <w:sz w:val="21"/>
                      <w:szCs w:val="21"/>
                      <w:highlight w:val="none"/>
                      <w:vertAlign w:val="baseline"/>
                      <w:lang w:val="en-US" w:eastAsia="zh-CN"/>
                    </w:rPr>
                    <w:t>初期</w:t>
                  </w:r>
                  <w:r>
                    <w:rPr>
                      <w:rFonts w:hint="eastAsia" w:ascii="Times New Roman" w:hAnsi="Times New Roman" w:eastAsia="宋体" w:cs="Times New Roman"/>
                      <w:color w:val="auto"/>
                      <w:spacing w:val="0"/>
                      <w:sz w:val="21"/>
                      <w:szCs w:val="21"/>
                      <w:highlight w:val="none"/>
                      <w:vertAlign w:val="baseline"/>
                      <w:lang w:val="en-US" w:eastAsia="zh-CN"/>
                    </w:rPr>
                    <w:t>雨水经沉淀后回用于厂区洒水抑尘</w:t>
                  </w:r>
                </w:p>
              </w:tc>
              <w:tc>
                <w:tcPr>
                  <w:tcW w:w="994" w:type="dxa"/>
                  <w:tcBorders>
                    <w:tl2br w:val="nil"/>
                    <w:tr2bl w:val="nil"/>
                  </w:tcBorders>
                  <w:vAlign w:val="center"/>
                </w:tcPr>
                <w:p w14:paraId="1F0BAD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r>
            <w:tr w14:paraId="3859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restart"/>
                  <w:tcBorders>
                    <w:tl2br w:val="nil"/>
                    <w:tr2bl w:val="nil"/>
                  </w:tcBorders>
                  <w:vAlign w:val="center"/>
                </w:tcPr>
                <w:p w14:paraId="7C2B8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固废</w:t>
                  </w:r>
                </w:p>
              </w:tc>
              <w:tc>
                <w:tcPr>
                  <w:tcW w:w="1362" w:type="dxa"/>
                  <w:tcBorders>
                    <w:tl2br w:val="nil"/>
                    <w:tr2bl w:val="nil"/>
                  </w:tcBorders>
                  <w:vAlign w:val="center"/>
                </w:tcPr>
                <w:p w14:paraId="18F4DA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生活垃圾</w:t>
                  </w:r>
                </w:p>
              </w:tc>
              <w:tc>
                <w:tcPr>
                  <w:tcW w:w="5319" w:type="dxa"/>
                  <w:tcBorders>
                    <w:tl2br w:val="nil"/>
                    <w:tr2bl w:val="nil"/>
                  </w:tcBorders>
                  <w:vAlign w:val="center"/>
                </w:tcPr>
                <w:p w14:paraId="5169CF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厂内设置垃圾桶，定期送至当地环卫部门指定地点</w:t>
                  </w:r>
                </w:p>
              </w:tc>
              <w:tc>
                <w:tcPr>
                  <w:tcW w:w="994" w:type="dxa"/>
                  <w:tcBorders>
                    <w:tl2br w:val="nil"/>
                    <w:tr2bl w:val="nil"/>
                  </w:tcBorders>
                  <w:vAlign w:val="center"/>
                </w:tcPr>
                <w:p w14:paraId="115841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w:t>
                  </w:r>
                </w:p>
              </w:tc>
            </w:tr>
            <w:tr w14:paraId="76DD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514E04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2C0F91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除尘灰</w:t>
                  </w:r>
                </w:p>
              </w:tc>
              <w:tc>
                <w:tcPr>
                  <w:tcW w:w="5319" w:type="dxa"/>
                  <w:tcBorders>
                    <w:tl2br w:val="nil"/>
                    <w:tr2bl w:val="nil"/>
                  </w:tcBorders>
                  <w:vAlign w:val="center"/>
                </w:tcPr>
                <w:p w14:paraId="29CF3D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定期对</w:t>
                  </w:r>
                  <w:r>
                    <w:rPr>
                      <w:rFonts w:hint="eastAsia" w:ascii="Times New Roman" w:hAnsi="Times New Roman" w:eastAsia="宋体" w:cs="Times New Roman"/>
                      <w:color w:val="auto"/>
                      <w:spacing w:val="0"/>
                      <w:kern w:val="2"/>
                      <w:sz w:val="21"/>
                      <w:szCs w:val="21"/>
                      <w:highlight w:val="none"/>
                      <w:lang w:val="en-US" w:eastAsia="zh-CN" w:bidi="ar-SA"/>
                    </w:rPr>
                    <w:t>各工序除尘器</w:t>
                  </w:r>
                  <w:r>
                    <w:rPr>
                      <w:rFonts w:hint="eastAsia" w:cs="Times New Roman"/>
                      <w:color w:val="auto"/>
                      <w:spacing w:val="0"/>
                      <w:kern w:val="2"/>
                      <w:sz w:val="21"/>
                      <w:szCs w:val="21"/>
                      <w:highlight w:val="none"/>
                      <w:lang w:val="en-US" w:eastAsia="zh-CN" w:bidi="ar-SA"/>
                    </w:rPr>
                    <w:t>卸灰，卸灰时将吨袋套在卸灰口上再进行卸灰，卸灰完成后及时对包装袋进行封口，</w:t>
                  </w:r>
                  <w:r>
                    <w:rPr>
                      <w:rFonts w:hint="eastAsia" w:ascii="Times New Roman" w:hAnsi="Times New Roman" w:eastAsia="宋体" w:cs="Times New Roman"/>
                      <w:color w:val="auto"/>
                      <w:spacing w:val="0"/>
                      <w:kern w:val="2"/>
                      <w:sz w:val="21"/>
                      <w:szCs w:val="21"/>
                      <w:highlight w:val="none"/>
                      <w:lang w:val="en-US" w:eastAsia="zh-CN" w:bidi="ar-SA"/>
                    </w:rPr>
                    <w:t>收集的除尘灰均</w:t>
                  </w:r>
                  <w:r>
                    <w:rPr>
                      <w:rFonts w:hint="default" w:ascii="Times New Roman" w:hAnsi="Times New Roman" w:eastAsia="宋体" w:cs="Times New Roman"/>
                      <w:color w:val="auto"/>
                      <w:spacing w:val="0"/>
                      <w:kern w:val="2"/>
                      <w:sz w:val="21"/>
                      <w:szCs w:val="21"/>
                      <w:highlight w:val="none"/>
                      <w:lang w:val="en-US" w:eastAsia="zh-CN" w:bidi="ar-SA"/>
                    </w:rPr>
                    <w:t>作为</w:t>
                  </w:r>
                  <w:r>
                    <w:rPr>
                      <w:rFonts w:hint="eastAsia" w:ascii="Times New Roman" w:hAnsi="Times New Roman" w:eastAsia="宋体" w:cs="Times New Roman"/>
                      <w:color w:val="auto"/>
                      <w:spacing w:val="0"/>
                      <w:kern w:val="2"/>
                      <w:sz w:val="21"/>
                      <w:szCs w:val="21"/>
                      <w:highlight w:val="none"/>
                      <w:lang w:val="en-US" w:eastAsia="zh-CN" w:bidi="ar-SA"/>
                    </w:rPr>
                    <w:t>产品外售</w:t>
                  </w:r>
                </w:p>
              </w:tc>
              <w:tc>
                <w:tcPr>
                  <w:tcW w:w="994" w:type="dxa"/>
                  <w:tcBorders>
                    <w:tl2br w:val="nil"/>
                    <w:tr2bl w:val="nil"/>
                  </w:tcBorders>
                  <w:vAlign w:val="center"/>
                </w:tcPr>
                <w:p w14:paraId="03869E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w:t>
                  </w:r>
                </w:p>
              </w:tc>
            </w:tr>
            <w:tr w14:paraId="29846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119288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4433CD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废布袋</w:t>
                  </w:r>
                </w:p>
              </w:tc>
              <w:tc>
                <w:tcPr>
                  <w:tcW w:w="5319" w:type="dxa"/>
                  <w:tcBorders>
                    <w:tl2br w:val="nil"/>
                    <w:tr2bl w:val="nil"/>
                  </w:tcBorders>
                  <w:vAlign w:val="center"/>
                </w:tcPr>
                <w:p w14:paraId="35622B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Cs w:val="21"/>
                      <w:highlight w:val="none"/>
                      <w:lang w:val="en-US" w:eastAsia="zh-CN"/>
                    </w:rPr>
                    <w:t>定期由除尘器厂家回收</w:t>
                  </w:r>
                </w:p>
              </w:tc>
              <w:tc>
                <w:tcPr>
                  <w:tcW w:w="994" w:type="dxa"/>
                  <w:tcBorders>
                    <w:tl2br w:val="nil"/>
                    <w:tr2bl w:val="nil"/>
                  </w:tcBorders>
                  <w:vAlign w:val="center"/>
                </w:tcPr>
                <w:p w14:paraId="6719D7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r>
            <w:tr w14:paraId="19E9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14DD49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1EE0B1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废铁屑</w:t>
                  </w:r>
                </w:p>
              </w:tc>
              <w:tc>
                <w:tcPr>
                  <w:tcW w:w="5319" w:type="dxa"/>
                  <w:tcBorders>
                    <w:tl2br w:val="nil"/>
                    <w:tr2bl w:val="nil"/>
                  </w:tcBorders>
                  <w:vAlign w:val="center"/>
                </w:tcPr>
                <w:p w14:paraId="59D14A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Cs w:val="21"/>
                      <w:highlight w:val="none"/>
                      <w:lang w:val="en-US" w:eastAsia="zh-CN"/>
                    </w:rPr>
                    <w:t>收集后外售废品收购站</w:t>
                  </w:r>
                </w:p>
              </w:tc>
              <w:tc>
                <w:tcPr>
                  <w:tcW w:w="994" w:type="dxa"/>
                  <w:tcBorders>
                    <w:tl2br w:val="nil"/>
                    <w:tr2bl w:val="nil"/>
                  </w:tcBorders>
                  <w:vAlign w:val="center"/>
                </w:tcPr>
                <w:p w14:paraId="440544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w:t>
                  </w:r>
                </w:p>
              </w:tc>
            </w:tr>
            <w:tr w14:paraId="375B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vMerge w:val="continue"/>
                  <w:tcBorders>
                    <w:tl2br w:val="nil"/>
                    <w:tr2bl w:val="nil"/>
                  </w:tcBorders>
                  <w:vAlign w:val="center"/>
                </w:tcPr>
                <w:p w14:paraId="484CDC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p>
              </w:tc>
              <w:tc>
                <w:tcPr>
                  <w:tcW w:w="1362" w:type="dxa"/>
                  <w:tcBorders>
                    <w:tl2br w:val="nil"/>
                    <w:tr2bl w:val="nil"/>
                  </w:tcBorders>
                  <w:vAlign w:val="center"/>
                </w:tcPr>
                <w:p w14:paraId="1B6040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废矿物油</w:t>
                  </w:r>
                  <w:r>
                    <w:rPr>
                      <w:rFonts w:hint="eastAsia" w:ascii="Times New Roman" w:hAnsi="Times New Roman" w:eastAsia="宋体" w:cs="Times New Roman"/>
                      <w:color w:val="auto"/>
                      <w:sz w:val="21"/>
                      <w:szCs w:val="21"/>
                      <w:highlight w:val="none"/>
                      <w:lang w:val="en-US" w:eastAsia="zh-CN"/>
                    </w:rPr>
                    <w:t>、废油桶</w:t>
                  </w:r>
                </w:p>
              </w:tc>
              <w:tc>
                <w:tcPr>
                  <w:tcW w:w="5319" w:type="dxa"/>
                  <w:tcBorders>
                    <w:tl2br w:val="nil"/>
                    <w:tr2bl w:val="nil"/>
                  </w:tcBorders>
                  <w:vAlign w:val="center"/>
                </w:tcPr>
                <w:p w14:paraId="0CE9FE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新建1座占地面积约1</w:t>
                  </w:r>
                  <w:r>
                    <w:rPr>
                      <w:rFonts w:hint="eastAsia" w:ascii="Times New Roman" w:hAnsi="Times New Roman" w:eastAsia="宋体" w:cs="Times New Roman"/>
                      <w:color w:val="auto"/>
                      <w:spacing w:val="0"/>
                      <w:sz w:val="21"/>
                      <w:szCs w:val="21"/>
                      <w:highlight w:val="none"/>
                      <w:lang w:val="en-US" w:eastAsia="zh-CN"/>
                    </w:rPr>
                    <w:t>0m</w:t>
                  </w:r>
                  <w:r>
                    <w:rPr>
                      <w:rFonts w:hint="eastAsia" w:ascii="Times New Roman" w:hAnsi="Times New Roman" w:eastAsia="宋体" w:cs="Times New Roman"/>
                      <w:color w:val="auto"/>
                      <w:spacing w:val="0"/>
                      <w:sz w:val="21"/>
                      <w:szCs w:val="21"/>
                      <w:highlight w:val="none"/>
                      <w:vertAlign w:val="superscript"/>
                      <w:lang w:val="en-US" w:eastAsia="zh-CN"/>
                    </w:rPr>
                    <w:t>2</w:t>
                  </w:r>
                  <w:r>
                    <w:rPr>
                      <w:rFonts w:hint="eastAsia" w:ascii="Times New Roman" w:hAnsi="Times New Roman" w:eastAsia="宋体" w:cs="Times New Roman"/>
                      <w:color w:val="auto"/>
                      <w:spacing w:val="0"/>
                      <w:sz w:val="21"/>
                      <w:szCs w:val="21"/>
                      <w:highlight w:val="none"/>
                      <w:vertAlign w:val="baseline"/>
                      <w:lang w:val="en-US" w:eastAsia="zh-CN"/>
                    </w:rPr>
                    <w:t>危废贮存点，废矿物油、废油桶</w:t>
                  </w:r>
                  <w:r>
                    <w:rPr>
                      <w:rFonts w:hint="default" w:ascii="Times New Roman" w:hAnsi="Times New Roman" w:eastAsia="宋体" w:cs="Times New Roman"/>
                      <w:color w:val="auto"/>
                      <w:spacing w:val="0"/>
                      <w:sz w:val="21"/>
                      <w:szCs w:val="21"/>
                      <w:highlight w:val="none"/>
                      <w:lang w:val="en-US" w:eastAsia="zh-CN"/>
                    </w:rPr>
                    <w:t>暂存于</w:t>
                  </w:r>
                  <w:r>
                    <w:rPr>
                      <w:rFonts w:hint="eastAsia" w:ascii="Times New Roman" w:hAnsi="Times New Roman" w:eastAsia="宋体" w:cs="Times New Roman"/>
                      <w:color w:val="auto"/>
                      <w:spacing w:val="0"/>
                      <w:sz w:val="21"/>
                      <w:szCs w:val="21"/>
                      <w:highlight w:val="none"/>
                      <w:lang w:val="en-US" w:eastAsia="zh-CN"/>
                    </w:rPr>
                    <w:t>危废贮存点</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定期委托有资质单位处置</w:t>
                  </w:r>
                </w:p>
              </w:tc>
              <w:tc>
                <w:tcPr>
                  <w:tcW w:w="994" w:type="dxa"/>
                  <w:tcBorders>
                    <w:tl2br w:val="nil"/>
                    <w:tr2bl w:val="nil"/>
                  </w:tcBorders>
                  <w:vAlign w:val="center"/>
                </w:tcPr>
                <w:p w14:paraId="1CF648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p>
              </w:tc>
            </w:tr>
            <w:tr w14:paraId="7CC15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58" w:type="dxa"/>
                  <w:tcBorders>
                    <w:tl2br w:val="nil"/>
                    <w:tr2bl w:val="nil"/>
                  </w:tcBorders>
                  <w:vAlign w:val="center"/>
                </w:tcPr>
                <w:p w14:paraId="509657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噪声</w:t>
                  </w:r>
                </w:p>
              </w:tc>
              <w:tc>
                <w:tcPr>
                  <w:tcW w:w="1362" w:type="dxa"/>
                  <w:tcBorders>
                    <w:tl2br w:val="nil"/>
                    <w:tr2bl w:val="nil"/>
                  </w:tcBorders>
                  <w:vAlign w:val="center"/>
                </w:tcPr>
                <w:p w14:paraId="60D76C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车间内各生产设备</w:t>
                  </w:r>
                </w:p>
              </w:tc>
              <w:tc>
                <w:tcPr>
                  <w:tcW w:w="5319" w:type="dxa"/>
                  <w:tcBorders>
                    <w:tl2br w:val="nil"/>
                    <w:tr2bl w:val="nil"/>
                  </w:tcBorders>
                  <w:vAlign w:val="center"/>
                </w:tcPr>
                <w:p w14:paraId="2BEB31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both"/>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选用低噪声设备，高噪音设备做基础减振、柔性连接，厂房隔声等，保持设备运行良好；车辆限速行驶，减少鸣笛</w:t>
                  </w:r>
                </w:p>
              </w:tc>
              <w:tc>
                <w:tcPr>
                  <w:tcW w:w="994" w:type="dxa"/>
                  <w:tcBorders>
                    <w:tl2br w:val="nil"/>
                    <w:tr2bl w:val="nil"/>
                  </w:tcBorders>
                  <w:vAlign w:val="center"/>
                </w:tcPr>
                <w:p w14:paraId="5132FE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25</w:t>
                  </w:r>
                </w:p>
              </w:tc>
            </w:tr>
            <w:tr w14:paraId="718E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339" w:type="dxa"/>
                  <w:gridSpan w:val="3"/>
                  <w:tcBorders>
                    <w:tl2br w:val="nil"/>
                    <w:tr2bl w:val="nil"/>
                  </w:tcBorders>
                  <w:vAlign w:val="center"/>
                </w:tcPr>
                <w:p w14:paraId="169D7A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合计</w:t>
                  </w:r>
                </w:p>
              </w:tc>
              <w:tc>
                <w:tcPr>
                  <w:tcW w:w="994" w:type="dxa"/>
                  <w:tcBorders>
                    <w:tl2br w:val="nil"/>
                    <w:tr2bl w:val="nil"/>
                  </w:tcBorders>
                  <w:vAlign w:val="center"/>
                </w:tcPr>
                <w:p w14:paraId="366F7E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120</w:t>
                  </w:r>
                </w:p>
              </w:tc>
            </w:tr>
          </w:tbl>
          <w:p w14:paraId="79047D61">
            <w:pPr>
              <w:pStyle w:val="34"/>
              <w:keepNext w:val="0"/>
              <w:keepLines w:val="0"/>
              <w:suppressLineNumbers w:val="0"/>
              <w:spacing w:before="0" w:beforeAutospacing="0" w:after="0" w:afterAutospacing="0"/>
              <w:ind w:left="0" w:leftChars="0" w:right="0" w:firstLine="0" w:firstLineChars="0"/>
              <w:rPr>
                <w:rFonts w:hint="default" w:eastAsia="宋体"/>
                <w:color w:val="auto"/>
                <w:sz w:val="24"/>
                <w:szCs w:val="24"/>
                <w:highlight w:val="none"/>
                <w:vertAlign w:val="baseline"/>
                <w:lang w:val="en-US" w:eastAsia="zh-CN"/>
              </w:rPr>
            </w:pPr>
          </w:p>
        </w:tc>
      </w:tr>
    </w:tbl>
    <w:p w14:paraId="5508DDBD">
      <w:pPr>
        <w:rPr>
          <w:rFonts w:hint="default"/>
          <w:color w:val="auto"/>
          <w:highlight w:val="none"/>
        </w:rPr>
        <w:sectPr>
          <w:headerReference r:id="rId14" w:type="default"/>
          <w:footerReference r:id="rId15" w:type="default"/>
          <w:pgSz w:w="11907" w:h="16840"/>
          <w:pgMar w:top="1701" w:right="1531" w:bottom="1701" w:left="1531" w:header="851" w:footer="850" w:gutter="0"/>
          <w:pgBorders>
            <w:top w:val="none" w:sz="0" w:space="0"/>
            <w:left w:val="none" w:sz="0" w:space="0"/>
            <w:bottom w:val="none" w:sz="0" w:space="0"/>
            <w:right w:val="none" w:sz="0" w:space="0"/>
          </w:pgBorders>
          <w:pgNumType w:fmt="decimal"/>
          <w:cols w:space="720" w:num="1"/>
          <w:docGrid w:linePitch="312" w:charSpace="0"/>
        </w:sectPr>
      </w:pPr>
    </w:p>
    <w:p w14:paraId="728280F0">
      <w:pPr>
        <w:pStyle w:val="22"/>
        <w:jc w:val="center"/>
        <w:outlineLvl w:val="0"/>
        <w:rPr>
          <w:rFonts w:hint="default" w:ascii="Times New Roman" w:hAnsi="Times New Roman" w:eastAsia="黑体" w:cs="Times New Roman"/>
          <w:snapToGrid w:val="0"/>
          <w:color w:val="auto"/>
          <w:sz w:val="30"/>
          <w:szCs w:val="30"/>
          <w:highlight w:val="none"/>
          <w:lang w:val="en-US" w:eastAsia="zh-CN"/>
        </w:rPr>
      </w:pPr>
      <w:bookmarkStart w:id="23" w:name="_Toc2591"/>
      <w:r>
        <w:rPr>
          <w:rFonts w:hint="default" w:ascii="Times New Roman" w:hAnsi="Times New Roman" w:eastAsia="黑体" w:cs="Times New Roman"/>
          <w:snapToGrid w:val="0"/>
          <w:color w:val="auto"/>
          <w:sz w:val="30"/>
          <w:szCs w:val="30"/>
          <w:highlight w:val="none"/>
        </w:rPr>
        <w:t>五、</w:t>
      </w:r>
      <w:bookmarkStart w:id="24" w:name="_Hlk54167917"/>
      <w:r>
        <w:rPr>
          <w:rFonts w:hint="default" w:ascii="Times New Roman" w:hAnsi="Times New Roman" w:eastAsia="黑体" w:cs="Times New Roman"/>
          <w:snapToGrid w:val="0"/>
          <w:color w:val="auto"/>
          <w:sz w:val="30"/>
          <w:szCs w:val="30"/>
          <w:highlight w:val="none"/>
        </w:rPr>
        <w:t>环境保护措施监督检查清单</w:t>
      </w:r>
      <w:bookmarkEnd w:id="23"/>
      <w:bookmarkEnd w:id="24"/>
    </w:p>
    <w:tbl>
      <w:tblPr>
        <w:tblStyle w:val="27"/>
        <w:tblW w:w="92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531"/>
        <w:gridCol w:w="904"/>
        <w:gridCol w:w="3748"/>
        <w:gridCol w:w="2002"/>
      </w:tblGrid>
      <w:tr w14:paraId="4AD92C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single" w:color="auto" w:sz="2" w:space="0"/>
            </w:tcBorders>
          </w:tcPr>
          <w:p w14:paraId="6D6D8F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422" w:firstLineChars="200"/>
              <w:jc w:val="right"/>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内容</w:t>
            </w:r>
          </w:p>
          <w:p w14:paraId="5DD67C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要素</w:t>
            </w:r>
          </w:p>
        </w:tc>
        <w:tc>
          <w:tcPr>
            <w:tcW w:w="1531" w:type="dxa"/>
            <w:tcBorders>
              <w:tl2br w:val="nil"/>
              <w:tr2bl w:val="nil"/>
            </w:tcBorders>
            <w:vAlign w:val="center"/>
          </w:tcPr>
          <w:p w14:paraId="7736C2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排放口</w:t>
            </w:r>
            <w:r>
              <w:rPr>
                <w:rFonts w:hint="default" w:ascii="Times New Roman" w:hAnsi="Times New Roman" w:cs="Times New Roman"/>
                <w:b/>
                <w:bCs/>
                <w:color w:val="auto"/>
                <w:szCs w:val="21"/>
                <w:highlight w:val="none"/>
                <w:lang w:eastAsia="zh-CN"/>
              </w:rPr>
              <w:t>（</w:t>
            </w:r>
            <w:r>
              <w:rPr>
                <w:rFonts w:hint="default" w:ascii="Times New Roman" w:hAnsi="Times New Roman" w:cs="Times New Roman"/>
                <w:b/>
                <w:bCs/>
                <w:color w:val="auto"/>
                <w:szCs w:val="21"/>
                <w:highlight w:val="none"/>
              </w:rPr>
              <w:t>编号、名称</w:t>
            </w:r>
            <w:r>
              <w:rPr>
                <w:rFonts w:hint="default" w:ascii="Times New Roman" w:hAnsi="Times New Roman" w:cs="Times New Roman"/>
                <w:b/>
                <w:bCs/>
                <w:color w:val="auto"/>
                <w:szCs w:val="21"/>
                <w:highlight w:val="none"/>
                <w:lang w:eastAsia="zh-CN"/>
              </w:rPr>
              <w:t>）</w:t>
            </w:r>
            <w:r>
              <w:rPr>
                <w:rFonts w:hint="default" w:ascii="Times New Roman" w:hAnsi="Times New Roman" w:cs="Times New Roman"/>
                <w:b/>
                <w:bCs/>
                <w:color w:val="auto"/>
                <w:szCs w:val="21"/>
                <w:highlight w:val="none"/>
              </w:rPr>
              <w:t>/污染源</w:t>
            </w:r>
          </w:p>
        </w:tc>
        <w:tc>
          <w:tcPr>
            <w:tcW w:w="904" w:type="dxa"/>
            <w:tcBorders>
              <w:tl2br w:val="nil"/>
              <w:tr2bl w:val="nil"/>
            </w:tcBorders>
            <w:vAlign w:val="center"/>
          </w:tcPr>
          <w:p w14:paraId="22D224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污染物项目</w:t>
            </w:r>
          </w:p>
        </w:tc>
        <w:tc>
          <w:tcPr>
            <w:tcW w:w="3748" w:type="dxa"/>
            <w:tcBorders>
              <w:tl2br w:val="nil"/>
              <w:tr2bl w:val="nil"/>
            </w:tcBorders>
            <w:vAlign w:val="center"/>
          </w:tcPr>
          <w:p w14:paraId="6120B4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eastAsia="宋体" w:cs="Times New Roman"/>
                <w:b/>
                <w:bCs/>
                <w:color w:val="auto"/>
                <w:szCs w:val="21"/>
                <w:highlight w:val="none"/>
                <w:lang w:val="en-US" w:eastAsia="zh-CN"/>
              </w:rPr>
            </w:pPr>
            <w:r>
              <w:rPr>
                <w:rFonts w:hint="default" w:ascii="Times New Roman" w:hAnsi="Times New Roman" w:cs="Times New Roman"/>
                <w:b/>
                <w:bCs/>
                <w:color w:val="auto"/>
                <w:szCs w:val="21"/>
                <w:highlight w:val="none"/>
              </w:rPr>
              <w:t>环境保护措施</w:t>
            </w:r>
          </w:p>
        </w:tc>
        <w:tc>
          <w:tcPr>
            <w:tcW w:w="2002" w:type="dxa"/>
            <w:tcBorders>
              <w:tl2br w:val="nil"/>
              <w:tr2bl w:val="nil"/>
            </w:tcBorders>
            <w:vAlign w:val="center"/>
          </w:tcPr>
          <w:p w14:paraId="2F60DB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执行标准</w:t>
            </w:r>
          </w:p>
        </w:tc>
      </w:tr>
      <w:tr w14:paraId="5345B0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restart"/>
            <w:tcBorders>
              <w:tl2br w:val="nil"/>
              <w:tr2bl w:val="nil"/>
            </w:tcBorders>
            <w:vAlign w:val="center"/>
          </w:tcPr>
          <w:p w14:paraId="75E24E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531" w:type="dxa"/>
            <w:tcBorders>
              <w:tl2br w:val="nil"/>
              <w:tr2bl w:val="nil"/>
            </w:tcBorders>
            <w:vAlign w:val="center"/>
          </w:tcPr>
          <w:p w14:paraId="44DDCF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给料、破碎、筛分废气</w:t>
            </w:r>
          </w:p>
        </w:tc>
        <w:tc>
          <w:tcPr>
            <w:tcW w:w="904" w:type="dxa"/>
            <w:tcBorders>
              <w:tl2br w:val="nil"/>
              <w:tr2bl w:val="nil"/>
            </w:tcBorders>
            <w:vAlign w:val="center"/>
          </w:tcPr>
          <w:p w14:paraId="3A48352B">
            <w:pPr>
              <w:keepNext w:val="0"/>
              <w:keepLines w:val="0"/>
              <w:pageBreakBefore w:val="0"/>
              <w:widowControl w:val="0"/>
              <w:suppressLineNumbers w:val="0"/>
              <w:kinsoku/>
              <w:wordWrap/>
              <w:overflowPunct/>
              <w:topLinePunct w:val="0"/>
              <w:autoSpaceDE/>
              <w:autoSpaceDN/>
              <w:bidi w:val="0"/>
              <w:spacing w:before="0" w:beforeAutospacing="0" w:after="0" w:afterAutospacing="0" w:line="280" w:lineRule="exact"/>
              <w:ind w:left="0" w:leftChars="0" w:right="0" w:right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color w:val="auto"/>
                <w:sz w:val="21"/>
                <w:szCs w:val="21"/>
                <w:lang w:val="en-US" w:eastAsia="zh-CN"/>
              </w:rPr>
              <w:t>颗粒物</w:t>
            </w:r>
          </w:p>
        </w:tc>
        <w:tc>
          <w:tcPr>
            <w:tcW w:w="3748" w:type="dxa"/>
            <w:tcBorders>
              <w:tl2br w:val="nil"/>
              <w:tr2bl w:val="nil"/>
            </w:tcBorders>
            <w:shd w:val="clear" w:color="auto" w:fill="auto"/>
            <w:vAlign w:val="center"/>
          </w:tcPr>
          <w:p w14:paraId="09CB9C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vertAlign w:val="baseline"/>
                <w:lang w:val="en-US" w:eastAsia="zh-CN" w:bidi="ar-SA"/>
              </w:rPr>
            </w:pPr>
            <w:r>
              <w:rPr>
                <w:rFonts w:hint="default" w:ascii="Times New Roman" w:hAnsi="Times New Roman" w:eastAsia="宋体" w:cs="Times New Roman"/>
                <w:color w:val="auto"/>
                <w:spacing w:val="0"/>
                <w:kern w:val="2"/>
                <w:sz w:val="21"/>
                <w:szCs w:val="21"/>
                <w:highlight w:val="none"/>
                <w:vertAlign w:val="baseline"/>
                <w:lang w:val="en-US" w:eastAsia="zh-CN" w:bidi="ar-SA"/>
              </w:rPr>
              <w:t>给料机</w:t>
            </w:r>
            <w:r>
              <w:rPr>
                <w:rFonts w:hint="eastAsia" w:cs="Times New Roman"/>
                <w:color w:val="auto"/>
                <w:spacing w:val="0"/>
                <w:kern w:val="2"/>
                <w:sz w:val="21"/>
                <w:szCs w:val="21"/>
                <w:highlight w:val="none"/>
                <w:vertAlign w:val="baseline"/>
                <w:lang w:val="en-US" w:eastAsia="zh-CN" w:bidi="ar-SA"/>
              </w:rPr>
              <w:t>料仓设置柜</w:t>
            </w:r>
            <w:r>
              <w:rPr>
                <w:rFonts w:hint="default" w:ascii="Times New Roman" w:hAnsi="Times New Roman" w:eastAsia="宋体" w:cs="Times New Roman"/>
                <w:color w:val="auto"/>
                <w:spacing w:val="0"/>
                <w:kern w:val="2"/>
                <w:sz w:val="21"/>
                <w:szCs w:val="21"/>
                <w:highlight w:val="none"/>
                <w:vertAlign w:val="baseline"/>
                <w:lang w:val="en-US" w:eastAsia="zh-CN" w:bidi="ar-SA"/>
              </w:rPr>
              <w:t>式集气罩，</w:t>
            </w:r>
            <w:r>
              <w:rPr>
                <w:rFonts w:hint="eastAsia" w:cs="Times New Roman"/>
                <w:color w:val="auto"/>
                <w:spacing w:val="0"/>
                <w:kern w:val="2"/>
                <w:sz w:val="21"/>
                <w:szCs w:val="21"/>
                <w:highlight w:val="none"/>
                <w:vertAlign w:val="baseline"/>
                <w:lang w:val="en-US" w:eastAsia="zh-CN" w:bidi="ar-SA"/>
              </w:rPr>
              <w:t>三面封闭，留入料口一侧并安装软帘，</w:t>
            </w:r>
            <w:r>
              <w:rPr>
                <w:rFonts w:hint="default" w:ascii="Times New Roman" w:hAnsi="Times New Roman" w:eastAsia="宋体" w:cs="Times New Roman"/>
                <w:color w:val="auto"/>
                <w:spacing w:val="0"/>
                <w:kern w:val="2"/>
                <w:sz w:val="21"/>
                <w:szCs w:val="21"/>
                <w:highlight w:val="none"/>
                <w:vertAlign w:val="baseline"/>
                <w:lang w:val="en-US" w:eastAsia="zh-CN" w:bidi="ar-SA"/>
              </w:rPr>
              <w:t>颚式破碎机、1#振动筛和2台细颚式破碎机为全封闭式，上方均设置集气管道，废气经收集</w:t>
            </w:r>
            <w:r>
              <w:rPr>
                <w:rFonts w:hint="eastAsia" w:cs="Times New Roman"/>
                <w:color w:val="auto"/>
                <w:spacing w:val="0"/>
                <w:kern w:val="2"/>
                <w:sz w:val="21"/>
                <w:szCs w:val="21"/>
                <w:highlight w:val="none"/>
                <w:vertAlign w:val="baseline"/>
                <w:lang w:val="en-US" w:eastAsia="zh-CN" w:bidi="ar-SA"/>
              </w:rPr>
              <w:t>后</w:t>
            </w:r>
            <w:r>
              <w:rPr>
                <w:rFonts w:hint="default" w:ascii="Times New Roman" w:hAnsi="Times New Roman" w:eastAsia="宋体" w:cs="Times New Roman"/>
                <w:color w:val="auto"/>
                <w:spacing w:val="0"/>
                <w:kern w:val="2"/>
                <w:sz w:val="21"/>
                <w:szCs w:val="21"/>
                <w:highlight w:val="none"/>
                <w:vertAlign w:val="baseline"/>
                <w:lang w:val="en-US" w:eastAsia="zh-CN" w:bidi="ar-SA"/>
              </w:rPr>
              <w:t>共同引入布袋除尘器（TA001）处理后，由1根20m高排气筒（DA001）排放</w:t>
            </w:r>
          </w:p>
        </w:tc>
        <w:tc>
          <w:tcPr>
            <w:tcW w:w="2002" w:type="dxa"/>
            <w:vMerge w:val="restart"/>
            <w:tcBorders>
              <w:tl2br w:val="nil"/>
              <w:tr2bl w:val="nil"/>
            </w:tcBorders>
            <w:vAlign w:val="center"/>
          </w:tcPr>
          <w:p w14:paraId="625EBF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eastAsia="宋体" w:cs="Times New Roman"/>
                <w:b w:val="0"/>
                <w:bCs/>
                <w:color w:val="auto"/>
                <w:kern w:val="28"/>
                <w:sz w:val="21"/>
                <w:szCs w:val="21"/>
                <w:highlight w:val="none"/>
                <w:lang w:val="en-US" w:eastAsia="zh-CN" w:bidi="ar-SA"/>
              </w:rPr>
              <w:t>《长治市大气污染防治工作领导组办公室文件关于印发长治市工业企业无组织排放治理实施方案的通知》（长气防办[2019]9号）</w:t>
            </w:r>
          </w:p>
        </w:tc>
      </w:tr>
      <w:tr w14:paraId="5862E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721A08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60B13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制砂、筛分</w:t>
            </w:r>
            <w:r>
              <w:rPr>
                <w:rFonts w:hint="eastAsia" w:ascii="Times New Roman" w:hAnsi="Times New Roman" w:eastAsia="宋体" w:cs="Times New Roman"/>
                <w:color w:val="auto"/>
                <w:spacing w:val="0"/>
                <w:kern w:val="2"/>
                <w:sz w:val="21"/>
                <w:szCs w:val="21"/>
                <w:highlight w:val="none"/>
                <w:vertAlign w:val="baseline"/>
                <w:lang w:val="en-US" w:eastAsia="zh-CN" w:bidi="ar-SA"/>
              </w:rPr>
              <w:t>废气</w:t>
            </w:r>
          </w:p>
        </w:tc>
        <w:tc>
          <w:tcPr>
            <w:tcW w:w="904" w:type="dxa"/>
            <w:tcBorders>
              <w:tl2br w:val="nil"/>
              <w:tr2bl w:val="nil"/>
            </w:tcBorders>
            <w:vAlign w:val="center"/>
          </w:tcPr>
          <w:p w14:paraId="282356D9">
            <w:pPr>
              <w:keepNext w:val="0"/>
              <w:keepLines w:val="0"/>
              <w:pageBreakBefore w:val="0"/>
              <w:widowControl w:val="0"/>
              <w:suppressLineNumbers w:val="0"/>
              <w:kinsoku/>
              <w:wordWrap/>
              <w:overflowPunct/>
              <w:topLinePunct w:val="0"/>
              <w:autoSpaceDE/>
              <w:autoSpaceDN/>
              <w:bidi w:val="0"/>
              <w:spacing w:before="0" w:beforeAutospacing="0" w:after="0" w:afterAutospacing="0" w:line="280" w:lineRule="exact"/>
              <w:ind w:left="0" w:leftChars="0" w:right="0" w:rightChars="0"/>
              <w:jc w:val="center"/>
              <w:textAlignment w:val="auto"/>
              <w:rPr>
                <w:rFonts w:hint="eastAsia" w:cs="Times New Roman"/>
                <w:color w:val="auto"/>
                <w:spacing w:val="0"/>
                <w:kern w:val="2"/>
                <w:sz w:val="21"/>
                <w:szCs w:val="21"/>
                <w:highlight w:val="none"/>
                <w:vertAlign w:val="baseline"/>
                <w:lang w:val="en-US" w:eastAsia="zh-CN" w:bidi="ar-SA"/>
              </w:rPr>
            </w:pPr>
            <w:r>
              <w:rPr>
                <w:rFonts w:hint="eastAsia"/>
                <w:color w:val="auto"/>
                <w:sz w:val="21"/>
                <w:szCs w:val="21"/>
                <w:lang w:val="en-US" w:eastAsia="zh-CN"/>
              </w:rPr>
              <w:t>颗粒物</w:t>
            </w:r>
          </w:p>
        </w:tc>
        <w:tc>
          <w:tcPr>
            <w:tcW w:w="3748" w:type="dxa"/>
            <w:tcBorders>
              <w:tl2br w:val="nil"/>
              <w:tr2bl w:val="nil"/>
            </w:tcBorders>
            <w:shd w:val="clear" w:color="auto" w:fill="auto"/>
            <w:vAlign w:val="center"/>
          </w:tcPr>
          <w:p w14:paraId="171A991F">
            <w:pPr>
              <w:keepNext w:val="0"/>
              <w:keepLines w:val="0"/>
              <w:pageBreakBefore w:val="0"/>
              <w:widowControl w:val="0"/>
              <w:suppressLineNumbers w:val="0"/>
              <w:kinsoku/>
              <w:wordWrap/>
              <w:overflowPunct/>
              <w:topLinePunct w:val="0"/>
              <w:autoSpaceDE/>
              <w:autoSpaceDN/>
              <w:bidi w:val="0"/>
              <w:spacing w:before="0" w:beforeAutospacing="0" w:after="0" w:afterAutospacing="0" w:line="240" w:lineRule="auto"/>
              <w:ind w:left="0" w:leftChars="0" w:right="0" w:rightChars="0"/>
              <w:jc w:val="both"/>
              <w:textAlignment w:val="auto"/>
              <w:rPr>
                <w:rFonts w:hint="default"/>
                <w:color w:val="auto"/>
                <w:szCs w:val="21"/>
              </w:rPr>
            </w:pPr>
            <w:r>
              <w:rPr>
                <w:rFonts w:hint="eastAsia" w:cs="Times New Roman"/>
                <w:color w:val="auto"/>
                <w:kern w:val="2"/>
                <w:sz w:val="21"/>
                <w:szCs w:val="21"/>
                <w:lang w:val="en-US" w:eastAsia="zh-CN" w:bidi="ar-SA"/>
              </w:rPr>
              <w:t>制砂机和</w:t>
            </w:r>
            <w:r>
              <w:rPr>
                <w:rFonts w:hint="default" w:ascii="Times New Roman" w:hAnsi="Times New Roman" w:eastAsia="宋体" w:cs="Times New Roman"/>
                <w:color w:val="auto"/>
                <w:kern w:val="2"/>
                <w:sz w:val="21"/>
                <w:szCs w:val="21"/>
                <w:lang w:val="en-US" w:eastAsia="zh-CN" w:bidi="ar-SA"/>
              </w:rPr>
              <w:t>2振动筛均为全封闭式，上方设置集气管道，废气经收集后共同引入布袋除尘器（TA002）处理后，由1根20m高排气筒（DA002）排放</w:t>
            </w:r>
          </w:p>
        </w:tc>
        <w:tc>
          <w:tcPr>
            <w:tcW w:w="2002" w:type="dxa"/>
            <w:vMerge w:val="continue"/>
            <w:tcBorders>
              <w:tl2br w:val="nil"/>
              <w:tr2bl w:val="nil"/>
            </w:tcBorders>
            <w:vAlign w:val="center"/>
          </w:tcPr>
          <w:p w14:paraId="5A7AEE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p>
        </w:tc>
      </w:tr>
      <w:tr w14:paraId="271EB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7C420B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4E53E5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原料及成品堆放、卸料</w:t>
            </w:r>
            <w:r>
              <w:rPr>
                <w:rFonts w:hint="eastAsia" w:ascii="Times New Roman" w:hAnsi="Times New Roman" w:eastAsia="宋体" w:cs="Times New Roman"/>
                <w:color w:val="auto"/>
                <w:spacing w:val="0"/>
                <w:kern w:val="2"/>
                <w:sz w:val="21"/>
                <w:szCs w:val="21"/>
                <w:highlight w:val="none"/>
                <w:vertAlign w:val="baseline"/>
                <w:lang w:val="en-US" w:eastAsia="zh-CN" w:bidi="ar-SA"/>
              </w:rPr>
              <w:t>废气</w:t>
            </w:r>
          </w:p>
        </w:tc>
        <w:tc>
          <w:tcPr>
            <w:tcW w:w="904" w:type="dxa"/>
            <w:tcBorders>
              <w:tl2br w:val="nil"/>
              <w:tr2bl w:val="nil"/>
            </w:tcBorders>
            <w:vAlign w:val="center"/>
          </w:tcPr>
          <w:p w14:paraId="05C38A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颗粒物</w:t>
            </w:r>
          </w:p>
        </w:tc>
        <w:tc>
          <w:tcPr>
            <w:tcW w:w="3748" w:type="dxa"/>
            <w:tcBorders>
              <w:tl2br w:val="nil"/>
              <w:tr2bl w:val="nil"/>
            </w:tcBorders>
            <w:vAlign w:val="center"/>
          </w:tcPr>
          <w:p w14:paraId="4734D1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原料、成品堆放区位于全封闭生产车间内，顶部安装喷雾抑尘措施，装卸物料时设有移动式雾炮机同时抑尘，地面硬化，车辆出入口设有自动感应密闭门，同时</w:t>
            </w:r>
            <w:r>
              <w:rPr>
                <w:rFonts w:hint="eastAsia" w:cs="Times New Roman"/>
                <w:color w:val="auto"/>
                <w:spacing w:val="0"/>
                <w:kern w:val="2"/>
                <w:sz w:val="21"/>
                <w:szCs w:val="21"/>
                <w:highlight w:val="none"/>
                <w:lang w:val="en-US" w:eastAsia="zh-CN" w:bidi="ar-SA"/>
              </w:rPr>
              <w:t>厂区内</w:t>
            </w:r>
            <w:r>
              <w:rPr>
                <w:rFonts w:hint="eastAsia" w:ascii="Times New Roman" w:hAnsi="Times New Roman" w:eastAsia="宋体" w:cs="Times New Roman"/>
                <w:color w:val="auto"/>
                <w:spacing w:val="0"/>
                <w:kern w:val="2"/>
                <w:sz w:val="21"/>
                <w:szCs w:val="21"/>
                <w:highlight w:val="none"/>
                <w:lang w:val="en-US" w:eastAsia="zh-CN" w:bidi="ar-SA"/>
              </w:rPr>
              <w:t>加设扬尘在线监测和视频监控设施，并与生态环境部门联网</w:t>
            </w:r>
          </w:p>
        </w:tc>
        <w:tc>
          <w:tcPr>
            <w:tcW w:w="2002" w:type="dxa"/>
            <w:vMerge w:val="restart"/>
            <w:tcBorders>
              <w:tl2br w:val="nil"/>
              <w:tr2bl w:val="nil"/>
            </w:tcBorders>
            <w:vAlign w:val="center"/>
          </w:tcPr>
          <w:p w14:paraId="2A30D9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《大气污染物综合排放标准》（GB16297-1996）</w:t>
            </w:r>
          </w:p>
        </w:tc>
      </w:tr>
      <w:tr w14:paraId="01177C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7D89E5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32D50A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物料输送及转载</w:t>
            </w:r>
            <w:r>
              <w:rPr>
                <w:rFonts w:hint="eastAsia" w:ascii="Times New Roman" w:hAnsi="Times New Roman" w:eastAsia="宋体" w:cs="Times New Roman"/>
                <w:color w:val="auto"/>
                <w:spacing w:val="0"/>
                <w:kern w:val="2"/>
                <w:sz w:val="21"/>
                <w:szCs w:val="21"/>
                <w:highlight w:val="none"/>
                <w:vertAlign w:val="baseline"/>
                <w:lang w:val="en-US" w:eastAsia="zh-CN" w:bidi="ar-SA"/>
              </w:rPr>
              <w:t>废气</w:t>
            </w:r>
          </w:p>
        </w:tc>
        <w:tc>
          <w:tcPr>
            <w:tcW w:w="904" w:type="dxa"/>
            <w:tcBorders>
              <w:tl2br w:val="nil"/>
              <w:tr2bl w:val="nil"/>
            </w:tcBorders>
            <w:vAlign w:val="center"/>
          </w:tcPr>
          <w:p w14:paraId="60052E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颗粒物</w:t>
            </w:r>
          </w:p>
        </w:tc>
        <w:tc>
          <w:tcPr>
            <w:tcW w:w="3748" w:type="dxa"/>
            <w:tcBorders>
              <w:tl2br w:val="nil"/>
              <w:tr2bl w:val="nil"/>
            </w:tcBorders>
            <w:vAlign w:val="center"/>
          </w:tcPr>
          <w:p w14:paraId="69C888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b w:val="0"/>
                <w:bCs/>
                <w:color w:val="auto"/>
                <w:spacing w:val="0"/>
                <w:kern w:val="2"/>
                <w:sz w:val="21"/>
                <w:szCs w:val="21"/>
                <w:highlight w:val="none"/>
                <w:lang w:val="en-US" w:eastAsia="zh-CN" w:bidi="ar-SA"/>
              </w:rPr>
              <w:t>采用全封</w:t>
            </w:r>
            <w:r>
              <w:rPr>
                <w:rFonts w:hint="eastAsia" w:ascii="Times New Roman" w:hAnsi="Times New Roman" w:eastAsia="宋体" w:cs="Times New Roman"/>
                <w:b w:val="0"/>
                <w:bCs/>
                <w:color w:val="auto"/>
                <w:spacing w:val="0"/>
                <w:kern w:val="2"/>
                <w:sz w:val="21"/>
                <w:szCs w:val="21"/>
                <w:highlight w:val="none"/>
                <w:lang w:val="en-GB" w:eastAsia="zh-CN" w:bidi="ar-SA"/>
              </w:rPr>
              <w:t>闭皮带</w:t>
            </w:r>
            <w:r>
              <w:rPr>
                <w:rFonts w:hint="eastAsia" w:ascii="Times New Roman" w:hAnsi="Times New Roman" w:eastAsia="宋体" w:cs="Times New Roman"/>
                <w:b w:val="0"/>
                <w:bCs/>
                <w:color w:val="auto"/>
                <w:spacing w:val="0"/>
                <w:kern w:val="2"/>
                <w:sz w:val="21"/>
                <w:szCs w:val="21"/>
                <w:highlight w:val="none"/>
                <w:lang w:val="en-US" w:eastAsia="zh-CN" w:bidi="ar-SA"/>
              </w:rPr>
              <w:t>输送，降低落料点高度，在原料堆放处、皮带转运跌落点处设固定式雾化喷头</w:t>
            </w:r>
          </w:p>
        </w:tc>
        <w:tc>
          <w:tcPr>
            <w:tcW w:w="2002" w:type="dxa"/>
            <w:vMerge w:val="continue"/>
            <w:tcBorders>
              <w:tl2br w:val="nil"/>
              <w:tr2bl w:val="nil"/>
            </w:tcBorders>
            <w:vAlign w:val="center"/>
          </w:tcPr>
          <w:p w14:paraId="47ACD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p>
        </w:tc>
      </w:tr>
      <w:tr w14:paraId="3108E9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6A363F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42FC32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spacing w:val="0"/>
                <w:kern w:val="28"/>
                <w:sz w:val="21"/>
                <w:szCs w:val="21"/>
                <w:highlight w:val="none"/>
                <w:lang w:val="en-US" w:eastAsia="zh-CN" w:bidi="ar-SA"/>
              </w:rPr>
            </w:pPr>
            <w:r>
              <w:rPr>
                <w:rFonts w:hint="eastAsia" w:ascii="Times New Roman" w:hAnsi="Times New Roman" w:eastAsia="宋体" w:cs="Times New Roman"/>
                <w:b w:val="0"/>
                <w:bCs/>
                <w:color w:val="auto"/>
                <w:spacing w:val="0"/>
                <w:kern w:val="28"/>
                <w:sz w:val="21"/>
                <w:szCs w:val="21"/>
                <w:highlight w:val="none"/>
                <w:lang w:val="en-US" w:eastAsia="zh-CN" w:bidi="ar-SA"/>
              </w:rPr>
              <w:t>道路运输</w:t>
            </w:r>
            <w:r>
              <w:rPr>
                <w:rFonts w:hint="eastAsia" w:ascii="Times New Roman" w:hAnsi="Times New Roman" w:eastAsia="宋体" w:cs="Times New Roman"/>
                <w:color w:val="auto"/>
                <w:spacing w:val="0"/>
                <w:kern w:val="2"/>
                <w:sz w:val="21"/>
                <w:szCs w:val="21"/>
                <w:highlight w:val="none"/>
                <w:vertAlign w:val="baseline"/>
                <w:lang w:val="en-US" w:eastAsia="zh-CN" w:bidi="ar-SA"/>
              </w:rPr>
              <w:t>废气</w:t>
            </w:r>
          </w:p>
        </w:tc>
        <w:tc>
          <w:tcPr>
            <w:tcW w:w="904" w:type="dxa"/>
            <w:tcBorders>
              <w:tl2br w:val="nil"/>
              <w:tr2bl w:val="nil"/>
            </w:tcBorders>
            <w:vAlign w:val="center"/>
          </w:tcPr>
          <w:p w14:paraId="766158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eastAsia" w:ascii="Times New Roman" w:hAnsi="Times New Roman" w:eastAsia="宋体" w:cs="Times New Roman"/>
                <w:color w:val="auto"/>
                <w:spacing w:val="0"/>
                <w:kern w:val="2"/>
                <w:sz w:val="21"/>
                <w:szCs w:val="21"/>
                <w:highlight w:val="none"/>
                <w:vertAlign w:val="baseline"/>
                <w:lang w:val="en-US" w:eastAsia="zh-CN" w:bidi="ar-SA"/>
              </w:rPr>
            </w:pPr>
            <w:r>
              <w:rPr>
                <w:rFonts w:hint="eastAsia" w:ascii="Times New Roman" w:hAnsi="Times New Roman" w:eastAsia="宋体" w:cs="Times New Roman"/>
                <w:color w:val="auto"/>
                <w:spacing w:val="0"/>
                <w:kern w:val="2"/>
                <w:sz w:val="21"/>
                <w:szCs w:val="21"/>
                <w:highlight w:val="none"/>
                <w:vertAlign w:val="baseline"/>
                <w:lang w:val="en-US" w:eastAsia="zh-CN" w:bidi="ar-SA"/>
              </w:rPr>
              <w:t>颗粒物</w:t>
            </w:r>
          </w:p>
        </w:tc>
        <w:tc>
          <w:tcPr>
            <w:tcW w:w="3748" w:type="dxa"/>
            <w:tcBorders>
              <w:tl2br w:val="nil"/>
              <w:tr2bl w:val="nil"/>
            </w:tcBorders>
            <w:vAlign w:val="center"/>
          </w:tcPr>
          <w:p w14:paraId="1666E3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kern w:val="2"/>
                <w:sz w:val="21"/>
                <w:szCs w:val="21"/>
                <w:highlight w:val="none"/>
                <w:lang w:val="en-US" w:eastAsia="zh-CN" w:bidi="ar-SA"/>
              </w:rPr>
              <w:t>厂区运输道路全部硬化，对道路定期洒水，并对物料运输车辆采取加盖篷布等封闭措施，限制车速</w:t>
            </w:r>
            <w:r>
              <w:rPr>
                <w:rFonts w:hint="eastAsia" w:cs="Times New Roman"/>
                <w:color w:val="auto"/>
                <w:spacing w:val="0"/>
                <w:kern w:val="2"/>
                <w:sz w:val="21"/>
                <w:szCs w:val="21"/>
                <w:highlight w:val="none"/>
                <w:lang w:val="en-US" w:eastAsia="zh-CN" w:bidi="ar-SA"/>
              </w:rPr>
              <w:t>；</w:t>
            </w:r>
            <w:r>
              <w:rPr>
                <w:rFonts w:hint="eastAsia" w:ascii="Times New Roman" w:hAnsi="Times New Roman" w:eastAsia="宋体" w:cs="Times New Roman"/>
                <w:color w:val="auto"/>
                <w:sz w:val="21"/>
                <w:szCs w:val="21"/>
                <w:highlight w:val="none"/>
                <w:shd w:val="clear" w:color="auto" w:fill="auto"/>
                <w:vertAlign w:val="baseline"/>
                <w:lang w:val="en-US" w:eastAsia="zh-CN"/>
              </w:rPr>
              <w:t>进出厂道路与交通干线连接点上下各2km范围内的道路为本单位卫生责任区，每日开展道路清洗工作，厂区配备新能源喷雾降尘设施以及新能源洗扫吸尘设施</w:t>
            </w:r>
          </w:p>
        </w:tc>
        <w:tc>
          <w:tcPr>
            <w:tcW w:w="2002" w:type="dxa"/>
            <w:vMerge w:val="continue"/>
            <w:tcBorders>
              <w:tl2br w:val="nil"/>
              <w:tr2bl w:val="nil"/>
            </w:tcBorders>
            <w:vAlign w:val="center"/>
          </w:tcPr>
          <w:p w14:paraId="65D25F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p>
        </w:tc>
      </w:tr>
      <w:tr w14:paraId="1D8D5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restart"/>
            <w:tcBorders>
              <w:tl2br w:val="nil"/>
              <w:tr2bl w:val="nil"/>
            </w:tcBorders>
            <w:vAlign w:val="center"/>
          </w:tcPr>
          <w:p w14:paraId="7E4C6E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p w14:paraId="069109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w:t>
            </w:r>
          </w:p>
        </w:tc>
        <w:tc>
          <w:tcPr>
            <w:tcW w:w="1531" w:type="dxa"/>
            <w:tcBorders>
              <w:tl2br w:val="nil"/>
              <w:tr2bl w:val="nil"/>
            </w:tcBorders>
            <w:vAlign w:val="center"/>
          </w:tcPr>
          <w:p w14:paraId="6BD677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生活污水</w:t>
            </w:r>
          </w:p>
        </w:tc>
        <w:tc>
          <w:tcPr>
            <w:tcW w:w="904" w:type="dxa"/>
            <w:tcBorders>
              <w:tl2br w:val="nil"/>
              <w:tr2bl w:val="nil"/>
            </w:tcBorders>
            <w:vAlign w:val="center"/>
          </w:tcPr>
          <w:p w14:paraId="3CC3F1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hAnsi="宋体"/>
                <w:color w:val="auto"/>
                <w:szCs w:val="21"/>
              </w:rPr>
              <w:t>COD、BOD</w:t>
            </w:r>
            <w:r>
              <w:rPr>
                <w:rFonts w:hint="default" w:hAnsi="宋体"/>
                <w:color w:val="auto"/>
                <w:szCs w:val="21"/>
                <w:vertAlign w:val="subscript"/>
              </w:rPr>
              <w:t>5</w:t>
            </w:r>
            <w:r>
              <w:rPr>
                <w:rFonts w:hint="eastAsia" w:hAnsi="宋体"/>
                <w:color w:val="auto"/>
                <w:szCs w:val="21"/>
                <w:vertAlign w:val="baseline"/>
                <w:lang w:val="en-US" w:eastAsia="zh-CN"/>
              </w:rPr>
              <w:t>等</w:t>
            </w:r>
          </w:p>
        </w:tc>
        <w:tc>
          <w:tcPr>
            <w:tcW w:w="3748" w:type="dxa"/>
            <w:tcBorders>
              <w:tl2br w:val="nil"/>
              <w:tr2bl w:val="nil"/>
            </w:tcBorders>
            <w:vAlign w:val="center"/>
          </w:tcPr>
          <w:p w14:paraId="6BF85317">
            <w:pPr>
              <w:pStyle w:val="6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both"/>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vertAlign w:val="baseline"/>
                <w:lang w:val="en-US" w:eastAsia="zh-CN" w:bidi="ar-SA"/>
              </w:rPr>
              <w:t>依托厂区现有旱厕</w:t>
            </w:r>
            <w:r>
              <w:rPr>
                <w:rFonts w:hint="eastAsia" w:cs="Times New Roman"/>
                <w:color w:val="auto"/>
                <w:spacing w:val="0"/>
                <w:kern w:val="2"/>
                <w:sz w:val="21"/>
                <w:szCs w:val="21"/>
                <w:highlight w:val="none"/>
                <w:lang w:val="en-US" w:eastAsia="zh-CN" w:bidi="ar-SA"/>
              </w:rPr>
              <w:t>，定时清掏，不外排</w:t>
            </w:r>
          </w:p>
        </w:tc>
        <w:tc>
          <w:tcPr>
            <w:tcW w:w="2002" w:type="dxa"/>
            <w:tcBorders>
              <w:tl2br w:val="nil"/>
              <w:tr2bl w:val="nil"/>
            </w:tcBorders>
            <w:vAlign w:val="center"/>
          </w:tcPr>
          <w:p w14:paraId="0AEB80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5B3F32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52C2EE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3D401A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洗车废水</w:t>
            </w:r>
          </w:p>
        </w:tc>
        <w:tc>
          <w:tcPr>
            <w:tcW w:w="904" w:type="dxa"/>
            <w:tcBorders>
              <w:tl2br w:val="nil"/>
              <w:tr2bl w:val="nil"/>
            </w:tcBorders>
            <w:vAlign w:val="center"/>
          </w:tcPr>
          <w:p w14:paraId="4EDFAA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SS、石油类</w:t>
            </w:r>
          </w:p>
        </w:tc>
        <w:tc>
          <w:tcPr>
            <w:tcW w:w="3748" w:type="dxa"/>
            <w:tcBorders>
              <w:tl2br w:val="nil"/>
              <w:tr2bl w:val="nil"/>
            </w:tcBorders>
            <w:vAlign w:val="center"/>
          </w:tcPr>
          <w:p w14:paraId="564F6679">
            <w:pPr>
              <w:pStyle w:val="6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both"/>
              <w:textAlignment w:val="auto"/>
              <w:rPr>
                <w:rFonts w:hint="default" w:ascii="Times New Roman" w:hAnsi="Times New Roman" w:cs="Times New Roman"/>
                <w:color w:val="auto"/>
                <w:spacing w:val="0"/>
                <w:sz w:val="21"/>
                <w:szCs w:val="21"/>
                <w:highlight w:val="none"/>
              </w:rPr>
            </w:pPr>
            <w:r>
              <w:rPr>
                <w:rFonts w:hint="eastAsia" w:cs="Times New Roman"/>
                <w:color w:val="auto"/>
                <w:spacing w:val="0"/>
                <w:sz w:val="21"/>
                <w:szCs w:val="21"/>
                <w:highlight w:val="none"/>
                <w:lang w:val="en-US" w:eastAsia="zh-CN"/>
              </w:rPr>
              <w:t>经厂区现有</w:t>
            </w:r>
            <w:r>
              <w:rPr>
                <w:rFonts w:hint="default" w:ascii="Times New Roman" w:hAnsi="Times New Roman" w:cs="Times New Roman"/>
                <w:color w:val="auto"/>
                <w:spacing w:val="0"/>
                <w:sz w:val="21"/>
                <w:szCs w:val="21"/>
                <w:highlight w:val="none"/>
              </w:rPr>
              <w:t>沉淀池沉淀后，回用至</w:t>
            </w:r>
            <w:r>
              <w:rPr>
                <w:rFonts w:hint="default" w:ascii="Times New Roman" w:hAnsi="Times New Roman" w:eastAsia="宋体" w:cs="Times New Roman"/>
                <w:color w:val="auto"/>
                <w:spacing w:val="0"/>
                <w:sz w:val="21"/>
                <w:szCs w:val="21"/>
                <w:highlight w:val="none"/>
                <w:lang w:val="en-US" w:eastAsia="zh-CN"/>
              </w:rPr>
              <w:t>洗车</w:t>
            </w:r>
            <w:r>
              <w:rPr>
                <w:rFonts w:hint="default" w:ascii="Times New Roman" w:hAnsi="Times New Roman" w:cs="Times New Roman"/>
                <w:color w:val="auto"/>
                <w:spacing w:val="0"/>
                <w:sz w:val="21"/>
                <w:szCs w:val="21"/>
                <w:highlight w:val="none"/>
              </w:rPr>
              <w:t>工序，循环使用，不排放</w:t>
            </w:r>
          </w:p>
        </w:tc>
        <w:tc>
          <w:tcPr>
            <w:tcW w:w="2002" w:type="dxa"/>
            <w:tcBorders>
              <w:tl2br w:val="nil"/>
              <w:tr2bl w:val="nil"/>
            </w:tcBorders>
            <w:vAlign w:val="center"/>
          </w:tcPr>
          <w:p w14:paraId="6A5AE7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eastAsia" w:cs="Times New Roman"/>
                <w:color w:val="auto"/>
                <w:szCs w:val="21"/>
                <w:highlight w:val="none"/>
                <w:lang w:val="en-US" w:eastAsia="zh-CN"/>
              </w:rPr>
            </w:pPr>
            <w:r>
              <w:rPr>
                <w:rFonts w:hint="eastAsia" w:cs="Times New Roman"/>
                <w:color w:val="auto"/>
                <w:szCs w:val="21"/>
                <w:highlight w:val="none"/>
                <w:lang w:val="en-US" w:eastAsia="zh-CN"/>
              </w:rPr>
              <w:t>/</w:t>
            </w:r>
          </w:p>
        </w:tc>
      </w:tr>
      <w:tr w14:paraId="7694E2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vMerge w:val="continue"/>
            <w:tcBorders>
              <w:tl2br w:val="nil"/>
              <w:tr2bl w:val="nil"/>
            </w:tcBorders>
            <w:vAlign w:val="center"/>
          </w:tcPr>
          <w:p w14:paraId="3798D2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p>
        </w:tc>
        <w:tc>
          <w:tcPr>
            <w:tcW w:w="1531" w:type="dxa"/>
            <w:tcBorders>
              <w:tl2br w:val="nil"/>
              <w:tr2bl w:val="nil"/>
            </w:tcBorders>
            <w:vAlign w:val="center"/>
          </w:tcPr>
          <w:p w14:paraId="51C975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color w:val="auto"/>
                <w:szCs w:val="21"/>
                <w:highlight w:val="none"/>
                <w:lang w:val="en-US" w:eastAsia="zh-CN"/>
              </w:rPr>
              <w:t>初期雨水</w:t>
            </w:r>
          </w:p>
        </w:tc>
        <w:tc>
          <w:tcPr>
            <w:tcW w:w="904" w:type="dxa"/>
            <w:tcBorders>
              <w:tl2br w:val="nil"/>
              <w:tr2bl w:val="nil"/>
            </w:tcBorders>
            <w:vAlign w:val="center"/>
          </w:tcPr>
          <w:p w14:paraId="57EF2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leftChars="0" w:right="0" w:rightChars="0"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SS</w:t>
            </w:r>
          </w:p>
        </w:tc>
        <w:tc>
          <w:tcPr>
            <w:tcW w:w="3748" w:type="dxa"/>
            <w:tcBorders>
              <w:tl2br w:val="nil"/>
              <w:tr2bl w:val="nil"/>
            </w:tcBorders>
            <w:vAlign w:val="center"/>
          </w:tcPr>
          <w:p w14:paraId="54CFE6E1">
            <w:pPr>
              <w:pStyle w:val="6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firstLineChars="0"/>
              <w:jc w:val="both"/>
              <w:textAlignment w:val="auto"/>
              <w:rPr>
                <w:rFonts w:hint="default" w:ascii="Times New Roman" w:hAnsi="Times New Roman"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依托厂区内现有1座360m</w:t>
            </w:r>
            <w:r>
              <w:rPr>
                <w:rFonts w:hint="eastAsia" w:cs="Times New Roman"/>
                <w:color w:val="auto"/>
                <w:spacing w:val="0"/>
                <w:sz w:val="21"/>
                <w:szCs w:val="21"/>
                <w:highlight w:val="none"/>
                <w:vertAlign w:val="superscript"/>
                <w:lang w:val="en-US" w:eastAsia="zh-CN"/>
              </w:rPr>
              <w:t>3</w:t>
            </w:r>
            <w:r>
              <w:rPr>
                <w:rFonts w:hint="eastAsia" w:cs="Times New Roman"/>
                <w:color w:val="auto"/>
                <w:spacing w:val="0"/>
                <w:sz w:val="21"/>
                <w:szCs w:val="21"/>
                <w:highlight w:val="none"/>
                <w:vertAlign w:val="baseline"/>
                <w:lang w:val="en-US" w:eastAsia="zh-CN"/>
              </w:rPr>
              <w:t>初期雨水收集池，初期雨水经沉淀后用于厂区洒水抑尘</w:t>
            </w:r>
          </w:p>
        </w:tc>
        <w:tc>
          <w:tcPr>
            <w:tcW w:w="2002" w:type="dxa"/>
            <w:tcBorders>
              <w:tl2br w:val="nil"/>
              <w:tr2bl w:val="nil"/>
            </w:tcBorders>
            <w:vAlign w:val="center"/>
          </w:tcPr>
          <w:p w14:paraId="79D5D7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03AD7B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27DA9B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531" w:type="dxa"/>
            <w:tcBorders>
              <w:tl2br w:val="nil"/>
              <w:tr2bl w:val="nil"/>
            </w:tcBorders>
            <w:vAlign w:val="center"/>
          </w:tcPr>
          <w:p w14:paraId="3914D4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生产设备</w:t>
            </w:r>
          </w:p>
        </w:tc>
        <w:tc>
          <w:tcPr>
            <w:tcW w:w="904" w:type="dxa"/>
            <w:tcBorders>
              <w:tl2br w:val="nil"/>
              <w:tr2bl w:val="nil"/>
            </w:tcBorders>
            <w:vAlign w:val="center"/>
          </w:tcPr>
          <w:p w14:paraId="566E54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噪声</w:t>
            </w:r>
          </w:p>
        </w:tc>
        <w:tc>
          <w:tcPr>
            <w:tcW w:w="3748" w:type="dxa"/>
            <w:tcBorders>
              <w:tl2br w:val="nil"/>
              <w:tr2bl w:val="nil"/>
            </w:tcBorders>
            <w:vAlign w:val="center"/>
          </w:tcPr>
          <w:p w14:paraId="7AB7AA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both"/>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选用低噪声设备，高噪音设备做基础减振、柔性连接，厂房隔声等，保持设备运行良好；车辆限速行驶，减少鸣笛</w:t>
            </w:r>
          </w:p>
        </w:tc>
        <w:tc>
          <w:tcPr>
            <w:tcW w:w="2002" w:type="dxa"/>
            <w:tcBorders>
              <w:tl2br w:val="nil"/>
              <w:tr2bl w:val="nil"/>
            </w:tcBorders>
            <w:vAlign w:val="center"/>
          </w:tcPr>
          <w:p w14:paraId="252D43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fldChar w:fldCharType="begin"/>
            </w:r>
            <w:r>
              <w:rPr>
                <w:rFonts w:hint="default" w:ascii="Times New Roman" w:hAnsi="Times New Roman" w:cs="Times New Roman"/>
                <w:color w:val="auto"/>
                <w:kern w:val="2"/>
                <w:sz w:val="21"/>
                <w:szCs w:val="21"/>
                <w:highlight w:val="none"/>
                <w:lang w:val="en-US" w:eastAsia="zh-CN" w:bidi="ar-SA"/>
              </w:rPr>
              <w:instrText xml:space="preserve"> HYPERLINK "http://www.mep.gov.cn/info/bgw/bgg/200809/W020081017399508921576.pdf" \t "_self" </w:instrText>
            </w:r>
            <w:r>
              <w:rPr>
                <w:rFonts w:hint="default" w:ascii="Times New Roman" w:hAnsi="Times New Roman" w:cs="Times New Roman"/>
                <w:color w:val="auto"/>
                <w:kern w:val="2"/>
                <w:sz w:val="21"/>
                <w:szCs w:val="21"/>
                <w:highlight w:val="none"/>
                <w:lang w:val="en-US" w:eastAsia="zh-CN" w:bidi="ar-SA"/>
              </w:rPr>
              <w:fldChar w:fldCharType="separate"/>
            </w:r>
            <w:r>
              <w:rPr>
                <w:rFonts w:hint="default" w:ascii="Times New Roman" w:hAnsi="Times New Roman" w:cs="Times New Roman"/>
                <w:color w:val="auto"/>
                <w:kern w:val="2"/>
                <w:sz w:val="21"/>
                <w:szCs w:val="21"/>
                <w:highlight w:val="none"/>
                <w:lang w:val="en-US" w:eastAsia="zh-CN" w:bidi="ar-SA"/>
              </w:rPr>
              <w:t>工业企业厂界环境噪声</w:t>
            </w:r>
            <w:r>
              <w:rPr>
                <w:rFonts w:hint="default" w:ascii="Times New Roman" w:hAnsi="Times New Roman" w:cs="Times New Roman"/>
                <w:color w:val="auto"/>
                <w:kern w:val="2"/>
                <w:sz w:val="21"/>
                <w:szCs w:val="21"/>
                <w:highlight w:val="none"/>
                <w:lang w:val="en-US" w:eastAsia="zh-CN" w:bidi="ar-SA"/>
              </w:rPr>
              <w:fldChar w:fldCharType="end"/>
            </w:r>
            <w:r>
              <w:rPr>
                <w:rFonts w:hint="default" w:ascii="Times New Roman" w:hAnsi="Times New Roman" w:cs="Times New Roman"/>
                <w:color w:val="auto"/>
                <w:kern w:val="2"/>
                <w:sz w:val="21"/>
                <w:szCs w:val="21"/>
                <w:highlight w:val="none"/>
                <w:lang w:val="en-US" w:eastAsia="zh-CN" w:bidi="ar-SA"/>
              </w:rPr>
              <w:t>排放标准》（GB12348-2008）</w:t>
            </w:r>
          </w:p>
        </w:tc>
      </w:tr>
      <w:tr w14:paraId="32FEF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4D4BE3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8185" w:type="dxa"/>
            <w:gridSpan w:val="4"/>
            <w:tcBorders>
              <w:tl2br w:val="nil"/>
              <w:tr2bl w:val="nil"/>
            </w:tcBorders>
            <w:vAlign w:val="center"/>
          </w:tcPr>
          <w:p w14:paraId="35B80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cs="Times New Roman"/>
                <w:color w:val="auto"/>
                <w:spacing w:val="0"/>
                <w:kern w:val="2"/>
                <w:sz w:val="21"/>
                <w:szCs w:val="21"/>
                <w:highlight w:val="none"/>
                <w:lang w:val="en-US" w:eastAsia="zh-CN" w:bidi="ar-SA"/>
              </w:rPr>
            </w:pPr>
            <w:r>
              <w:rPr>
                <w:rFonts w:hint="eastAsia" w:cs="Times New Roman"/>
                <w:color w:val="auto"/>
                <w:kern w:val="2"/>
                <w:sz w:val="21"/>
                <w:szCs w:val="21"/>
                <w:highlight w:val="none"/>
                <w:lang w:val="en-US" w:eastAsia="zh-CN" w:bidi="ar-SA"/>
              </w:rPr>
              <w:t>生活垃圾：</w:t>
            </w:r>
            <w:r>
              <w:rPr>
                <w:rFonts w:hint="eastAsia" w:cs="Times New Roman"/>
                <w:color w:val="auto"/>
                <w:spacing w:val="0"/>
                <w:kern w:val="2"/>
                <w:sz w:val="21"/>
                <w:szCs w:val="21"/>
                <w:highlight w:val="none"/>
                <w:lang w:val="en-US" w:eastAsia="zh-CN" w:bidi="ar-SA"/>
              </w:rPr>
              <w:t>厂内设置垃圾桶，定期送至当地环卫部门指定地点。</w:t>
            </w:r>
          </w:p>
          <w:p w14:paraId="08671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一般工业固体废物：</w:t>
            </w:r>
            <w:r>
              <w:rPr>
                <w:rFonts w:hint="eastAsia" w:cs="Times New Roman"/>
                <w:color w:val="auto"/>
                <w:kern w:val="2"/>
                <w:sz w:val="21"/>
                <w:szCs w:val="21"/>
                <w:highlight w:val="none"/>
                <w:lang w:val="en-US" w:eastAsia="zh-CN" w:bidi="ar-SA"/>
              </w:rPr>
              <w:t>定期对</w:t>
            </w:r>
            <w:r>
              <w:rPr>
                <w:rFonts w:hint="eastAsia" w:ascii="Times New Roman" w:hAnsi="Times New Roman" w:eastAsia="宋体" w:cs="Times New Roman"/>
                <w:color w:val="auto"/>
                <w:kern w:val="2"/>
                <w:sz w:val="21"/>
                <w:szCs w:val="21"/>
                <w:highlight w:val="none"/>
                <w:lang w:val="en-US" w:eastAsia="zh-CN" w:bidi="ar-SA"/>
              </w:rPr>
              <w:t>除尘器</w:t>
            </w:r>
            <w:r>
              <w:rPr>
                <w:rFonts w:hint="eastAsia" w:cs="Times New Roman"/>
                <w:color w:val="auto"/>
                <w:kern w:val="2"/>
                <w:sz w:val="21"/>
                <w:szCs w:val="21"/>
                <w:highlight w:val="none"/>
                <w:lang w:val="en-US" w:eastAsia="zh-CN" w:bidi="ar-SA"/>
              </w:rPr>
              <w:t>进行卸灰，</w:t>
            </w:r>
            <w:r>
              <w:rPr>
                <w:rFonts w:hint="eastAsia" w:cs="Times New Roman"/>
                <w:color w:val="auto"/>
                <w:spacing w:val="0"/>
                <w:kern w:val="2"/>
                <w:sz w:val="21"/>
                <w:szCs w:val="21"/>
                <w:highlight w:val="none"/>
                <w:lang w:val="en-US" w:eastAsia="zh-CN" w:bidi="ar-SA"/>
              </w:rPr>
              <w:t>卸灰时将吨袋套在卸灰口上再进行卸灰，卸灰完成后及时对包装袋进行封口，经</w:t>
            </w:r>
            <w:r>
              <w:rPr>
                <w:rFonts w:hint="eastAsia" w:ascii="Times New Roman" w:hAnsi="Times New Roman" w:eastAsia="宋体" w:cs="Times New Roman"/>
                <w:color w:val="auto"/>
                <w:kern w:val="2"/>
                <w:sz w:val="21"/>
                <w:szCs w:val="21"/>
                <w:highlight w:val="none"/>
                <w:lang w:val="en-US" w:eastAsia="zh-CN" w:bidi="ar-SA"/>
              </w:rPr>
              <w:t>收集的除尘灰</w:t>
            </w:r>
            <w:r>
              <w:rPr>
                <w:rFonts w:hint="eastAsia" w:cs="Times New Roman"/>
                <w:color w:val="auto"/>
                <w:kern w:val="2"/>
                <w:sz w:val="21"/>
                <w:szCs w:val="21"/>
                <w:highlight w:val="none"/>
                <w:lang w:val="en-US" w:eastAsia="zh-CN" w:bidi="ar-SA"/>
              </w:rPr>
              <w:t>作为产品外售；废布袋定期更换由除尘器厂家回收；废铁屑收集后外售废品收购站</w:t>
            </w:r>
            <w:r>
              <w:rPr>
                <w:rFonts w:hint="eastAsia" w:ascii="Times New Roman" w:hAnsi="Times New Roman" w:eastAsia="宋体" w:cs="Times New Roman"/>
                <w:color w:val="auto"/>
                <w:kern w:val="2"/>
                <w:sz w:val="21"/>
                <w:szCs w:val="21"/>
                <w:highlight w:val="none"/>
                <w:lang w:val="en-US" w:eastAsia="zh-CN" w:bidi="ar-SA"/>
              </w:rPr>
              <w:t>。</w:t>
            </w:r>
          </w:p>
          <w:p w14:paraId="65897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kern w:val="2"/>
                <w:sz w:val="21"/>
                <w:szCs w:val="21"/>
                <w:highlight w:val="none"/>
                <w:lang w:val="en-US" w:eastAsia="zh-CN" w:bidi="ar-SA"/>
              </w:rPr>
              <w:t>危险废物：</w:t>
            </w:r>
            <w:r>
              <w:rPr>
                <w:rFonts w:hint="eastAsia" w:cs="Times New Roman"/>
                <w:color w:val="auto"/>
                <w:spacing w:val="0"/>
                <w:sz w:val="21"/>
                <w:szCs w:val="21"/>
                <w:highlight w:val="none"/>
                <w:lang w:val="en-US" w:eastAsia="zh-CN"/>
              </w:rPr>
              <w:t>生产车间内东南侧新建1座占地面积约10m</w:t>
            </w:r>
            <w:r>
              <w:rPr>
                <w:rFonts w:hint="eastAsia" w:cs="Times New Roman"/>
                <w:color w:val="auto"/>
                <w:spacing w:val="0"/>
                <w:sz w:val="21"/>
                <w:szCs w:val="21"/>
                <w:highlight w:val="none"/>
                <w:vertAlign w:val="superscript"/>
                <w:lang w:val="en-US" w:eastAsia="zh-CN"/>
              </w:rPr>
              <w:t>2</w:t>
            </w:r>
            <w:r>
              <w:rPr>
                <w:rFonts w:hint="eastAsia" w:cs="Times New Roman"/>
                <w:color w:val="auto"/>
                <w:spacing w:val="0"/>
                <w:sz w:val="21"/>
                <w:szCs w:val="21"/>
                <w:highlight w:val="none"/>
                <w:vertAlign w:val="baseline"/>
                <w:lang w:val="en-US" w:eastAsia="zh-CN"/>
              </w:rPr>
              <w:t>危废贮存点，废矿物油、废油桶</w:t>
            </w:r>
            <w:r>
              <w:rPr>
                <w:rFonts w:hint="default" w:ascii="Times New Roman" w:hAnsi="Times New Roman" w:eastAsia="宋体" w:cs="Times New Roman"/>
                <w:color w:val="auto"/>
                <w:spacing w:val="0"/>
                <w:sz w:val="21"/>
                <w:szCs w:val="21"/>
                <w:highlight w:val="none"/>
                <w:lang w:val="en-US" w:eastAsia="zh-CN"/>
              </w:rPr>
              <w:t>暂存于</w:t>
            </w:r>
            <w:r>
              <w:rPr>
                <w:rFonts w:hint="eastAsia" w:cs="Times New Roman"/>
                <w:color w:val="auto"/>
                <w:spacing w:val="0"/>
                <w:sz w:val="21"/>
                <w:szCs w:val="21"/>
                <w:highlight w:val="none"/>
                <w:lang w:val="en-US" w:eastAsia="zh-CN"/>
              </w:rPr>
              <w:t>危废贮存点</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val="en-US" w:eastAsia="zh-CN"/>
              </w:rPr>
              <w:t>定期委托有资质单位处置</w:t>
            </w:r>
            <w:r>
              <w:rPr>
                <w:rFonts w:hint="eastAsia" w:ascii="Times New Roman" w:hAnsi="Times New Roman" w:eastAsia="宋体" w:cs="Times New Roman"/>
                <w:color w:val="auto"/>
                <w:kern w:val="2"/>
                <w:sz w:val="21"/>
                <w:szCs w:val="21"/>
                <w:highlight w:val="none"/>
                <w:lang w:val="en-US" w:eastAsia="zh-CN" w:bidi="ar-SA"/>
              </w:rPr>
              <w:t>。</w:t>
            </w:r>
          </w:p>
        </w:tc>
      </w:tr>
      <w:tr w14:paraId="1FDAA5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0010CE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8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土壤及地下水污染防治措施</w:t>
            </w:r>
          </w:p>
        </w:tc>
        <w:tc>
          <w:tcPr>
            <w:tcW w:w="8185" w:type="dxa"/>
            <w:gridSpan w:val="4"/>
            <w:tcBorders>
              <w:tl2br w:val="nil"/>
              <w:tr2bl w:val="nil"/>
            </w:tcBorders>
            <w:vAlign w:val="center"/>
          </w:tcPr>
          <w:p w14:paraId="26E95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w:t>
            </w:r>
            <w:r>
              <w:rPr>
                <w:rFonts w:hint="eastAsia" w:ascii="Times New Roman" w:hAnsi="Times New Roman" w:eastAsia="宋体" w:cs="Times New Roman"/>
                <w:color w:val="auto"/>
                <w:kern w:val="2"/>
                <w:sz w:val="21"/>
                <w:szCs w:val="21"/>
                <w:highlight w:val="none"/>
                <w:lang w:val="en-US" w:eastAsia="zh-CN" w:bidi="ar-SA"/>
              </w:rPr>
              <w:t>加强设备运行维护管理，减少跑冒滴漏事故产生；</w:t>
            </w:r>
          </w:p>
          <w:p w14:paraId="7CE647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加强污染防治措施运行管理，保证污染物达标排放；</w:t>
            </w:r>
          </w:p>
          <w:p w14:paraId="30FE2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eastAsia="宋体" w:cs="Times New Roman"/>
                <w:color w:val="auto"/>
                <w:kern w:val="2"/>
                <w:sz w:val="21"/>
                <w:szCs w:val="21"/>
                <w:highlight w:val="none"/>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加强厂区内危废贮存点等构筑物的防渗措施，</w:t>
            </w:r>
            <w:r>
              <w:rPr>
                <w:rFonts w:hint="default" w:ascii="Times New Roman" w:hAnsi="Times New Roman" w:eastAsia="宋体" w:cs="Times New Roman"/>
                <w:color w:val="auto"/>
                <w:kern w:val="2"/>
                <w:sz w:val="21"/>
                <w:szCs w:val="21"/>
                <w:highlight w:val="none"/>
                <w:lang w:val="en-US" w:eastAsia="zh-CN" w:bidi="ar-SA"/>
              </w:rPr>
              <w:t>本次评价将项目区划分为重点防渗区、一般防渗区</w:t>
            </w:r>
            <w:r>
              <w:rPr>
                <w:rFonts w:hint="eastAsia" w:ascii="Times New Roman" w:hAnsi="Times New Roman" w:eastAsia="宋体" w:cs="Times New Roman"/>
                <w:color w:val="auto"/>
                <w:kern w:val="2"/>
                <w:sz w:val="21"/>
                <w:szCs w:val="21"/>
                <w:highlight w:val="none"/>
                <w:lang w:val="en-US" w:eastAsia="zh-CN" w:bidi="ar-SA"/>
              </w:rPr>
              <w:t>和简单防渗区</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危废贮存点</w:t>
            </w:r>
            <w:r>
              <w:rPr>
                <w:rFonts w:hint="default" w:ascii="Times New Roman" w:hAnsi="Times New Roman" w:eastAsia="宋体" w:cs="Times New Roman"/>
                <w:color w:val="auto"/>
                <w:kern w:val="2"/>
                <w:sz w:val="21"/>
                <w:szCs w:val="21"/>
                <w:highlight w:val="none"/>
                <w:lang w:val="en-US" w:eastAsia="zh-CN" w:bidi="ar-SA"/>
              </w:rPr>
              <w:t>为重点防渗区，生产车间</w:t>
            </w:r>
            <w:r>
              <w:rPr>
                <w:rFonts w:hint="eastAsia" w:ascii="Times New Roman" w:hAnsi="Times New Roman" w:eastAsia="宋体" w:cs="Times New Roman"/>
                <w:color w:val="auto"/>
                <w:kern w:val="2"/>
                <w:sz w:val="21"/>
                <w:szCs w:val="21"/>
                <w:highlight w:val="none"/>
                <w:lang w:val="en-US" w:eastAsia="zh-CN" w:bidi="ar-SA"/>
              </w:rPr>
              <w:t>、洗车平台沉淀池、初期雨水收集池</w:t>
            </w:r>
            <w:r>
              <w:rPr>
                <w:rFonts w:hint="eastAsia" w:cs="Times New Roman"/>
                <w:color w:val="auto"/>
                <w:kern w:val="2"/>
                <w:sz w:val="21"/>
                <w:szCs w:val="21"/>
                <w:highlight w:val="none"/>
                <w:lang w:val="en-US" w:eastAsia="zh-CN" w:bidi="ar-SA"/>
              </w:rPr>
              <w:t>等</w:t>
            </w:r>
            <w:r>
              <w:rPr>
                <w:rFonts w:hint="default" w:ascii="Times New Roman" w:hAnsi="Times New Roman" w:eastAsia="宋体" w:cs="Times New Roman"/>
                <w:color w:val="auto"/>
                <w:kern w:val="2"/>
                <w:sz w:val="21"/>
                <w:szCs w:val="21"/>
                <w:highlight w:val="none"/>
                <w:lang w:val="en-US" w:eastAsia="zh-CN" w:bidi="ar-SA"/>
              </w:rPr>
              <w:t>为一般防渗区</w:t>
            </w:r>
            <w:r>
              <w:rPr>
                <w:rFonts w:hint="eastAsia" w:ascii="Times New Roman" w:hAnsi="Times New Roman" w:eastAsia="宋体" w:cs="Times New Roman"/>
                <w:color w:val="auto"/>
                <w:kern w:val="2"/>
                <w:sz w:val="21"/>
                <w:szCs w:val="21"/>
                <w:highlight w:val="none"/>
                <w:lang w:val="en-US" w:eastAsia="zh-CN" w:bidi="ar-SA"/>
              </w:rPr>
              <w:t>，其他为简单防渗区。</w:t>
            </w:r>
          </w:p>
        </w:tc>
      </w:tr>
      <w:tr w14:paraId="0352A7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436775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生态保护措施</w:t>
            </w:r>
          </w:p>
        </w:tc>
        <w:tc>
          <w:tcPr>
            <w:tcW w:w="8185" w:type="dxa"/>
            <w:gridSpan w:val="4"/>
            <w:tcBorders>
              <w:tl2br w:val="nil"/>
              <w:tr2bl w:val="nil"/>
            </w:tcBorders>
            <w:vAlign w:val="center"/>
          </w:tcPr>
          <w:p w14:paraId="3006A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bidi="ar-SA"/>
              </w:rPr>
              <w:t>1.</w:t>
            </w:r>
            <w:r>
              <w:rPr>
                <w:rFonts w:hint="default" w:ascii="Times New Roman" w:hAnsi="Times New Roman" w:eastAsia="宋体" w:cs="Times New Roman"/>
                <w:color w:val="auto"/>
                <w:kern w:val="2"/>
                <w:sz w:val="21"/>
                <w:szCs w:val="21"/>
                <w:highlight w:val="none"/>
                <w:lang w:val="en-US" w:eastAsia="zh-CN" w:bidi="ar-SA"/>
              </w:rPr>
              <w:t>加强污染防治措施运行管理，保证污染物达标排放；</w:t>
            </w:r>
          </w:p>
          <w:p w14:paraId="4B85D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eastAsia="zh-CN"/>
              </w:rPr>
            </w:pPr>
            <w:r>
              <w:rPr>
                <w:rFonts w:hint="eastAsia" w:eastAsia="宋体" w:cs="Times New Roman"/>
                <w:color w:val="auto"/>
                <w:kern w:val="2"/>
                <w:sz w:val="21"/>
                <w:szCs w:val="21"/>
                <w:highlight w:val="none"/>
                <w:lang w:val="en-US" w:eastAsia="zh-CN" w:bidi="ar-SA"/>
              </w:rPr>
              <w:t>2.</w:t>
            </w:r>
            <w:r>
              <w:rPr>
                <w:rFonts w:hint="default" w:ascii="Times New Roman" w:hAnsi="Times New Roman" w:eastAsia="宋体" w:cs="Times New Roman"/>
                <w:color w:val="auto"/>
                <w:kern w:val="2"/>
                <w:sz w:val="21"/>
                <w:szCs w:val="21"/>
                <w:highlight w:val="none"/>
                <w:lang w:val="en-US" w:eastAsia="zh-CN" w:bidi="ar-SA"/>
              </w:rPr>
              <w:t>加强厂区硬化、绿化措施</w:t>
            </w:r>
            <w:r>
              <w:rPr>
                <w:rFonts w:hint="eastAsia" w:eastAsia="宋体" w:cs="Times New Roman"/>
                <w:color w:val="auto"/>
                <w:kern w:val="2"/>
                <w:sz w:val="21"/>
                <w:szCs w:val="21"/>
                <w:highlight w:val="none"/>
                <w:lang w:val="en-US" w:eastAsia="zh-CN" w:bidi="ar-SA"/>
              </w:rPr>
              <w:t>。</w:t>
            </w:r>
          </w:p>
        </w:tc>
      </w:tr>
      <w:tr w14:paraId="403676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40B1A0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19FA60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8185" w:type="dxa"/>
            <w:gridSpan w:val="4"/>
            <w:tcBorders>
              <w:tl2br w:val="nil"/>
              <w:tr2bl w:val="nil"/>
            </w:tcBorders>
            <w:vAlign w:val="center"/>
          </w:tcPr>
          <w:p w14:paraId="4CF6C7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r>
              <w:rPr>
                <w:rFonts w:hint="default" w:ascii="Times New Roman" w:hAnsi="Times New Roman" w:eastAsia="宋体" w:cs="Times New Roman"/>
                <w:color w:val="auto"/>
                <w:szCs w:val="21"/>
                <w:highlight w:val="none"/>
                <w:lang w:val="en-US" w:eastAsia="zh-CN"/>
              </w:rPr>
              <w:t>应安排专人管理，进行定期巡检，及时发现安全隐患，并采取相应的安全措施；</w:t>
            </w:r>
          </w:p>
          <w:p w14:paraId="6939C1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r>
              <w:rPr>
                <w:rFonts w:hint="default" w:ascii="Times New Roman" w:hAnsi="Times New Roman" w:eastAsia="宋体" w:cs="Times New Roman"/>
                <w:color w:val="auto"/>
                <w:szCs w:val="21"/>
                <w:highlight w:val="none"/>
                <w:lang w:val="en-US" w:eastAsia="zh-CN"/>
              </w:rPr>
              <w:t>在全厂内设置移动灭火器，用于防范初起火灾，对职工进行安全和消防教育，提高火灾防范意识；</w:t>
            </w:r>
          </w:p>
          <w:p w14:paraId="3F819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r>
              <w:rPr>
                <w:rFonts w:hint="default" w:ascii="Times New Roman" w:hAnsi="Times New Roman" w:eastAsia="宋体" w:cs="Times New Roman"/>
                <w:color w:val="auto"/>
                <w:szCs w:val="21"/>
                <w:highlight w:val="none"/>
                <w:lang w:val="en-US" w:eastAsia="zh-CN"/>
              </w:rPr>
              <w:t>完善事故发生时的应急措施；</w:t>
            </w:r>
          </w:p>
          <w:p w14:paraId="2F11A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cs="Times New Roman"/>
                <w:color w:val="auto"/>
                <w:szCs w:val="21"/>
                <w:highlight w:val="none"/>
              </w:rPr>
            </w:pPr>
            <w:r>
              <w:rPr>
                <w:rFonts w:hint="eastAsia" w:cs="Times New Roman"/>
                <w:color w:val="auto"/>
                <w:szCs w:val="21"/>
                <w:highlight w:val="none"/>
                <w:lang w:val="en-US" w:eastAsia="zh-CN"/>
              </w:rPr>
              <w:t>4.</w:t>
            </w:r>
            <w:r>
              <w:rPr>
                <w:rFonts w:hint="default" w:ascii="Times New Roman" w:hAnsi="Times New Roman" w:eastAsia="宋体" w:cs="Times New Roman"/>
                <w:color w:val="auto"/>
                <w:szCs w:val="21"/>
                <w:highlight w:val="none"/>
                <w:lang w:val="en-US" w:eastAsia="zh-CN"/>
              </w:rPr>
              <w:t>制定严格有效的环境风险应急预案。</w:t>
            </w:r>
          </w:p>
        </w:tc>
      </w:tr>
      <w:tr w14:paraId="22B0E6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9" w:type="dxa"/>
            <w:tcBorders>
              <w:tl2br w:val="nil"/>
              <w:tr2bl w:val="nil"/>
            </w:tcBorders>
            <w:vAlign w:val="center"/>
          </w:tcPr>
          <w:p w14:paraId="4360E3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419EE7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right="0"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8185" w:type="dxa"/>
            <w:gridSpan w:val="4"/>
            <w:tcBorders>
              <w:tl2br w:val="nil"/>
              <w:tr2bl w:val="nil"/>
            </w:tcBorders>
            <w:vAlign w:val="center"/>
          </w:tcPr>
          <w:p w14:paraId="16CEB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r>
              <w:rPr>
                <w:rFonts w:hint="default" w:ascii="Times New Roman" w:hAnsi="Times New Roman" w:eastAsia="宋体" w:cs="Times New Roman"/>
                <w:color w:val="auto"/>
                <w:szCs w:val="21"/>
                <w:highlight w:val="none"/>
                <w:lang w:val="en-US" w:eastAsia="zh-CN"/>
              </w:rPr>
              <w:t>环境管理计划</w:t>
            </w:r>
          </w:p>
          <w:p w14:paraId="7E19C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本工程环境管理工作计划见表5-1。</w:t>
            </w:r>
          </w:p>
          <w:p w14:paraId="61D6F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表5-1</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环境管理工作计划表</w:t>
            </w:r>
          </w:p>
          <w:tbl>
            <w:tblPr>
              <w:tblStyle w:val="27"/>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6951"/>
            </w:tblGrid>
            <w:tr w14:paraId="49FE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33" w:type="pct"/>
                  <w:tcBorders>
                    <w:tl2br w:val="nil"/>
                    <w:tr2bl w:val="nil"/>
                  </w:tcBorders>
                  <w:noWrap w:val="0"/>
                  <w:vAlign w:val="center"/>
                </w:tcPr>
                <w:p w14:paraId="345A8FB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阶段</w:t>
                  </w:r>
                </w:p>
              </w:tc>
              <w:tc>
                <w:tcPr>
                  <w:tcW w:w="4366" w:type="pct"/>
                  <w:tcBorders>
                    <w:tl2br w:val="nil"/>
                    <w:tr2bl w:val="nil"/>
                  </w:tcBorders>
                  <w:noWrap w:val="0"/>
                  <w:vAlign w:val="center"/>
                </w:tcPr>
                <w:p w14:paraId="42B8CA0E">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环境管理工作主要内容</w:t>
                  </w:r>
                </w:p>
              </w:tc>
            </w:tr>
            <w:tr w14:paraId="22D0D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33" w:type="pct"/>
                  <w:tcBorders>
                    <w:tl2br w:val="nil"/>
                    <w:tr2bl w:val="nil"/>
                  </w:tcBorders>
                  <w:noWrap w:val="0"/>
                  <w:vAlign w:val="center"/>
                </w:tcPr>
                <w:p w14:paraId="55A5C19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环境管理机构的职能</w:t>
                  </w:r>
                </w:p>
              </w:tc>
              <w:tc>
                <w:tcPr>
                  <w:tcW w:w="4366" w:type="pct"/>
                  <w:tcBorders>
                    <w:tl2br w:val="nil"/>
                    <w:tr2bl w:val="nil"/>
                  </w:tcBorders>
                  <w:noWrap w:val="0"/>
                  <w:vAlign w:val="center"/>
                </w:tcPr>
                <w:p w14:paraId="72B2A136">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根据国家建设目环境管理规定，认真落实各项环保手续，完成各级环保主管部门对企业提出的环境要求，对企业内部各项管理计划的执行及完成情况进行监督，确保环境管理工作真正发挥作用</w:t>
                  </w:r>
                </w:p>
              </w:tc>
            </w:tr>
            <w:tr w14:paraId="7E07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33" w:type="pct"/>
                  <w:tcBorders>
                    <w:tl2br w:val="nil"/>
                    <w:tr2bl w:val="nil"/>
                  </w:tcBorders>
                  <w:noWrap w:val="0"/>
                  <w:vAlign w:val="center"/>
                </w:tcPr>
                <w:p w14:paraId="64404D71">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建设期</w:t>
                  </w:r>
                </w:p>
              </w:tc>
              <w:tc>
                <w:tcPr>
                  <w:tcW w:w="4366" w:type="pct"/>
                  <w:tcBorders>
                    <w:tl2br w:val="nil"/>
                    <w:tr2bl w:val="nil"/>
                  </w:tcBorders>
                  <w:noWrap w:val="0"/>
                  <w:vAlign w:val="center"/>
                </w:tcPr>
                <w:p w14:paraId="1FBA4B57">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合理选址，减少用地</w:t>
                  </w:r>
                </w:p>
                <w:p w14:paraId="67E63A4C">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施工便道定期洒水</w:t>
                  </w:r>
                </w:p>
                <w:p w14:paraId="2CF8AA0D">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3</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临时用地恢复绿化</w:t>
                  </w:r>
                </w:p>
                <w:p w14:paraId="58C6100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rPr>
                    <w:t>4</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路基防护与加固</w:t>
                  </w:r>
                </w:p>
                <w:p w14:paraId="6271BE3F">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5</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夜间严禁进行打桩等噪声大的施工作业</w:t>
                  </w:r>
                </w:p>
                <w:p w14:paraId="7099A142">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6</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施工营地加强环境管理</w:t>
                  </w:r>
                </w:p>
              </w:tc>
            </w:tr>
            <w:tr w14:paraId="76A7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33" w:type="pct"/>
                  <w:tcBorders>
                    <w:tl2br w:val="nil"/>
                    <w:tr2bl w:val="nil"/>
                  </w:tcBorders>
                  <w:noWrap w:val="0"/>
                  <w:vAlign w:val="center"/>
                </w:tcPr>
                <w:p w14:paraId="15911954">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调试期</w:t>
                  </w:r>
                </w:p>
              </w:tc>
              <w:tc>
                <w:tcPr>
                  <w:tcW w:w="4366" w:type="pct"/>
                  <w:tcBorders>
                    <w:tl2br w:val="nil"/>
                    <w:tr2bl w:val="nil"/>
                  </w:tcBorders>
                  <w:noWrap w:val="0"/>
                  <w:vAlign w:val="center"/>
                </w:tcPr>
                <w:p w14:paraId="729DF2E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申领排污许可证</w:t>
                  </w:r>
                </w:p>
                <w:p w14:paraId="27AB1B40">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对噪声防治效果进行检测</w:t>
                  </w:r>
                </w:p>
                <w:p w14:paraId="02364BA0">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3</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对各设施不定期进行检查</w:t>
                  </w:r>
                </w:p>
                <w:p w14:paraId="763B628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4</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记录各项环保设施的试运行状况，针对出现问题提出完善意见</w:t>
                  </w:r>
                </w:p>
                <w:p w14:paraId="3BBA030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5</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总结试运行期的生产经验，健全前期制定各项管理制度</w:t>
                  </w:r>
                </w:p>
                <w:p w14:paraId="6A166999">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6</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生产装置生产三个月内，进行环保设施的竣工验收</w:t>
                  </w:r>
                </w:p>
              </w:tc>
            </w:tr>
            <w:tr w14:paraId="0443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633" w:type="pct"/>
                  <w:tcBorders>
                    <w:tl2br w:val="nil"/>
                    <w:tr2bl w:val="nil"/>
                  </w:tcBorders>
                  <w:noWrap w:val="0"/>
                  <w:vAlign w:val="center"/>
                </w:tcPr>
                <w:p w14:paraId="712B1521">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生产运行期</w:t>
                  </w:r>
                </w:p>
              </w:tc>
              <w:tc>
                <w:tcPr>
                  <w:tcW w:w="4366" w:type="pct"/>
                  <w:tcBorders>
                    <w:tl2br w:val="nil"/>
                    <w:tr2bl w:val="nil"/>
                  </w:tcBorders>
                  <w:noWrap w:val="0"/>
                  <w:vAlign w:val="center"/>
                </w:tcPr>
                <w:p w14:paraId="727A1BD2">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严格执行各项生产及环境管理制度，保证生产的正常进行</w:t>
                  </w:r>
                </w:p>
                <w:p w14:paraId="21E14606">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设立环保设施运行卡，对环保设施定期进行检查维护，做到勤查、勤记、勤养护</w:t>
                  </w:r>
                </w:p>
                <w:p w14:paraId="6CDA0863">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3</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按照监测计划组织厂内的污染源监测，对不达标装置立即寻找原因，及时处理</w:t>
                  </w:r>
                </w:p>
                <w:p w14:paraId="3274ED9E">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4</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不断加强技术培训，组织企业技术交流，提高操作水平，保持操作工人队伍稳定</w:t>
                  </w:r>
                </w:p>
                <w:p w14:paraId="63733301">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5</w:t>
                  </w:r>
                  <w:r>
                    <w:rPr>
                      <w:rFonts w:hint="eastAsia" w:ascii="Times New Roman" w:hAnsi="Times New Roman" w:cs="Times New Roman"/>
                      <w:b w:val="0"/>
                      <w:bCs w:val="0"/>
                      <w:color w:val="auto"/>
                      <w:sz w:val="21"/>
                      <w:szCs w:val="21"/>
                      <w:lang w:val="en-US" w:eastAsia="zh-CN"/>
                    </w:rPr>
                    <w:t>.</w:t>
                  </w:r>
                  <w:r>
                    <w:rPr>
                      <w:rFonts w:hint="default" w:ascii="Times New Roman" w:hAnsi="Times New Roman" w:cs="Times New Roman"/>
                      <w:b w:val="0"/>
                      <w:bCs w:val="0"/>
                      <w:color w:val="auto"/>
                      <w:sz w:val="21"/>
                      <w:szCs w:val="21"/>
                    </w:rPr>
                    <w:t>建立环境管理台账制度，应真实记录基本信息、产污设施运行管理信息、污染防治设施运行管理信息、监测记录信息及其他环境管理信息等；按照电子台账和纸质台账两种记录形式同步管理</w:t>
                  </w:r>
                </w:p>
              </w:tc>
            </w:tr>
          </w:tbl>
          <w:p w14:paraId="21A272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bookmarkStart w:id="25" w:name="_Toc15842"/>
            <w:r>
              <w:rPr>
                <w:rFonts w:hint="default" w:ascii="Times New Roman" w:hAnsi="Times New Roman" w:eastAsia="宋体" w:cs="Times New Roman"/>
                <w:color w:val="auto"/>
                <w:szCs w:val="21"/>
                <w:highlight w:val="none"/>
                <w:lang w:val="en-US" w:eastAsia="zh-CN"/>
              </w:rPr>
              <w:t>2</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排污口规范化设置</w:t>
            </w:r>
            <w:bookmarkEnd w:id="25"/>
          </w:p>
          <w:p w14:paraId="7CE05B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项目需要按照要求设立排污口。本项目排污口均为一般排放口，依照生产线编号以及生产工艺顺序进行编号。废气、废水排放口应进行规范化设计，具备采样、监测条件，排放口附近树立环保图形标志牌。排污口应符合“一明显、二合理、三便于”的要求，即环保标志明显，排污口设置合理，排污去向合理，便于采集样品，便于监测计量，便于公众监督管理。</w:t>
            </w:r>
          </w:p>
          <w:p w14:paraId="00269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按照国家环境保护总局制定的《（环境保护图形标志）实施细则（试行）》（环监[1996]463号）的规定，在各排污口树立响应的环境保护图形标志牌，具体要求见表5-2。</w:t>
            </w:r>
          </w:p>
          <w:p w14:paraId="17494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bCs/>
                <w:color w:val="auto"/>
                <w:sz w:val="21"/>
                <w:szCs w:val="21"/>
              </w:rPr>
            </w:pPr>
            <w:r>
              <w:rPr>
                <w:rFonts w:hint="eastAsia"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rPr>
              <w:t>5-2</w:t>
            </w:r>
            <w:r>
              <w:rPr>
                <w:rFonts w:hint="eastAsia" w:ascii="Times New Roman" w:hAnsi="Times New Roman" w:eastAsia="宋体" w:cs="Times New Roman"/>
                <w:b/>
                <w:bCs/>
                <w:color w:val="auto"/>
                <w:sz w:val="21"/>
                <w:szCs w:val="21"/>
                <w:lang w:val="en-US" w:eastAsia="zh-CN"/>
              </w:rPr>
              <w:t xml:space="preserve">  </w:t>
            </w:r>
            <w:r>
              <w:rPr>
                <w:rFonts w:hint="eastAsia" w:ascii="Times New Roman" w:hAnsi="Times New Roman" w:eastAsia="宋体" w:cs="Times New Roman"/>
                <w:b/>
                <w:bCs/>
                <w:color w:val="auto"/>
                <w:sz w:val="21"/>
                <w:szCs w:val="21"/>
              </w:rPr>
              <w:t>环境保护图形标志</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2458"/>
              <w:gridCol w:w="1689"/>
              <w:gridCol w:w="2189"/>
            </w:tblGrid>
            <w:tr w14:paraId="738E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017" w:type="pct"/>
                  <w:tcBorders>
                    <w:tl2br w:val="nil"/>
                    <w:tr2bl w:val="nil"/>
                  </w:tcBorders>
                  <w:noWrap w:val="0"/>
                  <w:vAlign w:val="center"/>
                </w:tcPr>
                <w:p w14:paraId="1873CF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"http://www.biaozhi.net/enews/UploadFiles/smallImg/783.gif"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drawing>
                      <wp:inline distT="0" distB="0" distL="114300" distR="114300">
                        <wp:extent cx="914400" cy="914400"/>
                        <wp:effectExtent l="0" t="0" r="0" b="0"/>
                        <wp:docPr id="190" name="图片 9"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9" descr="点击看大图及详细资料"/>
                                <pic:cNvPicPr>
                                  <a:picLocks noChangeAspect="1"/>
                                </pic:cNvPicPr>
                              </pic:nvPicPr>
                              <pic:blipFill>
                                <a:blip r:embed="rId38"/>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HYPERLINK "http://www.biaozhi.net/eNews/news/200602/0029_0000000905.shtml" \t "_blank"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"http://www.biaozhi.net/enews/UploadFiles/smallImg/781.gif"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p>
              </w:tc>
              <w:tc>
                <w:tcPr>
                  <w:tcW w:w="1544" w:type="pct"/>
                  <w:tcBorders>
                    <w:tl2br w:val="nil"/>
                    <w:tr2bl w:val="nil"/>
                  </w:tcBorders>
                  <w:noWrap w:val="0"/>
                  <w:vAlign w:val="center"/>
                </w:tcPr>
                <w:p w14:paraId="3FAC72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简介：废气排放口</w:t>
                  </w:r>
                </w:p>
                <w:p w14:paraId="36947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rPr>
                    <w:t>提示图形符号</w:t>
                  </w:r>
                </w:p>
                <w:p w14:paraId="21634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rPr>
                    <w:t>废气排放口</w:t>
                  </w:r>
                </w:p>
                <w:p w14:paraId="07EB7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表示废气向大气环境排放</w:t>
                  </w:r>
                </w:p>
              </w:tc>
              <w:tc>
                <w:tcPr>
                  <w:tcW w:w="1061" w:type="pct"/>
                  <w:tcBorders>
                    <w:tl2br w:val="nil"/>
                    <w:tr2bl w:val="nil"/>
                  </w:tcBorders>
                  <w:noWrap w:val="0"/>
                  <w:vAlign w:val="center"/>
                </w:tcPr>
                <w:p w14:paraId="29F1D1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HYPERLINK "http://www.biaozhi.net/eNews/news/200602/0029_0000000909.shtml" \t "_blank"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"http://www.biaozhi.net/enews/UploadFiles/smallImg/785.gif"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drawing>
                      <wp:inline distT="0" distB="0" distL="114300" distR="114300">
                        <wp:extent cx="914400" cy="914400"/>
                        <wp:effectExtent l="0" t="0" r="0" b="0"/>
                        <wp:docPr id="192" name="图片 10"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0" descr="点击看大图及详细资料"/>
                                <pic:cNvPicPr>
                                  <a:picLocks noChangeAspect="1"/>
                                </pic:cNvPicPr>
                              </pic:nvPicPr>
                              <pic:blipFill>
                                <a:blip r:embed="rId39"/>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r>
                    <w:rPr>
                      <w:rFonts w:hint="default" w:ascii="Times New Roman" w:hAnsi="Times New Roman" w:cs="Times New Roman"/>
                      <w:b w:val="0"/>
                      <w:bCs w:val="0"/>
                      <w:color w:val="auto"/>
                      <w:sz w:val="21"/>
                      <w:szCs w:val="21"/>
                    </w:rPr>
                    <w:fldChar w:fldCharType="end"/>
                  </w:r>
                </w:p>
              </w:tc>
              <w:tc>
                <w:tcPr>
                  <w:tcW w:w="1375" w:type="pct"/>
                  <w:tcBorders>
                    <w:tl2br w:val="nil"/>
                    <w:tr2bl w:val="nil"/>
                  </w:tcBorders>
                  <w:noWrap w:val="0"/>
                  <w:vAlign w:val="center"/>
                </w:tcPr>
                <w:p w14:paraId="5854CD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简介：噪声排放源</w:t>
                  </w:r>
                </w:p>
                <w:p w14:paraId="4DF56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rPr>
                    <w:t>提示图形符号</w:t>
                  </w:r>
                </w:p>
                <w:p w14:paraId="75C36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Times New Roman" w:hAnsi="Times New Roman" w:eastAsia="宋体" w:cs="Times New Roman"/>
                      <w:b w:val="0"/>
                      <w:bCs w:val="0"/>
                      <w:color w:val="auto"/>
                      <w:sz w:val="21"/>
                      <w:szCs w:val="21"/>
                      <w:lang w:eastAsia="zh-CN"/>
                    </w:rPr>
                  </w:pPr>
                  <w:r>
                    <w:rPr>
                      <w:rFonts w:hint="default" w:ascii="Times New Roman" w:hAnsi="Times New Roman" w:cs="Times New Roman"/>
                      <w:b w:val="0"/>
                      <w:bCs w:val="0"/>
                      <w:color w:val="auto"/>
                      <w:sz w:val="21"/>
                      <w:szCs w:val="21"/>
                    </w:rPr>
                    <w:t>噪声排放源</w:t>
                  </w:r>
                </w:p>
                <w:p w14:paraId="796553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表示噪声向外环境排放</w:t>
                  </w:r>
                </w:p>
              </w:tc>
            </w:tr>
            <w:tr w14:paraId="6F21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017" w:type="pct"/>
                  <w:tcBorders>
                    <w:tl2br w:val="nil"/>
                    <w:tr2bl w:val="nil"/>
                  </w:tcBorders>
                  <w:noWrap w:val="0"/>
                  <w:vAlign w:val="center"/>
                </w:tcPr>
                <w:p w14:paraId="7229C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fldChar w:fldCharType="begin"/>
                  </w:r>
                  <w:r>
                    <w:rPr>
                      <w:rFonts w:hint="default" w:ascii="Times New Roman" w:hAnsi="Times New Roman" w:cs="Times New Roman"/>
                      <w:b w:val="0"/>
                      <w:bCs w:val="0"/>
                      <w:color w:val="auto"/>
                      <w:sz w:val="21"/>
                      <w:szCs w:val="21"/>
                    </w:rPr>
                    <w:instrText xml:space="preserve"> INCLUDEPICTURE  "H:\\环评报告\\Administrator\\AppData\\Roaming\\Tencent\\Users\\1049960459\\TIM\\WinTemp\\RichOle\\%255b2OM$Q~9VA%25603U0OK~8X)9(6.png" \* MERGEFORMATINET </w:instrText>
                  </w:r>
                  <w:r>
                    <w:rPr>
                      <w:rFonts w:hint="default" w:ascii="Times New Roman" w:hAnsi="Times New Roman" w:cs="Times New Roman"/>
                      <w:b w:val="0"/>
                      <w:bCs w:val="0"/>
                      <w:color w:val="auto"/>
                      <w:sz w:val="21"/>
                      <w:szCs w:val="21"/>
                    </w:rPr>
                    <w:fldChar w:fldCharType="separate"/>
                  </w:r>
                  <w:r>
                    <w:rPr>
                      <w:rFonts w:hint="default" w:ascii="Times New Roman" w:hAnsi="Times New Roman" w:cs="Times New Roman"/>
                      <w:b w:val="0"/>
                      <w:bCs w:val="0"/>
                      <w:color w:val="auto"/>
                      <w:sz w:val="21"/>
                      <w:szCs w:val="21"/>
                    </w:rPr>
                    <w:drawing>
                      <wp:inline distT="0" distB="0" distL="114300" distR="114300">
                        <wp:extent cx="914400" cy="914400"/>
                        <wp:effectExtent l="0" t="0" r="0" b="0"/>
                        <wp:docPr id="191" name="图片 11" descr="[2OM$Q~9VA`3U0OK~8X)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1" descr="[2OM$Q~9VA`3U0OK~8X)9(6"/>
                                <pic:cNvPicPr>
                                  <a:picLocks noChangeAspect="1"/>
                                </pic:cNvPicPr>
                              </pic:nvPicPr>
                              <pic:blipFill>
                                <a:blip r:embed="rId40"/>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 w:val="21"/>
                      <w:szCs w:val="21"/>
                    </w:rPr>
                    <w:fldChar w:fldCharType="end"/>
                  </w:r>
                </w:p>
              </w:tc>
              <w:tc>
                <w:tcPr>
                  <w:tcW w:w="1544" w:type="pct"/>
                  <w:tcBorders>
                    <w:tl2br w:val="nil"/>
                    <w:tr2bl w:val="nil"/>
                  </w:tcBorders>
                  <w:noWrap w:val="0"/>
                  <w:vAlign w:val="center"/>
                </w:tcPr>
                <w:p w14:paraId="7B2BF7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简介：一般固体废弃物</w:t>
                  </w:r>
                </w:p>
                <w:p w14:paraId="1A585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提示图形符号</w:t>
                  </w:r>
                </w:p>
                <w:p w14:paraId="3DB66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表示一般固体废弃物贮存、处置场</w:t>
                  </w:r>
                </w:p>
              </w:tc>
              <w:tc>
                <w:tcPr>
                  <w:tcW w:w="1061" w:type="pct"/>
                  <w:tcBorders>
                    <w:tl2br w:val="nil"/>
                    <w:tr2bl w:val="nil"/>
                  </w:tcBorders>
                  <w:noWrap w:val="0"/>
                  <w:vAlign w:val="center"/>
                </w:tcPr>
                <w:p w14:paraId="3EEF5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color w:val="auto"/>
                      <w:sz w:val="21"/>
                      <w:szCs w:val="21"/>
                    </w:rPr>
                    <w:drawing>
                      <wp:inline distT="0" distB="0" distL="114300" distR="114300">
                        <wp:extent cx="914400" cy="914400"/>
                        <wp:effectExtent l="0" t="0" r="0" b="0"/>
                        <wp:docPr id="188" name="图片 8" descr="W020230515591222963411"/>
                        <wp:cNvGraphicFramePr/>
                        <a:graphic xmlns:a="http://schemas.openxmlformats.org/drawingml/2006/main">
                          <a:graphicData uri="http://schemas.openxmlformats.org/drawingml/2006/picture">
                            <pic:pic xmlns:pic="http://schemas.openxmlformats.org/drawingml/2006/picture">
                              <pic:nvPicPr>
                                <pic:cNvPr id="188" name="图片 8" descr="W020230515591222963411"/>
                                <pic:cNvPicPr/>
                              </pic:nvPicPr>
                              <pic:blipFill>
                                <a:blip r:embed="rId41"/>
                                <a:srcRect b="46810"/>
                                <a:stretch>
                                  <a:fillRect/>
                                </a:stretch>
                              </pic:blipFill>
                              <pic:spPr>
                                <a:xfrm>
                                  <a:off x="0" y="0"/>
                                  <a:ext cx="914400" cy="914400"/>
                                </a:xfrm>
                                <a:prstGeom prst="rect">
                                  <a:avLst/>
                                </a:prstGeom>
                                <a:noFill/>
                                <a:ln>
                                  <a:noFill/>
                                </a:ln>
                              </pic:spPr>
                            </pic:pic>
                          </a:graphicData>
                        </a:graphic>
                      </wp:inline>
                    </w:drawing>
                  </w:r>
                </w:p>
              </w:tc>
              <w:tc>
                <w:tcPr>
                  <w:tcW w:w="1375" w:type="pct"/>
                  <w:tcBorders>
                    <w:tl2br w:val="nil"/>
                    <w:tr2bl w:val="nil"/>
                  </w:tcBorders>
                  <w:noWrap w:val="0"/>
                  <w:vAlign w:val="center"/>
                </w:tcPr>
                <w:p w14:paraId="1BBBA4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简介：危险废物</w:t>
                  </w:r>
                </w:p>
                <w:p w14:paraId="23C89A42">
                  <w:pPr>
                    <w:pStyle w:val="3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警告图形</w:t>
                  </w:r>
                </w:p>
                <w:p w14:paraId="2540A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Times New Roman" w:hAnsi="Times New Roman" w:cs="Times New Roman"/>
                      <w:b w:val="0"/>
                      <w:bCs w:val="0"/>
                      <w:color w:val="auto"/>
                      <w:sz w:val="21"/>
                      <w:szCs w:val="21"/>
                    </w:rPr>
                  </w:pPr>
                  <w:r>
                    <w:rPr>
                      <w:rFonts w:hint="default" w:ascii="Times New Roman" w:hAnsi="Times New Roman" w:cs="Times New Roman"/>
                      <w:color w:val="auto"/>
                      <w:sz w:val="21"/>
                      <w:szCs w:val="21"/>
                    </w:rPr>
                    <w:t>表示危险废物贮存、处置场</w:t>
                  </w:r>
                </w:p>
              </w:tc>
            </w:tr>
          </w:tbl>
          <w:p w14:paraId="180F0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r>
              <w:rPr>
                <w:rFonts w:hint="eastAsia" w:ascii="Times New Roman" w:hAnsi="Times New Roman" w:eastAsia="宋体" w:cs="Times New Roman"/>
                <w:color w:val="auto"/>
                <w:szCs w:val="21"/>
                <w:highlight w:val="none"/>
                <w:lang w:val="en-US" w:eastAsia="zh-CN"/>
              </w:rPr>
              <w:t>.</w:t>
            </w:r>
            <w:r>
              <w:rPr>
                <w:rFonts w:hint="default" w:ascii="Times New Roman" w:hAnsi="Times New Roman" w:eastAsia="宋体" w:cs="Times New Roman"/>
                <w:color w:val="auto"/>
                <w:szCs w:val="21"/>
                <w:highlight w:val="none"/>
                <w:lang w:val="en-US" w:eastAsia="zh-CN"/>
              </w:rPr>
              <w:t>管理监测信息公开</w:t>
            </w:r>
          </w:p>
          <w:p w14:paraId="77317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根据《企业环境信息依法披露管理办法》，企业应当按照准则编制年度环境信息依法披露报告和临时环境信息依法披露报告，并上传至企业环境信息依法披露系统，主要公开内容如下：</w:t>
            </w:r>
          </w:p>
          <w:p w14:paraId="5DAD17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（一）企业基本信息，包括企业生产和生态环境保护等方面的基础信息；</w:t>
            </w:r>
          </w:p>
          <w:p w14:paraId="7F63BF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（二）企业环境管理信息，包括生态环境行政许可、环境保护税、环境污染责任保险、环保信用评价等方面的信息；</w:t>
            </w:r>
          </w:p>
          <w:p w14:paraId="185C0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（三）污染物产生、治理与排放信息，包括污染防治设施，污染物排放，有毒有害物质排放，工业固体废物和危险废物产生、贮存、流向、利用、处置，自行监测等方面的信息；</w:t>
            </w:r>
          </w:p>
          <w:p w14:paraId="182023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（四）碳排放信息，包括排放量、排放设施等方面的信息；</w:t>
            </w:r>
          </w:p>
          <w:p w14:paraId="126C7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（五）生态环境应急信息，包括突发环境事件应急预案、重污染天气应急响应等方面的信息；</w:t>
            </w:r>
          </w:p>
          <w:p w14:paraId="1909E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（六）生态环境违法信息；</w:t>
            </w:r>
          </w:p>
          <w:p w14:paraId="51331D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（七）本年度临时环境信息依法披露情况；</w:t>
            </w:r>
          </w:p>
          <w:p w14:paraId="2801B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（八）法律法规规定的其他环境信息</w:t>
            </w:r>
            <w:r>
              <w:rPr>
                <w:rFonts w:hint="default" w:ascii="Times New Roman" w:hAnsi="Times New Roman" w:eastAsia="宋体" w:cs="Times New Roman"/>
                <w:color w:val="auto"/>
                <w:szCs w:val="21"/>
                <w:highlight w:val="none"/>
                <w:lang w:val="en-US" w:eastAsia="zh-CN"/>
              </w:rPr>
              <w:t>。</w:t>
            </w:r>
          </w:p>
          <w:p w14:paraId="69B73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textAlignment w:val="auto"/>
              <w:outlineLvl w:val="9"/>
              <w:rPr>
                <w:rFonts w:hint="eastAsia" w:ascii="Times New Roman" w:hAnsi="Times New Roman" w:eastAsia="宋体" w:cs="Times New Roman"/>
                <w:color w:val="auto"/>
                <w:szCs w:val="21"/>
                <w:highlight w:val="none"/>
                <w:lang w:val="en-US" w:eastAsia="zh-CN"/>
              </w:rPr>
            </w:pPr>
          </w:p>
          <w:p w14:paraId="22950B5F">
            <w:pPr>
              <w:pStyle w:val="17"/>
              <w:keepNext w:val="0"/>
              <w:keepLines w:val="0"/>
              <w:suppressLineNumbers w:val="0"/>
              <w:spacing w:before="0" w:beforeAutospacing="0" w:after="0" w:afterAutospacing="0"/>
              <w:ind w:left="0" w:right="0"/>
              <w:rPr>
                <w:rFonts w:hint="default"/>
                <w:color w:val="auto"/>
                <w:lang w:val="en-US" w:eastAsia="zh-CN"/>
              </w:rPr>
            </w:pPr>
          </w:p>
        </w:tc>
      </w:tr>
    </w:tbl>
    <w:p w14:paraId="13BA294A">
      <w:pPr>
        <w:pStyle w:val="22"/>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26" w:name="_Toc4819"/>
      <w:r>
        <w:rPr>
          <w:rFonts w:hint="default" w:ascii="Times New Roman" w:hAnsi="Times New Roman" w:eastAsia="黑体" w:cs="Times New Roman"/>
          <w:snapToGrid w:val="0"/>
          <w:color w:val="auto"/>
          <w:sz w:val="30"/>
          <w:szCs w:val="30"/>
          <w:highlight w:val="none"/>
        </w:rPr>
        <w:t>六、结论</w:t>
      </w:r>
      <w:bookmarkEnd w:id="26"/>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55"/>
      </w:tblGrid>
      <w:tr w14:paraId="4836E6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118" w:hRule="atLeast"/>
          <w:jc w:val="center"/>
        </w:trPr>
        <w:tc>
          <w:tcPr>
            <w:tcW w:w="9255" w:type="dxa"/>
            <w:tcBorders>
              <w:tl2br w:val="nil"/>
              <w:tr2bl w:val="nil"/>
            </w:tcBorders>
            <w:vAlign w:val="center"/>
          </w:tcPr>
          <w:p w14:paraId="77CD5B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b w:val="0"/>
                <w:bCs/>
                <w:color w:val="auto"/>
                <w:sz w:val="24"/>
                <w:szCs w:val="24"/>
                <w:highlight w:val="none"/>
                <w:lang w:val="en-US" w:eastAsia="zh-CN"/>
              </w:rPr>
              <w:t>从环境保护角度</w:t>
            </w:r>
            <w:r>
              <w:rPr>
                <w:rFonts w:hint="eastAsia" w:ascii="Times New Roman" w:hAnsi="Times New Roman" w:eastAsia="宋体" w:cs="Times New Roman"/>
                <w:b w:val="0"/>
                <w:bCs/>
                <w:color w:val="auto"/>
                <w:sz w:val="24"/>
                <w:szCs w:val="24"/>
                <w:highlight w:val="none"/>
                <w:lang w:val="en-US" w:eastAsia="zh-CN"/>
              </w:rPr>
              <w:t>分析</w:t>
            </w: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本</w:t>
            </w:r>
            <w:r>
              <w:rPr>
                <w:rFonts w:hint="default" w:ascii="Times New Roman" w:hAnsi="Times New Roman" w:eastAsia="宋体" w:cs="Times New Roman"/>
                <w:b w:val="0"/>
                <w:bCs/>
                <w:color w:val="auto"/>
                <w:sz w:val="24"/>
                <w:szCs w:val="24"/>
                <w:highlight w:val="none"/>
                <w:lang w:val="en-US" w:eastAsia="zh-CN"/>
              </w:rPr>
              <w:t>项目的建设是可行的。</w:t>
            </w:r>
          </w:p>
        </w:tc>
      </w:tr>
    </w:tbl>
    <w:p w14:paraId="27D599FC">
      <w:pPr>
        <w:rPr>
          <w:rFonts w:hint="default" w:ascii="Times New Roman" w:hAnsi="Times New Roman" w:cs="Times New Roman"/>
          <w:color w:val="auto"/>
          <w:highlight w:val="none"/>
        </w:rPr>
      </w:pPr>
    </w:p>
    <w:p w14:paraId="1D525568">
      <w:pPr>
        <w:rPr>
          <w:rFonts w:hint="default" w:ascii="Times New Roman" w:hAnsi="Times New Roman" w:cs="Times New Roman"/>
          <w:color w:val="auto"/>
          <w:highlight w:val="none"/>
        </w:rPr>
        <w:sectPr>
          <w:headerReference r:id="rId16"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p w14:paraId="530BD4FE">
      <w:pPr>
        <w:pStyle w:val="22"/>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auto"/>
        <w:textAlignment w:val="auto"/>
        <w:outlineLvl w:val="0"/>
        <w:rPr>
          <w:rFonts w:hint="default" w:ascii="Times New Roman" w:hAnsi="Times New Roman" w:eastAsia="黑体" w:cs="Times New Roman"/>
          <w:snapToGrid w:val="0"/>
          <w:color w:val="auto"/>
          <w:sz w:val="32"/>
          <w:szCs w:val="32"/>
          <w:highlight w:val="none"/>
        </w:rPr>
      </w:pPr>
      <w:bookmarkStart w:id="27" w:name="_Toc28200"/>
      <w:r>
        <w:rPr>
          <w:rFonts w:hint="default" w:ascii="Times New Roman" w:hAnsi="Times New Roman" w:eastAsia="黑体" w:cs="Times New Roman"/>
          <w:snapToGrid w:val="0"/>
          <w:color w:val="auto"/>
          <w:sz w:val="32"/>
          <w:szCs w:val="32"/>
          <w:highlight w:val="none"/>
        </w:rPr>
        <w:t>附表</w:t>
      </w:r>
      <w:bookmarkEnd w:id="27"/>
    </w:p>
    <w:p w14:paraId="17712056">
      <w:pPr>
        <w:pStyle w:val="22"/>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outlineLvl w:val="0"/>
        <w:rPr>
          <w:rFonts w:hint="eastAsia" w:ascii="方正小标宋_GBK" w:hAnsi="方正小标宋_GBK" w:eastAsia="方正小标宋_GBK" w:cs="方正小标宋_GBK"/>
          <w:b w:val="0"/>
          <w:bCs w:val="0"/>
          <w:snapToGrid w:val="0"/>
          <w:color w:val="auto"/>
          <w:sz w:val="38"/>
          <w:szCs w:val="38"/>
          <w:highlight w:val="none"/>
        </w:rPr>
      </w:pPr>
      <w:bookmarkStart w:id="28" w:name="_Toc14665"/>
      <w:r>
        <w:rPr>
          <w:rFonts w:hint="eastAsia" w:ascii="黑体" w:hAnsi="黑体" w:eastAsia="黑体" w:cs="黑体"/>
          <w:b/>
          <w:bCs/>
          <w:snapToGrid w:val="0"/>
          <w:color w:val="auto"/>
          <w:sz w:val="38"/>
          <w:szCs w:val="38"/>
          <w:highlight w:val="none"/>
        </w:rPr>
        <w:t>建设项目污染物排放量汇总表</w:t>
      </w:r>
      <w:bookmarkEnd w:id="28"/>
    </w:p>
    <w:tbl>
      <w:tblPr>
        <w:tblStyle w:val="27"/>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11"/>
        <w:gridCol w:w="1665"/>
        <w:gridCol w:w="1275"/>
        <w:gridCol w:w="1680"/>
        <w:gridCol w:w="1530"/>
        <w:gridCol w:w="1785"/>
        <w:gridCol w:w="1625"/>
        <w:gridCol w:w="1329"/>
      </w:tblGrid>
      <w:tr w14:paraId="7033CA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14:paraId="028B9B1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right"/>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项目</w:t>
            </w:r>
          </w:p>
          <w:p w14:paraId="32B1CA0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both"/>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分类</w:t>
            </w:r>
          </w:p>
        </w:tc>
        <w:tc>
          <w:tcPr>
            <w:tcW w:w="1311" w:type="dxa"/>
            <w:tcMar>
              <w:left w:w="28" w:type="dxa"/>
              <w:right w:w="28" w:type="dxa"/>
            </w:tcMar>
            <w:vAlign w:val="center"/>
          </w:tcPr>
          <w:p w14:paraId="2A936CA3">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污染物名称</w:t>
            </w:r>
          </w:p>
        </w:tc>
        <w:tc>
          <w:tcPr>
            <w:tcW w:w="1665" w:type="dxa"/>
            <w:tcMar>
              <w:left w:w="28" w:type="dxa"/>
              <w:right w:w="28" w:type="dxa"/>
            </w:tcMar>
            <w:vAlign w:val="center"/>
          </w:tcPr>
          <w:p w14:paraId="66FBD3F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现有工程</w:t>
            </w:r>
          </w:p>
          <w:p w14:paraId="6FB505E5">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排放量（固体废物产生量）</w:t>
            </w:r>
            <w:r>
              <w:rPr>
                <w:rFonts w:hint="default" w:ascii="Times New Roman" w:hAnsi="Times New Roman" w:eastAsia="黑体" w:cs="Times New Roman"/>
                <w:b w:val="0"/>
                <w:bCs w:val="0"/>
                <w:snapToGrid w:val="0"/>
                <w:color w:val="auto"/>
                <w:spacing w:val="-6"/>
                <w:kern w:val="21"/>
                <w:szCs w:val="21"/>
                <w:highlight w:val="none"/>
              </w:rPr>
              <w:fldChar w:fldCharType="begin"/>
            </w:r>
            <w:r>
              <w:rPr>
                <w:rFonts w:hint="default" w:ascii="Times New Roman" w:hAnsi="Times New Roman" w:eastAsia="黑体" w:cs="Times New Roman"/>
                <w:b w:val="0"/>
                <w:bCs w:val="0"/>
                <w:snapToGrid w:val="0"/>
                <w:color w:val="auto"/>
                <w:spacing w:val="-6"/>
                <w:kern w:val="21"/>
                <w:szCs w:val="21"/>
                <w:highlight w:val="none"/>
              </w:rPr>
              <w:instrText xml:space="preserve"> = 1 \* GB3 \* MERGEFORMAT </w:instrText>
            </w:r>
            <w:r>
              <w:rPr>
                <w:rFonts w:hint="default" w:ascii="Times New Roman" w:hAnsi="Times New Roman" w:eastAsia="黑体" w:cs="Times New Roman"/>
                <w:b w:val="0"/>
                <w:bCs w:val="0"/>
                <w:snapToGrid w:val="0"/>
                <w:color w:val="auto"/>
                <w:spacing w:val="-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①</w:t>
            </w:r>
            <w:r>
              <w:rPr>
                <w:rFonts w:hint="default" w:ascii="Times New Roman" w:hAnsi="Times New Roman" w:eastAsia="黑体" w:cs="Times New Roman"/>
                <w:b w:val="0"/>
                <w:bCs w:val="0"/>
                <w:snapToGrid w:val="0"/>
                <w:color w:val="auto"/>
                <w:spacing w:val="-6"/>
                <w:kern w:val="21"/>
                <w:szCs w:val="21"/>
                <w:highlight w:val="none"/>
              </w:rPr>
              <w:fldChar w:fldCharType="end"/>
            </w:r>
          </w:p>
        </w:tc>
        <w:tc>
          <w:tcPr>
            <w:tcW w:w="1275" w:type="dxa"/>
            <w:tcMar>
              <w:left w:w="28" w:type="dxa"/>
              <w:right w:w="28" w:type="dxa"/>
            </w:tcMar>
            <w:vAlign w:val="center"/>
          </w:tcPr>
          <w:p w14:paraId="25079F55">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现有工程</w:t>
            </w:r>
          </w:p>
          <w:p w14:paraId="37633A5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许可排放量</w:t>
            </w:r>
          </w:p>
          <w:p w14:paraId="2D7F8A7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fldChar w:fldCharType="begin"/>
            </w:r>
            <w:r>
              <w:rPr>
                <w:rFonts w:hint="default" w:ascii="Times New Roman" w:hAnsi="Times New Roman" w:eastAsia="黑体" w:cs="Times New Roman"/>
                <w:b w:val="0"/>
                <w:bCs w:val="0"/>
                <w:snapToGrid w:val="0"/>
                <w:color w:val="auto"/>
                <w:spacing w:val="-6"/>
                <w:kern w:val="21"/>
                <w:szCs w:val="21"/>
                <w:highlight w:val="none"/>
              </w:rPr>
              <w:instrText xml:space="preserve"> = 2 \* GB3 \* MERGEFORMAT </w:instrText>
            </w:r>
            <w:r>
              <w:rPr>
                <w:rFonts w:hint="default" w:ascii="Times New Roman" w:hAnsi="Times New Roman" w:eastAsia="黑体" w:cs="Times New Roman"/>
                <w:b w:val="0"/>
                <w:bCs w:val="0"/>
                <w:snapToGrid w:val="0"/>
                <w:color w:val="auto"/>
                <w:spacing w:val="-6"/>
                <w:kern w:val="21"/>
                <w:szCs w:val="21"/>
                <w:highlight w:val="none"/>
              </w:rPr>
              <w:fldChar w:fldCharType="separate"/>
            </w:r>
            <w:r>
              <w:rPr>
                <w:rFonts w:hint="default" w:ascii="Times New Roman" w:hAnsi="Times New Roman" w:eastAsia="黑体" w:cs="Times New Roman"/>
                <w:b w:val="0"/>
                <w:bCs w:val="0"/>
                <w:snapToGrid w:val="0"/>
                <w:color w:val="auto"/>
                <w:spacing w:val="-6"/>
                <w:kern w:val="21"/>
                <w:szCs w:val="21"/>
                <w:highlight w:val="none"/>
              </w:rPr>
              <w:t>②</w:t>
            </w:r>
            <w:r>
              <w:rPr>
                <w:rFonts w:hint="default" w:ascii="Times New Roman" w:hAnsi="Times New Roman" w:eastAsia="黑体" w:cs="Times New Roman"/>
                <w:b w:val="0"/>
                <w:bCs w:val="0"/>
                <w:snapToGrid w:val="0"/>
                <w:color w:val="auto"/>
                <w:spacing w:val="-6"/>
                <w:kern w:val="21"/>
                <w:szCs w:val="21"/>
                <w:highlight w:val="none"/>
              </w:rPr>
              <w:fldChar w:fldCharType="end"/>
            </w:r>
          </w:p>
        </w:tc>
        <w:tc>
          <w:tcPr>
            <w:tcW w:w="1680" w:type="dxa"/>
            <w:tcMar>
              <w:left w:w="28" w:type="dxa"/>
              <w:right w:w="28" w:type="dxa"/>
            </w:tcMar>
            <w:vAlign w:val="center"/>
          </w:tcPr>
          <w:p w14:paraId="291A0BF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在建工程</w:t>
            </w:r>
          </w:p>
          <w:p w14:paraId="2BC0CB7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排放量（固体废物产生量）</w:t>
            </w:r>
            <w:r>
              <w:rPr>
                <w:rFonts w:hint="default" w:ascii="Times New Roman" w:hAnsi="Times New Roman" w:eastAsia="黑体" w:cs="Times New Roman"/>
                <w:b w:val="0"/>
                <w:bCs w:val="0"/>
                <w:snapToGrid w:val="0"/>
                <w:color w:val="auto"/>
                <w:spacing w:val="-6"/>
                <w:kern w:val="21"/>
                <w:szCs w:val="21"/>
                <w:highlight w:val="none"/>
              </w:rPr>
              <w:fldChar w:fldCharType="begin"/>
            </w:r>
            <w:r>
              <w:rPr>
                <w:rFonts w:hint="default" w:ascii="Times New Roman" w:hAnsi="Times New Roman" w:eastAsia="黑体" w:cs="Times New Roman"/>
                <w:b w:val="0"/>
                <w:bCs w:val="0"/>
                <w:snapToGrid w:val="0"/>
                <w:color w:val="auto"/>
                <w:spacing w:val="-6"/>
                <w:kern w:val="21"/>
                <w:szCs w:val="21"/>
                <w:highlight w:val="none"/>
              </w:rPr>
              <w:instrText xml:space="preserve"> = 3 \* GB3 \* MERGEFORMAT </w:instrText>
            </w:r>
            <w:r>
              <w:rPr>
                <w:rFonts w:hint="default" w:ascii="Times New Roman" w:hAnsi="Times New Roman" w:eastAsia="黑体" w:cs="Times New Roman"/>
                <w:b w:val="0"/>
                <w:bCs w:val="0"/>
                <w:snapToGrid w:val="0"/>
                <w:color w:val="auto"/>
                <w:spacing w:val="-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③</w:t>
            </w:r>
            <w:r>
              <w:rPr>
                <w:rFonts w:hint="default" w:ascii="Times New Roman" w:hAnsi="Times New Roman" w:eastAsia="黑体" w:cs="Times New Roman"/>
                <w:b w:val="0"/>
                <w:bCs w:val="0"/>
                <w:snapToGrid w:val="0"/>
                <w:color w:val="auto"/>
                <w:spacing w:val="-6"/>
                <w:kern w:val="21"/>
                <w:szCs w:val="21"/>
                <w:highlight w:val="none"/>
              </w:rPr>
              <w:fldChar w:fldCharType="end"/>
            </w:r>
          </w:p>
        </w:tc>
        <w:tc>
          <w:tcPr>
            <w:tcW w:w="1530" w:type="dxa"/>
            <w:tcMar>
              <w:left w:w="28" w:type="dxa"/>
              <w:right w:w="28" w:type="dxa"/>
            </w:tcMar>
            <w:vAlign w:val="center"/>
          </w:tcPr>
          <w:p w14:paraId="7DFF9657">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本项目</w:t>
            </w:r>
          </w:p>
          <w:p w14:paraId="1DA5193D">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排放量（固体废物产生量）</w:t>
            </w:r>
            <w:r>
              <w:rPr>
                <w:rFonts w:hint="default" w:ascii="Times New Roman" w:hAnsi="Times New Roman" w:eastAsia="黑体" w:cs="Times New Roman"/>
                <w:b w:val="0"/>
                <w:bCs w:val="0"/>
                <w:snapToGrid w:val="0"/>
                <w:color w:val="auto"/>
                <w:spacing w:val="-6"/>
                <w:kern w:val="21"/>
                <w:szCs w:val="21"/>
                <w:highlight w:val="none"/>
              </w:rPr>
              <w:fldChar w:fldCharType="begin"/>
            </w:r>
            <w:r>
              <w:rPr>
                <w:rFonts w:hint="default" w:ascii="Times New Roman" w:hAnsi="Times New Roman" w:eastAsia="黑体" w:cs="Times New Roman"/>
                <w:b w:val="0"/>
                <w:bCs w:val="0"/>
                <w:snapToGrid w:val="0"/>
                <w:color w:val="auto"/>
                <w:spacing w:val="-6"/>
                <w:kern w:val="21"/>
                <w:szCs w:val="21"/>
                <w:highlight w:val="none"/>
              </w:rPr>
              <w:instrText xml:space="preserve"> = 4 \* GB3 \* MERGEFORMAT </w:instrText>
            </w:r>
            <w:r>
              <w:rPr>
                <w:rFonts w:hint="default" w:ascii="Times New Roman" w:hAnsi="Times New Roman" w:eastAsia="黑体" w:cs="Times New Roman"/>
                <w:b w:val="0"/>
                <w:bCs w:val="0"/>
                <w:snapToGrid w:val="0"/>
                <w:color w:val="auto"/>
                <w:spacing w:val="-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④</w:t>
            </w:r>
            <w:r>
              <w:rPr>
                <w:rFonts w:hint="default" w:ascii="Times New Roman" w:hAnsi="Times New Roman" w:eastAsia="黑体" w:cs="Times New Roman"/>
                <w:b w:val="0"/>
                <w:bCs w:val="0"/>
                <w:snapToGrid w:val="0"/>
                <w:color w:val="auto"/>
                <w:spacing w:val="-6"/>
                <w:kern w:val="21"/>
                <w:szCs w:val="21"/>
                <w:highlight w:val="none"/>
              </w:rPr>
              <w:fldChar w:fldCharType="end"/>
            </w:r>
          </w:p>
        </w:tc>
        <w:tc>
          <w:tcPr>
            <w:tcW w:w="1785" w:type="dxa"/>
            <w:tcMar>
              <w:left w:w="28" w:type="dxa"/>
              <w:right w:w="28" w:type="dxa"/>
            </w:tcMar>
            <w:vAlign w:val="center"/>
          </w:tcPr>
          <w:p w14:paraId="71AEC7C5">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16"/>
                <w:kern w:val="21"/>
                <w:szCs w:val="21"/>
                <w:highlight w:val="none"/>
              </w:rPr>
            </w:pPr>
            <w:r>
              <w:rPr>
                <w:rFonts w:hint="default" w:ascii="Times New Roman" w:hAnsi="Times New Roman" w:eastAsia="黑体" w:cs="Times New Roman"/>
                <w:b w:val="0"/>
                <w:bCs w:val="0"/>
                <w:snapToGrid w:val="0"/>
                <w:color w:val="auto"/>
                <w:spacing w:val="-16"/>
                <w:kern w:val="21"/>
                <w:szCs w:val="21"/>
                <w:highlight w:val="none"/>
              </w:rPr>
              <w:t>以新带老削减量</w:t>
            </w:r>
          </w:p>
          <w:p w14:paraId="7F4751E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16"/>
                <w:kern w:val="21"/>
                <w:szCs w:val="21"/>
                <w:highlight w:val="none"/>
              </w:rPr>
            </w:pPr>
            <w:r>
              <w:rPr>
                <w:rFonts w:hint="default" w:ascii="Times New Roman" w:hAnsi="Times New Roman" w:eastAsia="黑体" w:cs="Times New Roman"/>
                <w:b w:val="0"/>
                <w:bCs w:val="0"/>
                <w:snapToGrid w:val="0"/>
                <w:color w:val="auto"/>
                <w:spacing w:val="-16"/>
                <w:kern w:val="21"/>
                <w:szCs w:val="21"/>
                <w:highlight w:val="none"/>
              </w:rPr>
              <w:t>（新建项目不填）</w:t>
            </w:r>
            <w:r>
              <w:rPr>
                <w:rFonts w:hint="default" w:ascii="Times New Roman" w:hAnsi="Times New Roman" w:eastAsia="黑体" w:cs="Times New Roman"/>
                <w:b w:val="0"/>
                <w:bCs w:val="0"/>
                <w:snapToGrid w:val="0"/>
                <w:color w:val="auto"/>
                <w:spacing w:val="-16"/>
                <w:kern w:val="21"/>
                <w:szCs w:val="21"/>
                <w:highlight w:val="none"/>
              </w:rPr>
              <w:fldChar w:fldCharType="begin"/>
            </w:r>
            <w:r>
              <w:rPr>
                <w:rFonts w:hint="default" w:ascii="Times New Roman" w:hAnsi="Times New Roman" w:eastAsia="黑体" w:cs="Times New Roman"/>
                <w:b w:val="0"/>
                <w:bCs w:val="0"/>
                <w:snapToGrid w:val="0"/>
                <w:color w:val="auto"/>
                <w:spacing w:val="-16"/>
                <w:kern w:val="21"/>
                <w:szCs w:val="21"/>
                <w:highlight w:val="none"/>
              </w:rPr>
              <w:instrText xml:space="preserve"> = 5 \* GB3 \* MERGEFORMAT </w:instrText>
            </w:r>
            <w:r>
              <w:rPr>
                <w:rFonts w:hint="default" w:ascii="Times New Roman" w:hAnsi="Times New Roman" w:eastAsia="黑体" w:cs="Times New Roman"/>
                <w:b w:val="0"/>
                <w:bCs w:val="0"/>
                <w:snapToGrid w:val="0"/>
                <w:color w:val="auto"/>
                <w:spacing w:val="-1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⑤</w:t>
            </w:r>
            <w:r>
              <w:rPr>
                <w:rFonts w:hint="default" w:ascii="Times New Roman" w:hAnsi="Times New Roman" w:eastAsia="黑体" w:cs="Times New Roman"/>
                <w:b w:val="0"/>
                <w:bCs w:val="0"/>
                <w:snapToGrid w:val="0"/>
                <w:color w:val="auto"/>
                <w:spacing w:val="-16"/>
                <w:kern w:val="21"/>
                <w:szCs w:val="21"/>
                <w:highlight w:val="none"/>
              </w:rPr>
              <w:fldChar w:fldCharType="end"/>
            </w:r>
          </w:p>
        </w:tc>
        <w:tc>
          <w:tcPr>
            <w:tcW w:w="1625" w:type="dxa"/>
            <w:tcMar>
              <w:left w:w="28" w:type="dxa"/>
              <w:right w:w="28" w:type="dxa"/>
            </w:tcMar>
            <w:vAlign w:val="center"/>
          </w:tcPr>
          <w:p w14:paraId="360ED337">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16"/>
                <w:kern w:val="21"/>
                <w:szCs w:val="21"/>
                <w:highlight w:val="none"/>
              </w:rPr>
            </w:pPr>
            <w:r>
              <w:rPr>
                <w:rFonts w:hint="default" w:ascii="Times New Roman" w:hAnsi="Times New Roman" w:eastAsia="黑体" w:cs="Times New Roman"/>
                <w:b w:val="0"/>
                <w:bCs w:val="0"/>
                <w:snapToGrid w:val="0"/>
                <w:color w:val="auto"/>
                <w:spacing w:val="-16"/>
                <w:kern w:val="21"/>
                <w:szCs w:val="21"/>
                <w:highlight w:val="none"/>
              </w:rPr>
              <w:t>本项目建成后</w:t>
            </w:r>
          </w:p>
          <w:p w14:paraId="37950AE1">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16"/>
                <w:kern w:val="21"/>
                <w:szCs w:val="21"/>
                <w:highlight w:val="none"/>
              </w:rPr>
            </w:pPr>
            <w:r>
              <w:rPr>
                <w:rFonts w:hint="default" w:ascii="Times New Roman" w:hAnsi="Times New Roman" w:eastAsia="黑体" w:cs="Times New Roman"/>
                <w:b w:val="0"/>
                <w:bCs w:val="0"/>
                <w:snapToGrid w:val="0"/>
                <w:color w:val="auto"/>
                <w:spacing w:val="-16"/>
                <w:kern w:val="21"/>
                <w:szCs w:val="21"/>
                <w:highlight w:val="none"/>
              </w:rPr>
              <w:t>全厂排放量（固体废物产生量）</w:t>
            </w:r>
            <w:r>
              <w:rPr>
                <w:rFonts w:hint="default" w:ascii="Times New Roman" w:hAnsi="Times New Roman" w:eastAsia="黑体" w:cs="Times New Roman"/>
                <w:b w:val="0"/>
                <w:bCs w:val="0"/>
                <w:snapToGrid w:val="0"/>
                <w:color w:val="auto"/>
                <w:spacing w:val="-16"/>
                <w:kern w:val="21"/>
                <w:szCs w:val="21"/>
                <w:highlight w:val="none"/>
              </w:rPr>
              <w:fldChar w:fldCharType="begin"/>
            </w:r>
            <w:r>
              <w:rPr>
                <w:rFonts w:hint="default" w:ascii="Times New Roman" w:hAnsi="Times New Roman" w:eastAsia="黑体" w:cs="Times New Roman"/>
                <w:b w:val="0"/>
                <w:bCs w:val="0"/>
                <w:snapToGrid w:val="0"/>
                <w:color w:val="auto"/>
                <w:spacing w:val="-16"/>
                <w:kern w:val="21"/>
                <w:szCs w:val="21"/>
                <w:highlight w:val="none"/>
              </w:rPr>
              <w:instrText xml:space="preserve"> = 6 \* GB3 \* MERGEFORMAT </w:instrText>
            </w:r>
            <w:r>
              <w:rPr>
                <w:rFonts w:hint="default" w:ascii="Times New Roman" w:hAnsi="Times New Roman" w:eastAsia="黑体" w:cs="Times New Roman"/>
                <w:b w:val="0"/>
                <w:bCs w:val="0"/>
                <w:snapToGrid w:val="0"/>
                <w:color w:val="auto"/>
                <w:spacing w:val="-1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⑥</w:t>
            </w:r>
            <w:r>
              <w:rPr>
                <w:rFonts w:hint="default" w:ascii="Times New Roman" w:hAnsi="Times New Roman" w:eastAsia="黑体" w:cs="Times New Roman"/>
                <w:b w:val="0"/>
                <w:bCs w:val="0"/>
                <w:snapToGrid w:val="0"/>
                <w:color w:val="auto"/>
                <w:spacing w:val="-16"/>
                <w:kern w:val="21"/>
                <w:szCs w:val="21"/>
                <w:highlight w:val="none"/>
              </w:rPr>
              <w:fldChar w:fldCharType="end"/>
            </w:r>
          </w:p>
        </w:tc>
        <w:tc>
          <w:tcPr>
            <w:tcW w:w="1329" w:type="dxa"/>
            <w:tcMar>
              <w:left w:w="28" w:type="dxa"/>
              <w:right w:w="28" w:type="dxa"/>
            </w:tcMar>
            <w:vAlign w:val="center"/>
          </w:tcPr>
          <w:p w14:paraId="053E773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t>变化量</w:t>
            </w:r>
          </w:p>
          <w:p w14:paraId="379AD5D0">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黑体" w:cs="Times New Roman"/>
                <w:b w:val="0"/>
                <w:bCs w:val="0"/>
                <w:snapToGrid w:val="0"/>
                <w:color w:val="auto"/>
                <w:spacing w:val="-6"/>
                <w:kern w:val="21"/>
                <w:szCs w:val="21"/>
                <w:highlight w:val="none"/>
              </w:rPr>
            </w:pPr>
            <w:r>
              <w:rPr>
                <w:rFonts w:hint="default" w:ascii="Times New Roman" w:hAnsi="Times New Roman" w:eastAsia="黑体" w:cs="Times New Roman"/>
                <w:b w:val="0"/>
                <w:bCs w:val="0"/>
                <w:snapToGrid w:val="0"/>
                <w:color w:val="auto"/>
                <w:spacing w:val="-6"/>
                <w:kern w:val="21"/>
                <w:szCs w:val="21"/>
                <w:highlight w:val="none"/>
              </w:rPr>
              <w:fldChar w:fldCharType="begin"/>
            </w:r>
            <w:r>
              <w:rPr>
                <w:rFonts w:hint="default" w:ascii="Times New Roman" w:hAnsi="Times New Roman" w:eastAsia="黑体" w:cs="Times New Roman"/>
                <w:b w:val="0"/>
                <w:bCs w:val="0"/>
                <w:snapToGrid w:val="0"/>
                <w:color w:val="auto"/>
                <w:spacing w:val="-6"/>
                <w:kern w:val="21"/>
                <w:szCs w:val="21"/>
                <w:highlight w:val="none"/>
              </w:rPr>
              <w:instrText xml:space="preserve"> = 7 \* GB3 \* MERGEFORMAT </w:instrText>
            </w:r>
            <w:r>
              <w:rPr>
                <w:rFonts w:hint="default" w:ascii="Times New Roman" w:hAnsi="Times New Roman" w:eastAsia="黑体" w:cs="Times New Roman"/>
                <w:b w:val="0"/>
                <w:bCs w:val="0"/>
                <w:snapToGrid w:val="0"/>
                <w:color w:val="auto"/>
                <w:spacing w:val="-6"/>
                <w:kern w:val="21"/>
                <w:szCs w:val="21"/>
                <w:highlight w:val="none"/>
              </w:rPr>
              <w:fldChar w:fldCharType="separate"/>
            </w:r>
            <w:r>
              <w:rPr>
                <w:rFonts w:hint="default" w:ascii="Times New Roman" w:hAnsi="Times New Roman" w:eastAsia="黑体" w:cs="Times New Roman"/>
                <w:b w:val="0"/>
                <w:bCs w:val="0"/>
                <w:color w:val="auto"/>
                <w:kern w:val="2"/>
                <w:szCs w:val="21"/>
                <w:highlight w:val="none"/>
              </w:rPr>
              <w:t>⑦</w:t>
            </w:r>
            <w:r>
              <w:rPr>
                <w:rFonts w:hint="default" w:ascii="Times New Roman" w:hAnsi="Times New Roman" w:eastAsia="黑体" w:cs="Times New Roman"/>
                <w:b w:val="0"/>
                <w:bCs w:val="0"/>
                <w:snapToGrid w:val="0"/>
                <w:color w:val="auto"/>
                <w:spacing w:val="-6"/>
                <w:kern w:val="21"/>
                <w:szCs w:val="21"/>
                <w:highlight w:val="none"/>
              </w:rPr>
              <w:fldChar w:fldCharType="end"/>
            </w:r>
          </w:p>
        </w:tc>
      </w:tr>
      <w:tr w14:paraId="7C23F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14:paraId="07D6664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rPr>
              <w:t>废气</w:t>
            </w:r>
          </w:p>
        </w:tc>
        <w:tc>
          <w:tcPr>
            <w:tcW w:w="1311" w:type="dxa"/>
            <w:vAlign w:val="center"/>
          </w:tcPr>
          <w:p w14:paraId="5F1E1A75">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ascii="Times New Roman" w:cs="Times New Roman"/>
                <w:b w:val="0"/>
                <w:bCs w:val="0"/>
                <w:snapToGrid w:val="0"/>
                <w:color w:val="auto"/>
                <w:kern w:val="21"/>
                <w:szCs w:val="21"/>
                <w:highlight w:val="none"/>
                <w:lang w:val="en-US" w:eastAsia="zh-CN"/>
              </w:rPr>
              <w:t>颗粒物</w:t>
            </w:r>
          </w:p>
        </w:tc>
        <w:tc>
          <w:tcPr>
            <w:tcW w:w="1665" w:type="dxa"/>
            <w:vAlign w:val="center"/>
          </w:tcPr>
          <w:p w14:paraId="2BB7BA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3F41EB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7ECFAD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7379A1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cs="Times New Roman"/>
                <w:b w:val="0"/>
                <w:bCs w:val="0"/>
                <w:snapToGrid w:val="0"/>
                <w:color w:val="auto"/>
                <w:kern w:val="21"/>
                <w:szCs w:val="21"/>
                <w:highlight w:val="none"/>
                <w:lang w:val="en-US" w:eastAsia="zh-CN"/>
              </w:rPr>
              <w:t>1.997</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613FD9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6C7956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cs="Times New Roman"/>
                <w:b w:val="0"/>
                <w:bCs w:val="0"/>
                <w:snapToGrid w:val="0"/>
                <w:color w:val="auto"/>
                <w:kern w:val="21"/>
                <w:szCs w:val="21"/>
                <w:highlight w:val="none"/>
                <w:lang w:val="en-US" w:eastAsia="zh-CN"/>
              </w:rPr>
              <w:t>1.997</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77911B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 w:val="21"/>
                <w:szCs w:val="21"/>
                <w:highlight w:val="none"/>
                <w:lang w:val="en-US" w:eastAsia="zh-CN" w:bidi="ar-SA"/>
              </w:rPr>
              <w:t>+</w:t>
            </w:r>
            <w:r>
              <w:rPr>
                <w:rFonts w:hint="eastAsia" w:cs="Times New Roman"/>
                <w:b w:val="0"/>
                <w:bCs w:val="0"/>
                <w:snapToGrid w:val="0"/>
                <w:color w:val="auto"/>
                <w:kern w:val="21"/>
                <w:szCs w:val="21"/>
                <w:highlight w:val="none"/>
                <w:lang w:val="en-US" w:eastAsia="zh-CN"/>
              </w:rPr>
              <w:t>1.997</w:t>
            </w:r>
            <w:r>
              <w:rPr>
                <w:rFonts w:hint="default" w:ascii="Times New Roman" w:hAnsi="Times New Roman" w:eastAsia="宋体" w:cs="Times New Roman"/>
                <w:b w:val="0"/>
                <w:bCs w:val="0"/>
                <w:snapToGrid w:val="0"/>
                <w:color w:val="auto"/>
                <w:kern w:val="21"/>
                <w:szCs w:val="21"/>
                <w:highlight w:val="none"/>
                <w:lang w:val="en-US" w:eastAsia="zh-CN"/>
              </w:rPr>
              <w:t>t/a</w:t>
            </w:r>
          </w:p>
        </w:tc>
      </w:tr>
      <w:tr w14:paraId="73EC89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5E23508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rPr>
              <w:t>废水</w:t>
            </w:r>
          </w:p>
        </w:tc>
        <w:tc>
          <w:tcPr>
            <w:tcW w:w="1311" w:type="dxa"/>
            <w:vAlign w:val="center"/>
          </w:tcPr>
          <w:p w14:paraId="64CB5C2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COD</w:t>
            </w:r>
          </w:p>
        </w:tc>
        <w:tc>
          <w:tcPr>
            <w:tcW w:w="1665" w:type="dxa"/>
            <w:vAlign w:val="center"/>
          </w:tcPr>
          <w:p w14:paraId="561A51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7ED8B3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7EB0F6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1C4A8C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785" w:type="dxa"/>
            <w:vAlign w:val="center"/>
          </w:tcPr>
          <w:p w14:paraId="57C13A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2D8BA5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329" w:type="dxa"/>
            <w:vAlign w:val="center"/>
          </w:tcPr>
          <w:p w14:paraId="2F7375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r>
      <w:tr w14:paraId="5DBC3D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0FD1FE57">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p>
        </w:tc>
        <w:tc>
          <w:tcPr>
            <w:tcW w:w="1311" w:type="dxa"/>
            <w:vAlign w:val="center"/>
          </w:tcPr>
          <w:p w14:paraId="3751F5D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氨氮</w:t>
            </w:r>
          </w:p>
        </w:tc>
        <w:tc>
          <w:tcPr>
            <w:tcW w:w="1665" w:type="dxa"/>
            <w:vAlign w:val="center"/>
          </w:tcPr>
          <w:p w14:paraId="56A9EA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7CB65E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39A400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52B9FA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785" w:type="dxa"/>
            <w:vAlign w:val="center"/>
          </w:tcPr>
          <w:p w14:paraId="4D8894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077837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329" w:type="dxa"/>
            <w:vAlign w:val="center"/>
          </w:tcPr>
          <w:p w14:paraId="0EB0C9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r>
      <w:tr w14:paraId="7D89C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7B514F6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rPr>
              <w:t>一般工业</w:t>
            </w:r>
          </w:p>
          <w:p w14:paraId="0B56CECE">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rPr>
              <w:t>固体废物</w:t>
            </w:r>
          </w:p>
        </w:tc>
        <w:tc>
          <w:tcPr>
            <w:tcW w:w="1311" w:type="dxa"/>
            <w:vAlign w:val="center"/>
          </w:tcPr>
          <w:p w14:paraId="2C103633">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 w:val="21"/>
                <w:szCs w:val="21"/>
                <w:highlight w:val="none"/>
                <w:lang w:val="en-US" w:eastAsia="zh-CN" w:bidi="ar-SA"/>
              </w:rPr>
              <w:t>除尘灰</w:t>
            </w:r>
          </w:p>
        </w:tc>
        <w:tc>
          <w:tcPr>
            <w:tcW w:w="1665" w:type="dxa"/>
            <w:vAlign w:val="center"/>
          </w:tcPr>
          <w:p w14:paraId="451F23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406859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426B60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2356A7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yellow"/>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349.3</w:t>
            </w:r>
            <w:r>
              <w:rPr>
                <w:rFonts w:hint="eastAsia" w:cs="Times New Roman"/>
                <w:b w:val="0"/>
                <w:bCs w:val="0"/>
                <w:snapToGrid w:val="0"/>
                <w:color w:val="auto"/>
                <w:kern w:val="21"/>
                <w:szCs w:val="21"/>
                <w:highlight w:val="none"/>
                <w:lang w:val="en-US" w:eastAsia="zh-CN"/>
              </w:rPr>
              <w:t>4</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28E3D4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Cs w:val="21"/>
                <w:highlight w:val="none"/>
                <w:lang w:val="en-US"/>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178BF6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349.3</w:t>
            </w:r>
            <w:r>
              <w:rPr>
                <w:rFonts w:hint="eastAsia" w:cs="Times New Roman"/>
                <w:b w:val="0"/>
                <w:bCs w:val="0"/>
                <w:snapToGrid w:val="0"/>
                <w:color w:val="auto"/>
                <w:kern w:val="21"/>
                <w:szCs w:val="21"/>
                <w:highlight w:val="none"/>
                <w:lang w:val="en-US" w:eastAsia="zh-CN"/>
              </w:rPr>
              <w:t>4</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06CE95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+349.3</w:t>
            </w:r>
            <w:r>
              <w:rPr>
                <w:rFonts w:hint="eastAsia" w:cs="Times New Roman"/>
                <w:b w:val="0"/>
                <w:bCs w:val="0"/>
                <w:snapToGrid w:val="0"/>
                <w:color w:val="auto"/>
                <w:kern w:val="21"/>
                <w:szCs w:val="21"/>
                <w:highlight w:val="none"/>
                <w:lang w:val="en-US" w:eastAsia="zh-CN"/>
              </w:rPr>
              <w:t>4</w:t>
            </w:r>
            <w:r>
              <w:rPr>
                <w:rFonts w:hint="default" w:ascii="Times New Roman" w:hAnsi="Times New Roman" w:eastAsia="宋体" w:cs="Times New Roman"/>
                <w:b w:val="0"/>
                <w:bCs w:val="0"/>
                <w:snapToGrid w:val="0"/>
                <w:color w:val="auto"/>
                <w:kern w:val="21"/>
                <w:szCs w:val="21"/>
                <w:highlight w:val="none"/>
                <w:lang w:val="en-US" w:eastAsia="zh-CN"/>
              </w:rPr>
              <w:t>t/a</w:t>
            </w:r>
          </w:p>
        </w:tc>
      </w:tr>
      <w:tr w14:paraId="07C2B6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37A1D5B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p>
        </w:tc>
        <w:tc>
          <w:tcPr>
            <w:tcW w:w="1311" w:type="dxa"/>
            <w:vAlign w:val="center"/>
          </w:tcPr>
          <w:p w14:paraId="603D3CE6">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ascii="Times New Roman" w:cs="Times New Roman"/>
                <w:b w:val="0"/>
                <w:bCs w:val="0"/>
                <w:snapToGrid w:val="0"/>
                <w:color w:val="auto"/>
                <w:kern w:val="21"/>
                <w:sz w:val="21"/>
                <w:szCs w:val="21"/>
                <w:highlight w:val="none"/>
                <w:lang w:val="en-US" w:eastAsia="zh-CN" w:bidi="ar-SA"/>
              </w:rPr>
              <w:t>废布袋</w:t>
            </w:r>
          </w:p>
        </w:tc>
        <w:tc>
          <w:tcPr>
            <w:tcW w:w="1665" w:type="dxa"/>
            <w:vAlign w:val="center"/>
          </w:tcPr>
          <w:p w14:paraId="4632D4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16CBBD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53855C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590F77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0.2</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12DED5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1A2A98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0.2</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1DD96E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r>
              <w:rPr>
                <w:rFonts w:hint="eastAsia" w:cs="Times New Roman"/>
                <w:color w:val="auto"/>
                <w:sz w:val="21"/>
                <w:szCs w:val="21"/>
                <w:highlight w:val="none"/>
                <w:lang w:val="en-US" w:eastAsia="zh-CN"/>
              </w:rPr>
              <w:t>0.2</w:t>
            </w:r>
            <w:r>
              <w:rPr>
                <w:rFonts w:hint="default" w:ascii="Times New Roman" w:hAnsi="Times New Roman" w:eastAsia="宋体" w:cs="Times New Roman"/>
                <w:b w:val="0"/>
                <w:bCs w:val="0"/>
                <w:snapToGrid w:val="0"/>
                <w:color w:val="auto"/>
                <w:kern w:val="21"/>
                <w:szCs w:val="21"/>
                <w:highlight w:val="none"/>
                <w:lang w:val="en-US" w:eastAsia="zh-CN"/>
              </w:rPr>
              <w:t>t/a</w:t>
            </w:r>
          </w:p>
        </w:tc>
      </w:tr>
      <w:tr w14:paraId="5400B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6D521ED4">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p>
        </w:tc>
        <w:tc>
          <w:tcPr>
            <w:tcW w:w="1311" w:type="dxa"/>
            <w:vAlign w:val="center"/>
          </w:tcPr>
          <w:p w14:paraId="7A24626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ascii="Times New Roman" w:cs="Times New Roman"/>
                <w:b w:val="0"/>
                <w:bCs w:val="0"/>
                <w:snapToGrid w:val="0"/>
                <w:color w:val="auto"/>
                <w:kern w:val="21"/>
                <w:sz w:val="21"/>
                <w:szCs w:val="21"/>
                <w:highlight w:val="none"/>
                <w:lang w:val="en-US" w:eastAsia="zh-CN" w:bidi="ar-SA"/>
              </w:rPr>
              <w:t>废铁屑</w:t>
            </w:r>
          </w:p>
        </w:tc>
        <w:tc>
          <w:tcPr>
            <w:tcW w:w="1665" w:type="dxa"/>
            <w:vAlign w:val="center"/>
          </w:tcPr>
          <w:p w14:paraId="2ECAC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6B4550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04B8C9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296693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eastAsia" w:cs="Times New Roman"/>
                <w:b w:val="0"/>
                <w:bCs w:val="0"/>
                <w:snapToGrid w:val="0"/>
                <w:color w:val="auto"/>
                <w:kern w:val="21"/>
                <w:szCs w:val="21"/>
                <w:highlight w:val="none"/>
                <w:lang w:val="en-US" w:eastAsia="zh-CN"/>
              </w:rPr>
              <w:t>2</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3AC89A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6E1C94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eastAsia" w:cs="Times New Roman"/>
                <w:b w:val="0"/>
                <w:bCs w:val="0"/>
                <w:snapToGrid w:val="0"/>
                <w:color w:val="auto"/>
                <w:kern w:val="21"/>
                <w:szCs w:val="21"/>
                <w:highlight w:val="none"/>
                <w:lang w:val="en-US" w:eastAsia="zh-CN"/>
              </w:rPr>
              <w:t>2</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002BB9FA">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r>
              <w:rPr>
                <w:rFonts w:hint="default" w:ascii="Times New Roman" w:hAnsi="Times New Roman" w:cs="Times New Roman"/>
                <w:b w:val="0"/>
                <w:bCs w:val="0"/>
                <w:snapToGrid w:val="0"/>
                <w:color w:val="auto"/>
                <w:kern w:val="21"/>
                <w:szCs w:val="21"/>
                <w:highlight w:val="none"/>
                <w:lang w:val="en-US" w:eastAsia="zh-CN"/>
              </w:rPr>
              <w:t>2</w:t>
            </w:r>
            <w:r>
              <w:rPr>
                <w:rFonts w:hint="default" w:ascii="Times New Roman" w:hAnsi="Times New Roman" w:eastAsia="宋体" w:cs="Times New Roman"/>
                <w:b w:val="0"/>
                <w:bCs w:val="0"/>
                <w:snapToGrid w:val="0"/>
                <w:color w:val="auto"/>
                <w:kern w:val="21"/>
                <w:szCs w:val="21"/>
                <w:highlight w:val="none"/>
                <w:lang w:val="en-US" w:eastAsia="zh-CN"/>
              </w:rPr>
              <w:t>t/a</w:t>
            </w:r>
          </w:p>
        </w:tc>
      </w:tr>
      <w:tr w14:paraId="69EF3F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14051077">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rPr>
              <w:t>危险废物</w:t>
            </w:r>
          </w:p>
        </w:tc>
        <w:tc>
          <w:tcPr>
            <w:tcW w:w="1311" w:type="dxa"/>
            <w:vAlign w:val="center"/>
          </w:tcPr>
          <w:p w14:paraId="05F5F969">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废矿物油</w:t>
            </w:r>
          </w:p>
        </w:tc>
        <w:tc>
          <w:tcPr>
            <w:tcW w:w="1665" w:type="dxa"/>
            <w:vAlign w:val="center"/>
          </w:tcPr>
          <w:p w14:paraId="790B53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64CE44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608F9E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63DE11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0.</w:t>
            </w:r>
            <w:r>
              <w:rPr>
                <w:rFonts w:hint="eastAsia" w:ascii="Times New Roman" w:hAnsi="Times New Roman" w:eastAsia="宋体" w:cs="Times New Roman"/>
                <w:b w:val="0"/>
                <w:bCs w:val="0"/>
                <w:color w:val="auto"/>
                <w:kern w:val="2"/>
                <w:sz w:val="21"/>
                <w:szCs w:val="21"/>
                <w:highlight w:val="none"/>
                <w:lang w:val="en-US" w:eastAsia="zh-CN" w:bidi="ar-SA"/>
              </w:rPr>
              <w:t>1</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66334B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763074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w:t>
            </w:r>
            <w:r>
              <w:rPr>
                <w:rFonts w:hint="eastAsia" w:ascii="Times New Roman" w:hAnsi="Times New Roman" w:eastAsia="宋体" w:cs="Times New Roman"/>
                <w:b w:val="0"/>
                <w:bCs w:val="0"/>
                <w:color w:val="auto"/>
                <w:kern w:val="2"/>
                <w:sz w:val="21"/>
                <w:szCs w:val="21"/>
                <w:highlight w:val="none"/>
                <w:lang w:val="en-US" w:eastAsia="zh-CN" w:bidi="ar-SA"/>
              </w:rPr>
              <w:t>1</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01A662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r>
              <w:rPr>
                <w:rFonts w:hint="default" w:ascii="Times New Roman" w:hAnsi="Times New Roman" w:eastAsia="宋体" w:cs="Times New Roman"/>
                <w:b w:val="0"/>
                <w:bCs w:val="0"/>
                <w:color w:val="auto"/>
                <w:kern w:val="2"/>
                <w:sz w:val="21"/>
                <w:szCs w:val="21"/>
                <w:highlight w:val="none"/>
                <w:lang w:val="en-US" w:eastAsia="zh-CN" w:bidi="ar-SA"/>
              </w:rPr>
              <w:t>0.</w:t>
            </w:r>
            <w:r>
              <w:rPr>
                <w:rFonts w:hint="eastAsia" w:ascii="Times New Roman" w:hAnsi="Times New Roman" w:eastAsia="宋体" w:cs="Times New Roman"/>
                <w:b w:val="0"/>
                <w:bCs w:val="0"/>
                <w:color w:val="auto"/>
                <w:kern w:val="2"/>
                <w:sz w:val="21"/>
                <w:szCs w:val="21"/>
                <w:highlight w:val="none"/>
                <w:lang w:val="en-US" w:eastAsia="zh-CN" w:bidi="ar-SA"/>
              </w:rPr>
              <w:t>1</w:t>
            </w:r>
            <w:r>
              <w:rPr>
                <w:rFonts w:hint="default" w:ascii="Times New Roman" w:hAnsi="Times New Roman" w:eastAsia="宋体" w:cs="Times New Roman"/>
                <w:b w:val="0"/>
                <w:bCs w:val="0"/>
                <w:snapToGrid w:val="0"/>
                <w:color w:val="auto"/>
                <w:kern w:val="21"/>
                <w:szCs w:val="21"/>
                <w:highlight w:val="none"/>
                <w:lang w:val="en-US" w:eastAsia="zh-CN"/>
              </w:rPr>
              <w:t>t/a</w:t>
            </w:r>
          </w:p>
        </w:tc>
      </w:tr>
      <w:tr w14:paraId="7EF996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3916E7DC">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rPr>
            </w:pPr>
          </w:p>
        </w:tc>
        <w:tc>
          <w:tcPr>
            <w:tcW w:w="1311" w:type="dxa"/>
            <w:vAlign w:val="center"/>
          </w:tcPr>
          <w:p w14:paraId="2729B662">
            <w:pPr>
              <w:pStyle w:val="42"/>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废油桶</w:t>
            </w:r>
          </w:p>
        </w:tc>
        <w:tc>
          <w:tcPr>
            <w:tcW w:w="1665" w:type="dxa"/>
            <w:vAlign w:val="center"/>
          </w:tcPr>
          <w:p w14:paraId="6CA01B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275" w:type="dxa"/>
            <w:vAlign w:val="center"/>
          </w:tcPr>
          <w:p w14:paraId="29875D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80" w:type="dxa"/>
            <w:vAlign w:val="center"/>
          </w:tcPr>
          <w:p w14:paraId="2B4A3B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530" w:type="dxa"/>
            <w:vAlign w:val="center"/>
          </w:tcPr>
          <w:p w14:paraId="2EEC2B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color w:val="auto"/>
                <w:kern w:val="2"/>
                <w:sz w:val="21"/>
                <w:szCs w:val="21"/>
                <w:highlight w:val="none"/>
                <w:lang w:val="en-US" w:eastAsia="zh-CN" w:bidi="ar-SA"/>
              </w:rPr>
              <w:t>0.0</w:t>
            </w:r>
            <w:r>
              <w:rPr>
                <w:rFonts w:hint="eastAsia" w:cs="Times New Roman"/>
                <w:b w:val="0"/>
                <w:bCs w:val="0"/>
                <w:snapToGrid w:val="0"/>
                <w:color w:val="auto"/>
                <w:kern w:val="21"/>
                <w:szCs w:val="21"/>
                <w:highlight w:val="none"/>
                <w:lang w:val="en-US" w:eastAsia="zh-CN"/>
              </w:rPr>
              <w:t>5</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785" w:type="dxa"/>
            <w:vAlign w:val="center"/>
          </w:tcPr>
          <w:p w14:paraId="547496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Cs w:val="21"/>
                <w:highlight w:val="none"/>
                <w:lang w:val="en-US" w:eastAsia="zh-CN"/>
              </w:rPr>
            </w:pPr>
            <w:r>
              <w:rPr>
                <w:rFonts w:hint="default" w:ascii="Times New Roman" w:hAnsi="Times New Roman" w:eastAsia="宋体" w:cs="Times New Roman"/>
                <w:b w:val="0"/>
                <w:bCs w:val="0"/>
                <w:snapToGrid w:val="0"/>
                <w:color w:val="auto"/>
                <w:kern w:val="21"/>
                <w:szCs w:val="21"/>
                <w:highlight w:val="none"/>
                <w:lang w:val="en-US" w:eastAsia="zh-CN"/>
              </w:rPr>
              <w:t>//</w:t>
            </w:r>
          </w:p>
        </w:tc>
        <w:tc>
          <w:tcPr>
            <w:tcW w:w="1625" w:type="dxa"/>
            <w:vAlign w:val="center"/>
          </w:tcPr>
          <w:p w14:paraId="3148A3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color w:val="auto"/>
                <w:kern w:val="2"/>
                <w:sz w:val="21"/>
                <w:szCs w:val="21"/>
                <w:highlight w:val="none"/>
                <w:lang w:val="en-US" w:eastAsia="zh-CN" w:bidi="ar-SA"/>
              </w:rPr>
              <w:t>0.0</w:t>
            </w:r>
            <w:r>
              <w:rPr>
                <w:rFonts w:hint="eastAsia" w:cs="Times New Roman"/>
                <w:b w:val="0"/>
                <w:bCs w:val="0"/>
                <w:snapToGrid w:val="0"/>
                <w:color w:val="auto"/>
                <w:kern w:val="21"/>
                <w:szCs w:val="21"/>
                <w:highlight w:val="none"/>
                <w:lang w:val="en-US" w:eastAsia="zh-CN"/>
              </w:rPr>
              <w:t>5</w:t>
            </w:r>
            <w:r>
              <w:rPr>
                <w:rFonts w:hint="default" w:ascii="Times New Roman" w:hAnsi="Times New Roman" w:eastAsia="宋体" w:cs="Times New Roman"/>
                <w:b w:val="0"/>
                <w:bCs w:val="0"/>
                <w:snapToGrid w:val="0"/>
                <w:color w:val="auto"/>
                <w:kern w:val="21"/>
                <w:szCs w:val="21"/>
                <w:highlight w:val="none"/>
                <w:lang w:val="en-US" w:eastAsia="zh-CN"/>
              </w:rPr>
              <w:t>t/a</w:t>
            </w:r>
          </w:p>
        </w:tc>
        <w:tc>
          <w:tcPr>
            <w:tcW w:w="1329" w:type="dxa"/>
            <w:vAlign w:val="center"/>
          </w:tcPr>
          <w:p w14:paraId="0520A8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val="0"/>
                <w:snapToGrid w:val="0"/>
                <w:color w:val="auto"/>
                <w:kern w:val="21"/>
                <w:sz w:val="21"/>
                <w:szCs w:val="21"/>
                <w:highlight w:val="none"/>
                <w:lang w:val="en-US" w:eastAsia="zh-CN" w:bidi="ar-SA"/>
              </w:rPr>
            </w:pPr>
            <w:r>
              <w:rPr>
                <w:rFonts w:hint="default" w:ascii="Times New Roman" w:hAnsi="Times New Roman" w:eastAsia="宋体" w:cs="Times New Roman"/>
                <w:b w:val="0"/>
                <w:bCs w:val="0"/>
                <w:snapToGrid w:val="0"/>
                <w:color w:val="auto"/>
                <w:kern w:val="21"/>
                <w:szCs w:val="21"/>
                <w:highlight w:val="none"/>
                <w:lang w:val="en-US" w:eastAsia="zh-CN"/>
              </w:rPr>
              <w:t>+</w:t>
            </w:r>
            <w:r>
              <w:rPr>
                <w:rFonts w:hint="default" w:ascii="Times New Roman" w:hAnsi="Times New Roman" w:eastAsia="宋体" w:cs="Times New Roman"/>
                <w:b w:val="0"/>
                <w:bCs w:val="0"/>
                <w:color w:val="auto"/>
                <w:kern w:val="2"/>
                <w:sz w:val="21"/>
                <w:szCs w:val="21"/>
                <w:highlight w:val="none"/>
                <w:lang w:val="en-US" w:eastAsia="zh-CN" w:bidi="ar-SA"/>
              </w:rPr>
              <w:t>0.0</w:t>
            </w:r>
            <w:r>
              <w:rPr>
                <w:rFonts w:hint="eastAsia" w:cs="Times New Roman"/>
                <w:b w:val="0"/>
                <w:bCs w:val="0"/>
                <w:snapToGrid w:val="0"/>
                <w:color w:val="auto"/>
                <w:kern w:val="21"/>
                <w:szCs w:val="21"/>
                <w:highlight w:val="none"/>
                <w:lang w:val="en-US" w:eastAsia="zh-CN"/>
              </w:rPr>
              <w:t>5</w:t>
            </w:r>
            <w:r>
              <w:rPr>
                <w:rFonts w:hint="default" w:ascii="Times New Roman" w:hAnsi="Times New Roman" w:eastAsia="宋体" w:cs="Times New Roman"/>
                <w:b w:val="0"/>
                <w:bCs w:val="0"/>
                <w:snapToGrid w:val="0"/>
                <w:color w:val="auto"/>
                <w:kern w:val="21"/>
                <w:szCs w:val="21"/>
                <w:highlight w:val="none"/>
                <w:lang w:val="en-US" w:eastAsia="zh-CN"/>
              </w:rPr>
              <w:t>t/a</w:t>
            </w:r>
          </w:p>
        </w:tc>
      </w:tr>
    </w:tbl>
    <w:p w14:paraId="5953C9B5">
      <w:pPr>
        <w:pStyle w:val="42"/>
        <w:keepNext w:val="0"/>
        <w:keepLines w:val="0"/>
        <w:pageBreakBefore w:val="0"/>
        <w:widowControl w:val="0"/>
        <w:kinsoku/>
        <w:wordWrap/>
        <w:overflowPunct/>
        <w:topLinePunct w:val="0"/>
        <w:autoSpaceDE/>
        <w:autoSpaceDN/>
        <w:bidi w:val="0"/>
        <w:adjustRightInd w:val="0"/>
        <w:snapToGrid w:val="0"/>
        <w:spacing w:before="192" w:beforeLines="80" w:after="24" w:line="260" w:lineRule="auto"/>
        <w:ind w:firstLine="840" w:firstLineChars="400"/>
        <w:jc w:val="left"/>
        <w:textAlignment w:val="auto"/>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p>
    <w:p w14:paraId="3878798B">
      <w:pPr>
        <w:rPr>
          <w:rFonts w:hint="default"/>
          <w:color w:val="auto"/>
          <w:lang w:val="en-US" w:eastAsia="zh-CN"/>
        </w:rPr>
      </w:pP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-4789805</wp:posOffset>
                </wp:positionH>
                <wp:positionV relativeFrom="paragraph">
                  <wp:posOffset>5372735</wp:posOffset>
                </wp:positionV>
                <wp:extent cx="795655" cy="271145"/>
                <wp:effectExtent l="5080" t="4445" r="342265" b="425450"/>
                <wp:wrapNone/>
                <wp:docPr id="110" name="矩形标注 110"/>
                <wp:cNvGraphicFramePr/>
                <a:graphic xmlns:a="http://schemas.openxmlformats.org/drawingml/2006/main">
                  <a:graphicData uri="http://schemas.microsoft.com/office/word/2010/wordprocessingShape">
                    <wps:wsp>
                      <wps:cNvSpPr/>
                      <wps:spPr>
                        <a:xfrm>
                          <a:off x="0" y="0"/>
                          <a:ext cx="795655" cy="271145"/>
                        </a:xfrm>
                        <a:prstGeom prst="wedgeRectCallout">
                          <a:avLst>
                            <a:gd name="adj1" fmla="val 91819"/>
                            <a:gd name="adj2" fmla="val 204566"/>
                          </a:avLst>
                        </a:prstGeom>
                        <a:noFill/>
                        <a:ln w="63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D61ED2C">
                            <w:pPr>
                              <w:jc w:val="both"/>
                              <w:rPr>
                                <w:rFonts w:hint="default" w:eastAsia="宋体"/>
                                <w:b/>
                                <w:bCs/>
                                <w:color w:val="FF0000"/>
                                <w:highlight w:val="yellow"/>
                                <w:lang w:val="en-US" w:eastAsia="zh-CN"/>
                              </w:rPr>
                            </w:pPr>
                            <w:r>
                              <w:rPr>
                                <w:rFonts w:hint="eastAsia"/>
                                <w:b/>
                                <w:bCs/>
                                <w:color w:val="FF0000"/>
                                <w:highlight w:val="yellow"/>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77.15pt;margin-top:423.05pt;height:21.35pt;width:62.65pt;z-index:251668480;v-text-anchor:middle;mso-width-relative:page;mso-height-relative:page;" filled="f" stroked="t" coordsize="21600,21600" o:gfxdata="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ELWysNsAAAANAQAADwAAAAAAAAABACAAAAAiAAAAZHJzL2Rvd25yZXYueG1sUEsB&#10;AhQAFAAAAAgAh07iQIAdBw+dAgAAJQUAAA4AAAAAAAAAAQAgAAAAKgEAAGRycy9lMm9Eb2MueG1s&#10;UEsFBgAAAAAGAAYAWQEAADkGAAAAAA==&#10;" adj="30633,54986">
                <v:fill on="f" focussize="0,0"/>
                <v:stroke weight="0.5pt" color="#FF0000 [2404]" joinstyle="round"/>
                <v:imagedata o:title=""/>
                <o:lock v:ext="edit" aspectratio="f"/>
                <v:textbox>
                  <w:txbxContent>
                    <w:p w14:paraId="7D61ED2C">
                      <w:pPr>
                        <w:jc w:val="both"/>
                        <w:rPr>
                          <w:rFonts w:hint="default" w:eastAsia="宋体"/>
                          <w:b/>
                          <w:bCs/>
                          <w:color w:val="FF0000"/>
                          <w:highlight w:val="yellow"/>
                          <w:lang w:val="en-US" w:eastAsia="zh-CN"/>
                        </w:rPr>
                      </w:pPr>
                      <w:r>
                        <w:rPr>
                          <w:rFonts w:hint="eastAsia"/>
                          <w:b/>
                          <w:bCs/>
                          <w:color w:val="FF0000"/>
                          <w:highlight w:val="yellow"/>
                          <w:lang w:val="en-US" w:eastAsia="zh-CN"/>
                        </w:rPr>
                        <w:t>项目位置</w:t>
                      </w:r>
                    </w:p>
                  </w:txbxContent>
                </v:textbox>
              </v:shape>
            </w:pict>
          </mc:Fallback>
        </mc:AlternateContent>
      </w:r>
      <w:r>
        <w:rPr>
          <w:color w:val="auto"/>
          <w:sz w:val="24"/>
        </w:rPr>
        <mc:AlternateContent>
          <mc:Choice Requires="wps">
            <w:drawing>
              <wp:anchor distT="0" distB="0" distL="114300" distR="114300" simplePos="0" relativeHeight="251664384" behindDoc="0" locked="0" layoutInCell="1" allowOverlap="1">
                <wp:simplePos x="0" y="0"/>
                <wp:positionH relativeFrom="column">
                  <wp:posOffset>-3268980</wp:posOffset>
                </wp:positionH>
                <wp:positionV relativeFrom="paragraph">
                  <wp:posOffset>5690235</wp:posOffset>
                </wp:positionV>
                <wp:extent cx="735330" cy="296545"/>
                <wp:effectExtent l="0" t="0" r="0" b="0"/>
                <wp:wrapNone/>
                <wp:docPr id="112" name="矩形 112"/>
                <wp:cNvGraphicFramePr/>
                <a:graphic xmlns:a="http://schemas.openxmlformats.org/drawingml/2006/main">
                  <a:graphicData uri="http://schemas.microsoft.com/office/word/2010/wordprocessingShape">
                    <wps:wsp>
                      <wps:cNvSpPr/>
                      <wps:spPr>
                        <a:xfrm>
                          <a:off x="3302000" y="6546215"/>
                          <a:ext cx="735330" cy="29654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50E2941">
                            <w:pPr>
                              <w:jc w:val="center"/>
                              <w:rPr>
                                <w:rFonts w:hint="default" w:eastAsia="宋体"/>
                                <w:b/>
                                <w:bCs/>
                                <w:color w:val="000000" w:themeColor="text1"/>
                                <w:highlight w:val="none"/>
                                <w:lang w:val="en-US" w:eastAsia="zh-CN"/>
                                <w14:textFill>
                                  <w14:solidFill>
                                    <w14:schemeClr w14:val="tx1"/>
                                  </w14:solidFill>
                                </w14:textFill>
                              </w:rPr>
                            </w:pPr>
                            <w:r>
                              <w:rPr>
                                <w:rFonts w:hint="eastAsia"/>
                                <w:b/>
                                <w:bCs/>
                                <w:color w:val="FF0000"/>
                                <w:highlight w:val="yellow"/>
                                <w:lang w:val="en-US" w:eastAsia="zh-CN"/>
                              </w:rPr>
                              <w:t>25.7km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4pt;margin-top:448.05pt;height:23.35pt;width:57.9pt;z-index:251664384;v-text-anchor:middle;mso-width-relative:page;mso-height-relative:page;" filled="f" stroked="f" coordsize="21600,21600" o:gfxdata="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WcUz62wAAAA0BAAAPAAAAAAAAAAEAIAAAACIAAABkcnMvZG93bnJldi54bWxQSwECFAAUAAAA&#10;CACHTuJAmfz2y10CAAClBAAADgAAAAAAAAABACAAAAAqAQAAZHJzL2Uyb0RvYy54bWxQSwUGAAAA&#10;AAYABgBZAQAA+QUAAAAA&#10;">
                <v:fill on="f" focussize="0,0"/>
                <v:stroke on="f" weight="2pt"/>
                <v:imagedata o:title=""/>
                <o:lock v:ext="edit" aspectratio="f"/>
                <v:textbox>
                  <w:txbxContent>
                    <w:p w14:paraId="250E2941">
                      <w:pPr>
                        <w:jc w:val="center"/>
                        <w:rPr>
                          <w:rFonts w:hint="default" w:eastAsia="宋体"/>
                          <w:b/>
                          <w:bCs/>
                          <w:color w:val="000000" w:themeColor="text1"/>
                          <w:highlight w:val="none"/>
                          <w:lang w:val="en-US" w:eastAsia="zh-CN"/>
                          <w14:textFill>
                            <w14:solidFill>
                              <w14:schemeClr w14:val="tx1"/>
                            </w14:solidFill>
                          </w14:textFill>
                        </w:rPr>
                      </w:pPr>
                      <w:r>
                        <w:rPr>
                          <w:rFonts w:hint="eastAsia"/>
                          <w:b/>
                          <w:bCs/>
                          <w:color w:val="FF0000"/>
                          <w:highlight w:val="yellow"/>
                          <w:lang w:val="en-US" w:eastAsia="zh-CN"/>
                        </w:rPr>
                        <w:t>25.7km</w:t>
                      </w:r>
                    </w:p>
                  </w:txbxContent>
                </v:textbox>
              </v:rect>
            </w:pict>
          </mc:Fallback>
        </mc:AlternateContent>
      </w: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-3611880</wp:posOffset>
                </wp:positionH>
                <wp:positionV relativeFrom="paragraph">
                  <wp:posOffset>5852795</wp:posOffset>
                </wp:positionV>
                <wp:extent cx="1524000" cy="215265"/>
                <wp:effectExtent l="635" t="27305" r="14605" b="16510"/>
                <wp:wrapNone/>
                <wp:docPr id="65" name="直接箭头连接符 65"/>
                <wp:cNvGraphicFramePr/>
                <a:graphic xmlns:a="http://schemas.openxmlformats.org/drawingml/2006/main">
                  <a:graphicData uri="http://schemas.microsoft.com/office/word/2010/wordprocessingShape">
                    <wps:wsp>
                      <wps:cNvCnPr/>
                      <wps:spPr>
                        <a:xfrm flipV="1">
                          <a:off x="3275330" y="6694805"/>
                          <a:ext cx="1524000" cy="215265"/>
                        </a:xfrm>
                        <a:prstGeom prst="straightConnector1">
                          <a:avLst/>
                        </a:prstGeom>
                        <a:ln w="12700">
                          <a:solidFill>
                            <a:srgbClr val="FF0000"/>
                          </a:solidFill>
                          <a:headEnd type="none"/>
                          <a:tailEnd type="triangle" w="med" len="med"/>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4.4pt;margin-top:460.85pt;height:16.95pt;width:120pt;z-index:251663360;mso-width-relative:page;mso-height-relative:page;" filled="f" stroked="t" coordsize="21600,21600" o:gfxdata="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UUVtVtsAAAANAQAADwAAAAAAAAABACAAAAAiAAAAZHJzL2Rvd25yZXYueG1sUEsBAhQA&#10;FAAAAAgAh07iQEnSXI8oAgAAEgQAAA4AAAAAAAAAAQAgAAAAKgEAAGRycy9lMm9Eb2MueG1sUEsF&#10;BgAAAAAGAAYAWQEAAMQFAAAAAA==&#10;">
                <v:fill on="f" focussize="0,0"/>
                <v:stroke weight="1pt" color="#FF0000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2336" behindDoc="0" locked="0" layoutInCell="1" allowOverlap="1">
                <wp:simplePos x="0" y="0"/>
                <wp:positionH relativeFrom="column">
                  <wp:posOffset>-3688080</wp:posOffset>
                </wp:positionH>
                <wp:positionV relativeFrom="paragraph">
                  <wp:posOffset>6046470</wp:posOffset>
                </wp:positionV>
                <wp:extent cx="75565" cy="75565"/>
                <wp:effectExtent l="6350" t="6350" r="13335" b="13335"/>
                <wp:wrapNone/>
                <wp:docPr id="64" name="矩形 64"/>
                <wp:cNvGraphicFramePr/>
                <a:graphic xmlns:a="http://schemas.openxmlformats.org/drawingml/2006/main">
                  <a:graphicData uri="http://schemas.microsoft.com/office/word/2010/wordprocessingShape">
                    <wps:wsp>
                      <wps:cNvSpPr/>
                      <wps:spPr>
                        <a:xfrm>
                          <a:off x="3199765" y="6909435"/>
                          <a:ext cx="75565" cy="75565"/>
                        </a:xfrm>
                        <a:prstGeom prst="rect">
                          <a:avLst/>
                        </a:prstGeom>
                        <a:solidFill>
                          <a:srgbClr val="FF0000"/>
                        </a:solid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0.4pt;margin-top:476.1pt;height:5.95pt;width:5.95pt;z-index:251662336;v-text-anchor:middle;mso-width-relative:page;mso-height-relative:page;" fillcolor="#FF0000" filled="t" stroked="t" coordsize="21600,21600" o:gfxdata="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oXLB/bAAAADQEAAA8AAAAAAAAAAQAgAAAAIgAAAGRycy9kb3ducmV2Lnht&#10;bFBLAQIUABQAAAAIAIdO4kA8IgOtaAIAAOgEAAAOAAAAAAAAAAEAIAAAACoBAABkcnMvZTJvRG9j&#10;LnhtbFBLBQYAAAAABgAGAFkBAAAEBgAAAAA=&#10;">
                <v:fill on="t" focussize="0,0"/>
                <v:stroke weight="1pt" color="#FF0000 [2404]" joinstyle="round"/>
                <v:imagedata o:title=""/>
                <o:lock v:ext="edit" aspectratio="f"/>
              </v:rect>
            </w:pict>
          </mc:Fallback>
        </mc:AlternateContent>
      </w:r>
      <w:r>
        <w:rPr>
          <w:color w:val="auto"/>
          <w:sz w:val="24"/>
        </w:rPr>
        <mc:AlternateContent>
          <mc:Choice Requires="wps">
            <w:drawing>
              <wp:anchor distT="0" distB="0" distL="114300" distR="114300" simplePos="0" relativeHeight="251665408" behindDoc="0" locked="0" layoutInCell="1" allowOverlap="1">
                <wp:simplePos x="0" y="0"/>
                <wp:positionH relativeFrom="column">
                  <wp:posOffset>2134235</wp:posOffset>
                </wp:positionH>
                <wp:positionV relativeFrom="paragraph">
                  <wp:posOffset>10033635</wp:posOffset>
                </wp:positionV>
                <wp:extent cx="2771775" cy="422275"/>
                <wp:effectExtent l="0" t="0" r="0" b="0"/>
                <wp:wrapNone/>
                <wp:docPr id="36" name="矩形 36"/>
                <wp:cNvGraphicFramePr/>
                <a:graphic xmlns:a="http://schemas.openxmlformats.org/drawingml/2006/main">
                  <a:graphicData uri="http://schemas.microsoft.com/office/word/2010/wordprocessingShape">
                    <wps:wsp>
                      <wps:cNvSpPr/>
                      <wps:spPr>
                        <a:xfrm>
                          <a:off x="0" y="0"/>
                          <a:ext cx="2771775" cy="4222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B08B207">
                            <w:pPr>
                              <w:jc w:val="center"/>
                              <w:rPr>
                                <w:rFonts w:hint="default" w:ascii="Times New Roman Regular" w:hAnsi="Times New Roman Regular" w:eastAsia="宋体" w:cs="Times New Roman Regular"/>
                                <w:b/>
                                <w:bCs/>
                                <w:color w:val="000000" w:themeColor="text1"/>
                                <w:lang w:val="en-US" w:eastAsia="zh-CN"/>
                                <w14:textFill>
                                  <w14:solidFill>
                                    <w14:schemeClr w14:val="tx1"/>
                                  </w14:solidFill>
                                </w14:textFill>
                              </w:rPr>
                            </w:pPr>
                            <w:r>
                              <w:rPr>
                                <w:rFonts w:hint="default" w:ascii="Times New Roman Regular" w:hAnsi="Times New Roman Regular" w:cs="Times New Roman Regular"/>
                                <w:b/>
                                <w:bCs/>
                                <w:color w:val="000000" w:themeColor="text1"/>
                                <w:lang w:val="en-US" w:eastAsia="zh-CN"/>
                                <w14:textFill>
                                  <w14:solidFill>
                                    <w14:schemeClr w14:val="tx1"/>
                                  </w14:solidFill>
                                </w14:textFill>
                              </w:rPr>
                              <w:t>附图</w:t>
                            </w:r>
                            <w:r>
                              <w:rPr>
                                <w:rFonts w:hint="eastAsia" w:ascii="Times New Roman Regular" w:hAnsi="Times New Roman Regular" w:cs="Times New Roman Regular"/>
                                <w:b/>
                                <w:bCs/>
                                <w:color w:val="000000" w:themeColor="text1"/>
                                <w:lang w:val="en-US" w:eastAsia="zh-CN"/>
                                <w14:textFill>
                                  <w14:solidFill>
                                    <w14:schemeClr w14:val="tx1"/>
                                  </w14:solidFill>
                                </w14:textFill>
                              </w:rPr>
                              <w:t xml:space="preserve">7 </w:t>
                            </w:r>
                            <w:r>
                              <w:rPr>
                                <w:rFonts w:hint="default" w:ascii="Times New Roman Regular" w:hAnsi="Times New Roman Regular" w:cs="Times New Roman Regular"/>
                                <w:b/>
                                <w:bCs/>
                                <w:color w:val="000000" w:themeColor="text1"/>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lang w:val="en-US" w:eastAsia="zh-CN"/>
                                <w14:textFill>
                                  <w14:solidFill>
                                    <w14:schemeClr w14:val="tx1"/>
                                  </w14:solidFill>
                                </w14:textFill>
                              </w:rPr>
                              <w:t>本项目与辛安泉域相对位置</w:t>
                            </w:r>
                            <w:r>
                              <w:rPr>
                                <w:rFonts w:hint="default" w:ascii="Times New Roman Regular" w:hAnsi="Times New Roman Regular" w:cs="Times New Roman Regular"/>
                                <w:b/>
                                <w:bCs/>
                                <w:color w:val="000000" w:themeColor="text1"/>
                                <w:lang w:val="en-US" w:eastAsia="zh-CN"/>
                                <w14:textFill>
                                  <w14:solidFill>
                                    <w14:schemeClr w14:val="tx1"/>
                                  </w14:solidFill>
                                </w14:textFill>
                              </w:rPr>
                              <w:t>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8.05pt;margin-top:790.05pt;height:33.25pt;width:218.25pt;z-index:251665408;v-text-anchor:middle;mso-width-relative:page;mso-height-relative:page;" filled="f" stroked="f" coordsize="21600,21600" o:gfxdata="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ZN0r/bAAAA&#10;DQEAAA8AAAAAAAAAAQAgAAAAIgAAAGRycy9kb3ducmV2LnhtbFBLAQIUABQAAAAIAIdO4kBqO7xl&#10;UwIAAJgEAAAOAAAAAAAAAAEAIAAAACoBAABkcnMvZTJvRG9jLnhtbFBLBQYAAAAABgAGAFkBAADv&#10;BQAAAAA=&#10;">
                <v:fill on="f" focussize="0,0"/>
                <v:stroke on="f" weight="2pt"/>
                <v:imagedata o:title=""/>
                <o:lock v:ext="edit" aspectratio="f"/>
                <v:textbox>
                  <w:txbxContent>
                    <w:p w14:paraId="4B08B207">
                      <w:pPr>
                        <w:jc w:val="center"/>
                        <w:rPr>
                          <w:rFonts w:hint="default" w:ascii="Times New Roman Regular" w:hAnsi="Times New Roman Regular" w:eastAsia="宋体" w:cs="Times New Roman Regular"/>
                          <w:b/>
                          <w:bCs/>
                          <w:color w:val="000000" w:themeColor="text1"/>
                          <w:lang w:val="en-US" w:eastAsia="zh-CN"/>
                          <w14:textFill>
                            <w14:solidFill>
                              <w14:schemeClr w14:val="tx1"/>
                            </w14:solidFill>
                          </w14:textFill>
                        </w:rPr>
                      </w:pPr>
                      <w:r>
                        <w:rPr>
                          <w:rFonts w:hint="default" w:ascii="Times New Roman Regular" w:hAnsi="Times New Roman Regular" w:cs="Times New Roman Regular"/>
                          <w:b/>
                          <w:bCs/>
                          <w:color w:val="000000" w:themeColor="text1"/>
                          <w:lang w:val="en-US" w:eastAsia="zh-CN"/>
                          <w14:textFill>
                            <w14:solidFill>
                              <w14:schemeClr w14:val="tx1"/>
                            </w14:solidFill>
                          </w14:textFill>
                        </w:rPr>
                        <w:t>附图</w:t>
                      </w:r>
                      <w:r>
                        <w:rPr>
                          <w:rFonts w:hint="eastAsia" w:ascii="Times New Roman Regular" w:hAnsi="Times New Roman Regular" w:cs="Times New Roman Regular"/>
                          <w:b/>
                          <w:bCs/>
                          <w:color w:val="000000" w:themeColor="text1"/>
                          <w:lang w:val="en-US" w:eastAsia="zh-CN"/>
                          <w14:textFill>
                            <w14:solidFill>
                              <w14:schemeClr w14:val="tx1"/>
                            </w14:solidFill>
                          </w14:textFill>
                        </w:rPr>
                        <w:t xml:space="preserve">7 </w:t>
                      </w:r>
                      <w:r>
                        <w:rPr>
                          <w:rFonts w:hint="default" w:ascii="Times New Roman Regular" w:hAnsi="Times New Roman Regular" w:cs="Times New Roman Regular"/>
                          <w:b/>
                          <w:bCs/>
                          <w:color w:val="000000" w:themeColor="text1"/>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lang w:val="en-US" w:eastAsia="zh-CN"/>
                          <w14:textFill>
                            <w14:solidFill>
                              <w14:schemeClr w14:val="tx1"/>
                            </w14:solidFill>
                          </w14:textFill>
                        </w:rPr>
                        <w:t>本项目与辛安泉域相对位置</w:t>
                      </w:r>
                      <w:r>
                        <w:rPr>
                          <w:rFonts w:hint="default" w:ascii="Times New Roman Regular" w:hAnsi="Times New Roman Regular" w:cs="Times New Roman Regular"/>
                          <w:b/>
                          <w:bCs/>
                          <w:color w:val="000000" w:themeColor="text1"/>
                          <w:lang w:val="en-US" w:eastAsia="zh-CN"/>
                          <w14:textFill>
                            <w14:solidFill>
                              <w14:schemeClr w14:val="tx1"/>
                            </w14:solidFill>
                          </w14:textFill>
                        </w:rPr>
                        <w:t>图</w:t>
                      </w:r>
                    </w:p>
                  </w:txbxContent>
                </v:textbox>
              </v:rect>
            </w:pict>
          </mc:Fallback>
        </mc:AlternateContent>
      </w: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2677160</wp:posOffset>
                </wp:positionH>
                <wp:positionV relativeFrom="paragraph">
                  <wp:posOffset>9674225</wp:posOffset>
                </wp:positionV>
                <wp:extent cx="2771775" cy="422275"/>
                <wp:effectExtent l="0" t="0" r="0" b="0"/>
                <wp:wrapNone/>
                <wp:docPr id="68" name="矩形 68"/>
                <wp:cNvGraphicFramePr/>
                <a:graphic xmlns:a="http://schemas.openxmlformats.org/drawingml/2006/main">
                  <a:graphicData uri="http://schemas.microsoft.com/office/word/2010/wordprocessingShape">
                    <wps:wsp>
                      <wps:cNvSpPr/>
                      <wps:spPr>
                        <a:xfrm>
                          <a:off x="0" y="0"/>
                          <a:ext cx="2771775" cy="422275"/>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49B101F">
                            <w:pPr>
                              <w:jc w:val="center"/>
                              <w:rPr>
                                <w:rFonts w:hint="default" w:ascii="Times New Roman Regular" w:hAnsi="Times New Roman Regular" w:eastAsia="宋体" w:cs="Times New Roman Regular"/>
                                <w:b/>
                                <w:bCs/>
                                <w:color w:val="000000" w:themeColor="text1"/>
                                <w:lang w:val="en-US" w:eastAsia="zh-CN"/>
                                <w14:textFill>
                                  <w14:solidFill>
                                    <w14:schemeClr w14:val="tx1"/>
                                  </w14:solidFill>
                                </w14:textFill>
                              </w:rPr>
                            </w:pPr>
                            <w:r>
                              <w:rPr>
                                <w:rFonts w:hint="default" w:ascii="Times New Roman Regular" w:hAnsi="Times New Roman Regular" w:cs="Times New Roman Regular"/>
                                <w:b/>
                                <w:bCs/>
                                <w:color w:val="000000" w:themeColor="text1"/>
                                <w:lang w:val="en-US" w:eastAsia="zh-CN"/>
                                <w14:textFill>
                                  <w14:solidFill>
                                    <w14:schemeClr w14:val="tx1"/>
                                  </w14:solidFill>
                                </w14:textFill>
                              </w:rPr>
                              <w:t>附图</w:t>
                            </w:r>
                            <w:r>
                              <w:rPr>
                                <w:rFonts w:hint="eastAsia" w:ascii="Times New Roman Regular" w:hAnsi="Times New Roman Regular" w:cs="Times New Roman Regular"/>
                                <w:b/>
                                <w:bCs/>
                                <w:color w:val="000000" w:themeColor="text1"/>
                                <w:lang w:val="en-US" w:eastAsia="zh-CN"/>
                                <w14:textFill>
                                  <w14:solidFill>
                                    <w14:schemeClr w14:val="tx1"/>
                                  </w14:solidFill>
                                </w14:textFill>
                              </w:rPr>
                              <w:t xml:space="preserve">5 </w:t>
                            </w:r>
                            <w:r>
                              <w:rPr>
                                <w:rFonts w:hint="default" w:ascii="Times New Roman Regular" w:hAnsi="Times New Roman Regular" w:cs="Times New Roman Regular"/>
                                <w:b/>
                                <w:bCs/>
                                <w:color w:val="000000" w:themeColor="text1"/>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lang w:val="en-US" w:eastAsia="zh-CN"/>
                                <w14:textFill>
                                  <w14:solidFill>
                                    <w14:schemeClr w14:val="tx1"/>
                                  </w14:solidFill>
                                </w14:textFill>
                              </w:rPr>
                              <w:t>本项目与辛安泉域相对位置</w:t>
                            </w:r>
                            <w:r>
                              <w:rPr>
                                <w:rFonts w:hint="default" w:ascii="Times New Roman Regular" w:hAnsi="Times New Roman Regular" w:cs="Times New Roman Regular"/>
                                <w:b/>
                                <w:bCs/>
                                <w:color w:val="000000" w:themeColor="text1"/>
                                <w:lang w:val="en-US" w:eastAsia="zh-CN"/>
                                <w14:textFill>
                                  <w14:solidFill>
                                    <w14:schemeClr w14:val="tx1"/>
                                  </w14:solidFill>
                                </w14:textFill>
                              </w:rPr>
                              <w:t>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0.8pt;margin-top:761.75pt;height:33.25pt;width:218.25pt;z-index:251661312;v-text-anchor:middle;mso-width-relative:page;mso-height-relative:page;" filled="f" stroked="f" coordsize="21600,21600" o:gfxdata="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4Et6B2gAAAA0B&#10;AAAPAAAAAAAAAAEAIAAAACIAAABkcnMvZG93bnJldi54bWxQSwECFAAUAAAACACHTuJAnDs0GVIC&#10;AACYBAAADgAAAAAAAAABACAAAAApAQAAZHJzL2Uyb0RvYy54bWxQSwUGAAAAAAYABgBZAQAA7QUA&#10;AAAA&#10;">
                <v:fill on="f" focussize="0,0"/>
                <v:stroke on="f" weight="2pt"/>
                <v:imagedata o:title=""/>
                <o:lock v:ext="edit" aspectratio="f"/>
                <v:textbox>
                  <w:txbxContent>
                    <w:p w14:paraId="749B101F">
                      <w:pPr>
                        <w:jc w:val="center"/>
                        <w:rPr>
                          <w:rFonts w:hint="default" w:ascii="Times New Roman Regular" w:hAnsi="Times New Roman Regular" w:eastAsia="宋体" w:cs="Times New Roman Regular"/>
                          <w:b/>
                          <w:bCs/>
                          <w:color w:val="000000" w:themeColor="text1"/>
                          <w:lang w:val="en-US" w:eastAsia="zh-CN"/>
                          <w14:textFill>
                            <w14:solidFill>
                              <w14:schemeClr w14:val="tx1"/>
                            </w14:solidFill>
                          </w14:textFill>
                        </w:rPr>
                      </w:pPr>
                      <w:r>
                        <w:rPr>
                          <w:rFonts w:hint="default" w:ascii="Times New Roman Regular" w:hAnsi="Times New Roman Regular" w:cs="Times New Roman Regular"/>
                          <w:b/>
                          <w:bCs/>
                          <w:color w:val="000000" w:themeColor="text1"/>
                          <w:lang w:val="en-US" w:eastAsia="zh-CN"/>
                          <w14:textFill>
                            <w14:solidFill>
                              <w14:schemeClr w14:val="tx1"/>
                            </w14:solidFill>
                          </w14:textFill>
                        </w:rPr>
                        <w:t>附图</w:t>
                      </w:r>
                      <w:r>
                        <w:rPr>
                          <w:rFonts w:hint="eastAsia" w:ascii="Times New Roman Regular" w:hAnsi="Times New Roman Regular" w:cs="Times New Roman Regular"/>
                          <w:b/>
                          <w:bCs/>
                          <w:color w:val="000000" w:themeColor="text1"/>
                          <w:lang w:val="en-US" w:eastAsia="zh-CN"/>
                          <w14:textFill>
                            <w14:solidFill>
                              <w14:schemeClr w14:val="tx1"/>
                            </w14:solidFill>
                          </w14:textFill>
                        </w:rPr>
                        <w:t xml:space="preserve">5 </w:t>
                      </w:r>
                      <w:r>
                        <w:rPr>
                          <w:rFonts w:hint="default" w:ascii="Times New Roman Regular" w:hAnsi="Times New Roman Regular" w:cs="Times New Roman Regular"/>
                          <w:b/>
                          <w:bCs/>
                          <w:color w:val="000000" w:themeColor="text1"/>
                          <w:lang w:val="en-US" w:eastAsia="zh-CN"/>
                          <w14:textFill>
                            <w14:solidFill>
                              <w14:schemeClr w14:val="tx1"/>
                            </w14:solidFill>
                          </w14:textFill>
                        </w:rPr>
                        <w:t xml:space="preserve"> </w:t>
                      </w:r>
                      <w:r>
                        <w:rPr>
                          <w:rFonts w:hint="eastAsia" w:ascii="Times New Roman Regular" w:hAnsi="Times New Roman Regular" w:cs="Times New Roman Regular"/>
                          <w:b/>
                          <w:bCs/>
                          <w:color w:val="000000" w:themeColor="text1"/>
                          <w:lang w:val="en-US" w:eastAsia="zh-CN"/>
                          <w14:textFill>
                            <w14:solidFill>
                              <w14:schemeClr w14:val="tx1"/>
                            </w14:solidFill>
                          </w14:textFill>
                        </w:rPr>
                        <w:t>本项目与辛安泉域相对位置</w:t>
                      </w:r>
                      <w:r>
                        <w:rPr>
                          <w:rFonts w:hint="default" w:ascii="Times New Roman Regular" w:hAnsi="Times New Roman Regular" w:cs="Times New Roman Regular"/>
                          <w:b/>
                          <w:bCs/>
                          <w:color w:val="000000" w:themeColor="text1"/>
                          <w:lang w:val="en-US" w:eastAsia="zh-CN"/>
                          <w14:textFill>
                            <w14:solidFill>
                              <w14:schemeClr w14:val="tx1"/>
                            </w14:solidFill>
                          </w14:textFill>
                        </w:rPr>
                        <w:t>图</w:t>
                      </w:r>
                    </w:p>
                  </w:txbxContent>
                </v:textbox>
              </v:rect>
            </w:pict>
          </mc:Fallback>
        </mc:AlternateContent>
      </w:r>
    </w:p>
    <w:sectPr>
      <w:headerReference r:id="rId17" w:type="default"/>
      <w:footerReference r:id="rId18" w:type="default"/>
      <w:pgSz w:w="16838" w:h="11906" w:orient="landscape"/>
      <w:pgMar w:top="1531" w:right="1701" w:bottom="1531" w:left="1701" w:header="851" w:footer="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C0D9A7D-8FDC-4EDF-A153-E9CD0D1F142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9E2BDBB-7A30-4B43-A9F8-98E478DA33BC}"/>
  </w:font>
  <w:font w:name="仿宋">
    <w:panose1 w:val="02010609060101010101"/>
    <w:charset w:val="86"/>
    <w:family w:val="modern"/>
    <w:pitch w:val="default"/>
    <w:sig w:usb0="800002BF" w:usb1="38CF7CFA" w:usb2="00000016" w:usb3="00000000" w:csb0="00040001" w:csb1="00000000"/>
    <w:embedRegular r:id="rId3" w:fontKey="{BC86B7D2-7009-4346-B9AE-9B7C0AC371A9}"/>
  </w:font>
  <w:font w:name="楷体_GB2312">
    <w:altName w:val="楷体"/>
    <w:panose1 w:val="02010609030000010101"/>
    <w:charset w:val="86"/>
    <w:family w:val="modern"/>
    <w:pitch w:val="default"/>
    <w:sig w:usb0="00000000" w:usb1="00000000" w:usb2="00000010" w:usb3="00000000" w:csb0="00040000" w:csb1="00000000"/>
    <w:embedRegular r:id="rId4" w:fontKey="{6C842945-A8E2-4348-B8DD-D1BB1FA61696}"/>
  </w:font>
  <w:font w:name="楷体">
    <w:panose1 w:val="02010609060101010101"/>
    <w:charset w:val="86"/>
    <w:family w:val="auto"/>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新宋体">
    <w:panose1 w:val="02010609030101010101"/>
    <w:charset w:val="86"/>
    <w:family w:val="modern"/>
    <w:pitch w:val="default"/>
    <w:sig w:usb0="00000283" w:usb1="288F0000" w:usb2="00000006" w:usb3="00000000" w:csb0="00040001" w:csb1="00000000"/>
  </w:font>
  <w:font w:name="仿宋_GB2312">
    <w:altName w:val="仿宋"/>
    <w:panose1 w:val="02010609030101010101"/>
    <w:charset w:val="00"/>
    <w:family w:val="modern"/>
    <w:pitch w:val="default"/>
    <w:sig w:usb0="00000000" w:usb1="00000000" w:usb2="00000010" w:usb3="00000000" w:csb0="00040000" w:csb1="00000000"/>
    <w:embedRegular r:id="rId5" w:fontKey="{B2637589-E895-4797-8BFD-685CE599E22F}"/>
  </w:font>
  <w:font w:name="方正小标宋_GBK">
    <w:panose1 w:val="02000000000000000000"/>
    <w:charset w:val="86"/>
    <w:family w:val="script"/>
    <w:pitch w:val="default"/>
    <w:sig w:usb0="A00002BF" w:usb1="38CF7CFA" w:usb2="00082016" w:usb3="00000000" w:csb0="00040001" w:csb1="00000000"/>
    <w:embedRegular r:id="rId6" w:fontKey="{A3F1BA6D-F21D-4E88-8049-54DC5A6091E1}"/>
  </w:font>
  <w:font w:name="Times New Roman Regular">
    <w:altName w:val="Times New Roman"/>
    <w:panose1 w:val="02020603050405020304"/>
    <w:charset w:val="00"/>
    <w:family w:val="auto"/>
    <w:pitch w:val="default"/>
    <w:sig w:usb0="00000000" w:usb1="00000000" w:usb2="00000009" w:usb3="00000000" w:csb0="400001FF" w:csb1="FFFF0000"/>
    <w:embedRegular r:id="rId7" w:fontKey="{5788CBFF-21E4-42A6-887C-7ECF96A943AB}"/>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CBCC3">
    <w:pPr>
      <w:pStyle w:val="1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AACA9">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05DB9">
                          <w:pPr>
                            <w:pStyle w:val="17"/>
                            <w:keepNext w:val="0"/>
                            <w:keepLines w:val="0"/>
                            <w:pageBreakBefore w:val="0"/>
                            <w:widowControl w:val="0"/>
                            <w:kinsoku/>
                            <w:wordWrap/>
                            <w:overflowPunct/>
                            <w:topLinePunct w:val="0"/>
                            <w:autoSpaceDE/>
                            <w:autoSpaceDN/>
                            <w:bidi w:val="0"/>
                            <w:adjustRightInd/>
                            <w:snapToGrid/>
                            <w:jc w:val="center"/>
                            <w:textAlignment w:val="auto"/>
                            <w:rPr>
                              <w:sz w:val="18"/>
                              <w:szCs w:val="20"/>
                            </w:rPr>
                          </w:pPr>
                          <w:r>
                            <w:rPr>
                              <w:sz w:val="18"/>
                              <w:szCs w:val="20"/>
                            </w:rPr>
                            <w:fldChar w:fldCharType="begin"/>
                          </w:r>
                          <w:r>
                            <w:rPr>
                              <w:sz w:val="18"/>
                              <w:szCs w:val="20"/>
                            </w:rPr>
                            <w:instrText xml:space="preserve"> PAGE  \* MERGEFORMAT </w:instrText>
                          </w:r>
                          <w:r>
                            <w:rPr>
                              <w:sz w:val="18"/>
                              <w:szCs w:val="20"/>
                            </w:rPr>
                            <w:fldChar w:fldCharType="separate"/>
                          </w:r>
                          <w:r>
                            <w:rPr>
                              <w:sz w:val="18"/>
                              <w:szCs w:val="20"/>
                            </w:rPr>
                            <w:t>1</w:t>
                          </w:r>
                          <w:r>
                            <w:rPr>
                              <w:sz w:val="18"/>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79205DB9">
                    <w:pPr>
                      <w:pStyle w:val="17"/>
                      <w:keepNext w:val="0"/>
                      <w:keepLines w:val="0"/>
                      <w:pageBreakBefore w:val="0"/>
                      <w:widowControl w:val="0"/>
                      <w:kinsoku/>
                      <w:wordWrap/>
                      <w:overflowPunct/>
                      <w:topLinePunct w:val="0"/>
                      <w:autoSpaceDE/>
                      <w:autoSpaceDN/>
                      <w:bidi w:val="0"/>
                      <w:adjustRightInd/>
                      <w:snapToGrid/>
                      <w:jc w:val="center"/>
                      <w:textAlignment w:val="auto"/>
                      <w:rPr>
                        <w:sz w:val="18"/>
                        <w:szCs w:val="20"/>
                      </w:rPr>
                    </w:pPr>
                    <w:r>
                      <w:rPr>
                        <w:sz w:val="18"/>
                        <w:szCs w:val="20"/>
                      </w:rPr>
                      <w:fldChar w:fldCharType="begin"/>
                    </w:r>
                    <w:r>
                      <w:rPr>
                        <w:sz w:val="18"/>
                        <w:szCs w:val="20"/>
                      </w:rPr>
                      <w:instrText xml:space="preserve"> PAGE  \* MERGEFORMAT </w:instrText>
                    </w:r>
                    <w:r>
                      <w:rPr>
                        <w:sz w:val="18"/>
                        <w:szCs w:val="20"/>
                      </w:rPr>
                      <w:fldChar w:fldCharType="separate"/>
                    </w:r>
                    <w:r>
                      <w:rPr>
                        <w:sz w:val="18"/>
                        <w:szCs w:val="20"/>
                      </w:rPr>
                      <w:t>1</w:t>
                    </w:r>
                    <w:r>
                      <w:rPr>
                        <w:sz w:val="18"/>
                        <w:szCs w:val="2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D511A">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D94E79">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7ED94E79">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949BD">
    <w:pPr>
      <w:pStyle w:val="17"/>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2F962F">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132F962F">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D90BE">
    <w:pPr>
      <w:pStyle w:val="17"/>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42716">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689F5">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FEEED">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23E9C">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D07F">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28AEE">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74952">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69941">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E19FE">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84119">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2E85C">
    <w:pPr>
      <w:pStyle w:val="18"/>
      <w:widowControl w:val="0"/>
      <w:pBdr>
        <w:top w:val="none" w:color="auto" w:sz="0" w:space="1"/>
        <w:left w:val="none" w:color="auto" w:sz="0" w:space="4"/>
        <w:bottom w:val="none" w:color="auto" w:sz="0" w:space="1"/>
        <w:right w:val="none" w:color="auto" w:sz="0" w:space="4"/>
        <w:between w:val="none" w:color="auto" w:sz="0" w:space="0"/>
      </w:pBdr>
      <w:snapToGrid w:val="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none"/>
      <w:suff w:val="nothing"/>
      <w:lvlText w:val="第一章"/>
      <w:lvlJc w:val="left"/>
      <w:pPr>
        <w:ind w:left="0" w:firstLine="397"/>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362407EF"/>
    <w:multiLevelType w:val="singleLevel"/>
    <w:tmpl w:val="362407EF"/>
    <w:lvl w:ilvl="0" w:tentative="0">
      <w:start w:val="1"/>
      <w:numFmt w:val="decimal"/>
      <w:pStyle w:val="98"/>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3NmMxZjkzMGI3YTBiYWVlOTI3MGZhZmUwMmI5OGIifQ=="/>
  </w:docVars>
  <w:rsids>
    <w:rsidRoot w:val="00000000"/>
    <w:rsid w:val="02311421"/>
    <w:rsid w:val="02B00BF5"/>
    <w:rsid w:val="03AF41AD"/>
    <w:rsid w:val="03E33071"/>
    <w:rsid w:val="043F4C76"/>
    <w:rsid w:val="044D1B2F"/>
    <w:rsid w:val="04743DAC"/>
    <w:rsid w:val="04AD333E"/>
    <w:rsid w:val="05040802"/>
    <w:rsid w:val="051E7CFF"/>
    <w:rsid w:val="054D0060"/>
    <w:rsid w:val="05575651"/>
    <w:rsid w:val="057648ED"/>
    <w:rsid w:val="05EB4C61"/>
    <w:rsid w:val="07F87A11"/>
    <w:rsid w:val="08034F89"/>
    <w:rsid w:val="089D6BEC"/>
    <w:rsid w:val="090C058F"/>
    <w:rsid w:val="09777843"/>
    <w:rsid w:val="0A4860CC"/>
    <w:rsid w:val="0AAE1479"/>
    <w:rsid w:val="0BB83648"/>
    <w:rsid w:val="0C6C15FE"/>
    <w:rsid w:val="0C8106BD"/>
    <w:rsid w:val="0CAE3B61"/>
    <w:rsid w:val="0D2408DB"/>
    <w:rsid w:val="0D2F37B2"/>
    <w:rsid w:val="0DD86791"/>
    <w:rsid w:val="0E296DE0"/>
    <w:rsid w:val="0E2D60C2"/>
    <w:rsid w:val="0E5135BC"/>
    <w:rsid w:val="0F257406"/>
    <w:rsid w:val="0F9A2299"/>
    <w:rsid w:val="0FC477AC"/>
    <w:rsid w:val="0FD0391B"/>
    <w:rsid w:val="133B6C14"/>
    <w:rsid w:val="13C1740E"/>
    <w:rsid w:val="1410370B"/>
    <w:rsid w:val="14EB5267"/>
    <w:rsid w:val="15767345"/>
    <w:rsid w:val="159A0AA1"/>
    <w:rsid w:val="15D04E6C"/>
    <w:rsid w:val="172563FA"/>
    <w:rsid w:val="177D585E"/>
    <w:rsid w:val="17BF5E27"/>
    <w:rsid w:val="17CA2B05"/>
    <w:rsid w:val="17D216FF"/>
    <w:rsid w:val="193E3F46"/>
    <w:rsid w:val="19B9169A"/>
    <w:rsid w:val="1A7D7D69"/>
    <w:rsid w:val="1AFA4C19"/>
    <w:rsid w:val="1B0B13D3"/>
    <w:rsid w:val="1BE97299"/>
    <w:rsid w:val="1C647A5F"/>
    <w:rsid w:val="1E374860"/>
    <w:rsid w:val="1F7F4EB3"/>
    <w:rsid w:val="1FD275D0"/>
    <w:rsid w:val="1FF44635"/>
    <w:rsid w:val="201D62D9"/>
    <w:rsid w:val="20E760D4"/>
    <w:rsid w:val="214B3336"/>
    <w:rsid w:val="21E65C00"/>
    <w:rsid w:val="229830C9"/>
    <w:rsid w:val="22F028ED"/>
    <w:rsid w:val="22F363AD"/>
    <w:rsid w:val="2377009E"/>
    <w:rsid w:val="238147D6"/>
    <w:rsid w:val="2383602E"/>
    <w:rsid w:val="23B5012E"/>
    <w:rsid w:val="23C30A9D"/>
    <w:rsid w:val="259617D3"/>
    <w:rsid w:val="25C575C5"/>
    <w:rsid w:val="25E42FEE"/>
    <w:rsid w:val="2613129A"/>
    <w:rsid w:val="270D629D"/>
    <w:rsid w:val="2747656B"/>
    <w:rsid w:val="27662E5B"/>
    <w:rsid w:val="27701B9E"/>
    <w:rsid w:val="278C7A71"/>
    <w:rsid w:val="27A961FC"/>
    <w:rsid w:val="29023D18"/>
    <w:rsid w:val="29CA4D51"/>
    <w:rsid w:val="29E91C03"/>
    <w:rsid w:val="2A7A2BDD"/>
    <w:rsid w:val="2B3116E7"/>
    <w:rsid w:val="2BD843F7"/>
    <w:rsid w:val="2BE76916"/>
    <w:rsid w:val="2BFE4C1E"/>
    <w:rsid w:val="2C4B39A2"/>
    <w:rsid w:val="2EA73A95"/>
    <w:rsid w:val="2EE94A66"/>
    <w:rsid w:val="31C00DA6"/>
    <w:rsid w:val="31D92CF3"/>
    <w:rsid w:val="32214929"/>
    <w:rsid w:val="33811E5B"/>
    <w:rsid w:val="351F0979"/>
    <w:rsid w:val="355A7397"/>
    <w:rsid w:val="361E7DB5"/>
    <w:rsid w:val="366A2D0E"/>
    <w:rsid w:val="36B86C66"/>
    <w:rsid w:val="36F445E5"/>
    <w:rsid w:val="3721409F"/>
    <w:rsid w:val="39534007"/>
    <w:rsid w:val="3962095F"/>
    <w:rsid w:val="3A212C42"/>
    <w:rsid w:val="3AC43A86"/>
    <w:rsid w:val="3BDB6D63"/>
    <w:rsid w:val="3DFF9FE0"/>
    <w:rsid w:val="3E586BA5"/>
    <w:rsid w:val="3E7149C9"/>
    <w:rsid w:val="3EC30CE6"/>
    <w:rsid w:val="3EEF4F20"/>
    <w:rsid w:val="3F1B1335"/>
    <w:rsid w:val="3F2874AA"/>
    <w:rsid w:val="412232F6"/>
    <w:rsid w:val="4125620A"/>
    <w:rsid w:val="41B9130B"/>
    <w:rsid w:val="41FA5D70"/>
    <w:rsid w:val="42F557D1"/>
    <w:rsid w:val="44352C44"/>
    <w:rsid w:val="44421EB6"/>
    <w:rsid w:val="459B6ED9"/>
    <w:rsid w:val="4723347D"/>
    <w:rsid w:val="47872914"/>
    <w:rsid w:val="482F2645"/>
    <w:rsid w:val="483E4152"/>
    <w:rsid w:val="48877A3B"/>
    <w:rsid w:val="491224C7"/>
    <w:rsid w:val="492472EC"/>
    <w:rsid w:val="497D666B"/>
    <w:rsid w:val="4AE34913"/>
    <w:rsid w:val="4B663938"/>
    <w:rsid w:val="4B8B339F"/>
    <w:rsid w:val="4C2672DA"/>
    <w:rsid w:val="4D2B0D36"/>
    <w:rsid w:val="4D7440F6"/>
    <w:rsid w:val="4E5D3FEE"/>
    <w:rsid w:val="4ED55A60"/>
    <w:rsid w:val="4EF6465B"/>
    <w:rsid w:val="4F297689"/>
    <w:rsid w:val="508267AC"/>
    <w:rsid w:val="508F2144"/>
    <w:rsid w:val="549F6194"/>
    <w:rsid w:val="54F71817"/>
    <w:rsid w:val="554E029E"/>
    <w:rsid w:val="55AB0340"/>
    <w:rsid w:val="55E738C7"/>
    <w:rsid w:val="56E35F4B"/>
    <w:rsid w:val="578D2075"/>
    <w:rsid w:val="59222A3A"/>
    <w:rsid w:val="599E1484"/>
    <w:rsid w:val="5A253763"/>
    <w:rsid w:val="5A5A5D8C"/>
    <w:rsid w:val="5B061510"/>
    <w:rsid w:val="5BDE7EE7"/>
    <w:rsid w:val="5BF74308"/>
    <w:rsid w:val="5C227676"/>
    <w:rsid w:val="5C2F7D76"/>
    <w:rsid w:val="5CA21232"/>
    <w:rsid w:val="5DFAC5DD"/>
    <w:rsid w:val="5E8323BE"/>
    <w:rsid w:val="5EF442F3"/>
    <w:rsid w:val="5FCB29E4"/>
    <w:rsid w:val="5FF2E03F"/>
    <w:rsid w:val="60A67CA3"/>
    <w:rsid w:val="60CB4864"/>
    <w:rsid w:val="60F9585C"/>
    <w:rsid w:val="61337FE2"/>
    <w:rsid w:val="62EF7EBC"/>
    <w:rsid w:val="63FC52F1"/>
    <w:rsid w:val="64572520"/>
    <w:rsid w:val="6541341B"/>
    <w:rsid w:val="65663FCD"/>
    <w:rsid w:val="679F4002"/>
    <w:rsid w:val="67B021B0"/>
    <w:rsid w:val="67BA7A02"/>
    <w:rsid w:val="67CA4DF7"/>
    <w:rsid w:val="67DC3DF5"/>
    <w:rsid w:val="686D63C6"/>
    <w:rsid w:val="68AC24A2"/>
    <w:rsid w:val="68B81C72"/>
    <w:rsid w:val="6A785DC6"/>
    <w:rsid w:val="6B891BC6"/>
    <w:rsid w:val="6C060AF4"/>
    <w:rsid w:val="6C19218C"/>
    <w:rsid w:val="6D8C1329"/>
    <w:rsid w:val="6EC57550"/>
    <w:rsid w:val="6F107EF5"/>
    <w:rsid w:val="6F656F72"/>
    <w:rsid w:val="6F6C6545"/>
    <w:rsid w:val="6FAC52C6"/>
    <w:rsid w:val="701D640C"/>
    <w:rsid w:val="70D43896"/>
    <w:rsid w:val="717A1C78"/>
    <w:rsid w:val="722D7229"/>
    <w:rsid w:val="7264527D"/>
    <w:rsid w:val="72DE16FE"/>
    <w:rsid w:val="730A5199"/>
    <w:rsid w:val="74483F42"/>
    <w:rsid w:val="7491791C"/>
    <w:rsid w:val="751D2A0A"/>
    <w:rsid w:val="752F302C"/>
    <w:rsid w:val="75845F24"/>
    <w:rsid w:val="75B268DE"/>
    <w:rsid w:val="76121CC9"/>
    <w:rsid w:val="76CD02FB"/>
    <w:rsid w:val="76DF5F23"/>
    <w:rsid w:val="772D4E66"/>
    <w:rsid w:val="778B21F1"/>
    <w:rsid w:val="7871039B"/>
    <w:rsid w:val="793331D2"/>
    <w:rsid w:val="79A966E0"/>
    <w:rsid w:val="7B1A14D0"/>
    <w:rsid w:val="7B5D5B7A"/>
    <w:rsid w:val="7BA54D76"/>
    <w:rsid w:val="7BC10593"/>
    <w:rsid w:val="7D3773F4"/>
    <w:rsid w:val="7DAB2CE3"/>
    <w:rsid w:val="7DFDBBB8"/>
    <w:rsid w:val="7E6C4E59"/>
    <w:rsid w:val="7F342FDA"/>
    <w:rsid w:val="7F8B072E"/>
    <w:rsid w:val="B1BFC8B8"/>
    <w:rsid w:val="D3F6D791"/>
    <w:rsid w:val="EFADE69A"/>
    <w:rsid w:val="FB7585C3"/>
    <w:rsid w:val="FBFFA5BE"/>
    <w:rsid w:val="FEDC91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autoRedefine/>
    <w:qFormat/>
    <w:uiPriority w:val="0"/>
    <w:pPr>
      <w:keepNext/>
      <w:keepLines/>
      <w:spacing w:before="156" w:beforeLines="50" w:beforeAutospacing="0"/>
      <w:jc w:val="left"/>
      <w:outlineLvl w:val="1"/>
    </w:pPr>
    <w:rPr>
      <w:rFonts w:eastAsia="黑体"/>
      <w:b/>
      <w:sz w:val="32"/>
    </w:rPr>
  </w:style>
  <w:style w:type="paragraph" w:styleId="4">
    <w:name w:val="heading 3"/>
    <w:basedOn w:val="1"/>
    <w:next w:val="5"/>
    <w:qFormat/>
    <w:uiPriority w:val="0"/>
    <w:pPr>
      <w:keepNext/>
      <w:keepLines/>
      <w:spacing w:before="156" w:beforeLines="50" w:beforeAutospacing="0"/>
      <w:jc w:val="left"/>
      <w:outlineLvl w:val="2"/>
    </w:pPr>
    <w:rPr>
      <w:rFonts w:eastAsia="黑体"/>
      <w:b/>
      <w:sz w:val="30"/>
    </w:rPr>
  </w:style>
  <w:style w:type="paragraph" w:styleId="6">
    <w:name w:val="heading 4"/>
    <w:basedOn w:val="1"/>
    <w:next w:val="1"/>
    <w:autoRedefine/>
    <w:qFormat/>
    <w:uiPriority w:val="9"/>
    <w:pPr>
      <w:keepNext/>
      <w:keepLines/>
      <w:widowControl/>
      <w:numPr>
        <w:ilvl w:val="3"/>
        <w:numId w:val="1"/>
      </w:numPr>
      <w:spacing w:before="50" w:beforeLines="50"/>
      <w:outlineLvl w:val="3"/>
    </w:pPr>
    <w:rPr>
      <w:rFonts w:eastAsia="黑体"/>
      <w:bCs/>
      <w:color w:val="000000"/>
      <w:sz w:val="28"/>
      <w:szCs w:val="28"/>
    </w:rPr>
  </w:style>
  <w:style w:type="character" w:default="1" w:styleId="29">
    <w:name w:val="Default Paragraph Font"/>
    <w:autoRedefine/>
    <w:qFormat/>
    <w:uiPriority w:val="0"/>
  </w:style>
  <w:style w:type="table" w:default="1" w:styleId="27">
    <w:name w:val="Normal Table"/>
    <w:autoRedefine/>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7">
    <w:name w:val="caption"/>
    <w:basedOn w:val="1"/>
    <w:next w:val="1"/>
    <w:autoRedefine/>
    <w:qFormat/>
    <w:uiPriority w:val="35"/>
    <w:pPr>
      <w:spacing w:line="240" w:lineRule="auto"/>
      <w:ind w:firstLine="0" w:firstLineChars="0"/>
      <w:jc w:val="center"/>
    </w:pPr>
    <w:rPr>
      <w:b/>
      <w:sz w:val="21"/>
      <w:szCs w:val="20"/>
    </w:rPr>
  </w:style>
  <w:style w:type="paragraph" w:styleId="8">
    <w:name w:val="annotation text"/>
    <w:basedOn w:val="1"/>
    <w:link w:val="35"/>
    <w:qFormat/>
    <w:uiPriority w:val="0"/>
    <w:pPr>
      <w:jc w:val="left"/>
    </w:pPr>
    <w:rPr>
      <w:kern w:val="0"/>
      <w:sz w:val="24"/>
      <w:szCs w:val="20"/>
    </w:rPr>
  </w:style>
  <w:style w:type="paragraph" w:styleId="9">
    <w:name w:val="Body Text"/>
    <w:basedOn w:val="1"/>
    <w:link w:val="47"/>
    <w:qFormat/>
    <w:uiPriority w:val="0"/>
    <w:pPr>
      <w:widowControl/>
      <w:snapToGrid w:val="0"/>
      <w:spacing w:before="60" w:after="160" w:line="259" w:lineRule="auto"/>
      <w:ind w:right="113"/>
    </w:pPr>
    <w:rPr>
      <w:kern w:val="0"/>
      <w:sz w:val="18"/>
      <w:szCs w:val="20"/>
    </w:rPr>
  </w:style>
  <w:style w:type="paragraph" w:styleId="10">
    <w:name w:val="Body Text Indent"/>
    <w:basedOn w:val="1"/>
    <w:next w:val="11"/>
    <w:link w:val="48"/>
    <w:qFormat/>
    <w:uiPriority w:val="0"/>
    <w:pPr>
      <w:spacing w:after="120"/>
      <w:ind w:left="420" w:leftChars="200"/>
    </w:pPr>
    <w:rPr>
      <w:kern w:val="0"/>
      <w:sz w:val="24"/>
      <w:szCs w:val="20"/>
    </w:rPr>
  </w:style>
  <w:style w:type="paragraph" w:customStyle="1" w:styleId="11">
    <w:name w:val="样式 正文文本缩进 + 行距: 1.5 倍行距"/>
    <w:basedOn w:val="1"/>
    <w:qFormat/>
    <w:uiPriority w:val="0"/>
    <w:pPr>
      <w:spacing w:after="120" w:line="360" w:lineRule="auto"/>
      <w:ind w:left="90" w:leftChars="32" w:firstLine="560" w:firstLineChars="200"/>
    </w:pPr>
    <w:rPr>
      <w:rFonts w:cs="宋体"/>
      <w:sz w:val="24"/>
    </w:rPr>
  </w:style>
  <w:style w:type="paragraph" w:styleId="12">
    <w:name w:val="Block Text"/>
    <w:basedOn w:val="1"/>
    <w:qFormat/>
    <w:uiPriority w:val="0"/>
    <w:pPr>
      <w:spacing w:after="120"/>
      <w:ind w:left="1440" w:leftChars="700" w:right="1440" w:rightChars="700"/>
    </w:pPr>
  </w:style>
  <w:style w:type="paragraph" w:styleId="13">
    <w:name w:val="Plain Text"/>
    <w:basedOn w:val="1"/>
    <w:next w:val="1"/>
    <w:qFormat/>
    <w:uiPriority w:val="0"/>
    <w:rPr>
      <w:rFonts w:ascii="宋体" w:hAnsi="Courier New"/>
      <w:sz w:val="24"/>
      <w:szCs w:val="20"/>
    </w:rPr>
  </w:style>
  <w:style w:type="paragraph" w:styleId="14">
    <w:name w:val="Date"/>
    <w:basedOn w:val="1"/>
    <w:next w:val="1"/>
    <w:link w:val="49"/>
    <w:qFormat/>
    <w:uiPriority w:val="0"/>
    <w:pPr>
      <w:ind w:left="100" w:leftChars="2500"/>
    </w:pPr>
    <w:rPr>
      <w:kern w:val="0"/>
      <w:sz w:val="24"/>
      <w:szCs w:val="20"/>
    </w:r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link w:val="50"/>
    <w:autoRedefine/>
    <w:qFormat/>
    <w:uiPriority w:val="0"/>
    <w:rPr>
      <w:kern w:val="0"/>
      <w:sz w:val="18"/>
      <w:szCs w:val="20"/>
    </w:rPr>
  </w:style>
  <w:style w:type="paragraph" w:styleId="17">
    <w:name w:val="footer"/>
    <w:basedOn w:val="1"/>
    <w:next w:val="1"/>
    <w:link w:val="51"/>
    <w:qFormat/>
    <w:uiPriority w:val="99"/>
    <w:pPr>
      <w:tabs>
        <w:tab w:val="center" w:pos="4153"/>
        <w:tab w:val="right" w:pos="8306"/>
      </w:tabs>
      <w:snapToGrid w:val="0"/>
      <w:jc w:val="left"/>
    </w:pPr>
    <w:rPr>
      <w:kern w:val="0"/>
      <w:sz w:val="18"/>
      <w:szCs w:val="20"/>
    </w:rPr>
  </w:style>
  <w:style w:type="paragraph" w:styleId="18">
    <w:name w:val="header"/>
    <w:basedOn w:val="1"/>
    <w:link w:val="52"/>
    <w:qFormat/>
    <w:uiPriority w:val="0"/>
    <w:pPr>
      <w:pBdr>
        <w:bottom w:val="single" w:color="auto" w:sz="6" w:space="1"/>
      </w:pBdr>
      <w:tabs>
        <w:tab w:val="center" w:pos="4153"/>
        <w:tab w:val="right" w:pos="8306"/>
      </w:tabs>
      <w:snapToGrid w:val="0"/>
      <w:jc w:val="center"/>
    </w:pPr>
    <w:rPr>
      <w:kern w:val="0"/>
      <w:sz w:val="18"/>
      <w:szCs w:val="20"/>
    </w:rPr>
  </w:style>
  <w:style w:type="paragraph" w:styleId="19">
    <w:name w:val="toc 1"/>
    <w:basedOn w:val="1"/>
    <w:next w:val="1"/>
    <w:qFormat/>
    <w:uiPriority w:val="0"/>
  </w:style>
  <w:style w:type="paragraph" w:styleId="20">
    <w:name w:val="Body Text 2"/>
    <w:basedOn w:val="1"/>
    <w:unhideWhenUsed/>
    <w:qFormat/>
    <w:uiPriority w:val="99"/>
    <w:pPr>
      <w:spacing w:after="120" w:line="480" w:lineRule="auto"/>
    </w:pPr>
  </w:style>
  <w:style w:type="paragraph" w:styleId="2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2">
    <w:name w:val="Normal (Web)"/>
    <w:basedOn w:val="1"/>
    <w:link w:val="53"/>
    <w:qFormat/>
    <w:uiPriority w:val="0"/>
    <w:pPr>
      <w:widowControl/>
      <w:spacing w:before="100" w:beforeAutospacing="1" w:after="100" w:afterAutospacing="1"/>
      <w:jc w:val="left"/>
    </w:pPr>
    <w:rPr>
      <w:rFonts w:ascii="宋体" w:hAnsi="宋体"/>
      <w:kern w:val="0"/>
      <w:sz w:val="24"/>
      <w:szCs w:val="20"/>
    </w:rPr>
  </w:style>
  <w:style w:type="paragraph" w:styleId="23">
    <w:name w:val="annotation subject"/>
    <w:basedOn w:val="8"/>
    <w:next w:val="8"/>
    <w:link w:val="54"/>
    <w:autoRedefine/>
    <w:qFormat/>
    <w:uiPriority w:val="0"/>
    <w:rPr>
      <w:b/>
      <w:sz w:val="24"/>
      <w:szCs w:val="20"/>
    </w:rPr>
  </w:style>
  <w:style w:type="paragraph" w:styleId="24">
    <w:name w:val="Body Text First Indent"/>
    <w:basedOn w:val="1"/>
    <w:next w:val="25"/>
    <w:autoRedefine/>
    <w:qFormat/>
    <w:uiPriority w:val="0"/>
    <w:pPr>
      <w:ind w:firstLine="420" w:firstLineChars="100"/>
    </w:pPr>
    <w:rPr>
      <w:szCs w:val="24"/>
    </w:rPr>
  </w:style>
  <w:style w:type="paragraph" w:customStyle="1" w:styleId="25">
    <w:name w:val="正文文字（首行缩进2字）"/>
    <w:basedOn w:val="1"/>
    <w:autoRedefine/>
    <w:qFormat/>
    <w:uiPriority w:val="0"/>
    <w:pPr>
      <w:spacing w:line="360" w:lineRule="auto"/>
      <w:ind w:firstLine="200" w:firstLineChars="200"/>
    </w:pPr>
    <w:rPr>
      <w:rFonts w:ascii="Arial" w:hAnsi="Arial" w:eastAsia="宋体"/>
      <w:position w:val="-30"/>
      <w:sz w:val="24"/>
    </w:rPr>
  </w:style>
  <w:style w:type="paragraph" w:styleId="26">
    <w:name w:val="Body Text First Indent 2"/>
    <w:basedOn w:val="10"/>
    <w:next w:val="1"/>
    <w:autoRedefine/>
    <w:qFormat/>
    <w:uiPriority w:val="0"/>
    <w:pPr>
      <w:spacing w:line="360" w:lineRule="auto"/>
      <w:ind w:firstLine="420" w:firstLineChars="200"/>
      <w:jc w:val="left"/>
    </w:pPr>
  </w:style>
  <w:style w:type="table" w:styleId="28">
    <w:name w:val="Table Grid"/>
    <w:basedOn w:val="27"/>
    <w:autoRedefine/>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page number"/>
    <w:basedOn w:val="29"/>
    <w:qFormat/>
    <w:uiPriority w:val="0"/>
  </w:style>
  <w:style w:type="character" w:styleId="32">
    <w:name w:val="Hyperlink"/>
    <w:basedOn w:val="29"/>
    <w:autoRedefine/>
    <w:qFormat/>
    <w:uiPriority w:val="0"/>
    <w:rPr>
      <w:color w:val="0000FF"/>
      <w:u w:val="single"/>
    </w:rPr>
  </w:style>
  <w:style w:type="character" w:styleId="33">
    <w:name w:val="annotation reference"/>
    <w:autoRedefine/>
    <w:qFormat/>
    <w:uiPriority w:val="0"/>
    <w:rPr>
      <w:sz w:val="21"/>
    </w:rPr>
  </w:style>
  <w:style w:type="paragraph" w:customStyle="1" w:styleId="34">
    <w:name w:val="正文 首行缩进:  2 字符"/>
    <w:basedOn w:val="1"/>
    <w:qFormat/>
    <w:uiPriority w:val="99"/>
    <w:pPr>
      <w:ind w:firstLine="579" w:firstLineChars="200"/>
    </w:pPr>
    <w:rPr>
      <w:rFonts w:cs="宋体"/>
      <w:szCs w:val="20"/>
    </w:rPr>
  </w:style>
  <w:style w:type="character" w:customStyle="1" w:styleId="35">
    <w:name w:val="批注文字 Char"/>
    <w:link w:val="8"/>
    <w:qFormat/>
    <w:uiPriority w:val="0"/>
    <w:rPr>
      <w:rFonts w:ascii="Times New Roman" w:hAnsi="Times New Roman" w:eastAsia="宋体"/>
      <w:sz w:val="24"/>
    </w:rPr>
  </w:style>
  <w:style w:type="paragraph" w:customStyle="1" w:styleId="36">
    <w:name w:val="Default"/>
    <w:basedOn w:val="37"/>
    <w:next w:val="13"/>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7">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8">
    <w:name w:val="纯文本1"/>
    <w:basedOn w:val="1"/>
    <w:autoRedefine/>
    <w:qFormat/>
    <w:uiPriority w:val="0"/>
    <w:pPr>
      <w:adjustRightInd w:val="0"/>
    </w:pPr>
    <w:rPr>
      <w:rFonts w:ascii="宋体" w:hAnsi="Courier New"/>
    </w:rPr>
  </w:style>
  <w:style w:type="paragraph" w:customStyle="1" w:styleId="39">
    <w:name w:val="表格文字"/>
    <w:basedOn w:val="5"/>
    <w:next w:val="1"/>
    <w:qFormat/>
    <w:uiPriority w:val="0"/>
    <w:pPr>
      <w:snapToGrid w:val="0"/>
      <w:spacing w:line="240" w:lineRule="auto"/>
      <w:jc w:val="center"/>
    </w:pPr>
    <w:rPr>
      <w:rFonts w:ascii="宋体" w:hAnsi="宋体"/>
      <w:color w:val="000000"/>
      <w:szCs w:val="20"/>
    </w:rPr>
  </w:style>
  <w:style w:type="paragraph" w:customStyle="1" w:styleId="40">
    <w:name w:val="朔电正文"/>
    <w:basedOn w:val="1"/>
    <w:autoRedefine/>
    <w:qFormat/>
    <w:uiPriority w:val="0"/>
    <w:pPr>
      <w:adjustRightInd w:val="0"/>
      <w:snapToGrid w:val="0"/>
      <w:spacing w:beforeLines="25" w:line="440" w:lineRule="exact"/>
      <w:ind w:firstLine="200" w:firstLineChars="200"/>
    </w:pPr>
    <w:rPr>
      <w:color w:val="000000"/>
    </w:rPr>
  </w:style>
  <w:style w:type="character" w:customStyle="1" w:styleId="41">
    <w:name w:val="表格 Char"/>
    <w:link w:val="42"/>
    <w:qFormat/>
    <w:uiPriority w:val="0"/>
    <w:rPr>
      <w:rFonts w:ascii="宋体"/>
      <w:sz w:val="21"/>
    </w:rPr>
  </w:style>
  <w:style w:type="paragraph" w:customStyle="1" w:styleId="42">
    <w:name w:val="表格"/>
    <w:basedOn w:val="1"/>
    <w:next w:val="1"/>
    <w:link w:val="41"/>
    <w:qFormat/>
    <w:uiPriority w:val="0"/>
    <w:pPr>
      <w:adjustRightInd w:val="0"/>
      <w:snapToGrid w:val="0"/>
      <w:spacing w:beforeLines="10" w:afterLines="10" w:line="259" w:lineRule="auto"/>
      <w:jc w:val="center"/>
    </w:pPr>
    <w:rPr>
      <w:rFonts w:ascii="宋体"/>
      <w:kern w:val="0"/>
      <w:szCs w:val="20"/>
    </w:rPr>
  </w:style>
  <w:style w:type="paragraph" w:customStyle="1" w:styleId="43">
    <w:name w:val="Char Char Char Char Char Char1 Char Char Char Char"/>
    <w:basedOn w:val="1"/>
    <w:next w:val="1"/>
    <w:semiHidden/>
    <w:qFormat/>
    <w:uiPriority w:val="0"/>
    <w:pPr>
      <w:spacing w:line="360" w:lineRule="auto"/>
      <w:ind w:firstLine="200" w:firstLineChars="200"/>
    </w:pPr>
    <w:rPr>
      <w:rFonts w:ascii="宋体" w:hAnsi="宋体" w:cs="宋体"/>
      <w:sz w:val="21"/>
      <w:szCs w:val="21"/>
    </w:rPr>
  </w:style>
  <w:style w:type="paragraph" w:customStyle="1" w:styleId="44">
    <w:name w:val="Char Char Char Char Char Char Char Char Char Char"/>
    <w:basedOn w:val="1"/>
    <w:autoRedefine/>
    <w:qFormat/>
    <w:uiPriority w:val="0"/>
    <w:pPr>
      <w:adjustRightInd w:val="0"/>
      <w:snapToGrid w:val="0"/>
      <w:spacing w:line="360" w:lineRule="auto"/>
      <w:ind w:firstLine="200" w:firstLineChars="200"/>
    </w:pPr>
    <w:rPr>
      <w:rFonts w:eastAsia="楷体_GB2312"/>
    </w:rPr>
  </w:style>
  <w:style w:type="paragraph" w:customStyle="1" w:styleId="45">
    <w:name w:val="xl2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kern w:val="0"/>
      <w:sz w:val="16"/>
      <w:szCs w:val="16"/>
      <w:lang w:eastAsia="zh-TW"/>
    </w:rPr>
  </w:style>
  <w:style w:type="paragraph" w:customStyle="1" w:styleId="46">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character" w:customStyle="1" w:styleId="47">
    <w:name w:val="正文文本 Char"/>
    <w:link w:val="9"/>
    <w:autoRedefine/>
    <w:qFormat/>
    <w:uiPriority w:val="0"/>
    <w:rPr>
      <w:sz w:val="18"/>
    </w:rPr>
  </w:style>
  <w:style w:type="character" w:customStyle="1" w:styleId="48">
    <w:name w:val="正文文本缩进 Char"/>
    <w:link w:val="10"/>
    <w:autoRedefine/>
    <w:qFormat/>
    <w:uiPriority w:val="0"/>
    <w:rPr>
      <w:rFonts w:ascii="Times New Roman" w:hAnsi="Times New Roman" w:eastAsia="宋体"/>
      <w:sz w:val="24"/>
    </w:rPr>
  </w:style>
  <w:style w:type="character" w:customStyle="1" w:styleId="49">
    <w:name w:val="日期 Char"/>
    <w:link w:val="14"/>
    <w:autoRedefine/>
    <w:qFormat/>
    <w:uiPriority w:val="0"/>
    <w:rPr>
      <w:rFonts w:ascii="Times New Roman" w:hAnsi="Times New Roman" w:eastAsia="宋体"/>
      <w:sz w:val="24"/>
    </w:rPr>
  </w:style>
  <w:style w:type="character" w:customStyle="1" w:styleId="50">
    <w:name w:val="批注框文本 Char"/>
    <w:link w:val="16"/>
    <w:autoRedefine/>
    <w:qFormat/>
    <w:uiPriority w:val="0"/>
    <w:rPr>
      <w:rFonts w:ascii="Times New Roman" w:hAnsi="Times New Roman" w:eastAsia="宋体"/>
      <w:sz w:val="18"/>
    </w:rPr>
  </w:style>
  <w:style w:type="character" w:customStyle="1" w:styleId="51">
    <w:name w:val="页脚 Char"/>
    <w:link w:val="17"/>
    <w:autoRedefine/>
    <w:qFormat/>
    <w:uiPriority w:val="99"/>
    <w:rPr>
      <w:sz w:val="18"/>
    </w:rPr>
  </w:style>
  <w:style w:type="character" w:customStyle="1" w:styleId="52">
    <w:name w:val="页眉 Char"/>
    <w:link w:val="18"/>
    <w:autoRedefine/>
    <w:qFormat/>
    <w:uiPriority w:val="0"/>
    <w:rPr>
      <w:sz w:val="18"/>
    </w:rPr>
  </w:style>
  <w:style w:type="character" w:customStyle="1" w:styleId="53">
    <w:name w:val="普通(网站) Char"/>
    <w:link w:val="22"/>
    <w:autoRedefine/>
    <w:qFormat/>
    <w:uiPriority w:val="0"/>
    <w:rPr>
      <w:rFonts w:ascii="宋体" w:hAnsi="宋体" w:eastAsia="宋体"/>
      <w:sz w:val="24"/>
    </w:rPr>
  </w:style>
  <w:style w:type="character" w:customStyle="1" w:styleId="54">
    <w:name w:val="批注主题 Char"/>
    <w:link w:val="23"/>
    <w:autoRedefine/>
    <w:qFormat/>
    <w:uiPriority w:val="0"/>
    <w:rPr>
      <w:rFonts w:ascii="Times New Roman" w:hAnsi="Times New Roman" w:eastAsia="宋体"/>
      <w:b/>
      <w:kern w:val="2"/>
      <w:sz w:val="24"/>
    </w:rPr>
  </w:style>
  <w:style w:type="paragraph" w:customStyle="1" w:styleId="55">
    <w:name w:val="Default1"/>
    <w:basedOn w:val="56"/>
    <w:next w:val="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6">
    <w:name w:val="常用正文样式"/>
    <w:autoRedefine/>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57">
    <w:name w:val="页脚 字符"/>
    <w:basedOn w:val="29"/>
    <w:autoRedefine/>
    <w:qFormat/>
    <w:uiPriority w:val="99"/>
  </w:style>
  <w:style w:type="character" w:customStyle="1" w:styleId="58">
    <w:name w:val="正文文本 字符1"/>
    <w:autoRedefine/>
    <w:qFormat/>
    <w:uiPriority w:val="0"/>
    <w:rPr>
      <w:rFonts w:ascii="Times New Roman" w:hAnsi="Times New Roman" w:eastAsia="宋体"/>
      <w:sz w:val="24"/>
    </w:rPr>
  </w:style>
  <w:style w:type="character" w:customStyle="1" w:styleId="59">
    <w:name w:val="日期 字符"/>
    <w:autoRedefine/>
    <w:qFormat/>
    <w:uiPriority w:val="0"/>
    <w:rPr>
      <w:rFonts w:ascii="Times New Roman" w:hAnsi="Times New Roman" w:eastAsia="宋体"/>
      <w:sz w:val="24"/>
    </w:rPr>
  </w:style>
  <w:style w:type="character" w:customStyle="1" w:styleId="60">
    <w:name w:val="批注文字 字符1"/>
    <w:autoRedefine/>
    <w:qFormat/>
    <w:uiPriority w:val="0"/>
    <w:rPr>
      <w:rFonts w:ascii="Times New Roman" w:hAnsi="Times New Roman" w:eastAsia="宋体"/>
      <w:sz w:val="24"/>
    </w:rPr>
  </w:style>
  <w:style w:type="paragraph" w:customStyle="1" w:styleId="61">
    <w:name w:val="正文_1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普通(网站)2"/>
    <w:basedOn w:val="1"/>
    <w:autoRedefine/>
    <w:qFormat/>
    <w:uiPriority w:val="0"/>
    <w:pPr>
      <w:widowControl/>
      <w:spacing w:before="100" w:beforeAutospacing="1" w:after="100" w:afterAutospacing="1"/>
      <w:jc w:val="left"/>
    </w:pPr>
    <w:rPr>
      <w:rFonts w:ascii="宋体" w:hAnsi="宋体"/>
      <w:sz w:val="24"/>
      <w:szCs w:val="20"/>
    </w:rPr>
  </w:style>
  <w:style w:type="paragraph" w:customStyle="1" w:styleId="63">
    <w:name w:val="表内容"/>
    <w:basedOn w:val="13"/>
    <w:autoRedefine/>
    <w:qFormat/>
    <w:uiPriority w:val="0"/>
    <w:pPr>
      <w:jc w:val="center"/>
    </w:pPr>
    <w:rPr>
      <w:rFonts w:ascii="Times New Roman" w:hAnsi="Times New Roman"/>
      <w:sz w:val="21"/>
    </w:rPr>
  </w:style>
  <w:style w:type="character" w:customStyle="1" w:styleId="64">
    <w:name w:val="font21"/>
    <w:basedOn w:val="29"/>
    <w:autoRedefine/>
    <w:qFormat/>
    <w:uiPriority w:val="0"/>
    <w:rPr>
      <w:rFonts w:hint="eastAsia" w:ascii="宋体" w:hAnsi="宋体" w:eastAsia="宋体" w:cs="宋体"/>
      <w:b/>
      <w:bCs/>
      <w:color w:val="000000"/>
      <w:sz w:val="18"/>
      <w:szCs w:val="18"/>
      <w:u w:val="none"/>
    </w:rPr>
  </w:style>
  <w:style w:type="character" w:customStyle="1" w:styleId="65">
    <w:name w:val="font41"/>
    <w:basedOn w:val="29"/>
    <w:autoRedefine/>
    <w:qFormat/>
    <w:uiPriority w:val="0"/>
    <w:rPr>
      <w:rFonts w:hint="default" w:ascii="Times New Roman" w:hAnsi="Times New Roman" w:cs="Times New Roman"/>
      <w:b/>
      <w:bCs/>
      <w:color w:val="000000"/>
      <w:sz w:val="18"/>
      <w:szCs w:val="18"/>
      <w:u w:val="none"/>
    </w:rPr>
  </w:style>
  <w:style w:type="paragraph" w:customStyle="1" w:styleId="66">
    <w:name w:val="报告正文"/>
    <w:basedOn w:val="1"/>
    <w:autoRedefine/>
    <w:qFormat/>
    <w:uiPriority w:val="99"/>
    <w:pPr>
      <w:autoSpaceDE w:val="0"/>
      <w:autoSpaceDN w:val="0"/>
      <w:spacing w:line="560" w:lineRule="atLeast"/>
      <w:ind w:firstLine="200" w:firstLineChars="200"/>
    </w:pPr>
    <w:rPr>
      <w:rFonts w:ascii="宋体"/>
      <w:kern w:val="0"/>
      <w:sz w:val="24"/>
    </w:rPr>
  </w:style>
  <w:style w:type="paragraph" w:customStyle="1" w:styleId="67">
    <w:name w:val="李表头常用格式"/>
    <w:basedOn w:val="12"/>
    <w:autoRedefine/>
    <w:qFormat/>
    <w:uiPriority w:val="0"/>
    <w:pPr>
      <w:adjustRightInd/>
      <w:snapToGrid w:val="0"/>
      <w:spacing w:after="0" w:line="320" w:lineRule="exact"/>
      <w:ind w:left="0" w:leftChars="0" w:right="0" w:rightChars="0"/>
      <w:jc w:val="center"/>
      <w:textAlignment w:val="auto"/>
    </w:pPr>
    <w:rPr>
      <w:rFonts w:eastAsia="黑体"/>
      <w:color w:val="000000"/>
      <w:szCs w:val="21"/>
    </w:rPr>
  </w:style>
  <w:style w:type="paragraph" w:customStyle="1" w:styleId="68">
    <w:name w:val="标准正文"/>
    <w:basedOn w:val="1"/>
    <w:autoRedefine/>
    <w:qFormat/>
    <w:uiPriority w:val="0"/>
    <w:pPr>
      <w:spacing w:line="360" w:lineRule="auto"/>
      <w:ind w:firstLine="200" w:firstLineChars="200"/>
      <w:jc w:val="left"/>
    </w:pPr>
    <w:rPr>
      <w:sz w:val="24"/>
      <w:szCs w:val="22"/>
    </w:rPr>
  </w:style>
  <w:style w:type="paragraph" w:customStyle="1" w:styleId="69">
    <w:name w:val="正文1"/>
    <w:basedOn w:val="1"/>
    <w:next w:val="1"/>
    <w:autoRedefine/>
    <w:qFormat/>
    <w:uiPriority w:val="0"/>
    <w:pPr>
      <w:tabs>
        <w:tab w:val="left" w:pos="1455"/>
      </w:tabs>
      <w:spacing w:line="480" w:lineRule="exact"/>
      <w:ind w:firstLine="480" w:firstLineChars="200"/>
    </w:pPr>
    <w:rPr>
      <w:sz w:val="24"/>
      <w:szCs w:val="24"/>
    </w:rPr>
  </w:style>
  <w:style w:type="paragraph" w:customStyle="1" w:styleId="70">
    <w:name w:val="表中"/>
    <w:basedOn w:val="1"/>
    <w:autoRedefine/>
    <w:qFormat/>
    <w:uiPriority w:val="0"/>
    <w:pPr>
      <w:adjustRightInd/>
      <w:spacing w:line="360" w:lineRule="exact"/>
      <w:jc w:val="center"/>
      <w:textAlignment w:val="auto"/>
    </w:pPr>
    <w:rPr>
      <w:szCs w:val="21"/>
      <w:lang w:val="de-DE"/>
    </w:rPr>
  </w:style>
  <w:style w:type="paragraph" w:customStyle="1" w:styleId="71">
    <w:name w:val="环评正文"/>
    <w:autoRedefine/>
    <w:qFormat/>
    <w:uiPriority w:val="0"/>
    <w:pPr>
      <w:adjustRightInd w:val="0"/>
      <w:snapToGrid w:val="0"/>
      <w:spacing w:line="480" w:lineRule="exact"/>
      <w:ind w:firstLine="200" w:firstLineChars="200"/>
    </w:pPr>
    <w:rPr>
      <w:rFonts w:ascii="Times New Roman" w:hAnsi="Times New Roman" w:eastAsia="宋体" w:cs="Times New Roman"/>
      <w:sz w:val="24"/>
      <w:lang w:val="en-US" w:eastAsia="zh-CN" w:bidi="ar-SA"/>
    </w:rPr>
  </w:style>
  <w:style w:type="paragraph" w:customStyle="1" w:styleId="72">
    <w:name w:val="表格新格式"/>
    <w:basedOn w:val="1"/>
    <w:autoRedefine/>
    <w:qFormat/>
    <w:uiPriority w:val="0"/>
    <w:pPr>
      <w:adjustRightInd/>
      <w:spacing w:line="280" w:lineRule="exact"/>
      <w:jc w:val="center"/>
      <w:textAlignment w:val="auto"/>
    </w:pPr>
    <w:rPr>
      <w:color w:val="000000"/>
      <w:szCs w:val="21"/>
    </w:rPr>
  </w:style>
  <w:style w:type="paragraph" w:customStyle="1" w:styleId="73">
    <w:name w:val="表头样式"/>
    <w:basedOn w:val="1"/>
    <w:autoRedefine/>
    <w:qFormat/>
    <w:uiPriority w:val="0"/>
    <w:pPr>
      <w:snapToGrid w:val="0"/>
      <w:spacing w:line="420" w:lineRule="auto"/>
      <w:ind w:firstLine="480" w:firstLineChars="200"/>
      <w:jc w:val="left"/>
    </w:pPr>
    <w:rPr>
      <w:color w:val="FF0000"/>
      <w:sz w:val="24"/>
      <w:u w:val="single"/>
    </w:rPr>
  </w:style>
  <w:style w:type="paragraph" w:customStyle="1" w:styleId="74">
    <w:name w:val="Table Paragraph"/>
    <w:basedOn w:val="1"/>
    <w:autoRedefine/>
    <w:qFormat/>
    <w:uiPriority w:val="99"/>
  </w:style>
  <w:style w:type="paragraph" w:customStyle="1" w:styleId="75">
    <w:name w:val="正文 1"/>
    <w:basedOn w:val="1"/>
    <w:autoRedefine/>
    <w:qFormat/>
    <w:uiPriority w:val="0"/>
    <w:pPr>
      <w:spacing w:line="480" w:lineRule="exact"/>
      <w:ind w:firstLine="567"/>
    </w:pPr>
    <w:rPr>
      <w:sz w:val="28"/>
    </w:rPr>
  </w:style>
  <w:style w:type="paragraph" w:customStyle="1" w:styleId="76">
    <w:name w:val="表格-zjr"/>
    <w:basedOn w:val="1"/>
    <w:autoRedefine/>
    <w:qFormat/>
    <w:uiPriority w:val="0"/>
    <w:pPr>
      <w:spacing w:line="240" w:lineRule="auto"/>
      <w:ind w:firstLine="0" w:firstLineChars="0"/>
      <w:jc w:val="center"/>
    </w:pPr>
    <w:rPr>
      <w:rFonts w:ascii="Times New Roman" w:hAnsi="Times New Roman" w:eastAsia="宋体" w:cs="Times New Roman"/>
      <w:sz w:val="21"/>
    </w:rPr>
  </w:style>
  <w:style w:type="paragraph" w:customStyle="1" w:styleId="77">
    <w:name w:val="表格标题1"/>
    <w:basedOn w:val="1"/>
    <w:autoRedefine/>
    <w:qFormat/>
    <w:uiPriority w:val="99"/>
    <w:pPr>
      <w:adjustRightInd w:val="0"/>
      <w:snapToGrid w:val="0"/>
      <w:spacing w:line="440" w:lineRule="exact"/>
      <w:jc w:val="center"/>
    </w:pPr>
    <w:rPr>
      <w:rFonts w:ascii="宋体" w:hAnsi="宋体"/>
      <w:b/>
    </w:rPr>
  </w:style>
  <w:style w:type="paragraph" w:customStyle="1" w:styleId="78">
    <w:name w:val="表格-小四"/>
    <w:basedOn w:val="1"/>
    <w:autoRedefine/>
    <w:qFormat/>
    <w:uiPriority w:val="0"/>
    <w:pPr>
      <w:spacing w:line="300" w:lineRule="auto"/>
      <w:ind w:firstLine="0" w:firstLineChars="0"/>
      <w:jc w:val="center"/>
    </w:pPr>
    <w:rPr>
      <w:rFonts w:ascii="Times New Roman" w:hAnsi="Times New Roman" w:eastAsia="宋体" w:cs="宋体"/>
      <w:sz w:val="24"/>
    </w:rPr>
  </w:style>
  <w:style w:type="paragraph" w:customStyle="1" w:styleId="79">
    <w:name w:val="5表标题"/>
    <w:autoRedefine/>
    <w:qFormat/>
    <w:uiPriority w:val="0"/>
    <w:pPr>
      <w:jc w:val="center"/>
    </w:pPr>
    <w:rPr>
      <w:rFonts w:ascii="Times New Roman" w:hAnsi="Times New Roman" w:eastAsia="宋体" w:cs="宋体"/>
      <w:b/>
      <w:bCs/>
      <w:kern w:val="2"/>
      <w:sz w:val="21"/>
      <w:lang w:val="en-US" w:eastAsia="zh-CN" w:bidi="ar-SA"/>
    </w:rPr>
  </w:style>
  <w:style w:type="paragraph" w:customStyle="1" w:styleId="80">
    <w:name w:val="zlf表格文字"/>
    <w:autoRedefine/>
    <w:qFormat/>
    <w:uiPriority w:val="0"/>
    <w:pPr>
      <w:spacing w:line="276" w:lineRule="auto"/>
      <w:jc w:val="center"/>
    </w:pPr>
    <w:rPr>
      <w:rFonts w:ascii="Times New Roman" w:hAnsi="Times New Roman" w:eastAsia="宋体" w:cs="Times New Roman"/>
      <w:kern w:val="2"/>
      <w:sz w:val="21"/>
      <w:szCs w:val="24"/>
      <w:lang w:val="en-US" w:eastAsia="zh-CN" w:bidi="ar-SA"/>
    </w:rPr>
  </w:style>
  <w:style w:type="paragraph" w:customStyle="1" w:styleId="81">
    <w:name w:val="li 表头文字"/>
    <w:autoRedefine/>
    <w:qFormat/>
    <w:uiPriority w:val="0"/>
    <w:pPr>
      <w:spacing w:line="460" w:lineRule="exact"/>
      <w:jc w:val="center"/>
    </w:pPr>
    <w:rPr>
      <w:rFonts w:ascii="Times New Roman" w:hAnsi="Times New Roman" w:eastAsia="宋体" w:cs="Times New Roman"/>
      <w:b/>
      <w:spacing w:val="4"/>
      <w:kern w:val="2"/>
      <w:sz w:val="21"/>
      <w:szCs w:val="21"/>
      <w:lang w:val="en-US" w:eastAsia="zh-CN" w:bidi="ar-SA"/>
    </w:rPr>
  </w:style>
  <w:style w:type="character" w:customStyle="1" w:styleId="82">
    <w:name w:val="表内文字"/>
    <w:autoRedefine/>
    <w:qFormat/>
    <w:uiPriority w:val="0"/>
    <w:rPr>
      <w:rFonts w:ascii="Times New Roman" w:hAnsi="Times New Roman" w:eastAsia="仿宋_GB2312"/>
      <w:sz w:val="24"/>
      <w:szCs w:val="24"/>
    </w:rPr>
  </w:style>
  <w:style w:type="paragraph" w:customStyle="1" w:styleId="83">
    <w:name w:val="a正文排版格式"/>
    <w:basedOn w:val="84"/>
    <w:autoRedefine/>
    <w:qFormat/>
    <w:uiPriority w:val="99"/>
    <w:pPr>
      <w:spacing w:line="500" w:lineRule="exact"/>
      <w:ind w:firstLine="420"/>
    </w:pPr>
    <w:rPr>
      <w:rFonts w:eastAsia="仿宋_GB2312"/>
      <w:kern w:val="0"/>
      <w:sz w:val="28"/>
    </w:rPr>
  </w:style>
  <w:style w:type="paragraph" w:customStyle="1" w:styleId="84">
    <w:name w:val="正文 New New"/>
    <w:autoRedefine/>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5">
    <w:name w:val="z正文"/>
    <w:basedOn w:val="1"/>
    <w:autoRedefine/>
    <w:qFormat/>
    <w:uiPriority w:val="0"/>
    <w:rPr>
      <w:rFonts w:cs="宋体"/>
      <w:kern w:val="0"/>
      <w:szCs w:val="20"/>
    </w:rPr>
  </w:style>
  <w:style w:type="table" w:customStyle="1" w:styleId="86">
    <w:name w:val="Table Normal"/>
    <w:autoRedefine/>
    <w:qFormat/>
    <w:uiPriority w:val="0"/>
    <w:tblPr>
      <w:tblCellMar>
        <w:top w:w="0" w:type="dxa"/>
        <w:left w:w="0" w:type="dxa"/>
        <w:bottom w:w="0" w:type="dxa"/>
        <w:right w:w="0" w:type="dxa"/>
      </w:tblCellMar>
    </w:tblPr>
  </w:style>
  <w:style w:type="paragraph" w:customStyle="1" w:styleId="87">
    <w:name w:val="正文_4"/>
    <w:autoRedefine/>
    <w:qFormat/>
    <w:uiPriority w:val="0"/>
    <w:pPr>
      <w:widowControl w:val="0"/>
      <w:jc w:val="both"/>
    </w:pPr>
    <w:rPr>
      <w:rFonts w:ascii="Calibri" w:hAnsi="Calibri" w:eastAsia="宋体" w:cs="Times New Roman"/>
      <w:kern w:val="2"/>
      <w:sz w:val="21"/>
      <w:lang w:val="en-US" w:eastAsia="zh-CN" w:bidi="ar-SA"/>
    </w:rPr>
  </w:style>
  <w:style w:type="paragraph" w:customStyle="1" w:styleId="88">
    <w:name w:val="文字描述"/>
    <w:basedOn w:val="1"/>
    <w:autoRedefine/>
    <w:qFormat/>
    <w:uiPriority w:val="0"/>
    <w:pPr>
      <w:adjustRightInd w:val="0"/>
      <w:snapToGrid w:val="0"/>
      <w:spacing w:line="360" w:lineRule="auto"/>
      <w:ind w:firstLine="200" w:firstLineChars="200"/>
    </w:pPr>
    <w:rPr>
      <w:spacing w:val="-2"/>
      <w:szCs w:val="24"/>
    </w:rPr>
  </w:style>
  <w:style w:type="paragraph" w:customStyle="1" w:styleId="89">
    <w:name w:val="Other|1"/>
    <w:basedOn w:val="1"/>
    <w:autoRedefine/>
    <w:qFormat/>
    <w:uiPriority w:val="0"/>
    <w:pPr>
      <w:spacing w:after="330"/>
    </w:pPr>
    <w:rPr>
      <w:rFonts w:ascii="宋体" w:hAnsi="宋体" w:cs="宋体"/>
    </w:rPr>
  </w:style>
  <w:style w:type="table" w:customStyle="1" w:styleId="90">
    <w:name w:val="网格型刘2"/>
    <w:basedOn w:val="27"/>
    <w:autoRedefine/>
    <w:qFormat/>
    <w:uiPriority w:val="0"/>
    <w:pPr>
      <w:widowControl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91">
    <w:name w:val="WPSOffice手动目录 1"/>
    <w:autoRedefine/>
    <w:qFormat/>
    <w:uiPriority w:val="0"/>
    <w:pPr>
      <w:ind w:leftChars="0"/>
    </w:pPr>
    <w:rPr>
      <w:rFonts w:ascii="Times New Roman" w:hAnsi="Times New Roman" w:eastAsia="宋体" w:cs="Times New Roman"/>
      <w:sz w:val="20"/>
      <w:szCs w:val="20"/>
    </w:rPr>
  </w:style>
  <w:style w:type="character" w:customStyle="1" w:styleId="92">
    <w:name w:val="正文文本 (2)1"/>
    <w:basedOn w:val="93"/>
    <w:autoRedefine/>
    <w:unhideWhenUsed/>
    <w:qFormat/>
    <w:uiPriority w:val="99"/>
    <w:rPr>
      <w:rFonts w:hint="eastAsia"/>
      <w:sz w:val="22"/>
    </w:rPr>
  </w:style>
  <w:style w:type="character" w:customStyle="1" w:styleId="93">
    <w:name w:val="正文文本 (2)_"/>
    <w:basedOn w:val="29"/>
    <w:link w:val="94"/>
    <w:autoRedefine/>
    <w:unhideWhenUsed/>
    <w:qFormat/>
    <w:uiPriority w:val="99"/>
    <w:rPr>
      <w:rFonts w:ascii="宋体" w:hAnsi="宋体" w:cs="宋体"/>
      <w:kern w:val="0"/>
      <w:sz w:val="22"/>
      <w:szCs w:val="22"/>
    </w:rPr>
  </w:style>
  <w:style w:type="paragraph" w:customStyle="1" w:styleId="94">
    <w:name w:val="正文文本 (2)"/>
    <w:basedOn w:val="1"/>
    <w:link w:val="93"/>
    <w:autoRedefine/>
    <w:qFormat/>
    <w:uiPriority w:val="0"/>
    <w:pPr>
      <w:shd w:val="clear" w:color="auto" w:fill="FFFFFF"/>
      <w:adjustRightInd/>
      <w:spacing w:before="240" w:line="465" w:lineRule="exact"/>
      <w:ind w:hanging="140"/>
      <w:jc w:val="left"/>
      <w:textAlignment w:val="auto"/>
    </w:pPr>
    <w:rPr>
      <w:rFonts w:ascii="宋体" w:hAnsi="宋体" w:cs="宋体"/>
      <w:kern w:val="0"/>
      <w:sz w:val="22"/>
      <w:szCs w:val="22"/>
    </w:rPr>
  </w:style>
  <w:style w:type="paragraph" w:customStyle="1" w:styleId="95">
    <w:name w:val="(中文) 仿宋_GB2312 四号 行距: 固定值 28 磅 首行缩进:  2 字符"/>
    <w:basedOn w:val="1"/>
    <w:autoRedefine/>
    <w:qFormat/>
    <w:uiPriority w:val="0"/>
    <w:pPr>
      <w:spacing w:line="560" w:lineRule="exact"/>
      <w:ind w:firstLine="560" w:firstLineChars="200"/>
    </w:pPr>
    <w:rPr>
      <w:rFonts w:hint="eastAsia" w:ascii="宋体"/>
      <w:kern w:val="0"/>
      <w:position w:val="8"/>
      <w:sz w:val="28"/>
      <w:szCs w:val="20"/>
    </w:rPr>
  </w:style>
  <w:style w:type="character" w:customStyle="1" w:styleId="96">
    <w:name w:val="Default Char"/>
    <w:basedOn w:val="29"/>
    <w:autoRedefine/>
    <w:qFormat/>
    <w:uiPriority w:val="0"/>
    <w:rPr>
      <w:rFonts w:hint="eastAsia" w:ascii="宋体" w:hAnsi="宋体" w:eastAsia="宋体" w:cs="宋体"/>
      <w:color w:val="000000"/>
      <w:sz w:val="24"/>
      <w:szCs w:val="24"/>
    </w:rPr>
  </w:style>
  <w:style w:type="paragraph" w:customStyle="1" w:styleId="97">
    <w:name w:val="6表内文字 居中"/>
    <w:basedOn w:val="1"/>
    <w:autoRedefine/>
    <w:qFormat/>
    <w:uiPriority w:val="0"/>
    <w:pPr>
      <w:adjustRightInd w:val="0"/>
      <w:spacing w:line="400" w:lineRule="exact"/>
      <w:jc w:val="center"/>
      <w:textAlignment w:val="baseline"/>
    </w:pPr>
    <w:rPr>
      <w:rFonts w:ascii="宋体"/>
      <w:snapToGrid w:val="0"/>
      <w:kern w:val="0"/>
    </w:rPr>
  </w:style>
  <w:style w:type="paragraph" w:customStyle="1" w:styleId="98">
    <w:name w:val="样式 标题 4 + 段前: 5 磅 段后: 3 磅 行距: 固定值 26 磅"/>
    <w:basedOn w:val="6"/>
    <w:autoRedefine/>
    <w:qFormat/>
    <w:uiPriority w:val="0"/>
    <w:pPr>
      <w:numPr>
        <w:ilvl w:val="0"/>
        <w:numId w:val="2"/>
      </w:numPr>
      <w:tabs>
        <w:tab w:val="left" w:pos="0"/>
      </w:tabs>
      <w:spacing w:before="0" w:after="0" w:line="500" w:lineRule="exact"/>
    </w:pPr>
    <w:rPr>
      <w:rFonts w:ascii="楷体_GB2312" w:hAnsi="宋体" w:eastAsia="楷体_GB2312" w:cs="Times New Roman"/>
      <w:color w:val="000000"/>
      <w:sz w:val="21"/>
      <w:szCs w:val="20"/>
    </w:rPr>
  </w:style>
  <w:style w:type="paragraph" w:customStyle="1" w:styleId="99">
    <w:name w:val="3级节标题"/>
    <w:basedOn w:val="1"/>
    <w:autoRedefine/>
    <w:qFormat/>
    <w:uiPriority w:val="0"/>
    <w:pPr>
      <w:spacing w:before="163" w:beforeLines="50" w:after="163" w:afterLines="50"/>
      <w:ind w:firstLine="643"/>
      <w:outlineLvl w:val="2"/>
    </w:pPr>
    <w:rPr>
      <w:b/>
      <w:bCs/>
      <w:color w:val="000000"/>
    </w:rPr>
  </w:style>
  <w:style w:type="paragraph" w:customStyle="1" w:styleId="100">
    <w:name w:val="题注文字"/>
    <w:basedOn w:val="1"/>
    <w:autoRedefine/>
    <w:qFormat/>
    <w:uiPriority w:val="0"/>
    <w:pPr>
      <w:widowControl/>
      <w:spacing w:before="0" w:after="0" w:line="240" w:lineRule="auto"/>
      <w:ind w:firstLine="0" w:firstLineChars="0"/>
      <w:jc w:val="center"/>
    </w:pPr>
    <w:rPr>
      <w:rFonts w:ascii="Times New Roman" w:hAnsi="Times New Roman" w:eastAsia="宋体"/>
      <w:sz w:val="21"/>
      <w:szCs w:val="21"/>
      <w:lang w:bidi="ar"/>
    </w:rPr>
  </w:style>
  <w:style w:type="paragraph" w:customStyle="1" w:styleId="101">
    <w:name w:val="正文内容"/>
    <w:autoRedefine/>
    <w:qFormat/>
    <w:uiPriority w:val="0"/>
    <w:pPr>
      <w:widowControl w:val="0"/>
      <w:snapToGrid w:val="0"/>
      <w:spacing w:before="60" w:after="60" w:line="480" w:lineRule="exact"/>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102">
    <w:name w:val="报告表正文"/>
    <w:basedOn w:val="1"/>
    <w:semiHidden/>
    <w:qFormat/>
    <w:uiPriority w:val="0"/>
    <w:pPr>
      <w:adjustRightInd w:val="0"/>
      <w:spacing w:line="312" w:lineRule="auto"/>
      <w:ind w:left="113" w:right="113" w:firstLine="482"/>
      <w:jc w:val="left"/>
      <w:textAlignment w:val="baseline"/>
    </w:pPr>
    <w:rPr>
      <w:kern w:val="0"/>
      <w:sz w:val="24"/>
      <w:szCs w:val="20"/>
    </w:rPr>
  </w:style>
  <w:style w:type="paragraph" w:customStyle="1" w:styleId="103">
    <w:name w:val="正文（首行式样2）"/>
    <w:basedOn w:val="5"/>
    <w:qFormat/>
    <w:uiPriority w:val="0"/>
    <w:pPr>
      <w:spacing w:line="540" w:lineRule="exact"/>
      <w:ind w:firstLine="560"/>
    </w:pPr>
    <w:rPr>
      <w:rFonts w:ascii="Times New Roman" w:hAnsi="Times New Roman"/>
      <w:bCs/>
      <w:kern w:val="0"/>
      <w:sz w:val="28"/>
      <w:szCs w:val="20"/>
      <w:lang w:val="en-US" w:eastAsia="zh-CN"/>
    </w:rPr>
  </w:style>
  <w:style w:type="paragraph" w:customStyle="1" w:styleId="104">
    <w:name w:val="表格内"/>
    <w:basedOn w:val="105"/>
    <w:qFormat/>
    <w:uiPriority w:val="0"/>
    <w:pPr>
      <w:adjustRightInd w:val="0"/>
      <w:snapToGrid w:val="0"/>
      <w:spacing w:line="240" w:lineRule="auto"/>
      <w:ind w:firstLine="0" w:firstLineChars="0"/>
      <w:jc w:val="center"/>
    </w:pPr>
    <w:rPr>
      <w:sz w:val="21"/>
      <w:szCs w:val="24"/>
    </w:rPr>
  </w:style>
  <w:style w:type="paragraph" w:customStyle="1" w:styleId="105">
    <w:name w:val="表格里居中"/>
    <w:basedOn w:val="13"/>
    <w:unhideWhenUsed/>
    <w:qFormat/>
    <w:uiPriority w:val="99"/>
    <w:pPr>
      <w:spacing w:beforeLines="0" w:afterLines="0"/>
      <w:jc w:val="center"/>
    </w:pPr>
    <w:rPr>
      <w:rFonts w:hint="eastAsia" w:ascii="Times New Roman" w:hAnsi="Times New Roman" w:eastAsia="Times New Roman"/>
      <w:sz w:val="20"/>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20.jpeg"/><Relationship Id="rId40" Type="http://schemas.openxmlformats.org/officeDocument/2006/relationships/image" Target="media/image19.png"/><Relationship Id="rId4" Type="http://schemas.openxmlformats.org/officeDocument/2006/relationships/header" Target="header1.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image" Target="media/image16.jpeg"/><Relationship Id="rId36" Type="http://schemas.openxmlformats.org/officeDocument/2006/relationships/image" Target="media/image15.jpe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wmf"/><Relationship Id="rId32" Type="http://schemas.openxmlformats.org/officeDocument/2006/relationships/image" Target="media/image11.wmf"/><Relationship Id="rId31" Type="http://schemas.openxmlformats.org/officeDocument/2006/relationships/image" Target="media/image10.wmf"/><Relationship Id="rId30" Type="http://schemas.openxmlformats.org/officeDocument/2006/relationships/image" Target="media/image9.wmf"/><Relationship Id="rId3" Type="http://schemas.openxmlformats.org/officeDocument/2006/relationships/footer" Target="footer1.xml"/><Relationship Id="rId29" Type="http://schemas.openxmlformats.org/officeDocument/2006/relationships/image" Target="media/image8.wmf"/><Relationship Id="rId28" Type="http://schemas.openxmlformats.org/officeDocument/2006/relationships/image" Target="media/image7.wmf"/><Relationship Id="rId27" Type="http://schemas.openxmlformats.org/officeDocument/2006/relationships/oleObject" Target="embeddings/oleObject2.bin"/><Relationship Id="rId26" Type="http://schemas.openxmlformats.org/officeDocument/2006/relationships/image" Target="media/image6.wmf"/><Relationship Id="rId25" Type="http://schemas.openxmlformats.org/officeDocument/2006/relationships/oleObject" Target="embeddings/oleObject1.bin"/><Relationship Id="rId24" Type="http://schemas.openxmlformats.org/officeDocument/2006/relationships/image" Target="media/image5.wmf"/><Relationship Id="rId23" Type="http://schemas.openxmlformats.org/officeDocument/2006/relationships/image" Target="media/image4.wmf"/><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5.xml"/><Relationship Id="rId17" Type="http://schemas.openxmlformats.org/officeDocument/2006/relationships/header" Target="header11.xml"/><Relationship Id="rId16" Type="http://schemas.openxmlformats.org/officeDocument/2006/relationships/header" Target="header10.xml"/><Relationship Id="rId15" Type="http://schemas.openxmlformats.org/officeDocument/2006/relationships/footer" Target="footer4.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uaner\Library\Containers\com.kingsoft.wpsoffice.mac\Data\E:\Users\yuaner\Library\Containers\com.kingsoft.wpsoffice.mac\Data\E:\Users\yuaner\Library\Containers\com.kingsoft.wpsoffice.mac\Data\D:\Users\yuaner\Library\Containers\com.kingsoft.wpsoffice.mac\Data\D:\Users\yuaner\Library\Containers\com.kingsoft.wpsoffice.mac\Data\D:\WPS\WPS%20Office\12.1.0.20784\office6\file:\C:\dsoa\wdzx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70</Pages>
  <Words>47796</Words>
  <Characters>52926</Characters>
  <Paragraphs>5214</Paragraphs>
  <TotalTime>13</TotalTime>
  <ScaleCrop>false</ScaleCrop>
  <LinksUpToDate>false</LinksUpToDate>
  <CharactersWithSpaces>53203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2020-12-27T09:29:00Z</dcterms:created>
  <dc:creator>lhj</dc:creator>
  <cp:lastModifiedBy>Happiness Delight</cp:lastModifiedBy>
  <cp:lastPrinted>2026-08-24T08:38:00Z</cp:lastPrinted>
  <dcterms:modified xsi:type="dcterms:W3CDTF">2026-09-23T04:02:31Z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829AEB7EA1F148F6B2000EA98F2896F0_13</vt:lpwstr>
  </property>
  <property fmtid="{D5CDD505-2E9C-101B-9397-08002B2CF9AE}" pid="4" name="KSOTemplateDocerSaveRecord">
    <vt:lpwstr>eyJoZGlkIjoiMTMzZDQ1NWZjMzZmNzg3MGRmNDRiZTk4NmRhMjQzY2IiLCJ1c2VySWQiOiI2NTI1NDM5NTMifQ==</vt:lpwstr>
  </property>
</Properties>
</file>