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76EC2">
      <w:pPr>
        <w:pStyle w:val="41"/>
        <w:rPr>
          <w:rFonts w:hint="default"/>
          <w:color w:val="FF0000"/>
        </w:rPr>
      </w:pPr>
    </w:p>
    <w:p w14:paraId="61366E74">
      <w:pPr>
        <w:pStyle w:val="3"/>
        <w:rPr>
          <w:rFonts w:hint="default" w:ascii="Times New Roman" w:hAnsi="Times New Roman" w:eastAsia="仿宋_GB2312" w:cs="Times New Roman"/>
          <w:color w:val="FF0000"/>
          <w:highlight w:val="none"/>
          <w:lang w:eastAsia="zh-CN"/>
        </w:rPr>
      </w:pPr>
    </w:p>
    <w:p w14:paraId="03E79FBE">
      <w:pPr>
        <w:rPr>
          <w:rFonts w:hint="default" w:ascii="Times New Roman" w:hAnsi="Times New Roman" w:eastAsia="仿宋_GB2312" w:cs="Times New Roman"/>
          <w:color w:val="FF0000"/>
          <w:sz w:val="36"/>
          <w:szCs w:val="36"/>
          <w:highlight w:val="none"/>
        </w:rPr>
      </w:pPr>
    </w:p>
    <w:p w14:paraId="081DA50A">
      <w:pPr>
        <w:rPr>
          <w:rFonts w:hint="default" w:ascii="Times New Roman" w:hAnsi="Times New Roman" w:eastAsia="仿宋_GB2312" w:cs="Times New Roman"/>
          <w:color w:val="FF0000"/>
          <w:sz w:val="36"/>
          <w:szCs w:val="36"/>
          <w:highlight w:val="none"/>
        </w:rPr>
      </w:pPr>
    </w:p>
    <w:p w14:paraId="14DA67DF">
      <w:pPr>
        <w:adjustRightInd w:val="0"/>
        <w:snapToGrid w:val="0"/>
        <w:jc w:val="center"/>
        <w:outlineLvl w:val="0"/>
        <w:rPr>
          <w:rFonts w:hint="default" w:ascii="Times New Roman" w:hAnsi="Times New Roman" w:eastAsia="方正小标宋_GBK" w:cs="Times New Roman"/>
          <w:bCs/>
          <w:color w:val="auto"/>
          <w:sz w:val="72"/>
          <w:szCs w:val="72"/>
          <w:highlight w:val="none"/>
        </w:rPr>
      </w:pPr>
      <w:bookmarkStart w:id="0" w:name="_Toc9788"/>
      <w:r>
        <w:rPr>
          <w:rFonts w:hint="default" w:ascii="Times New Roman" w:hAnsi="Times New Roman" w:eastAsia="方正小标宋_GBK" w:cs="Times New Roman"/>
          <w:bCs/>
          <w:color w:val="auto"/>
          <w:sz w:val="72"/>
          <w:szCs w:val="72"/>
          <w:highlight w:val="none"/>
        </w:rPr>
        <w:t>建设项目环境影响报告表</w:t>
      </w:r>
      <w:bookmarkEnd w:id="0"/>
    </w:p>
    <w:p w14:paraId="7CF8F693">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02B10F9D">
      <w:pPr>
        <w:rPr>
          <w:rFonts w:hint="default" w:ascii="Times New Roman" w:hAnsi="Times New Roman" w:eastAsia="仿宋_GB2312" w:cs="Times New Roman"/>
          <w:color w:val="FF0000"/>
          <w:sz w:val="36"/>
          <w:szCs w:val="36"/>
          <w:highlight w:val="none"/>
        </w:rPr>
      </w:pPr>
    </w:p>
    <w:p w14:paraId="4AAD1432">
      <w:pPr>
        <w:rPr>
          <w:rFonts w:hint="default" w:ascii="Times New Roman" w:hAnsi="Times New Roman" w:eastAsia="仿宋_GB2312" w:cs="Times New Roman"/>
          <w:color w:val="FF0000"/>
          <w:sz w:val="36"/>
          <w:szCs w:val="36"/>
          <w:highlight w:val="none"/>
        </w:rPr>
      </w:pPr>
    </w:p>
    <w:p w14:paraId="495E3D2C">
      <w:pPr>
        <w:rPr>
          <w:rFonts w:hint="default" w:ascii="Times New Roman" w:hAnsi="Times New Roman" w:eastAsia="仿宋_GB2312" w:cs="Times New Roman"/>
          <w:color w:val="FF0000"/>
          <w:sz w:val="36"/>
          <w:szCs w:val="36"/>
          <w:highlight w:val="none"/>
        </w:rPr>
      </w:pPr>
    </w:p>
    <w:p w14:paraId="6BF10DA8">
      <w:pPr>
        <w:rPr>
          <w:rFonts w:hint="default" w:ascii="Times New Roman" w:hAnsi="Times New Roman" w:eastAsia="仿宋_GB2312" w:cs="Times New Roman"/>
          <w:color w:val="FF0000"/>
          <w:sz w:val="36"/>
          <w:szCs w:val="36"/>
          <w:highlight w:val="none"/>
        </w:rPr>
      </w:pPr>
    </w:p>
    <w:p w14:paraId="705DA7A4">
      <w:pPr>
        <w:rPr>
          <w:rFonts w:hint="default" w:ascii="Times New Roman" w:hAnsi="Times New Roman" w:eastAsia="仿宋_GB2312" w:cs="Times New Roman"/>
          <w:color w:val="FF0000"/>
          <w:sz w:val="36"/>
          <w:szCs w:val="36"/>
          <w:highlight w:val="none"/>
        </w:rPr>
      </w:pPr>
    </w:p>
    <w:p w14:paraId="1054B951">
      <w:pPr>
        <w:rPr>
          <w:rFonts w:hint="default" w:ascii="Times New Roman" w:hAnsi="Times New Roman" w:eastAsia="仿宋_GB2312" w:cs="Times New Roman"/>
          <w:color w:val="FF0000"/>
          <w:sz w:val="36"/>
          <w:szCs w:val="36"/>
          <w:highlight w:val="none"/>
        </w:rPr>
      </w:pPr>
    </w:p>
    <w:p w14:paraId="1BDB7176">
      <w:pPr>
        <w:rPr>
          <w:rFonts w:hint="default" w:ascii="Times New Roman" w:hAnsi="Times New Roman" w:eastAsia="仿宋_GB2312" w:cs="Times New Roman"/>
          <w:color w:val="FF0000"/>
          <w:sz w:val="36"/>
          <w:szCs w:val="36"/>
          <w:highlight w:val="none"/>
        </w:rPr>
      </w:pPr>
    </w:p>
    <w:p w14:paraId="79286D5A">
      <w:pPr>
        <w:rPr>
          <w:rFonts w:hint="default" w:ascii="Times New Roman" w:hAnsi="Times New Roman" w:eastAsia="仿宋_GB2312" w:cs="Times New Roman"/>
          <w:color w:val="FF0000"/>
          <w:sz w:val="36"/>
          <w:szCs w:val="36"/>
          <w:highlight w:val="none"/>
        </w:rPr>
      </w:pPr>
    </w:p>
    <w:p w14:paraId="11358367">
      <w:pPr>
        <w:pStyle w:val="41"/>
        <w:rPr>
          <w:rFonts w:hint="default" w:ascii="Times New Roman" w:hAnsi="Times New Roman" w:eastAsia="仿宋_GB2312" w:cs="Times New Roman"/>
          <w:color w:val="FF0000"/>
          <w:sz w:val="36"/>
          <w:szCs w:val="36"/>
          <w:highlight w:val="none"/>
        </w:rPr>
      </w:pPr>
    </w:p>
    <w:p w14:paraId="309863A8">
      <w:pPr>
        <w:pStyle w:val="41"/>
        <w:rPr>
          <w:rFonts w:hint="default" w:ascii="Times New Roman" w:hAnsi="Times New Roman" w:eastAsia="仿宋_GB2312" w:cs="Times New Roman"/>
          <w:color w:val="FF0000"/>
          <w:sz w:val="36"/>
          <w:szCs w:val="36"/>
          <w:highlight w:val="none"/>
        </w:rPr>
      </w:pPr>
    </w:p>
    <w:p w14:paraId="1F6A2532">
      <w:pPr>
        <w:pStyle w:val="41"/>
        <w:rPr>
          <w:rFonts w:hint="default" w:ascii="Times New Roman" w:hAnsi="Times New Roman" w:eastAsia="仿宋_GB2312" w:cs="Times New Roman"/>
          <w:color w:val="FF0000"/>
          <w:sz w:val="36"/>
          <w:szCs w:val="36"/>
          <w:highlight w:val="none"/>
        </w:rPr>
      </w:pPr>
    </w:p>
    <w:p w14:paraId="0A0D63EC">
      <w:pPr>
        <w:pStyle w:val="41"/>
        <w:rPr>
          <w:rFonts w:hint="default" w:ascii="Times New Roman" w:hAnsi="Times New Roman" w:eastAsia="仿宋_GB2312" w:cs="Times New Roman"/>
          <w:color w:val="FF0000"/>
          <w:sz w:val="36"/>
          <w:szCs w:val="36"/>
          <w:highlight w:val="none"/>
        </w:rPr>
      </w:pPr>
    </w:p>
    <w:p w14:paraId="3FD3AC4C">
      <w:pPr>
        <w:rPr>
          <w:rFonts w:hint="default" w:ascii="Times New Roman" w:hAnsi="Times New Roman" w:eastAsia="仿宋_GB2312" w:cs="Times New Roman"/>
          <w:color w:val="FF0000"/>
          <w:sz w:val="36"/>
          <w:szCs w:val="36"/>
          <w:highlight w:val="none"/>
        </w:rPr>
      </w:pPr>
    </w:p>
    <w:p w14:paraId="47F9ACCB">
      <w:pPr>
        <w:keepNext w:val="0"/>
        <w:keepLines w:val="0"/>
        <w:pageBreakBefore w:val="0"/>
        <w:widowControl w:val="0"/>
        <w:kinsoku/>
        <w:wordWrap/>
        <w:overflowPunct/>
        <w:topLinePunct w:val="0"/>
        <w:autoSpaceDE/>
        <w:autoSpaceDN/>
        <w:bidi w:val="0"/>
        <w:adjustRightInd w:val="0"/>
        <w:snapToGrid w:val="0"/>
        <w:spacing w:line="360" w:lineRule="auto"/>
        <w:ind w:firstLine="320" w:firstLineChars="1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项目名称：</w:t>
      </w:r>
      <w:r>
        <w:rPr>
          <w:rFonts w:hint="default" w:ascii="Times New Roman" w:hAnsi="Times New Roman" w:eastAsia="仿宋" w:cs="Times New Roman"/>
          <w:color w:val="auto"/>
          <w:sz w:val="32"/>
          <w:szCs w:val="32"/>
          <w:highlight w:val="none"/>
          <w:u w:val="single"/>
          <w:lang w:val="en-US" w:eastAsia="zh-CN"/>
        </w:rPr>
        <w:t>环保热熔压饼产线建设项目</w:t>
      </w:r>
    </w:p>
    <w:p w14:paraId="5FE6E937">
      <w:pPr>
        <w:keepNext w:val="0"/>
        <w:keepLines w:val="0"/>
        <w:pageBreakBefore w:val="0"/>
        <w:widowControl w:val="0"/>
        <w:kinsoku/>
        <w:wordWrap/>
        <w:overflowPunct/>
        <w:topLinePunct w:val="0"/>
        <w:autoSpaceDE/>
        <w:autoSpaceDN/>
        <w:bidi w:val="0"/>
        <w:adjustRightInd w:val="0"/>
        <w:snapToGrid w:val="0"/>
        <w:spacing w:line="360" w:lineRule="auto"/>
        <w:ind w:firstLine="320" w:firstLineChars="1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建设单位（盖章）：</w:t>
      </w:r>
      <w:r>
        <w:rPr>
          <w:rFonts w:hint="default" w:ascii="Times New Roman" w:hAnsi="Times New Roman" w:eastAsia="仿宋" w:cs="Times New Roman"/>
          <w:color w:val="auto"/>
          <w:sz w:val="32"/>
          <w:szCs w:val="32"/>
          <w:highlight w:val="none"/>
          <w:u w:val="single"/>
          <w:lang w:val="en-US" w:eastAsia="zh-CN"/>
        </w:rPr>
        <w:t>山西瑞赛格废弃资源综合利用有限公司</w:t>
      </w:r>
    </w:p>
    <w:p w14:paraId="4AF15D89">
      <w:pPr>
        <w:keepNext w:val="0"/>
        <w:keepLines w:val="0"/>
        <w:pageBreakBefore w:val="0"/>
        <w:widowControl w:val="0"/>
        <w:kinsoku/>
        <w:wordWrap/>
        <w:overflowPunct/>
        <w:topLinePunct w:val="0"/>
        <w:autoSpaceDE/>
        <w:autoSpaceDN/>
        <w:bidi w:val="0"/>
        <w:adjustRightInd w:val="0"/>
        <w:snapToGrid w:val="0"/>
        <w:spacing w:line="360" w:lineRule="auto"/>
        <w:ind w:firstLine="320" w:firstLineChars="100"/>
        <w:textAlignment w:val="auto"/>
        <w:rPr>
          <w:rFonts w:hint="default" w:ascii="Times New Roman" w:hAnsi="Times New Roman" w:eastAsia="仿宋" w:cs="Times New Roman"/>
          <w:color w:val="auto"/>
          <w:sz w:val="32"/>
          <w:szCs w:val="32"/>
          <w:highlight w:val="none"/>
          <w:u w:val="single"/>
        </w:rPr>
      </w:pPr>
      <w:r>
        <w:rPr>
          <w:rFonts w:hint="default" w:ascii="Times New Roman" w:hAnsi="Times New Roman" w:eastAsia="仿宋" w:cs="Times New Roman"/>
          <w:color w:val="auto"/>
          <w:sz w:val="32"/>
          <w:szCs w:val="32"/>
          <w:highlight w:val="none"/>
        </w:rPr>
        <w:t>编制日期：</w:t>
      </w:r>
      <w:r>
        <w:rPr>
          <w:rFonts w:hint="default" w:ascii="Times New Roman" w:hAnsi="Times New Roman" w:eastAsia="仿宋" w:cs="Times New Roman"/>
          <w:color w:val="auto"/>
          <w:sz w:val="32"/>
          <w:szCs w:val="32"/>
          <w:highlight w:val="none"/>
          <w:u w:val="single"/>
        </w:rPr>
        <w:t xml:space="preserve"> </w:t>
      </w:r>
      <w:r>
        <w:rPr>
          <w:rFonts w:hint="eastAsia" w:ascii="Times New Roman" w:hAnsi="Times New Roman" w:eastAsia="仿宋" w:cs="Times New Roman"/>
          <w:color w:val="auto"/>
          <w:sz w:val="32"/>
          <w:szCs w:val="32"/>
          <w:highlight w:val="none"/>
          <w:u w:val="single"/>
          <w:lang w:val="en-US" w:eastAsia="zh-CN"/>
        </w:rPr>
        <w:t xml:space="preserve">      </w:t>
      </w:r>
      <w:r>
        <w:rPr>
          <w:rFonts w:hint="default" w:ascii="Times New Roman" w:hAnsi="Times New Roman" w:eastAsia="仿宋" w:cs="Times New Roman"/>
          <w:color w:val="auto"/>
          <w:sz w:val="32"/>
          <w:szCs w:val="32"/>
          <w:highlight w:val="none"/>
          <w:u w:val="single"/>
          <w:lang w:val="en-US" w:eastAsia="zh-CN"/>
        </w:rPr>
        <w:t>202</w:t>
      </w:r>
      <w:r>
        <w:rPr>
          <w:rFonts w:hint="eastAsia" w:ascii="Times New Roman" w:hAnsi="Times New Roman" w:eastAsia="仿宋" w:cs="Times New Roman"/>
          <w:color w:val="auto"/>
          <w:sz w:val="32"/>
          <w:szCs w:val="32"/>
          <w:highlight w:val="none"/>
          <w:u w:val="single"/>
          <w:lang w:val="en-US" w:eastAsia="zh-CN"/>
        </w:rPr>
        <w:t>6</w:t>
      </w:r>
      <w:r>
        <w:rPr>
          <w:rFonts w:hint="default" w:ascii="Times New Roman" w:hAnsi="Times New Roman" w:eastAsia="仿宋" w:cs="Times New Roman"/>
          <w:color w:val="auto"/>
          <w:sz w:val="32"/>
          <w:szCs w:val="32"/>
          <w:highlight w:val="none"/>
          <w:u w:val="single"/>
          <w:lang w:val="en-US" w:eastAsia="zh-CN"/>
        </w:rPr>
        <w:t>年</w:t>
      </w:r>
      <w:r>
        <w:rPr>
          <w:rFonts w:hint="eastAsia" w:eastAsia="仿宋" w:cs="Times New Roman"/>
          <w:color w:val="auto"/>
          <w:sz w:val="32"/>
          <w:szCs w:val="32"/>
          <w:highlight w:val="none"/>
          <w:u w:val="single"/>
          <w:lang w:val="en-US" w:eastAsia="zh-CN"/>
        </w:rPr>
        <w:t>8</w:t>
      </w:r>
      <w:r>
        <w:rPr>
          <w:rFonts w:hint="default" w:ascii="Times New Roman" w:hAnsi="Times New Roman" w:eastAsia="仿宋" w:cs="Times New Roman"/>
          <w:color w:val="auto"/>
          <w:sz w:val="32"/>
          <w:szCs w:val="32"/>
          <w:highlight w:val="none"/>
          <w:u w:val="single"/>
          <w:lang w:val="en-US" w:eastAsia="zh-CN"/>
        </w:rPr>
        <w:t>月</w:t>
      </w:r>
      <w:r>
        <w:rPr>
          <w:rFonts w:hint="eastAsia" w:ascii="Times New Roman" w:hAnsi="Times New Roman" w:eastAsia="仿宋" w:cs="Times New Roman"/>
          <w:color w:val="auto"/>
          <w:sz w:val="32"/>
          <w:szCs w:val="32"/>
          <w:highlight w:val="none"/>
          <w:u w:val="single"/>
          <w:lang w:val="en-US" w:eastAsia="zh-CN"/>
        </w:rPr>
        <w:t xml:space="preserve">      </w:t>
      </w:r>
      <w:r>
        <w:rPr>
          <w:rFonts w:hint="default" w:ascii="Times New Roman" w:hAnsi="Times New Roman" w:eastAsia="仿宋" w:cs="Times New Roman"/>
          <w:color w:val="auto"/>
          <w:sz w:val="32"/>
          <w:szCs w:val="32"/>
          <w:highlight w:val="none"/>
          <w:u w:val="single"/>
        </w:rPr>
        <w:t xml:space="preserve"> </w:t>
      </w:r>
    </w:p>
    <w:p w14:paraId="6D146603">
      <w:pPr>
        <w:rPr>
          <w:rFonts w:hint="default" w:ascii="Times New Roman" w:hAnsi="Times New Roman" w:eastAsia="仿宋_GB2312" w:cs="Times New Roman"/>
          <w:color w:val="FF0000"/>
          <w:sz w:val="36"/>
          <w:szCs w:val="36"/>
          <w:highlight w:val="none"/>
        </w:rPr>
      </w:pPr>
      <w:bookmarkStart w:id="1" w:name="_Hlk57884087"/>
    </w:p>
    <w:p w14:paraId="0DCC8CBD">
      <w:pPr>
        <w:rPr>
          <w:rFonts w:hint="default" w:ascii="Times New Roman" w:hAnsi="Times New Roman" w:eastAsia="仿宋_GB2312" w:cs="Times New Roman"/>
          <w:color w:val="FF0000"/>
          <w:sz w:val="36"/>
          <w:szCs w:val="36"/>
          <w:highlight w:val="none"/>
        </w:rPr>
      </w:pPr>
    </w:p>
    <w:p w14:paraId="06047DE5">
      <w:pPr>
        <w:rPr>
          <w:rFonts w:hint="default" w:ascii="Times New Roman" w:hAnsi="Times New Roman" w:eastAsia="仿宋_GB2312" w:cs="Times New Roman"/>
          <w:color w:val="FF0000"/>
          <w:sz w:val="36"/>
          <w:szCs w:val="36"/>
          <w:highlight w:val="none"/>
        </w:rPr>
      </w:pPr>
    </w:p>
    <w:bookmarkEnd w:id="1"/>
    <w:p w14:paraId="221B2C18">
      <w:pPr>
        <w:adjustRightInd w:val="0"/>
        <w:snapToGrid w:val="0"/>
        <w:spacing w:line="288" w:lineRule="auto"/>
        <w:jc w:val="center"/>
        <w:rPr>
          <w:rFonts w:hint="eastAsia" w:eastAsia="宋体"/>
          <w:color w:val="auto"/>
          <w:sz w:val="32"/>
          <w:szCs w:val="32"/>
          <w:lang w:eastAsia="zh-CN"/>
        </w:rPr>
        <w:sectPr>
          <w:footerReference r:id="rId3" w:type="default"/>
          <w:pgSz w:w="11906" w:h="16838"/>
          <w:pgMar w:top="1701" w:right="1531" w:bottom="1701" w:left="1531" w:header="851" w:footer="964" w:gutter="0"/>
          <w:pgBorders>
            <w:top w:val="none" w:sz="0" w:space="0"/>
            <w:left w:val="none" w:sz="0" w:space="0"/>
            <w:bottom w:val="none" w:sz="0" w:space="0"/>
            <w:right w:val="none" w:sz="0" w:space="0"/>
          </w:pgBorders>
          <w:pgNumType w:fmt="decimal" w:start="3"/>
          <w:cols w:space="720" w:num="1"/>
          <w:docGrid w:linePitch="312" w:charSpace="0"/>
        </w:sectPr>
      </w:pPr>
      <w:r>
        <w:rPr>
          <w:rFonts w:hint="default" w:ascii="Times New Roman" w:hAnsi="Times New Roman" w:eastAsia="楷体_GB2312" w:cs="Times New Roman"/>
          <w:color w:val="auto"/>
          <w:sz w:val="32"/>
          <w:szCs w:val="32"/>
          <w:highlight w:val="none"/>
        </w:rPr>
        <w:t>中华人民共和国生态环境部</w:t>
      </w:r>
    </w:p>
    <w:p w14:paraId="3142C4CB">
      <w:pPr>
        <w:pStyle w:val="27"/>
        <w:jc w:val="center"/>
        <w:outlineLvl w:val="0"/>
        <w:rPr>
          <w:rFonts w:hint="default" w:ascii="Times New Roman" w:hAnsi="Times New Roman" w:eastAsia="黑体" w:cs="Times New Roman"/>
          <w:snapToGrid w:val="0"/>
          <w:color w:val="auto"/>
          <w:sz w:val="30"/>
          <w:szCs w:val="30"/>
          <w:highlight w:val="none"/>
        </w:rPr>
      </w:pPr>
      <w:bookmarkStart w:id="2" w:name="_Toc12561"/>
      <w:r>
        <w:rPr>
          <w:rFonts w:hint="default" w:ascii="Times New Roman" w:hAnsi="Times New Roman" w:eastAsia="黑体" w:cs="Times New Roman"/>
          <w:snapToGrid w:val="0"/>
          <w:color w:val="auto"/>
          <w:sz w:val="30"/>
          <w:szCs w:val="30"/>
          <w:highlight w:val="none"/>
        </w:rPr>
        <w:t>一、建设项目基本情况</w:t>
      </w:r>
      <w:bookmarkEnd w:id="2"/>
    </w:p>
    <w:tbl>
      <w:tblPr>
        <w:tblStyle w:val="31"/>
        <w:tblW w:w="492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40"/>
        <w:gridCol w:w="1183"/>
        <w:gridCol w:w="2451"/>
        <w:gridCol w:w="2095"/>
        <w:gridCol w:w="3264"/>
      </w:tblGrid>
      <w:tr w14:paraId="6ADE4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46" w:type="pct"/>
            <w:gridSpan w:val="2"/>
            <w:tcMar>
              <w:top w:w="16" w:type="dxa"/>
              <w:left w:w="16" w:type="dxa"/>
              <w:right w:w="16" w:type="dxa"/>
            </w:tcMar>
            <w:vAlign w:val="center"/>
          </w:tcPr>
          <w:p w14:paraId="756AEBA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建设项目名称</w:t>
            </w:r>
          </w:p>
        </w:tc>
        <w:tc>
          <w:tcPr>
            <w:tcW w:w="4053" w:type="pct"/>
            <w:gridSpan w:val="3"/>
            <w:vAlign w:val="center"/>
          </w:tcPr>
          <w:p w14:paraId="2778E15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环保热熔压饼产线建设项目</w:t>
            </w:r>
          </w:p>
        </w:tc>
      </w:tr>
      <w:tr w14:paraId="25BA6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46" w:type="pct"/>
            <w:gridSpan w:val="2"/>
            <w:tcMar>
              <w:top w:w="16" w:type="dxa"/>
              <w:left w:w="16" w:type="dxa"/>
              <w:right w:w="16" w:type="dxa"/>
            </w:tcMar>
            <w:vAlign w:val="center"/>
          </w:tcPr>
          <w:p w14:paraId="21A18B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项目代码</w:t>
            </w:r>
          </w:p>
        </w:tc>
        <w:tc>
          <w:tcPr>
            <w:tcW w:w="4053" w:type="pct"/>
            <w:gridSpan w:val="3"/>
            <w:vAlign w:val="center"/>
          </w:tcPr>
          <w:p w14:paraId="1C5D48C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2603-140455-89-05-820354</w:t>
            </w:r>
          </w:p>
        </w:tc>
      </w:tr>
      <w:tr w14:paraId="1E895C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46" w:type="pct"/>
            <w:gridSpan w:val="2"/>
            <w:tcMar>
              <w:top w:w="16" w:type="dxa"/>
              <w:left w:w="16" w:type="dxa"/>
              <w:right w:w="16" w:type="dxa"/>
            </w:tcMar>
            <w:vAlign w:val="center"/>
          </w:tcPr>
          <w:p w14:paraId="5E25B3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建设单位</w:t>
            </w:r>
          </w:p>
          <w:p w14:paraId="4C90197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联系人</w:t>
            </w:r>
          </w:p>
        </w:tc>
        <w:tc>
          <w:tcPr>
            <w:tcW w:w="1272" w:type="pct"/>
            <w:vAlign w:val="center"/>
          </w:tcPr>
          <w:p w14:paraId="70B924F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申国伟</w:t>
            </w:r>
          </w:p>
        </w:tc>
        <w:tc>
          <w:tcPr>
            <w:tcW w:w="1087" w:type="pct"/>
            <w:vAlign w:val="center"/>
          </w:tcPr>
          <w:p w14:paraId="676A65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default" w:ascii="Times New Roman" w:hAnsi="Times New Roman" w:cs="Times New Roman"/>
                <w:b w:val="0"/>
                <w:bCs w:val="0"/>
                <w:color w:val="auto"/>
                <w:sz w:val="24"/>
                <w:szCs w:val="24"/>
                <w:highlight w:val="none"/>
              </w:rPr>
              <w:t>联系方式</w:t>
            </w:r>
          </w:p>
        </w:tc>
        <w:tc>
          <w:tcPr>
            <w:tcW w:w="1693" w:type="pct"/>
            <w:vAlign w:val="center"/>
          </w:tcPr>
          <w:p w14:paraId="60F0D46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18003451321</w:t>
            </w:r>
          </w:p>
        </w:tc>
      </w:tr>
      <w:tr w14:paraId="1DF896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46" w:type="pct"/>
            <w:gridSpan w:val="2"/>
            <w:tcMar>
              <w:top w:w="16" w:type="dxa"/>
              <w:left w:w="16" w:type="dxa"/>
              <w:right w:w="16" w:type="dxa"/>
            </w:tcMar>
            <w:vAlign w:val="center"/>
          </w:tcPr>
          <w:p w14:paraId="4816B77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建设地点</w:t>
            </w:r>
          </w:p>
        </w:tc>
        <w:tc>
          <w:tcPr>
            <w:tcW w:w="4053" w:type="pct"/>
            <w:gridSpan w:val="3"/>
            <w:vAlign w:val="center"/>
          </w:tcPr>
          <w:p w14:paraId="09ED3F0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屯留区李高乡康庄村北3</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0m处</w:t>
            </w:r>
            <w:r>
              <w:rPr>
                <w:rFonts w:hint="eastAsia" w:cs="Times New Roman"/>
                <w:color w:val="auto"/>
                <w:sz w:val="24"/>
                <w:szCs w:val="24"/>
                <w:highlight w:val="none"/>
                <w:lang w:val="en-US" w:eastAsia="zh-CN"/>
              </w:rPr>
              <w:t>现有厂房内</w:t>
            </w:r>
          </w:p>
        </w:tc>
      </w:tr>
      <w:tr w14:paraId="608D34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46" w:type="pct"/>
            <w:gridSpan w:val="2"/>
            <w:tcMar>
              <w:top w:w="16" w:type="dxa"/>
              <w:left w:w="16" w:type="dxa"/>
              <w:right w:w="16" w:type="dxa"/>
            </w:tcMar>
            <w:vAlign w:val="center"/>
          </w:tcPr>
          <w:p w14:paraId="131EB91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地理坐标</w:t>
            </w:r>
          </w:p>
        </w:tc>
        <w:tc>
          <w:tcPr>
            <w:tcW w:w="4053" w:type="pct"/>
            <w:gridSpan w:val="3"/>
            <w:vAlign w:val="center"/>
          </w:tcPr>
          <w:p w14:paraId="1F8568F1">
            <w:pPr>
              <w:keepNext w:val="0"/>
              <w:keepLines w:val="0"/>
              <w:suppressLineNumbers w:val="0"/>
              <w:spacing w:before="0" w:beforeAutospacing="0" w:after="0" w:afterAutospacing="0"/>
              <w:ind w:left="0" w:right="0"/>
              <w:jc w:val="center"/>
              <w:rPr>
                <w:rFonts w:hint="default"/>
                <w:color w:val="auto"/>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lang w:val="en-US" w:eastAsia="zh-CN"/>
              </w:rPr>
              <w:t>11</w:t>
            </w:r>
            <w:r>
              <w:rPr>
                <w:rFonts w:hint="eastAsia" w:cs="Times New Roman"/>
                <w:color w:val="auto"/>
                <w:sz w:val="24"/>
                <w:szCs w:val="24"/>
                <w:highlight w:val="none"/>
                <w:u w:val="single"/>
                <w:lang w:val="en-US" w:eastAsia="zh-CN"/>
              </w:rPr>
              <w:t>2</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度</w:t>
            </w:r>
            <w:r>
              <w:rPr>
                <w:rFonts w:hint="default" w:ascii="Times New Roman" w:hAnsi="Times New Roman" w:cs="Times New Roman"/>
                <w:color w:val="auto"/>
                <w:sz w:val="24"/>
                <w:szCs w:val="24"/>
                <w:highlight w:val="none"/>
                <w:u w:val="single"/>
              </w:rPr>
              <w:t xml:space="preserve"> 5</w:t>
            </w:r>
            <w:r>
              <w:rPr>
                <w:rFonts w:hint="eastAsia" w:cs="Times New Roman"/>
                <w:color w:val="auto"/>
                <w:sz w:val="24"/>
                <w:szCs w:val="24"/>
                <w:highlight w:val="none"/>
                <w:u w:val="single"/>
                <w:lang w:val="en-US" w:eastAsia="zh-CN"/>
              </w:rPr>
              <w:t>8</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分</w:t>
            </w:r>
            <w:r>
              <w:rPr>
                <w:rFonts w:hint="default" w:ascii="Times New Roman" w:hAnsi="Times New Roman" w:cs="Times New Roman"/>
                <w:color w:val="auto"/>
                <w:sz w:val="24"/>
                <w:szCs w:val="24"/>
                <w:highlight w:val="none"/>
                <w:u w:val="single"/>
              </w:rPr>
              <w:t xml:space="preserve"> 44.285 </w:t>
            </w:r>
            <w:r>
              <w:rPr>
                <w:rFonts w:hint="default" w:ascii="Times New Roman" w:hAnsi="Times New Roman" w:cs="Times New Roman"/>
                <w:color w:val="auto"/>
                <w:sz w:val="24"/>
                <w:szCs w:val="24"/>
                <w:highlight w:val="none"/>
              </w:rPr>
              <w:t>秒</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lang w:val="en-US" w:eastAsia="zh-CN"/>
              </w:rPr>
              <w:t>36</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度</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13</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分</w:t>
            </w:r>
            <w:r>
              <w:rPr>
                <w:rFonts w:hint="default" w:ascii="Times New Roman" w:hAnsi="Times New Roman" w:cs="Times New Roman"/>
                <w:color w:val="auto"/>
                <w:sz w:val="24"/>
                <w:szCs w:val="24"/>
                <w:highlight w:val="none"/>
                <w:u w:val="single"/>
              </w:rPr>
              <w:t xml:space="preserve"> 35.240 </w:t>
            </w:r>
            <w:r>
              <w:rPr>
                <w:rFonts w:hint="default" w:ascii="Times New Roman" w:hAnsi="Times New Roman" w:cs="Times New Roman"/>
                <w:color w:val="auto"/>
                <w:sz w:val="24"/>
                <w:szCs w:val="24"/>
                <w:highlight w:val="none"/>
              </w:rPr>
              <w:t>秒）</w:t>
            </w:r>
          </w:p>
        </w:tc>
      </w:tr>
      <w:tr w14:paraId="0F0F02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946" w:type="pct"/>
            <w:gridSpan w:val="2"/>
            <w:tcMar>
              <w:top w:w="16" w:type="dxa"/>
              <w:left w:w="16" w:type="dxa"/>
              <w:right w:w="16" w:type="dxa"/>
            </w:tcMar>
            <w:vAlign w:val="center"/>
          </w:tcPr>
          <w:p w14:paraId="123A721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国民经济</w:t>
            </w:r>
          </w:p>
          <w:p w14:paraId="052BB5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行业类别</w:t>
            </w:r>
          </w:p>
        </w:tc>
        <w:tc>
          <w:tcPr>
            <w:tcW w:w="1272" w:type="pct"/>
            <w:vAlign w:val="center"/>
          </w:tcPr>
          <w:p w14:paraId="46075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default"/>
                <w:bCs/>
                <w:color w:val="auto"/>
                <w:sz w:val="24"/>
              </w:rPr>
              <w:t>C4210</w:t>
            </w:r>
            <w:r>
              <w:rPr>
                <w:rFonts w:hint="eastAsia"/>
                <w:bCs/>
                <w:color w:val="auto"/>
                <w:sz w:val="24"/>
                <w:lang w:val="en-US" w:eastAsia="zh-CN"/>
              </w:rPr>
              <w:t xml:space="preserve"> </w:t>
            </w:r>
            <w:r>
              <w:rPr>
                <w:rFonts w:hint="default"/>
                <w:bCs/>
                <w:color w:val="auto"/>
                <w:sz w:val="24"/>
              </w:rPr>
              <w:t>金属废料和碎屑加工处理</w:t>
            </w:r>
          </w:p>
        </w:tc>
        <w:tc>
          <w:tcPr>
            <w:tcW w:w="1087" w:type="pct"/>
            <w:vAlign w:val="center"/>
          </w:tcPr>
          <w:p w14:paraId="38C9785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bookmarkStart w:id="3" w:name="_Hlk49843745"/>
            <w:r>
              <w:rPr>
                <w:rFonts w:hint="default" w:ascii="Times New Roman" w:hAnsi="Times New Roman" w:cs="Times New Roman"/>
                <w:b w:val="0"/>
                <w:bCs w:val="0"/>
                <w:color w:val="auto"/>
                <w:sz w:val="24"/>
                <w:szCs w:val="24"/>
                <w:highlight w:val="none"/>
              </w:rPr>
              <w:t>建设项目</w:t>
            </w:r>
          </w:p>
          <w:p w14:paraId="60C7EDE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行业类别</w:t>
            </w:r>
            <w:bookmarkEnd w:id="3"/>
          </w:p>
        </w:tc>
        <w:tc>
          <w:tcPr>
            <w:tcW w:w="1693" w:type="pct"/>
            <w:vAlign w:val="center"/>
          </w:tcPr>
          <w:p w14:paraId="7472F412">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三十九</w:t>
            </w:r>
            <w:r>
              <w:rPr>
                <w:rFonts w:hint="eastAsia" w:ascii="Times New Roman" w:hAnsi="Times New Roman" w:eastAsia="宋体" w:cs="Times New Roman"/>
                <w:color w:val="auto"/>
                <w:sz w:val="24"/>
                <w:szCs w:val="24"/>
                <w:highlight w:val="none"/>
                <w:lang w:val="en-US" w:eastAsia="zh-CN"/>
              </w:rPr>
              <w:t>、废弃资源综合利用业</w:t>
            </w:r>
          </w:p>
          <w:p w14:paraId="310AA7B4">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85</w:t>
            </w:r>
            <w:r>
              <w:rPr>
                <w:rFonts w:hint="eastAsia" w:ascii="Times New Roman" w:hAnsi="Times New Roman" w:eastAsia="宋体" w:cs="Times New Roman"/>
                <w:color w:val="auto"/>
                <w:sz w:val="24"/>
                <w:szCs w:val="24"/>
                <w:highlight w:val="none"/>
                <w:lang w:val="en-US" w:eastAsia="zh-CN"/>
              </w:rPr>
              <w:t xml:space="preserve">、金属废料和碎屑加工处理 </w:t>
            </w:r>
          </w:p>
          <w:p w14:paraId="364D7C18">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 w:val="24"/>
                <w:szCs w:val="24"/>
                <w:highlight w:val="none"/>
                <w:lang w:val="en-US"/>
              </w:rPr>
            </w:pPr>
            <w:r>
              <w:rPr>
                <w:rFonts w:hint="eastAsia" w:ascii="Times New Roman" w:hAnsi="Times New Roman" w:eastAsia="宋体" w:cs="Times New Roman"/>
                <w:color w:val="auto"/>
                <w:sz w:val="24"/>
                <w:szCs w:val="24"/>
                <w:highlight w:val="none"/>
                <w:lang w:val="en-US" w:eastAsia="zh-CN"/>
              </w:rPr>
              <w:t>42</w:t>
            </w:r>
            <w:r>
              <w:rPr>
                <w:rFonts w:hint="eastAsia" w:cs="Times New Roman"/>
                <w:color w:val="auto"/>
                <w:sz w:val="24"/>
                <w:szCs w:val="24"/>
                <w:highlight w:val="none"/>
                <w:lang w:val="en-US" w:eastAsia="zh-CN"/>
              </w:rPr>
              <w:t>1</w:t>
            </w:r>
          </w:p>
        </w:tc>
      </w:tr>
      <w:tr w14:paraId="32228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20" w:hRule="atLeast"/>
          <w:jc w:val="center"/>
        </w:trPr>
        <w:tc>
          <w:tcPr>
            <w:tcW w:w="946" w:type="pct"/>
            <w:gridSpan w:val="2"/>
            <w:tcMar>
              <w:top w:w="16" w:type="dxa"/>
              <w:left w:w="16" w:type="dxa"/>
              <w:right w:w="16" w:type="dxa"/>
            </w:tcMar>
            <w:vAlign w:val="center"/>
          </w:tcPr>
          <w:p w14:paraId="3D07EC4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建设性质</w:t>
            </w:r>
          </w:p>
        </w:tc>
        <w:tc>
          <w:tcPr>
            <w:tcW w:w="1272" w:type="pct"/>
            <w:vAlign w:val="center"/>
          </w:tcPr>
          <w:p w14:paraId="3C01A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新建（迁建）</w:t>
            </w:r>
          </w:p>
          <w:p w14:paraId="1CF60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改建</w:t>
            </w:r>
          </w:p>
          <w:p w14:paraId="0B020F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扩建</w:t>
            </w:r>
          </w:p>
          <w:p w14:paraId="7AA83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both"/>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技术改造</w:t>
            </w:r>
          </w:p>
        </w:tc>
        <w:tc>
          <w:tcPr>
            <w:tcW w:w="1087" w:type="pct"/>
            <w:vAlign w:val="center"/>
          </w:tcPr>
          <w:p w14:paraId="3C319CE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建设项目</w:t>
            </w:r>
          </w:p>
          <w:p w14:paraId="68D253B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申报情形</w:t>
            </w:r>
          </w:p>
        </w:tc>
        <w:tc>
          <w:tcPr>
            <w:tcW w:w="1693" w:type="pct"/>
            <w:vAlign w:val="center"/>
          </w:tcPr>
          <w:p w14:paraId="4E2D1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首次申报项目</w:t>
            </w:r>
          </w:p>
          <w:p w14:paraId="66542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不予批准后再次申报项目</w:t>
            </w:r>
          </w:p>
          <w:p w14:paraId="5A107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超五年重新审核项目</w:t>
            </w:r>
          </w:p>
          <w:p w14:paraId="08075D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重大变动重新报批项目</w:t>
            </w:r>
          </w:p>
        </w:tc>
      </w:tr>
      <w:tr w14:paraId="48188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946" w:type="pct"/>
            <w:gridSpan w:val="2"/>
            <w:tcMar>
              <w:top w:w="16" w:type="dxa"/>
              <w:left w:w="16" w:type="dxa"/>
              <w:right w:w="16" w:type="dxa"/>
            </w:tcMar>
            <w:vAlign w:val="center"/>
          </w:tcPr>
          <w:p w14:paraId="476C588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项目审批（备案）部门（选填）</w:t>
            </w:r>
          </w:p>
        </w:tc>
        <w:tc>
          <w:tcPr>
            <w:tcW w:w="1272" w:type="pct"/>
            <w:vAlign w:val="center"/>
          </w:tcPr>
          <w:p w14:paraId="3E6A85A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lang w:val="en-US"/>
              </w:rPr>
            </w:pPr>
            <w:r>
              <w:rPr>
                <w:rFonts w:hint="default"/>
                <w:color w:val="auto"/>
                <w:sz w:val="24"/>
              </w:rPr>
              <w:t>屯留经济技术开发区管理委员会</w:t>
            </w:r>
          </w:p>
        </w:tc>
        <w:tc>
          <w:tcPr>
            <w:tcW w:w="1087" w:type="pct"/>
            <w:vAlign w:val="center"/>
          </w:tcPr>
          <w:p w14:paraId="2E29A9F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项目审批（核准/</w:t>
            </w:r>
          </w:p>
          <w:p w14:paraId="3981EF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备案）文号（选填）</w:t>
            </w:r>
          </w:p>
        </w:tc>
        <w:tc>
          <w:tcPr>
            <w:tcW w:w="1693" w:type="pct"/>
            <w:vAlign w:val="center"/>
          </w:tcPr>
          <w:p w14:paraId="20AF8E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11450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946" w:type="pct"/>
            <w:gridSpan w:val="2"/>
            <w:tcMar>
              <w:top w:w="16" w:type="dxa"/>
              <w:left w:w="16" w:type="dxa"/>
              <w:right w:w="16" w:type="dxa"/>
            </w:tcMar>
            <w:vAlign w:val="center"/>
          </w:tcPr>
          <w:p w14:paraId="12619DE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总投资（万元）</w:t>
            </w:r>
          </w:p>
        </w:tc>
        <w:tc>
          <w:tcPr>
            <w:tcW w:w="1272" w:type="pct"/>
            <w:vAlign w:val="center"/>
          </w:tcPr>
          <w:p w14:paraId="11F1591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85</w:t>
            </w:r>
            <w:r>
              <w:rPr>
                <w:rFonts w:hint="eastAsia" w:ascii="Times New Roman" w:hAnsi="Times New Roman" w:eastAsia="宋体" w:cs="Times New Roman"/>
                <w:color w:val="auto"/>
                <w:sz w:val="24"/>
                <w:szCs w:val="24"/>
                <w:highlight w:val="none"/>
                <w:lang w:val="en-US" w:eastAsia="zh-CN"/>
              </w:rPr>
              <w:t>00</w:t>
            </w:r>
          </w:p>
        </w:tc>
        <w:tc>
          <w:tcPr>
            <w:tcW w:w="1087" w:type="pct"/>
            <w:tcMar>
              <w:top w:w="16" w:type="dxa"/>
              <w:left w:w="16" w:type="dxa"/>
              <w:right w:w="16" w:type="dxa"/>
            </w:tcMar>
            <w:vAlign w:val="center"/>
          </w:tcPr>
          <w:p w14:paraId="4DC5B94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环保投资（万元）</w:t>
            </w:r>
          </w:p>
        </w:tc>
        <w:tc>
          <w:tcPr>
            <w:tcW w:w="1693" w:type="pct"/>
            <w:vAlign w:val="center"/>
          </w:tcPr>
          <w:p w14:paraId="5668E68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bCs/>
                <w:color w:val="auto"/>
                <w:sz w:val="24"/>
                <w:szCs w:val="24"/>
                <w:highlight w:val="none"/>
                <w:lang w:val="en-US" w:eastAsia="zh-CN"/>
              </w:rPr>
              <w:t>85</w:t>
            </w:r>
          </w:p>
        </w:tc>
      </w:tr>
      <w:tr w14:paraId="4A581C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46" w:type="pct"/>
            <w:gridSpan w:val="2"/>
            <w:tcMar>
              <w:top w:w="16" w:type="dxa"/>
              <w:left w:w="16" w:type="dxa"/>
              <w:right w:w="16" w:type="dxa"/>
            </w:tcMar>
            <w:vAlign w:val="center"/>
          </w:tcPr>
          <w:p w14:paraId="53FEAC7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 w:val="0"/>
                <w:bCs w:val="0"/>
                <w:color w:val="auto"/>
                <w:sz w:val="24"/>
                <w:szCs w:val="24"/>
                <w:highlight w:val="none"/>
                <w:lang w:eastAsia="zh-CN"/>
              </w:rPr>
            </w:pPr>
            <w:r>
              <w:rPr>
                <w:rFonts w:hint="default" w:ascii="Times New Roman" w:hAnsi="Times New Roman" w:cs="Times New Roman"/>
                <w:b w:val="0"/>
                <w:bCs w:val="0"/>
                <w:color w:val="auto"/>
                <w:sz w:val="24"/>
                <w:szCs w:val="24"/>
                <w:highlight w:val="none"/>
              </w:rPr>
              <w:t>环保投资占比</w:t>
            </w:r>
          </w:p>
        </w:tc>
        <w:tc>
          <w:tcPr>
            <w:tcW w:w="1272" w:type="pct"/>
            <w:vAlign w:val="center"/>
          </w:tcPr>
          <w:p w14:paraId="1CEF5F6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val="en-US" w:eastAsia="zh-CN"/>
              </w:rPr>
              <w:t>%</w:t>
            </w:r>
          </w:p>
        </w:tc>
        <w:tc>
          <w:tcPr>
            <w:tcW w:w="1087" w:type="pct"/>
            <w:tcMar>
              <w:top w:w="16" w:type="dxa"/>
              <w:left w:w="16" w:type="dxa"/>
              <w:right w:w="16" w:type="dxa"/>
            </w:tcMar>
            <w:vAlign w:val="center"/>
          </w:tcPr>
          <w:p w14:paraId="3167BB3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施工工期</w:t>
            </w:r>
          </w:p>
        </w:tc>
        <w:tc>
          <w:tcPr>
            <w:tcW w:w="1693" w:type="pct"/>
            <w:vAlign w:val="center"/>
          </w:tcPr>
          <w:p w14:paraId="1D3E067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个</w:t>
            </w:r>
            <w:r>
              <w:rPr>
                <w:rFonts w:hint="default" w:ascii="Times New Roman" w:hAnsi="Times New Roman" w:cs="Times New Roman"/>
                <w:color w:val="auto"/>
                <w:sz w:val="24"/>
                <w:szCs w:val="24"/>
                <w:highlight w:val="none"/>
                <w:lang w:val="en-US" w:eastAsia="zh-CN"/>
              </w:rPr>
              <w:t>月</w:t>
            </w:r>
          </w:p>
        </w:tc>
      </w:tr>
      <w:tr w14:paraId="4173DF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46" w:type="pct"/>
            <w:gridSpan w:val="2"/>
            <w:tcMar>
              <w:top w:w="16" w:type="dxa"/>
              <w:left w:w="16" w:type="dxa"/>
              <w:right w:w="16" w:type="dxa"/>
            </w:tcMar>
            <w:vAlign w:val="center"/>
          </w:tcPr>
          <w:p w14:paraId="7E459BA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是否开工建设</w:t>
            </w:r>
          </w:p>
        </w:tc>
        <w:tc>
          <w:tcPr>
            <w:tcW w:w="1272" w:type="pct"/>
            <w:vAlign w:val="center"/>
          </w:tcPr>
          <w:p w14:paraId="677C1212">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否</w:t>
            </w:r>
          </w:p>
          <w:p w14:paraId="21BC4110">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是：</w:t>
            </w:r>
            <w:r>
              <w:rPr>
                <w:rFonts w:hint="default" w:ascii="Times New Roman" w:hAnsi="Times New Roman" w:cs="Times New Roman"/>
                <w:color w:val="auto"/>
                <w:sz w:val="24"/>
                <w:szCs w:val="24"/>
                <w:highlight w:val="none"/>
                <w:u w:val="single"/>
              </w:rPr>
              <w:t xml:space="preserve">             </w:t>
            </w:r>
          </w:p>
        </w:tc>
        <w:tc>
          <w:tcPr>
            <w:tcW w:w="1087" w:type="pct"/>
            <w:tcMar>
              <w:top w:w="16" w:type="dxa"/>
              <w:left w:w="16" w:type="dxa"/>
              <w:right w:w="16" w:type="dxa"/>
            </w:tcMar>
            <w:vAlign w:val="center"/>
          </w:tcPr>
          <w:p w14:paraId="2D15B5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pacing w:val="-6"/>
                <w:sz w:val="24"/>
                <w:szCs w:val="24"/>
                <w:highlight w:val="none"/>
              </w:rPr>
            </w:pPr>
            <w:r>
              <w:rPr>
                <w:rFonts w:hint="default" w:ascii="Times New Roman" w:hAnsi="Times New Roman" w:cs="Times New Roman"/>
                <w:b w:val="0"/>
                <w:bCs w:val="0"/>
                <w:color w:val="auto"/>
                <w:spacing w:val="-6"/>
                <w:sz w:val="24"/>
                <w:szCs w:val="24"/>
                <w:highlight w:val="none"/>
              </w:rPr>
              <w:t>用地（用海）</w:t>
            </w:r>
          </w:p>
          <w:p w14:paraId="0FC0FEC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pacing w:val="-6"/>
                <w:sz w:val="24"/>
                <w:szCs w:val="24"/>
                <w:highlight w:val="none"/>
              </w:rPr>
              <w:t>面积（m</w:t>
            </w:r>
            <w:r>
              <w:rPr>
                <w:rFonts w:hint="default" w:ascii="Times New Roman" w:hAnsi="Times New Roman" w:cs="Times New Roman"/>
                <w:b w:val="0"/>
                <w:bCs w:val="0"/>
                <w:color w:val="auto"/>
                <w:spacing w:val="-6"/>
                <w:sz w:val="24"/>
                <w:szCs w:val="24"/>
                <w:highlight w:val="none"/>
                <w:vertAlign w:val="superscript"/>
              </w:rPr>
              <w:t>2</w:t>
            </w:r>
            <w:r>
              <w:rPr>
                <w:rFonts w:hint="default" w:ascii="Times New Roman" w:hAnsi="Times New Roman" w:cs="Times New Roman"/>
                <w:b w:val="0"/>
                <w:bCs w:val="0"/>
                <w:color w:val="auto"/>
                <w:spacing w:val="-6"/>
                <w:sz w:val="24"/>
                <w:szCs w:val="24"/>
                <w:highlight w:val="none"/>
              </w:rPr>
              <w:t>）</w:t>
            </w:r>
          </w:p>
        </w:tc>
        <w:tc>
          <w:tcPr>
            <w:tcW w:w="1693" w:type="pct"/>
            <w:vAlign w:val="center"/>
          </w:tcPr>
          <w:p w14:paraId="32CD9D6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0</w:t>
            </w:r>
          </w:p>
        </w:tc>
      </w:tr>
      <w:tr w14:paraId="6653C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46" w:type="pct"/>
            <w:gridSpan w:val="2"/>
            <w:vAlign w:val="center"/>
          </w:tcPr>
          <w:p w14:paraId="4D6064E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rPr>
              <w:t>专项评价设置情况</w:t>
            </w:r>
          </w:p>
        </w:tc>
        <w:tc>
          <w:tcPr>
            <w:tcW w:w="4053" w:type="pct"/>
            <w:gridSpan w:val="3"/>
            <w:vAlign w:val="center"/>
          </w:tcPr>
          <w:p w14:paraId="4D0FC34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rPr>
              <w:t>无</w:t>
            </w:r>
          </w:p>
        </w:tc>
      </w:tr>
      <w:tr w14:paraId="433D74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46" w:type="pct"/>
            <w:gridSpan w:val="2"/>
            <w:vAlign w:val="center"/>
          </w:tcPr>
          <w:p w14:paraId="2D6F55E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0"/>
                <w:sz w:val="24"/>
                <w:szCs w:val="24"/>
                <w:highlight w:val="yellow"/>
              </w:rPr>
            </w:pPr>
            <w:r>
              <w:rPr>
                <w:rFonts w:hint="default" w:ascii="Times New Roman" w:hAnsi="Times New Roman" w:cs="Times New Roman"/>
                <w:b w:val="0"/>
                <w:bCs w:val="0"/>
                <w:color w:val="auto"/>
                <w:sz w:val="24"/>
                <w:szCs w:val="24"/>
                <w:highlight w:val="none"/>
              </w:rPr>
              <w:t>规划情况</w:t>
            </w:r>
          </w:p>
        </w:tc>
        <w:tc>
          <w:tcPr>
            <w:tcW w:w="4053" w:type="pct"/>
            <w:gridSpan w:val="3"/>
            <w:vAlign w:val="center"/>
          </w:tcPr>
          <w:p w14:paraId="296705A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规划文件名称：《屯留经济技术开发区（区位调整）产业发展规划（2025-2035年）》</w:t>
            </w:r>
          </w:p>
          <w:p w14:paraId="4988D3F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审批文件名称：《山西省人民政府关于屯留、潞城、长子3个经济技术开发区区域调整的批复》晋政函〔2023〕135号</w:t>
            </w:r>
          </w:p>
          <w:p w14:paraId="028716A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审批机关：山西省人民政府</w:t>
            </w:r>
          </w:p>
        </w:tc>
      </w:tr>
      <w:tr w14:paraId="7901A1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46" w:type="pct"/>
            <w:gridSpan w:val="2"/>
            <w:vAlign w:val="center"/>
          </w:tcPr>
          <w:p w14:paraId="118C21D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0"/>
                <w:sz w:val="24"/>
                <w:szCs w:val="24"/>
                <w:highlight w:val="yellow"/>
              </w:rPr>
            </w:pPr>
            <w:r>
              <w:rPr>
                <w:rFonts w:hint="default" w:ascii="Times New Roman" w:hAnsi="Times New Roman" w:cs="Times New Roman"/>
                <w:b w:val="0"/>
                <w:bCs w:val="0"/>
                <w:color w:val="auto"/>
                <w:sz w:val="24"/>
                <w:szCs w:val="24"/>
                <w:highlight w:val="none"/>
              </w:rPr>
              <w:t>规划环境影响评价情况</w:t>
            </w:r>
          </w:p>
        </w:tc>
        <w:tc>
          <w:tcPr>
            <w:tcW w:w="4053" w:type="pct"/>
            <w:gridSpan w:val="3"/>
            <w:vAlign w:val="center"/>
          </w:tcPr>
          <w:p w14:paraId="3A4832B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p>
          <w:p w14:paraId="2B58A53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《屯留经济技术开发区（区位调整）产业发展规划（2025-2035年）环境影响报告书》正在编制中</w:t>
            </w:r>
          </w:p>
          <w:p w14:paraId="55FFA2F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atLeas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p>
        </w:tc>
      </w:tr>
      <w:tr w14:paraId="6F57E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332" w:type="pct"/>
            <w:vAlign w:val="center"/>
          </w:tcPr>
          <w:p w14:paraId="57B694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1"/>
                <w:szCs w:val="21"/>
                <w:highlight w:val="none"/>
              </w:rPr>
              <w:t>规划及规划环境影响评价符合性分析</w:t>
            </w:r>
          </w:p>
        </w:tc>
        <w:tc>
          <w:tcPr>
            <w:tcW w:w="4667" w:type="pct"/>
            <w:gridSpan w:val="4"/>
            <w:vAlign w:val="center"/>
          </w:tcPr>
          <w:p w14:paraId="107FB1D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2" w:firstLineChars="200"/>
              <w:jc w:val="both"/>
              <w:textAlignment w:val="auto"/>
              <w:rPr>
                <w:rFonts w:hint="eastAsia" w:ascii="Times New Roman" w:hAnsi="Times New Roman" w:eastAsia="宋体"/>
                <w:b/>
                <w:bCs/>
                <w:color w:val="auto"/>
                <w:kern w:val="2"/>
                <w:sz w:val="24"/>
                <w:szCs w:val="24"/>
                <w:highlight w:val="none"/>
              </w:rPr>
            </w:pPr>
            <w:r>
              <w:rPr>
                <w:rFonts w:hint="eastAsia" w:ascii="Times New Roman" w:hAnsi="Times New Roman" w:eastAsia="宋体" w:cs="Times New Roman"/>
                <w:b/>
                <w:bCs/>
                <w:color w:val="auto"/>
                <w:kern w:val="0"/>
                <w:sz w:val="24"/>
                <w:szCs w:val="24"/>
                <w:highlight w:val="none"/>
                <w:lang w:val="en-US" w:eastAsia="zh-CN"/>
              </w:rPr>
              <w:t>1、</w:t>
            </w:r>
            <w:r>
              <w:rPr>
                <w:rFonts w:hint="eastAsia" w:eastAsia="宋体"/>
                <w:b/>
                <w:bCs/>
                <w:color w:val="auto"/>
                <w:kern w:val="0"/>
                <w:sz w:val="24"/>
                <w:szCs w:val="24"/>
                <w:highlight w:val="none"/>
                <w:lang w:eastAsia="zh-CN"/>
              </w:rPr>
              <w:t>《屯留经济技术开发区（区位调整）产业发展规划（2025-2035年）》</w:t>
            </w:r>
            <w:r>
              <w:rPr>
                <w:rFonts w:hint="eastAsia" w:ascii="Times New Roman" w:hAnsi="Times New Roman" w:eastAsia="宋体"/>
                <w:b/>
                <w:bCs/>
                <w:color w:val="auto"/>
                <w:kern w:val="2"/>
                <w:sz w:val="24"/>
                <w:szCs w:val="24"/>
                <w:highlight w:val="none"/>
              </w:rPr>
              <w:t>规划符合性分析</w:t>
            </w:r>
          </w:p>
          <w:p w14:paraId="754D7E1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bCs/>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（1）</w:t>
            </w:r>
            <w:r>
              <w:rPr>
                <w:rFonts w:hint="eastAsia" w:ascii="Times New Roman" w:hAnsi="Times New Roman" w:eastAsia="宋体"/>
                <w:b w:val="0"/>
                <w:bCs w:val="0"/>
                <w:color w:val="auto"/>
                <w:kern w:val="2"/>
                <w:sz w:val="24"/>
                <w:szCs w:val="24"/>
                <w:highlight w:val="none"/>
                <w:lang w:val="en-US" w:eastAsia="zh-CN"/>
              </w:rPr>
              <w:t>规划概述</w:t>
            </w:r>
          </w:p>
          <w:p w14:paraId="34BD1D3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b w:val="0"/>
                <w:bCs w:val="0"/>
                <w:color w:val="auto"/>
                <w:kern w:val="2"/>
                <w:sz w:val="24"/>
                <w:szCs w:val="24"/>
                <w:highlight w:val="none"/>
                <w:lang w:val="en-US" w:eastAsia="zh-CN"/>
              </w:rPr>
            </w:pPr>
            <w:r>
              <w:rPr>
                <w:rFonts w:hint="default" w:ascii="Times New Roman" w:hAnsi="Times New Roman" w:eastAsia="宋体"/>
                <w:b w:val="0"/>
                <w:bCs w:val="0"/>
                <w:color w:val="auto"/>
                <w:kern w:val="2"/>
                <w:sz w:val="24"/>
                <w:szCs w:val="24"/>
                <w:highlight w:val="none"/>
                <w:lang w:val="en-US" w:eastAsia="zh-CN"/>
              </w:rPr>
              <w:t>据《山西省开发区建设工作领导小组办公室关于进一步规范开发区区域调整工作的通知》</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晋开办</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2023</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4号</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文件要求，按照省委、省政府推动开发区</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整合、改制、扩区、调规</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八字方针，在确保省政府批准的用地规模26.9平方公里不变的条件下，拟调出余吾和渔泽工业园内永久基本农田、居民点等不适宜开发利用区域共计4.59平方公里，调入康庄工业园符合城镇开发边界的区域共计4.59平方公里，调整后开发区由</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一区两园</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变为</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一区三园</w:t>
            </w:r>
            <w:r>
              <w:rPr>
                <w:rFonts w:hint="eastAsia" w:ascii="Times New Roman" w:hAnsi="Times New Roman"/>
                <w:b w:val="0"/>
                <w:bCs w:val="0"/>
                <w:color w:val="auto"/>
                <w:kern w:val="2"/>
                <w:sz w:val="24"/>
                <w:szCs w:val="24"/>
                <w:highlight w:val="none"/>
                <w:lang w:val="en-US" w:eastAsia="zh-CN"/>
              </w:rPr>
              <w:t>”</w:t>
            </w:r>
            <w:r>
              <w:rPr>
                <w:rFonts w:hint="default" w:ascii="Times New Roman" w:hAnsi="Times New Roman" w:eastAsia="宋体"/>
                <w:b w:val="0"/>
                <w:bCs w:val="0"/>
                <w:color w:val="auto"/>
                <w:kern w:val="2"/>
                <w:sz w:val="24"/>
                <w:szCs w:val="24"/>
                <w:highlight w:val="none"/>
                <w:lang w:val="en-US" w:eastAsia="zh-CN"/>
              </w:rPr>
              <w:t>，总面积仍保持26.9平方公里。</w:t>
            </w:r>
          </w:p>
          <w:p w14:paraId="4374F4A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（2）</w:t>
            </w:r>
            <w:r>
              <w:rPr>
                <w:rFonts w:hint="eastAsia" w:ascii="Times New Roman" w:hAnsi="Times New Roman" w:eastAsia="宋体"/>
                <w:b w:val="0"/>
                <w:bCs w:val="0"/>
                <w:color w:val="auto"/>
                <w:kern w:val="2"/>
                <w:sz w:val="24"/>
                <w:szCs w:val="24"/>
                <w:highlight w:val="none"/>
                <w:lang w:val="en-US" w:eastAsia="zh-CN"/>
              </w:rPr>
              <w:t>规划范围</w:t>
            </w:r>
          </w:p>
          <w:p w14:paraId="56AAE5F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rPr>
            </w:pPr>
            <w:r>
              <w:rPr>
                <w:rFonts w:hint="eastAsia" w:ascii="Times New Roman" w:hAnsi="Times New Roman" w:eastAsia="宋体"/>
                <w:b w:val="0"/>
                <w:bCs w:val="0"/>
                <w:color w:val="auto"/>
                <w:kern w:val="2"/>
                <w:sz w:val="24"/>
                <w:szCs w:val="24"/>
                <w:highlight w:val="none"/>
              </w:rPr>
              <w:t>康庄工业园区域调整后面积4.1694平方公里，四至范围为：东至太行药业股份有限公司东围墙东231米，南至太重榆液长治液压有限公司南围墙南415米，西至麟泽大道与康庄西街交叉口西320米，北至山西双鹰药业有限公司北围墙北422米；</w:t>
            </w:r>
          </w:p>
          <w:p w14:paraId="1AAEB7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rPr>
            </w:pPr>
            <w:r>
              <w:rPr>
                <w:rFonts w:hint="eastAsia" w:ascii="Times New Roman" w:hAnsi="Times New Roman" w:eastAsia="宋体"/>
                <w:b w:val="0"/>
                <w:bCs w:val="0"/>
                <w:color w:val="auto"/>
                <w:kern w:val="2"/>
                <w:sz w:val="24"/>
                <w:szCs w:val="24"/>
                <w:highlight w:val="none"/>
              </w:rPr>
              <w:t>余吾工业园区域调整后规划面积4.7839方公里，四至范围为：东至屯留县羿德环保科技有限公司东围墙，南至红官线X692（不含），西至红官线X692与老柳线X695交叉口东21米，北至屯留县天桥新型墙体材料有限公司北围墙北52米；</w:t>
            </w:r>
          </w:p>
          <w:p w14:paraId="3414B79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rPr>
            </w:pPr>
            <w:r>
              <w:rPr>
                <w:rFonts w:hint="default" w:ascii="Times New Roman" w:hAnsi="Times New Roman" w:eastAsia="宋体" w:cs="Times New Roman"/>
                <w:b w:val="0"/>
                <w:bCs w:val="0"/>
                <w:color w:val="auto"/>
                <w:kern w:val="2"/>
                <w:sz w:val="24"/>
                <w:szCs w:val="24"/>
                <w:highlight w:val="none"/>
              </w:rPr>
              <w:t>渔泽工业园区域调整后规划面积17.9458平方公里，四至范围为：东至山西长钢瑞昌水泥有限公司东围墙，南至山西丰泽选煤有限责任公司南围墙，西至二广高速G55与Y009乡道交叉口东53米，北至富海能源加油站（S228省道）北50米。</w:t>
            </w:r>
          </w:p>
          <w:p w14:paraId="0409A4B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cs="Times New Roman"/>
                <w:b w:val="0"/>
                <w:bCs w:val="0"/>
                <w:color w:val="auto"/>
                <w:kern w:val="2"/>
                <w:sz w:val="24"/>
                <w:szCs w:val="24"/>
                <w:highlight w:val="none"/>
                <w:lang w:val="en-US" w:eastAsia="zh-CN"/>
              </w:rPr>
              <w:t>（3）</w:t>
            </w:r>
            <w:r>
              <w:rPr>
                <w:rFonts w:hint="default" w:ascii="Times New Roman" w:hAnsi="Times New Roman" w:eastAsia="宋体" w:cs="Times New Roman"/>
                <w:b w:val="0"/>
                <w:bCs w:val="0"/>
                <w:color w:val="auto"/>
                <w:kern w:val="2"/>
                <w:sz w:val="24"/>
                <w:szCs w:val="24"/>
                <w:highlight w:val="none"/>
                <w:lang w:val="en-US" w:eastAsia="zh-CN"/>
              </w:rPr>
              <w:t>规划期限</w:t>
            </w:r>
          </w:p>
          <w:p w14:paraId="1990DAF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4"/>
                <w:highlight w:val="none"/>
              </w:rPr>
            </w:pPr>
            <w:r>
              <w:rPr>
                <w:rFonts w:hint="default" w:ascii="Times New Roman" w:hAnsi="Times New Roman" w:eastAsia="宋体" w:cs="Times New Roman"/>
                <w:b w:val="0"/>
                <w:bCs w:val="0"/>
                <w:i w:val="0"/>
                <w:iCs w:val="0"/>
                <w:caps w:val="0"/>
                <w:color w:val="auto"/>
                <w:spacing w:val="0"/>
                <w:sz w:val="24"/>
                <w:szCs w:val="24"/>
                <w:shd w:val="clear" w:color="auto" w:fill="FFFFFF"/>
              </w:rPr>
              <w:t>本次规划期限为2025—2035年。</w:t>
            </w:r>
          </w:p>
          <w:p w14:paraId="461584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cs="Times New Roman"/>
                <w:b w:val="0"/>
                <w:bCs w:val="0"/>
                <w:color w:val="auto"/>
                <w:kern w:val="2"/>
                <w:sz w:val="24"/>
                <w:szCs w:val="24"/>
                <w:highlight w:val="none"/>
                <w:lang w:val="en-US" w:eastAsia="zh-CN"/>
              </w:rPr>
              <w:t>（4）</w:t>
            </w:r>
            <w:r>
              <w:rPr>
                <w:rFonts w:hint="eastAsia" w:ascii="Times New Roman" w:hAnsi="Times New Roman" w:eastAsia="宋体" w:cs="Times New Roman"/>
                <w:b w:val="0"/>
                <w:bCs w:val="0"/>
                <w:color w:val="auto"/>
                <w:kern w:val="2"/>
                <w:sz w:val="24"/>
                <w:szCs w:val="24"/>
                <w:highlight w:val="none"/>
                <w:lang w:val="en-US" w:eastAsia="zh-CN"/>
              </w:rPr>
              <w:t>规划定位</w:t>
            </w:r>
          </w:p>
          <w:p w14:paraId="0C317F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val="0"/>
                <w:i w:val="0"/>
                <w:iCs w:val="0"/>
                <w:caps w:val="0"/>
                <w:color w:val="auto"/>
                <w:spacing w:val="0"/>
                <w:sz w:val="24"/>
                <w:szCs w:val="24"/>
                <w:shd w:val="clear" w:color="auto" w:fill="FFFFFF"/>
                <w:lang w:eastAsia="zh-CN"/>
              </w:rPr>
            </w:pPr>
            <w:r>
              <w:rPr>
                <w:rFonts w:hint="eastAsia" w:ascii="Times New Roman" w:hAnsi="Times New Roman" w:eastAsia="宋体" w:cs="Times New Roman"/>
                <w:b w:val="0"/>
                <w:bCs w:val="0"/>
                <w:i w:val="0"/>
                <w:iCs w:val="0"/>
                <w:caps w:val="0"/>
                <w:color w:val="auto"/>
                <w:spacing w:val="0"/>
                <w:sz w:val="24"/>
                <w:szCs w:val="24"/>
                <w:shd w:val="clear" w:color="auto" w:fill="FFFFFF"/>
              </w:rPr>
              <w:t>屯留经济技术开发区以高端装备制造、废弃资源综合利用为主导发展产业</w:t>
            </w:r>
            <w:r>
              <w:rPr>
                <w:rFonts w:hint="eastAsia" w:ascii="Times New Roman" w:hAnsi="Times New Roman" w:eastAsia="宋体" w:cs="Times New Roman"/>
                <w:b w:val="0"/>
                <w:bCs w:val="0"/>
                <w:i w:val="0"/>
                <w:iCs w:val="0"/>
                <w:caps w:val="0"/>
                <w:color w:val="auto"/>
                <w:spacing w:val="0"/>
                <w:sz w:val="24"/>
                <w:szCs w:val="24"/>
                <w:shd w:val="clear" w:color="auto" w:fill="FFFFFF"/>
                <w:lang w:eastAsia="zh-CN"/>
              </w:rPr>
              <w:t>。</w:t>
            </w:r>
          </w:p>
          <w:p w14:paraId="725E03A7">
            <w:pPr>
              <w:pStyle w:val="41"/>
              <w:keepNext w:val="0"/>
              <w:keepLines w:val="0"/>
              <w:pageBreakBefore w:val="0"/>
              <w:widowControl w:val="0"/>
              <w:suppressLineNumbers w:val="0"/>
              <w:kinsoku/>
              <w:wordWrap/>
              <w:overflowPunct/>
              <w:topLinePunct w:val="0"/>
              <w:bidi w:val="0"/>
              <w:adjustRightInd/>
              <w:snapToGrid/>
              <w:spacing w:before="0" w:beforeAutospacing="0" w:after="0" w:afterAutospacing="0" w:line="480" w:lineRule="exact"/>
              <w:ind w:left="0" w:right="0"/>
              <w:textAlignment w:val="auto"/>
              <w:rPr>
                <w:rFonts w:hint="eastAsia" w:ascii="Times New Roman" w:hAnsi="Times New Roman" w:eastAsia="宋体" w:cs="Times New Roman"/>
                <w:b w:val="0"/>
                <w:bCs w:val="0"/>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（5）</w:t>
            </w:r>
            <w:r>
              <w:rPr>
                <w:rFonts w:hint="eastAsia" w:ascii="Times New Roman" w:hAnsi="Times New Roman" w:eastAsia="宋体" w:cs="Times New Roman"/>
                <w:b w:val="0"/>
                <w:bCs w:val="0"/>
                <w:color w:val="auto"/>
                <w:kern w:val="2"/>
                <w:sz w:val="24"/>
                <w:szCs w:val="24"/>
                <w:highlight w:val="none"/>
                <w:lang w:val="en-US" w:eastAsia="zh-CN"/>
              </w:rPr>
              <w:t>功能分区</w:t>
            </w:r>
          </w:p>
          <w:p w14:paraId="744914F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cs="Times New Roman"/>
                <w:i w:val="0"/>
                <w:iCs w:val="0"/>
                <w:caps w:val="0"/>
                <w:color w:val="auto"/>
                <w:spacing w:val="0"/>
                <w:sz w:val="24"/>
                <w:szCs w:val="24"/>
                <w:shd w:val="clear" w:color="auto" w:fill="FFFFFF"/>
                <w:lang w:val="en-US" w:eastAsia="zh-CN"/>
              </w:rPr>
              <w:t>①</w:t>
            </w:r>
            <w:r>
              <w:rPr>
                <w:rFonts w:hint="eastAsia" w:ascii="Times New Roman" w:hAnsi="Times New Roman" w:eastAsia="宋体" w:cs="Times New Roman"/>
                <w:i w:val="0"/>
                <w:iCs w:val="0"/>
                <w:caps w:val="0"/>
                <w:color w:val="auto"/>
                <w:spacing w:val="0"/>
                <w:sz w:val="24"/>
                <w:szCs w:val="24"/>
                <w:shd w:val="clear" w:color="auto" w:fill="FFFFFF"/>
              </w:rPr>
              <w:t>康庄工业园</w:t>
            </w:r>
          </w:p>
          <w:p w14:paraId="0EF152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康庄工业园构建“一心两轴五组团”空间结构。</w:t>
            </w:r>
          </w:p>
          <w:p w14:paraId="05DC034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一心：综合服务中心。</w:t>
            </w:r>
          </w:p>
          <w:p w14:paraId="787AD00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两轴：沿迎宾大道、清华路形成的横向发展轴和纵向发展轴。</w:t>
            </w:r>
          </w:p>
          <w:p w14:paraId="0A51205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五组团：结合产业布局，按照总体用地结构形成高端装备制造组团、废弃资源综合利用组团、绿色新能源组团、生物医药组团、食品深加工组团，共五个组团。</w:t>
            </w:r>
          </w:p>
          <w:p w14:paraId="74E1C15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cs="Times New Roman"/>
                <w:i w:val="0"/>
                <w:iCs w:val="0"/>
                <w:caps w:val="0"/>
                <w:color w:val="auto"/>
                <w:spacing w:val="0"/>
                <w:sz w:val="24"/>
                <w:szCs w:val="24"/>
                <w:shd w:val="clear" w:color="auto" w:fill="FFFFFF"/>
                <w:lang w:val="en-US" w:eastAsia="zh-CN"/>
              </w:rPr>
              <w:t>②</w:t>
            </w:r>
            <w:r>
              <w:rPr>
                <w:rFonts w:hint="eastAsia" w:ascii="Times New Roman" w:hAnsi="Times New Roman" w:eastAsia="宋体" w:cs="Times New Roman"/>
                <w:i w:val="0"/>
                <w:iCs w:val="0"/>
                <w:caps w:val="0"/>
                <w:color w:val="auto"/>
                <w:spacing w:val="0"/>
                <w:sz w:val="24"/>
                <w:szCs w:val="24"/>
                <w:shd w:val="clear" w:color="auto" w:fill="FFFFFF"/>
              </w:rPr>
              <w:t>余吾工业园</w:t>
            </w:r>
          </w:p>
          <w:p w14:paraId="5DB0EB2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余吾工业园形成“三组团”协同发展的产业格局。</w:t>
            </w:r>
          </w:p>
          <w:p w14:paraId="2BCBBA6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三组团：结合产业布局，按照总体用地结构形成废弃资源综合利用组团、碳基新材料组团、绿色新能源组团，共三个组团。</w:t>
            </w:r>
          </w:p>
          <w:p w14:paraId="3702F1D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cs="Times New Roman"/>
                <w:i w:val="0"/>
                <w:iCs w:val="0"/>
                <w:caps w:val="0"/>
                <w:color w:val="auto"/>
                <w:spacing w:val="0"/>
                <w:sz w:val="24"/>
                <w:szCs w:val="24"/>
                <w:shd w:val="clear" w:color="auto" w:fill="FFFFFF"/>
                <w:lang w:val="en-US" w:eastAsia="zh-CN"/>
              </w:rPr>
              <w:t>③</w:t>
            </w:r>
            <w:r>
              <w:rPr>
                <w:rFonts w:hint="eastAsia" w:ascii="Times New Roman" w:hAnsi="Times New Roman" w:eastAsia="宋体" w:cs="Times New Roman"/>
                <w:i w:val="0"/>
                <w:iCs w:val="0"/>
                <w:caps w:val="0"/>
                <w:color w:val="auto"/>
                <w:spacing w:val="0"/>
                <w:sz w:val="24"/>
                <w:szCs w:val="24"/>
                <w:shd w:val="clear" w:color="auto" w:fill="FFFFFF"/>
              </w:rPr>
              <w:t>渔泽工业园</w:t>
            </w:r>
          </w:p>
          <w:p w14:paraId="2EA221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渔泽工业园构建“四组团”协同发展的产业格局。</w:t>
            </w:r>
          </w:p>
          <w:p w14:paraId="005622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i w:val="0"/>
                <w:iCs w:val="0"/>
                <w:caps w:val="0"/>
                <w:color w:val="auto"/>
                <w:spacing w:val="0"/>
                <w:sz w:val="24"/>
                <w:szCs w:val="24"/>
                <w:shd w:val="clear" w:color="auto" w:fill="FFFFFF"/>
              </w:rPr>
            </w:pPr>
            <w:r>
              <w:rPr>
                <w:rFonts w:hint="eastAsia" w:ascii="Times New Roman" w:hAnsi="Times New Roman" w:eastAsia="宋体" w:cs="Times New Roman"/>
                <w:i w:val="0"/>
                <w:iCs w:val="0"/>
                <w:caps w:val="0"/>
                <w:color w:val="auto"/>
                <w:spacing w:val="0"/>
                <w:sz w:val="24"/>
                <w:szCs w:val="24"/>
                <w:shd w:val="clear" w:color="auto" w:fill="FFFFFF"/>
              </w:rPr>
              <w:t>四组团：结合产业布局，按照总体用地结构形成高端装备制造组团、废弃资源综合利用组团、碳基新材料组团、生物医药组团，共四个组团。</w:t>
            </w:r>
          </w:p>
          <w:p w14:paraId="45CEB1C0">
            <w:pPr>
              <w:pStyle w:val="41"/>
              <w:keepNext w:val="0"/>
              <w:keepLines w:val="0"/>
              <w:pageBreakBefore w:val="0"/>
              <w:widowControl w:val="0"/>
              <w:suppressLineNumbers w:val="0"/>
              <w:kinsoku/>
              <w:wordWrap/>
              <w:overflowPunct/>
              <w:topLinePunct w:val="0"/>
              <w:bidi w:val="0"/>
              <w:adjustRightInd/>
              <w:snapToGrid/>
              <w:spacing w:before="0" w:beforeAutospacing="0" w:after="0" w:afterAutospacing="0" w:line="480" w:lineRule="exact"/>
              <w:ind w:left="0" w:right="0"/>
              <w:textAlignment w:val="auto"/>
              <w:rPr>
                <w:rFonts w:hint="eastAsia" w:ascii="Times New Roman" w:hAnsi="Times New Roman" w:eastAsia="宋体" w:cs="宋体"/>
                <w:color w:val="auto"/>
                <w:kern w:val="0"/>
                <w:sz w:val="24"/>
                <w:lang w:val="en-US" w:eastAsia="zh-CN"/>
              </w:rPr>
            </w:pPr>
            <w:r>
              <w:rPr>
                <w:rFonts w:hint="default"/>
                <w:color w:val="auto"/>
                <w:kern w:val="0"/>
                <w:sz w:val="24"/>
              </w:rPr>
              <w:t>本项目</w:t>
            </w:r>
            <w:r>
              <w:rPr>
                <w:rFonts w:hint="eastAsia"/>
                <w:color w:val="auto"/>
                <w:kern w:val="0"/>
                <w:sz w:val="24"/>
                <w:lang w:val="en-US" w:eastAsia="zh-CN"/>
              </w:rPr>
              <w:t>拟</w:t>
            </w:r>
            <w:r>
              <w:rPr>
                <w:rFonts w:hint="default"/>
                <w:color w:val="auto"/>
                <w:kern w:val="0"/>
                <w:sz w:val="24"/>
              </w:rPr>
              <w:t>在</w:t>
            </w:r>
            <w:r>
              <w:rPr>
                <w:rFonts w:hint="eastAsia"/>
                <w:color w:val="auto"/>
                <w:kern w:val="0"/>
                <w:sz w:val="24"/>
                <w:lang w:val="en-US" w:eastAsia="zh-CN"/>
              </w:rPr>
              <w:t>现有厂房内</w:t>
            </w:r>
            <w:r>
              <w:rPr>
                <w:rFonts w:hint="default"/>
                <w:color w:val="auto"/>
                <w:kern w:val="0"/>
                <w:sz w:val="24"/>
              </w:rPr>
              <w:t>进行建设，</w:t>
            </w:r>
            <w:r>
              <w:rPr>
                <w:rFonts w:hint="eastAsia"/>
                <w:color w:val="auto"/>
                <w:kern w:val="0"/>
                <w:sz w:val="24"/>
                <w:lang w:val="en-US" w:eastAsia="zh-CN"/>
              </w:rPr>
              <w:t>不新增占地，占地属于工业用地（土地手续见附件3）</w:t>
            </w:r>
            <w:r>
              <w:rPr>
                <w:rFonts w:hint="eastAsia" w:cs="Times New Roman"/>
                <w:i w:val="0"/>
                <w:iCs w:val="0"/>
                <w:caps w:val="0"/>
                <w:color w:val="auto"/>
                <w:spacing w:val="0"/>
                <w:sz w:val="24"/>
                <w:szCs w:val="24"/>
                <w:shd w:val="clear" w:color="auto" w:fill="FFFFFF"/>
                <w:lang w:val="en-US" w:eastAsia="zh-CN"/>
              </w:rPr>
              <w:t>。所在区域属于</w:t>
            </w:r>
            <w:r>
              <w:rPr>
                <w:rFonts w:hint="eastAsia" w:ascii="Times New Roman" w:hAnsi="Times New Roman" w:eastAsia="宋体" w:cs="Times New Roman"/>
                <w:color w:val="auto"/>
                <w:kern w:val="0"/>
                <w:sz w:val="24"/>
                <w:szCs w:val="24"/>
                <w:highlight w:val="none"/>
                <w:lang w:val="en-US" w:eastAsia="zh-CN"/>
              </w:rPr>
              <w:t>废弃资源综合利用产业片区，</w:t>
            </w:r>
            <w:r>
              <w:rPr>
                <w:rFonts w:hint="eastAsia" w:ascii="Times New Roman" w:hAnsi="Times New Roman" w:eastAsia="宋体" w:cs="Times New Roman"/>
                <w:i w:val="0"/>
                <w:iCs w:val="0"/>
                <w:caps w:val="0"/>
                <w:color w:val="auto"/>
                <w:spacing w:val="0"/>
                <w:sz w:val="24"/>
                <w:szCs w:val="24"/>
                <w:shd w:val="clear" w:color="auto" w:fill="FFFFFF"/>
                <w:lang w:val="en-US" w:eastAsia="zh-CN"/>
              </w:rPr>
              <w:t>项目为年</w:t>
            </w:r>
            <w:r>
              <w:rPr>
                <w:rFonts w:hint="eastAsia" w:cs="Times New Roman"/>
                <w:i w:val="0"/>
                <w:iCs w:val="0"/>
                <w:caps w:val="0"/>
                <w:color w:val="auto"/>
                <w:spacing w:val="0"/>
                <w:sz w:val="24"/>
                <w:szCs w:val="24"/>
                <w:shd w:val="clear" w:color="auto" w:fill="FFFFFF"/>
                <w:lang w:val="en-US" w:eastAsia="zh-CN"/>
              </w:rPr>
              <w:t>处理能力达</w:t>
            </w:r>
            <w:r>
              <w:rPr>
                <w:rFonts w:hint="eastAsia" w:ascii="Times New Roman" w:hAnsi="Times New Roman" w:cs="Times New Roman"/>
                <w:i w:val="0"/>
                <w:iCs w:val="0"/>
                <w:caps w:val="0"/>
                <w:color w:val="auto"/>
                <w:spacing w:val="0"/>
                <w:sz w:val="24"/>
                <w:szCs w:val="24"/>
                <w:shd w:val="clear" w:color="auto" w:fill="FFFFFF"/>
                <w:lang w:val="en-US" w:eastAsia="zh-CN"/>
              </w:rPr>
              <w:t>3</w:t>
            </w:r>
            <w:r>
              <w:rPr>
                <w:rFonts w:hint="eastAsia" w:ascii="Times New Roman" w:hAnsi="Times New Roman" w:eastAsia="宋体" w:cs="Times New Roman"/>
                <w:i w:val="0"/>
                <w:iCs w:val="0"/>
                <w:caps w:val="0"/>
                <w:color w:val="auto"/>
                <w:spacing w:val="0"/>
                <w:sz w:val="24"/>
                <w:szCs w:val="24"/>
                <w:shd w:val="clear" w:color="auto" w:fill="FFFFFF"/>
                <w:lang w:val="en-US" w:eastAsia="zh-CN"/>
              </w:rPr>
              <w:t>0万吨</w:t>
            </w:r>
            <w:r>
              <w:rPr>
                <w:rFonts w:hint="eastAsia"/>
                <w:color w:val="auto"/>
                <w:kern w:val="0"/>
                <w:sz w:val="24"/>
                <w:lang w:val="en-US" w:eastAsia="zh-CN"/>
              </w:rPr>
              <w:t>环保热熔压饼</w:t>
            </w:r>
            <w:r>
              <w:rPr>
                <w:rFonts w:hint="eastAsia" w:ascii="Times New Roman" w:hAnsi="Times New Roman" w:eastAsia="宋体" w:cs="Times New Roman"/>
                <w:i w:val="0"/>
                <w:iCs w:val="0"/>
                <w:caps w:val="0"/>
                <w:color w:val="auto"/>
                <w:spacing w:val="0"/>
                <w:sz w:val="24"/>
                <w:szCs w:val="24"/>
                <w:shd w:val="clear" w:color="auto" w:fill="FFFFFF"/>
                <w:lang w:val="en-US" w:eastAsia="zh-CN"/>
              </w:rPr>
              <w:t>，</w:t>
            </w:r>
            <w:r>
              <w:rPr>
                <w:rFonts w:hint="eastAsia" w:cs="Times New Roman"/>
                <w:i w:val="0"/>
                <w:iCs w:val="0"/>
                <w:caps w:val="0"/>
                <w:color w:val="auto"/>
                <w:spacing w:val="0"/>
                <w:sz w:val="24"/>
                <w:szCs w:val="24"/>
                <w:shd w:val="clear" w:color="auto" w:fill="FFFFFF"/>
                <w:lang w:val="en-US" w:eastAsia="zh-CN"/>
              </w:rPr>
              <w:t>原料为废钢、废铁，均为外购，属于</w:t>
            </w:r>
            <w:r>
              <w:rPr>
                <w:rFonts w:hint="eastAsia" w:ascii="Times New Roman" w:hAnsi="Times New Roman" w:eastAsia="宋体" w:cs="Times New Roman"/>
                <w:i w:val="0"/>
                <w:iCs w:val="0"/>
                <w:caps w:val="0"/>
                <w:color w:val="auto"/>
                <w:spacing w:val="0"/>
                <w:sz w:val="24"/>
                <w:szCs w:val="24"/>
                <w:shd w:val="clear" w:color="auto" w:fill="FFFFFF"/>
              </w:rPr>
              <w:t>废弃资源综合利用</w:t>
            </w:r>
            <w:r>
              <w:rPr>
                <w:rFonts w:hint="eastAsia" w:ascii="Times New Roman" w:hAnsi="Times New Roman" w:cs="Times New Roman"/>
                <w:i w:val="0"/>
                <w:iCs w:val="0"/>
                <w:caps w:val="0"/>
                <w:color w:val="auto"/>
                <w:spacing w:val="0"/>
                <w:sz w:val="24"/>
                <w:szCs w:val="24"/>
                <w:shd w:val="clear" w:color="auto" w:fill="FFFFFF"/>
                <w:lang w:eastAsia="zh-CN"/>
              </w:rPr>
              <w:t>，</w:t>
            </w:r>
            <w:r>
              <w:rPr>
                <w:rFonts w:hint="eastAsia" w:cs="Times New Roman"/>
                <w:i w:val="0"/>
                <w:iCs w:val="0"/>
                <w:caps w:val="0"/>
                <w:color w:val="auto"/>
                <w:spacing w:val="0"/>
                <w:sz w:val="24"/>
                <w:szCs w:val="24"/>
                <w:shd w:val="clear" w:color="auto" w:fill="FFFFFF"/>
                <w:lang w:val="en-US" w:eastAsia="zh-CN"/>
              </w:rPr>
              <w:t>本项目建成后为外售炼钢厂。</w:t>
            </w:r>
          </w:p>
          <w:p w14:paraId="16B50E71">
            <w:pPr>
              <w:pStyle w:val="41"/>
              <w:keepNext w:val="0"/>
              <w:keepLines w:val="0"/>
              <w:pageBreakBefore w:val="0"/>
              <w:widowControl w:val="0"/>
              <w:suppressLineNumbers w:val="0"/>
              <w:kinsoku/>
              <w:wordWrap/>
              <w:overflowPunct/>
              <w:topLinePunct w:val="0"/>
              <w:bidi w:val="0"/>
              <w:adjustRightInd/>
              <w:snapToGrid/>
              <w:spacing w:before="0" w:beforeAutospacing="0" w:after="0" w:afterAutospacing="0" w:line="480" w:lineRule="exact"/>
              <w:ind w:left="0" w:right="0"/>
              <w:textAlignment w:val="auto"/>
              <w:rPr>
                <w:rFonts w:hint="eastAsia" w:ascii="Times New Roman" w:hAnsi="Times New Roman" w:eastAsia="宋体" w:cs="宋体"/>
                <w:color w:val="auto"/>
                <w:kern w:val="0"/>
                <w:sz w:val="24"/>
                <w:lang w:val="en-US" w:eastAsia="zh-CN"/>
              </w:rPr>
            </w:pPr>
            <w:r>
              <w:rPr>
                <w:rFonts w:hint="eastAsia" w:ascii="Times New Roman" w:hAnsi="Times New Roman" w:eastAsia="宋体" w:cs="宋体"/>
                <w:color w:val="auto"/>
                <w:kern w:val="0"/>
                <w:sz w:val="24"/>
                <w:lang w:val="en-US" w:eastAsia="zh-CN"/>
              </w:rPr>
              <w:t>因此，本项目的建设不违背园区的产业发展和布局规划</w:t>
            </w:r>
            <w:r>
              <w:rPr>
                <w:rFonts w:hint="default" w:ascii="Times New Roman" w:hAnsi="Times New Roman" w:eastAsia="宋体" w:cs="宋体"/>
                <w:color w:val="auto"/>
                <w:kern w:val="0"/>
                <w:sz w:val="24"/>
                <w:lang w:val="en-US" w:eastAsia="zh-CN"/>
              </w:rPr>
              <w:t>。康庄工业园区城镇开发边界内的产业规划布局图见附图1</w:t>
            </w:r>
            <w:r>
              <w:rPr>
                <w:rFonts w:hint="eastAsia" w:cs="宋体"/>
                <w:color w:val="auto"/>
                <w:kern w:val="0"/>
                <w:sz w:val="24"/>
                <w:lang w:val="en-US" w:eastAsia="zh-CN"/>
              </w:rPr>
              <w:t>3</w:t>
            </w:r>
            <w:r>
              <w:rPr>
                <w:rFonts w:hint="default" w:ascii="Times New Roman" w:hAnsi="Times New Roman" w:eastAsia="宋体" w:cs="宋体"/>
                <w:color w:val="auto"/>
                <w:kern w:val="0"/>
                <w:sz w:val="24"/>
                <w:lang w:val="en-US" w:eastAsia="zh-CN"/>
              </w:rPr>
              <w:t>。</w:t>
            </w:r>
            <w:r>
              <w:rPr>
                <w:rFonts w:hint="eastAsia" w:ascii="Times New Roman" w:hAnsi="Times New Roman" w:eastAsia="宋体" w:cs="宋体"/>
                <w:color w:val="auto"/>
                <w:kern w:val="0"/>
                <w:sz w:val="24"/>
                <w:lang w:val="en-US" w:eastAsia="zh-CN"/>
              </w:rPr>
              <w:t>康庄工业园区产业规划布局图见附图1</w:t>
            </w:r>
            <w:r>
              <w:rPr>
                <w:rFonts w:hint="eastAsia" w:cs="宋体"/>
                <w:color w:val="auto"/>
                <w:kern w:val="0"/>
                <w:sz w:val="24"/>
                <w:lang w:val="en-US" w:eastAsia="zh-CN"/>
              </w:rPr>
              <w:t>4</w:t>
            </w:r>
            <w:r>
              <w:rPr>
                <w:rFonts w:hint="eastAsia" w:ascii="Times New Roman" w:hAnsi="Times New Roman" w:eastAsia="宋体" w:cs="宋体"/>
                <w:color w:val="auto"/>
                <w:kern w:val="0"/>
                <w:sz w:val="24"/>
                <w:lang w:val="en-US" w:eastAsia="zh-CN"/>
              </w:rPr>
              <w:t>。</w:t>
            </w:r>
          </w:p>
          <w:p w14:paraId="527FD85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（6）</w:t>
            </w:r>
            <w:r>
              <w:rPr>
                <w:rFonts w:hint="default"/>
                <w:b w:val="0"/>
                <w:bCs w:val="0"/>
                <w:color w:val="auto"/>
                <w:sz w:val="24"/>
                <w:szCs w:val="24"/>
                <w:highlight w:val="none"/>
              </w:rPr>
              <w:t>公共设施建设情况</w:t>
            </w:r>
          </w:p>
          <w:p w14:paraId="5537824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b w:val="0"/>
                <w:bCs w:val="0"/>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①</w:t>
            </w:r>
            <w:r>
              <w:rPr>
                <w:rFonts w:hint="eastAsia" w:ascii="Times New Roman" w:hAnsi="Times New Roman" w:eastAsia="宋体"/>
                <w:b w:val="0"/>
                <w:bCs w:val="0"/>
                <w:color w:val="auto"/>
                <w:kern w:val="2"/>
                <w:sz w:val="24"/>
                <w:szCs w:val="24"/>
                <w:highlight w:val="none"/>
                <w:lang w:val="en-US" w:eastAsia="zh-CN"/>
              </w:rPr>
              <w:t>供排水工程</w:t>
            </w:r>
          </w:p>
          <w:p w14:paraId="4B85413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宋体" w:eastAsia="宋体" w:cs="Times New Roman"/>
                <w:color w:val="auto"/>
                <w:sz w:val="24"/>
                <w:lang w:eastAsia="zh-CN"/>
              </w:rPr>
            </w:pPr>
            <w:r>
              <w:rPr>
                <w:rFonts w:hint="eastAsia" w:ascii="Times New Roman" w:hAnsi="宋体" w:eastAsia="宋体" w:cs="Times New Roman"/>
                <w:color w:val="auto"/>
                <w:sz w:val="24"/>
              </w:rPr>
              <w:t>园区各企业自行供水，用水水源主要为岩溶水；长治市深水水务有限公司在渔泽工业园内建设了一座污水处理厂（一期），一期占地规模37333平方米</w:t>
            </w:r>
            <w:r>
              <w:rPr>
                <w:rFonts w:hint="eastAsia" w:hAnsi="宋体" w:cs="Times New Roman"/>
                <w:color w:val="auto"/>
                <w:sz w:val="24"/>
                <w:lang w:eastAsia="zh-CN"/>
              </w:rPr>
              <w:t>（</w:t>
            </w:r>
            <w:r>
              <w:rPr>
                <w:rFonts w:hint="eastAsia" w:ascii="Times New Roman" w:hAnsi="宋体" w:eastAsia="宋体" w:cs="Times New Roman"/>
                <w:color w:val="auto"/>
                <w:sz w:val="24"/>
              </w:rPr>
              <w:t>合56亩</w:t>
            </w:r>
            <w:r>
              <w:rPr>
                <w:rFonts w:hint="eastAsia" w:hAnsi="宋体" w:cs="Times New Roman"/>
                <w:color w:val="auto"/>
                <w:sz w:val="24"/>
                <w:lang w:eastAsia="zh-CN"/>
              </w:rPr>
              <w:t>）</w:t>
            </w:r>
            <w:r>
              <w:rPr>
                <w:rFonts w:hint="eastAsia" w:ascii="Times New Roman" w:hAnsi="宋体" w:eastAsia="宋体" w:cs="Times New Roman"/>
                <w:color w:val="auto"/>
                <w:sz w:val="24"/>
              </w:rPr>
              <w:t>，处理规模2.25万吨/天。规划预留发展空间。远期处理规模预计达到9万吨/天，主要处理余吾工业园区、渔泽工业园区及康庄工业园区的生活污水以及工业生产污水</w:t>
            </w:r>
            <w:r>
              <w:rPr>
                <w:rFonts w:hint="eastAsia" w:ascii="Times New Roman" w:hAnsi="宋体" w:eastAsia="宋体" w:cs="Times New Roman"/>
                <w:color w:val="auto"/>
                <w:sz w:val="24"/>
                <w:lang w:eastAsia="zh-CN"/>
              </w:rPr>
              <w:t>。</w:t>
            </w:r>
          </w:p>
          <w:p w14:paraId="49C141C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b w:val="0"/>
                <w:bCs w:val="0"/>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②</w:t>
            </w:r>
            <w:r>
              <w:rPr>
                <w:rFonts w:hint="eastAsia" w:ascii="Times New Roman" w:hAnsi="Times New Roman" w:eastAsia="宋体"/>
                <w:b w:val="0"/>
                <w:bCs w:val="0"/>
                <w:color w:val="auto"/>
                <w:kern w:val="2"/>
                <w:sz w:val="24"/>
                <w:szCs w:val="24"/>
                <w:highlight w:val="none"/>
                <w:lang w:val="en-US" w:eastAsia="zh-CN"/>
              </w:rPr>
              <w:t>供电工程</w:t>
            </w:r>
          </w:p>
          <w:p w14:paraId="43F372D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lang w:eastAsia="zh-CN"/>
              </w:rPr>
            </w:pPr>
            <w:r>
              <w:rPr>
                <w:rFonts w:hint="eastAsia" w:ascii="Times New Roman" w:hAnsi="Times New Roman" w:eastAsia="宋体"/>
                <w:b w:val="0"/>
                <w:bCs w:val="0"/>
                <w:color w:val="auto"/>
                <w:kern w:val="2"/>
                <w:sz w:val="24"/>
                <w:szCs w:val="24"/>
                <w:highlight w:val="none"/>
                <w:lang w:eastAsia="zh-CN"/>
              </w:rPr>
              <w:t>余吾工业园：余吾片区依托煤基油110KV变电站实现双回路双电源，且余吾拟建一座110KV变电站；</w:t>
            </w:r>
          </w:p>
          <w:p w14:paraId="600BD51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lang w:eastAsia="zh-CN"/>
              </w:rPr>
            </w:pPr>
            <w:r>
              <w:rPr>
                <w:rFonts w:hint="eastAsia" w:ascii="Times New Roman" w:hAnsi="Times New Roman" w:eastAsia="宋体"/>
                <w:b w:val="0"/>
                <w:bCs w:val="0"/>
                <w:color w:val="auto"/>
                <w:kern w:val="2"/>
                <w:sz w:val="24"/>
                <w:szCs w:val="24"/>
                <w:highlight w:val="none"/>
                <w:lang w:eastAsia="zh-CN"/>
              </w:rPr>
              <w:t>渔泽工业园：现有渔泽工业园库西110KV变电站，规划启用潞安东古220KV变电站；</w:t>
            </w:r>
          </w:p>
          <w:p w14:paraId="4E67DD5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lang w:eastAsia="zh-CN"/>
              </w:rPr>
            </w:pPr>
            <w:r>
              <w:rPr>
                <w:rFonts w:hint="eastAsia" w:ascii="Times New Roman" w:hAnsi="Times New Roman" w:eastAsia="宋体"/>
                <w:b w:val="0"/>
                <w:bCs w:val="0"/>
                <w:color w:val="auto"/>
                <w:kern w:val="2"/>
                <w:sz w:val="24"/>
                <w:szCs w:val="24"/>
                <w:highlight w:val="none"/>
                <w:lang w:eastAsia="zh-CN"/>
              </w:rPr>
              <w:t>康庄工业园：现有高头寺110KV变电站，主变容量为2×50MVA；针对用电负荷小的企业，通过李高10KV变电站实现，针对用电负荷大的企业，通过长治西220KV变电站实现。</w:t>
            </w:r>
          </w:p>
          <w:p w14:paraId="2BD223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b w:val="0"/>
                <w:bCs w:val="0"/>
                <w:color w:val="auto"/>
                <w:kern w:val="2"/>
                <w:sz w:val="24"/>
                <w:szCs w:val="24"/>
                <w:highlight w:val="none"/>
                <w:lang w:val="en-US" w:eastAsia="zh-CN"/>
              </w:rPr>
            </w:pPr>
            <w:r>
              <w:rPr>
                <w:rFonts w:hint="eastAsia" w:ascii="Times New Roman" w:hAnsi="Times New Roman"/>
                <w:b w:val="0"/>
                <w:bCs w:val="0"/>
                <w:color w:val="auto"/>
                <w:kern w:val="2"/>
                <w:sz w:val="24"/>
                <w:szCs w:val="24"/>
                <w:highlight w:val="none"/>
                <w:lang w:val="en-US" w:eastAsia="zh-CN"/>
              </w:rPr>
              <w:t>③</w:t>
            </w:r>
            <w:r>
              <w:rPr>
                <w:rFonts w:hint="eastAsia" w:ascii="Times New Roman" w:hAnsi="Times New Roman" w:eastAsia="宋体"/>
                <w:b w:val="0"/>
                <w:bCs w:val="0"/>
                <w:color w:val="auto"/>
                <w:kern w:val="2"/>
                <w:sz w:val="24"/>
                <w:szCs w:val="24"/>
                <w:highlight w:val="none"/>
                <w:lang w:val="en-US" w:eastAsia="zh-CN"/>
              </w:rPr>
              <w:t>供气工程</w:t>
            </w:r>
          </w:p>
          <w:p w14:paraId="6866E8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b w:val="0"/>
                <w:bCs w:val="0"/>
                <w:color w:val="auto"/>
                <w:kern w:val="2"/>
                <w:sz w:val="24"/>
                <w:szCs w:val="24"/>
                <w:highlight w:val="none"/>
                <w:lang w:val="en-US" w:eastAsia="zh-CN"/>
              </w:rPr>
            </w:pPr>
            <w:r>
              <w:rPr>
                <w:rFonts w:hint="eastAsia" w:ascii="Times New Roman" w:hAnsi="Times New Roman" w:eastAsia="宋体"/>
                <w:b w:val="0"/>
                <w:bCs w:val="0"/>
                <w:color w:val="auto"/>
                <w:kern w:val="2"/>
                <w:sz w:val="24"/>
                <w:szCs w:val="24"/>
                <w:highlight w:val="none"/>
                <w:lang w:val="en-US" w:eastAsia="zh-CN"/>
              </w:rPr>
              <w:t>生产生活主要气源来自“洪洞-安泽-长子”输气管线。</w:t>
            </w:r>
          </w:p>
          <w:p w14:paraId="5AE9735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b/>
                <w:bCs/>
                <w:color w:val="auto"/>
                <w:kern w:val="2"/>
                <w:sz w:val="24"/>
                <w:szCs w:val="24"/>
                <w:highlight w:val="none"/>
                <w:lang w:val="en-US" w:eastAsia="zh-CN"/>
              </w:rPr>
            </w:pPr>
            <w:r>
              <w:rPr>
                <w:rFonts w:hint="eastAsia" w:ascii="Times New Roman" w:hAnsi="Times New Roman" w:eastAsia="宋体" w:cs="Times New Roman"/>
                <w:b w:val="0"/>
                <w:bCs w:val="0"/>
                <w:color w:val="auto"/>
                <w:kern w:val="2"/>
                <w:sz w:val="24"/>
                <w:szCs w:val="24"/>
                <w:highlight w:val="none"/>
                <w:lang w:val="en-US" w:eastAsia="zh-CN"/>
              </w:rPr>
              <w:t>本项目供水</w:t>
            </w:r>
            <w:r>
              <w:rPr>
                <w:rFonts w:hint="eastAsia" w:ascii="Times New Roman" w:hAnsi="Times New Roman" w:cs="Times New Roman"/>
                <w:b w:val="0"/>
                <w:bCs w:val="0"/>
                <w:color w:val="auto"/>
                <w:kern w:val="2"/>
                <w:sz w:val="24"/>
                <w:szCs w:val="24"/>
                <w:highlight w:val="none"/>
                <w:lang w:val="en-US" w:eastAsia="zh-CN"/>
              </w:rPr>
              <w:t>、供电、供暖</w:t>
            </w:r>
            <w:r>
              <w:rPr>
                <w:rFonts w:hint="eastAsia" w:ascii="Times New Roman" w:hAnsi="Times New Roman" w:eastAsia="宋体" w:cs="Times New Roman"/>
                <w:b w:val="0"/>
                <w:bCs w:val="0"/>
                <w:color w:val="auto"/>
                <w:kern w:val="2"/>
                <w:sz w:val="24"/>
                <w:szCs w:val="24"/>
                <w:highlight w:val="none"/>
                <w:lang w:val="en-US" w:eastAsia="zh-CN"/>
              </w:rPr>
              <w:t>依托厂区现有公用工程系统</w:t>
            </w:r>
            <w:r>
              <w:rPr>
                <w:rFonts w:hint="eastAsia" w:ascii="Times New Roman" w:hAnsi="Times New Roman" w:cs="Times New Roman"/>
                <w:b w:val="0"/>
                <w:bCs w:val="0"/>
                <w:color w:val="auto"/>
                <w:kern w:val="2"/>
                <w:sz w:val="24"/>
                <w:szCs w:val="24"/>
                <w:highlight w:val="none"/>
                <w:lang w:val="en-US" w:eastAsia="zh-CN"/>
              </w:rPr>
              <w:t>。</w:t>
            </w:r>
            <w:r>
              <w:rPr>
                <w:rFonts w:hint="eastAsia" w:cs="Times New Roman"/>
                <w:b w:val="0"/>
                <w:bCs w:val="0"/>
                <w:color w:val="auto"/>
                <w:kern w:val="2"/>
                <w:sz w:val="24"/>
                <w:szCs w:val="24"/>
                <w:highlight w:val="none"/>
                <w:lang w:val="en-US" w:eastAsia="zh-CN"/>
              </w:rPr>
              <w:t>屯留经济技术开发区污水处理厂位于</w:t>
            </w:r>
            <w:r>
              <w:rPr>
                <w:rFonts w:hint="eastAsia" w:ascii="Times New Roman" w:hAnsi="Times New Roman" w:eastAsia="宋体"/>
                <w:b w:val="0"/>
                <w:bCs w:val="0"/>
                <w:color w:val="auto"/>
                <w:kern w:val="2"/>
                <w:sz w:val="24"/>
                <w:szCs w:val="24"/>
                <w:highlight w:val="none"/>
                <w:lang w:eastAsia="zh-CN"/>
              </w:rPr>
              <w:t>渔泽</w:t>
            </w:r>
            <w:r>
              <w:rPr>
                <w:rFonts w:hint="eastAsia" w:cs="Times New Roman"/>
                <w:b w:val="0"/>
                <w:bCs w:val="0"/>
                <w:color w:val="auto"/>
                <w:kern w:val="2"/>
                <w:sz w:val="24"/>
                <w:szCs w:val="24"/>
                <w:highlight w:val="none"/>
                <w:lang w:val="en-US" w:eastAsia="zh-CN"/>
              </w:rPr>
              <w:t>工业园，距离厂区较远，且污水管道暂未敷设至厂区附近，因此</w:t>
            </w:r>
            <w:r>
              <w:rPr>
                <w:rFonts w:hint="eastAsia" w:ascii="Times New Roman" w:hAnsi="Times New Roman" w:eastAsia="宋体" w:cs="Times New Roman"/>
                <w:b w:val="0"/>
                <w:bCs w:val="0"/>
                <w:color w:val="auto"/>
                <w:kern w:val="2"/>
                <w:sz w:val="24"/>
                <w:szCs w:val="24"/>
                <w:highlight w:val="none"/>
                <w:lang w:val="en-US" w:eastAsia="zh-CN"/>
              </w:rPr>
              <w:t>本项目</w:t>
            </w:r>
            <w:r>
              <w:rPr>
                <w:rFonts w:hint="default" w:ascii="Times New Roman" w:hAnsi="Times New Roman" w:eastAsia="宋体" w:cs="Times New Roman"/>
                <w:b w:val="0"/>
                <w:bCs w:val="0"/>
                <w:color w:val="auto"/>
                <w:kern w:val="2"/>
                <w:sz w:val="24"/>
                <w:szCs w:val="24"/>
                <w:highlight w:val="none"/>
                <w:lang w:val="en-US" w:eastAsia="zh-CN"/>
              </w:rPr>
              <w:t>生活污水</w:t>
            </w:r>
            <w:r>
              <w:rPr>
                <w:rFonts w:hint="eastAsia" w:ascii="Times New Roman" w:hAnsi="Times New Roman" w:eastAsia="宋体" w:cs="Times New Roman"/>
                <w:b w:val="0"/>
                <w:bCs w:val="0"/>
                <w:color w:val="auto"/>
                <w:kern w:val="2"/>
                <w:sz w:val="24"/>
                <w:szCs w:val="24"/>
                <w:highlight w:val="none"/>
                <w:lang w:val="en-US" w:eastAsia="zh-CN"/>
              </w:rPr>
              <w:t>、循环冷却排污水</w:t>
            </w:r>
            <w:r>
              <w:rPr>
                <w:rFonts w:hint="default" w:ascii="Times New Roman" w:hAnsi="Times New Roman" w:eastAsia="宋体" w:cs="Times New Roman"/>
                <w:b w:val="0"/>
                <w:bCs w:val="0"/>
                <w:color w:val="auto"/>
                <w:kern w:val="2"/>
                <w:sz w:val="24"/>
                <w:szCs w:val="24"/>
                <w:highlight w:val="none"/>
                <w:lang w:val="en-US" w:eastAsia="zh-CN"/>
              </w:rPr>
              <w:t>经园区污水管网</w:t>
            </w:r>
            <w:r>
              <w:rPr>
                <w:rFonts w:hint="eastAsia" w:ascii="Times New Roman" w:hAnsi="Times New Roman" w:eastAsia="宋体" w:cs="Times New Roman"/>
                <w:b w:val="0"/>
                <w:bCs w:val="0"/>
                <w:color w:val="auto"/>
                <w:kern w:val="2"/>
                <w:sz w:val="24"/>
                <w:szCs w:val="24"/>
                <w:highlight w:val="none"/>
                <w:lang w:val="en-US" w:eastAsia="zh-CN"/>
              </w:rPr>
              <w:t>排入</w:t>
            </w:r>
            <w:r>
              <w:rPr>
                <w:rFonts w:hint="eastAsia" w:cs="Times New Roman"/>
                <w:b w:val="0"/>
                <w:bCs w:val="0"/>
                <w:color w:val="auto"/>
                <w:kern w:val="2"/>
                <w:sz w:val="24"/>
                <w:szCs w:val="24"/>
                <w:highlight w:val="none"/>
                <w:lang w:val="en-US" w:eastAsia="zh-CN"/>
              </w:rPr>
              <w:t>屯留区污水处理厂</w:t>
            </w:r>
            <w:r>
              <w:rPr>
                <w:rFonts w:hint="eastAsia" w:ascii="Times New Roman" w:hAnsi="Times New Roman" w:eastAsia="宋体" w:cs="Times New Roman"/>
                <w:b w:val="0"/>
                <w:bCs w:val="0"/>
                <w:color w:val="auto"/>
                <w:kern w:val="2"/>
                <w:sz w:val="24"/>
                <w:szCs w:val="24"/>
                <w:highlight w:val="none"/>
                <w:lang w:val="en-US" w:eastAsia="zh-CN"/>
              </w:rPr>
              <w:t>。</w:t>
            </w:r>
            <w:r>
              <w:rPr>
                <w:rFonts w:hint="eastAsia"/>
                <w:b w:val="0"/>
                <w:bCs w:val="0"/>
                <w:color w:val="auto"/>
                <w:kern w:val="2"/>
                <w:sz w:val="24"/>
                <w:szCs w:val="24"/>
                <w:highlight w:val="none"/>
                <w:lang w:val="en-US" w:eastAsia="zh-CN"/>
              </w:rPr>
              <w:t>本项目回转窑</w:t>
            </w:r>
            <w:r>
              <w:rPr>
                <w:rFonts w:hint="default"/>
                <w:color w:val="auto"/>
                <w:sz w:val="24"/>
                <w:shd w:val="clear" w:color="auto" w:fill="FFFFFF"/>
              </w:rPr>
              <w:t>加热</w:t>
            </w:r>
            <w:r>
              <w:rPr>
                <w:rFonts w:hint="eastAsia"/>
                <w:color w:val="auto"/>
                <w:sz w:val="24"/>
                <w:shd w:val="clear" w:color="auto" w:fill="FFFFFF"/>
                <w:lang w:val="en-US" w:eastAsia="zh-CN"/>
              </w:rPr>
              <w:t>采用的燃料为天然气</w:t>
            </w:r>
            <w:r>
              <w:rPr>
                <w:rFonts w:hint="eastAsia"/>
                <w:b w:val="0"/>
                <w:bCs w:val="0"/>
                <w:color w:val="auto"/>
                <w:kern w:val="2"/>
                <w:sz w:val="24"/>
                <w:szCs w:val="24"/>
                <w:highlight w:val="none"/>
                <w:lang w:val="en-US" w:eastAsia="zh-CN"/>
              </w:rPr>
              <w:t>，利用园区现有天然气管道，供气协议见附件10。</w:t>
            </w:r>
          </w:p>
        </w:tc>
      </w:tr>
      <w:tr w14:paraId="5447B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32" w:type="pct"/>
            <w:vAlign w:val="center"/>
          </w:tcPr>
          <w:p w14:paraId="4F1A54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0"/>
                <w:sz w:val="21"/>
                <w:szCs w:val="21"/>
                <w:highlight w:val="none"/>
              </w:rPr>
            </w:pPr>
            <w:r>
              <w:rPr>
                <w:rFonts w:hint="default" w:ascii="Times New Roman" w:hAnsi="Times New Roman" w:eastAsia="宋体" w:cs="Times New Roman"/>
                <w:b w:val="0"/>
                <w:bCs w:val="0"/>
                <w:color w:val="auto"/>
                <w:sz w:val="21"/>
                <w:szCs w:val="21"/>
                <w:highlight w:val="none"/>
              </w:rPr>
              <w:t>其他符合性分析</w:t>
            </w:r>
          </w:p>
        </w:tc>
        <w:tc>
          <w:tcPr>
            <w:tcW w:w="4667" w:type="pct"/>
            <w:gridSpan w:val="4"/>
            <w:vAlign w:val="center"/>
          </w:tcPr>
          <w:p w14:paraId="4F01E5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cs="Times New Roman"/>
                <w:b/>
                <w:bCs/>
                <w:color w:val="auto"/>
                <w:spacing w:val="0"/>
                <w:sz w:val="24"/>
                <w:szCs w:val="24"/>
                <w:highlight w:val="none"/>
                <w:lang w:val="en-US" w:eastAsia="zh-CN"/>
              </w:rPr>
            </w:pPr>
            <w:r>
              <w:rPr>
                <w:rFonts w:hint="eastAsia" w:cs="Times New Roman"/>
                <w:b/>
                <w:bCs/>
                <w:color w:val="auto"/>
                <w:spacing w:val="0"/>
                <w:sz w:val="24"/>
                <w:szCs w:val="24"/>
                <w:highlight w:val="none"/>
                <w:lang w:val="en-US" w:eastAsia="zh-CN"/>
              </w:rPr>
              <w:t>1、产业政策符合性分析</w:t>
            </w:r>
          </w:p>
          <w:p w14:paraId="6F5D790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hAnsi="宋体"/>
                <w:b w:val="0"/>
                <w:bCs w:val="0"/>
                <w:color w:val="auto"/>
                <w:sz w:val="24"/>
                <w:lang w:val="en-US" w:eastAsia="zh-CN"/>
              </w:rPr>
            </w:pPr>
            <w:r>
              <w:rPr>
                <w:rFonts w:hint="eastAsia" w:hAnsi="宋体"/>
                <w:b w:val="0"/>
                <w:bCs w:val="0"/>
                <w:color w:val="auto"/>
                <w:sz w:val="24"/>
                <w:lang w:val="en-US" w:eastAsia="zh-CN"/>
              </w:rPr>
              <w:t>本项目为废钢铁加工，</w:t>
            </w:r>
            <w:r>
              <w:rPr>
                <w:rFonts w:hint="eastAsia" w:cs="Times New Roman"/>
                <w:b w:val="0"/>
                <w:bCs w:val="0"/>
                <w:color w:val="auto"/>
                <w:kern w:val="0"/>
                <w:sz w:val="24"/>
                <w:szCs w:val="24"/>
                <w:highlight w:val="none"/>
                <w:lang w:val="en-US" w:eastAsia="zh-CN"/>
              </w:rPr>
              <w:t>属于废弃资源综合利用项目，</w:t>
            </w:r>
            <w:r>
              <w:rPr>
                <w:rFonts w:hint="default" w:ascii="Times New Roman" w:hAnsi="Times New Roman" w:eastAsia="宋体" w:cs="Times New Roman"/>
                <w:b w:val="0"/>
                <w:bCs w:val="0"/>
                <w:color w:val="auto"/>
                <w:kern w:val="0"/>
                <w:sz w:val="24"/>
                <w:szCs w:val="24"/>
                <w:highlight w:val="none"/>
                <w:lang w:eastAsia="zh-CN"/>
              </w:rPr>
              <w:t>根据《产业结构调整指导目录（</w:t>
            </w:r>
            <w:r>
              <w:rPr>
                <w:rFonts w:hint="eastAsia" w:ascii="Times New Roman" w:hAnsi="Times New Roman" w:eastAsia="宋体" w:cs="Times New Roman"/>
                <w:b w:val="0"/>
                <w:bCs w:val="0"/>
                <w:color w:val="auto"/>
                <w:kern w:val="0"/>
                <w:sz w:val="24"/>
                <w:szCs w:val="24"/>
                <w:highlight w:val="none"/>
                <w:lang w:val="en-US" w:eastAsia="zh-CN"/>
              </w:rPr>
              <w:t>2024</w:t>
            </w:r>
            <w:r>
              <w:rPr>
                <w:rFonts w:hint="default" w:ascii="Times New Roman" w:hAnsi="Times New Roman" w:eastAsia="宋体" w:cs="Times New Roman"/>
                <w:b w:val="0"/>
                <w:bCs w:val="0"/>
                <w:color w:val="auto"/>
                <w:kern w:val="0"/>
                <w:sz w:val="24"/>
                <w:szCs w:val="24"/>
                <w:highlight w:val="none"/>
                <w:lang w:eastAsia="zh-CN"/>
              </w:rPr>
              <w:t>年本）》中规定，</w:t>
            </w:r>
            <w:r>
              <w:rPr>
                <w:rFonts w:hint="default" w:ascii="Times New Roman" w:hAnsi="Times New Roman" w:eastAsia="宋体" w:cs="Times New Roman"/>
                <w:b w:val="0"/>
                <w:bCs w:val="0"/>
                <w:color w:val="auto"/>
                <w:kern w:val="0"/>
                <w:sz w:val="24"/>
                <w:szCs w:val="24"/>
                <w:highlight w:val="none"/>
                <w:lang w:val="en-US" w:eastAsia="zh-CN"/>
              </w:rPr>
              <w:t>本项目属于</w:t>
            </w:r>
            <w:r>
              <w:rPr>
                <w:rFonts w:hint="eastAsia" w:cs="Times New Roman"/>
                <w:b w:val="0"/>
                <w:bCs w:val="0"/>
                <w:color w:val="auto"/>
                <w:kern w:val="0"/>
                <w:sz w:val="24"/>
                <w:szCs w:val="24"/>
                <w:highlight w:val="none"/>
                <w:lang w:val="en-US" w:eastAsia="zh-CN"/>
              </w:rPr>
              <w:t>鼓励类中</w:t>
            </w:r>
            <w:r>
              <w:rPr>
                <w:rFonts w:hint="default" w:hAnsi="宋体"/>
                <w:b w:val="0"/>
                <w:bCs w:val="0"/>
                <w:color w:val="auto"/>
                <w:sz w:val="24"/>
              </w:rPr>
              <w:t>“</w:t>
            </w:r>
            <w:r>
              <w:rPr>
                <w:rFonts w:hint="eastAsia" w:hAnsi="宋体"/>
                <w:b w:val="0"/>
                <w:bCs w:val="0"/>
                <w:color w:val="auto"/>
                <w:sz w:val="24"/>
                <w:lang w:val="en-US" w:eastAsia="zh-CN"/>
              </w:rPr>
              <w:t>四</w:t>
            </w:r>
            <w:r>
              <w:rPr>
                <w:rFonts w:hint="eastAsia" w:hAnsi="宋体"/>
                <w:b w:val="0"/>
                <w:bCs w:val="0"/>
                <w:color w:val="auto"/>
                <w:sz w:val="24"/>
              </w:rPr>
              <w:t>十二、</w:t>
            </w:r>
            <w:r>
              <w:rPr>
                <w:rFonts w:hint="eastAsia" w:hAnsi="宋体"/>
                <w:b w:val="0"/>
                <w:bCs w:val="0"/>
                <w:color w:val="auto"/>
                <w:sz w:val="24"/>
                <w:lang w:val="en-US" w:eastAsia="zh-CN"/>
              </w:rPr>
              <w:t>环境保护与资源节约综合利用-8.废弃物循环利用：废：废钢铁、废有色金属、废纸、废橡胶、废玻璃、废塑料、废旧木材以及报废汽车、废弃电器电子产品、废旧船舶、废旧电池、废轮胎、废弃木质材料、废旧农具、废旧纺织品及纺织废料和边角料、废旧光伏组件、废旧风机叶片、废弃油脂等城市典型废弃物循环利用；</w:t>
            </w:r>
          </w:p>
          <w:p w14:paraId="5FF66F1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default" w:ascii="Times New Roman" w:hAnsi="Times New Roman" w:eastAsia="宋体" w:cs="Times New Roman"/>
                <w:b w:val="0"/>
                <w:bCs w:val="0"/>
                <w:color w:val="auto"/>
                <w:kern w:val="0"/>
                <w:sz w:val="24"/>
                <w:szCs w:val="24"/>
                <w:highlight w:val="none"/>
                <w:lang w:val="en-US" w:eastAsia="zh-CN"/>
              </w:rPr>
              <w:t>202</w:t>
            </w:r>
            <w:r>
              <w:rPr>
                <w:rFonts w:hint="eastAsia" w:cs="Times New Roman"/>
                <w:b w:val="0"/>
                <w:bCs w:val="0"/>
                <w:color w:val="auto"/>
                <w:kern w:val="0"/>
                <w:sz w:val="24"/>
                <w:szCs w:val="24"/>
                <w:highlight w:val="none"/>
                <w:lang w:val="en-US" w:eastAsia="zh-CN"/>
              </w:rPr>
              <w:t>6</w:t>
            </w:r>
            <w:r>
              <w:rPr>
                <w:rFonts w:hint="default" w:ascii="Times New Roman" w:hAnsi="Times New Roman" w:eastAsia="宋体" w:cs="Times New Roman"/>
                <w:b w:val="0"/>
                <w:bCs w:val="0"/>
                <w:color w:val="auto"/>
                <w:kern w:val="0"/>
                <w:sz w:val="24"/>
                <w:szCs w:val="24"/>
                <w:highlight w:val="none"/>
                <w:lang w:val="en-US" w:eastAsia="zh-CN"/>
              </w:rPr>
              <w:t>年</w:t>
            </w:r>
            <w:r>
              <w:rPr>
                <w:rFonts w:hint="eastAsia" w:cs="Times New Roman"/>
                <w:b w:val="0"/>
                <w:bCs w:val="0"/>
                <w:color w:val="auto"/>
                <w:kern w:val="0"/>
                <w:sz w:val="24"/>
                <w:szCs w:val="24"/>
                <w:highlight w:val="none"/>
                <w:lang w:val="en-US" w:eastAsia="zh-CN"/>
              </w:rPr>
              <w:t>3</w:t>
            </w:r>
            <w:r>
              <w:rPr>
                <w:rFonts w:hint="default" w:ascii="Times New Roman" w:hAnsi="Times New Roman" w:eastAsia="宋体" w:cs="Times New Roman"/>
                <w:b w:val="0"/>
                <w:bCs w:val="0"/>
                <w:color w:val="auto"/>
                <w:kern w:val="0"/>
                <w:sz w:val="24"/>
                <w:szCs w:val="24"/>
                <w:highlight w:val="none"/>
                <w:lang w:val="en-US" w:eastAsia="zh-CN"/>
              </w:rPr>
              <w:t>月</w:t>
            </w:r>
            <w:r>
              <w:rPr>
                <w:rFonts w:hint="eastAsia" w:cs="Times New Roman"/>
                <w:b w:val="0"/>
                <w:bCs w:val="0"/>
                <w:color w:val="auto"/>
                <w:kern w:val="0"/>
                <w:sz w:val="24"/>
                <w:szCs w:val="24"/>
                <w:highlight w:val="none"/>
                <w:lang w:val="en-US" w:eastAsia="zh-CN"/>
              </w:rPr>
              <w:t>17</w:t>
            </w:r>
            <w:r>
              <w:rPr>
                <w:rFonts w:hint="default" w:ascii="Times New Roman" w:hAnsi="Times New Roman" w:eastAsia="宋体" w:cs="Times New Roman"/>
                <w:b w:val="0"/>
                <w:bCs w:val="0"/>
                <w:color w:val="auto"/>
                <w:kern w:val="0"/>
                <w:sz w:val="24"/>
                <w:szCs w:val="24"/>
                <w:highlight w:val="none"/>
                <w:lang w:val="en-US" w:eastAsia="zh-CN"/>
              </w:rPr>
              <w:t>日</w:t>
            </w:r>
            <w:r>
              <w:rPr>
                <w:rFonts w:hint="eastAsia" w:cs="Times New Roman"/>
                <w:b w:val="0"/>
                <w:bCs w:val="0"/>
                <w:color w:val="auto"/>
                <w:kern w:val="0"/>
                <w:sz w:val="24"/>
                <w:szCs w:val="24"/>
                <w:highlight w:val="none"/>
                <w:lang w:val="en-US" w:eastAsia="zh-CN"/>
              </w:rPr>
              <w:t>，</w:t>
            </w:r>
            <w:r>
              <w:rPr>
                <w:rFonts w:hint="default"/>
                <w:color w:val="auto"/>
                <w:sz w:val="24"/>
              </w:rPr>
              <w:t>屯留经济技术开发区管理委员会</w:t>
            </w:r>
            <w:r>
              <w:rPr>
                <w:rFonts w:hint="eastAsia" w:cs="Times New Roman"/>
                <w:b w:val="0"/>
                <w:bCs w:val="0"/>
                <w:color w:val="auto"/>
                <w:kern w:val="0"/>
                <w:sz w:val="24"/>
                <w:szCs w:val="24"/>
                <w:highlight w:val="none"/>
                <w:lang w:val="en-US" w:eastAsia="zh-CN"/>
              </w:rPr>
              <w:t>对本项目进行了</w:t>
            </w:r>
            <w:r>
              <w:rPr>
                <w:rFonts w:hint="default" w:ascii="Times New Roman" w:hAnsi="Times New Roman" w:eastAsia="宋体" w:cs="Times New Roman"/>
                <w:b w:val="0"/>
                <w:bCs w:val="0"/>
                <w:color w:val="auto"/>
                <w:kern w:val="0"/>
                <w:sz w:val="24"/>
                <w:szCs w:val="24"/>
                <w:highlight w:val="none"/>
                <w:lang w:val="en-US" w:eastAsia="zh-CN"/>
              </w:rPr>
              <w:t>备案，项目代码为2603-140455-89-05-820354</w:t>
            </w:r>
            <w:r>
              <w:rPr>
                <w:rFonts w:hint="eastAsia" w:cs="Times New Roman"/>
                <w:b w:val="0"/>
                <w:bCs w:val="0"/>
                <w:color w:val="auto"/>
                <w:kern w:val="0"/>
                <w:sz w:val="24"/>
                <w:szCs w:val="24"/>
                <w:highlight w:val="none"/>
                <w:lang w:val="en-US" w:eastAsia="zh-CN"/>
              </w:rPr>
              <w:t>（</w:t>
            </w:r>
            <w:r>
              <w:rPr>
                <w:rFonts w:hint="default" w:ascii="Times New Roman" w:hAnsi="Times New Roman" w:eastAsia="宋体" w:cs="Times New Roman"/>
                <w:b w:val="0"/>
                <w:bCs w:val="0"/>
                <w:color w:val="auto"/>
                <w:kern w:val="0"/>
                <w:sz w:val="24"/>
                <w:szCs w:val="24"/>
                <w:highlight w:val="none"/>
                <w:lang w:val="en-US" w:eastAsia="zh-CN"/>
              </w:rPr>
              <w:t>见附件2</w:t>
            </w:r>
            <w:r>
              <w:rPr>
                <w:rFonts w:hint="eastAsia" w:cs="Times New Roman"/>
                <w:b w:val="0"/>
                <w:bCs w:val="0"/>
                <w:color w:val="auto"/>
                <w:kern w:val="0"/>
                <w:sz w:val="24"/>
                <w:szCs w:val="24"/>
                <w:highlight w:val="none"/>
                <w:lang w:val="en-US" w:eastAsia="zh-CN"/>
              </w:rPr>
              <w:t>）</w:t>
            </w:r>
            <w:r>
              <w:rPr>
                <w:rFonts w:hint="default" w:ascii="Times New Roman" w:hAnsi="Times New Roman" w:eastAsia="宋体" w:cs="Times New Roman"/>
                <w:b w:val="0"/>
                <w:bCs w:val="0"/>
                <w:color w:val="auto"/>
                <w:kern w:val="0"/>
                <w:sz w:val="24"/>
                <w:szCs w:val="24"/>
                <w:highlight w:val="none"/>
                <w:lang w:val="en-US" w:eastAsia="zh-CN"/>
              </w:rPr>
              <w:t>。</w:t>
            </w:r>
          </w:p>
          <w:p w14:paraId="75032FF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color w:val="auto"/>
                <w:sz w:val="24"/>
                <w:lang w:val="en-US" w:eastAsia="zh-CN"/>
              </w:rPr>
            </w:pPr>
            <w:r>
              <w:rPr>
                <w:rFonts w:hint="eastAsia" w:cs="Times New Roman"/>
                <w:b w:val="0"/>
                <w:bCs w:val="0"/>
                <w:color w:val="auto"/>
                <w:kern w:val="0"/>
                <w:sz w:val="24"/>
                <w:szCs w:val="24"/>
                <w:highlight w:val="none"/>
                <w:lang w:val="en-US" w:eastAsia="zh-CN"/>
              </w:rPr>
              <w:t>本项目原料为废钢铁碎块，经过回转窑加热后压制成圆饼状压块和菱形颗粒状压块，原料</w:t>
            </w:r>
            <w:r>
              <w:rPr>
                <w:rFonts w:hint="default"/>
                <w:color w:val="auto"/>
                <w:sz w:val="24"/>
              </w:rPr>
              <w:t>来自于</w:t>
            </w:r>
            <w:r>
              <w:rPr>
                <w:rFonts w:hint="eastAsia" w:cs="Times New Roman"/>
                <w:b w:val="0"/>
                <w:bCs w:val="0"/>
                <w:color w:val="auto"/>
                <w:kern w:val="0"/>
                <w:sz w:val="24"/>
                <w:szCs w:val="24"/>
                <w:highlight w:val="none"/>
                <w:lang w:val="en-US" w:eastAsia="zh-CN"/>
              </w:rPr>
              <w:t>屯留区周边</w:t>
            </w:r>
            <w:r>
              <w:rPr>
                <w:rFonts w:hint="default"/>
                <w:color w:val="auto"/>
                <w:sz w:val="24"/>
              </w:rPr>
              <w:t>汽车拆解厂、机械加工厂及废品回收站，能够满足项目原料用量</w:t>
            </w:r>
            <w:r>
              <w:rPr>
                <w:rFonts w:hint="eastAsia"/>
                <w:color w:val="auto"/>
                <w:sz w:val="24"/>
                <w:lang w:eastAsia="zh-CN"/>
              </w:rPr>
              <w:t>，</w:t>
            </w:r>
            <w:r>
              <w:rPr>
                <w:rFonts w:hint="eastAsia" w:hAnsi="宋体"/>
                <w:b w:val="0"/>
                <w:bCs w:val="0"/>
                <w:color w:val="auto"/>
                <w:sz w:val="24"/>
                <w:lang w:val="en-US" w:eastAsia="zh-CN"/>
              </w:rPr>
              <w:t>产品去向为当地钢铁厂炼钢、炼铁使用</w:t>
            </w:r>
            <w:r>
              <w:rPr>
                <w:rFonts w:hint="eastAsia" w:cs="Times New Roman"/>
                <w:b w:val="0"/>
                <w:bCs w:val="0"/>
                <w:color w:val="auto"/>
                <w:kern w:val="0"/>
                <w:sz w:val="24"/>
                <w:szCs w:val="24"/>
                <w:highlight w:val="none"/>
                <w:lang w:val="en-US" w:eastAsia="zh-CN"/>
              </w:rPr>
              <w:t>。原料在入厂前已做分拣工序，要求原料表面</w:t>
            </w:r>
            <w:r>
              <w:rPr>
                <w:rFonts w:hint="default"/>
                <w:color w:val="auto"/>
                <w:sz w:val="24"/>
              </w:rPr>
              <w:t>无严重锈蚀氧化、不含油</w:t>
            </w:r>
            <w:r>
              <w:rPr>
                <w:rFonts w:hint="eastAsia"/>
                <w:color w:val="auto"/>
                <w:sz w:val="24"/>
                <w:lang w:eastAsia="zh-CN"/>
              </w:rPr>
              <w:t>、</w:t>
            </w:r>
            <w:r>
              <w:rPr>
                <w:rFonts w:hint="eastAsia"/>
                <w:color w:val="auto"/>
                <w:sz w:val="24"/>
                <w:lang w:val="en-US" w:eastAsia="zh-CN"/>
              </w:rPr>
              <w:t>不含油漆，原料由汽车运输，在厂区入口经辐射检测合格后方可进入，原料在全封闭原料堆放区分区储存。</w:t>
            </w:r>
            <w:r>
              <w:rPr>
                <w:rFonts w:hint="eastAsia" w:hAnsi="宋体"/>
                <w:b w:val="0"/>
                <w:bCs w:val="0"/>
                <w:color w:val="auto"/>
                <w:sz w:val="24"/>
                <w:lang w:val="en-US" w:eastAsia="zh-CN"/>
              </w:rPr>
              <w:t>回转窑加热过程采用的燃料为天然气，由园区供气管道提供。本项目设备和产品不属于</w:t>
            </w:r>
            <w:r>
              <w:rPr>
                <w:rFonts w:hint="default" w:ascii="Times New Roman" w:hAnsi="Times New Roman" w:eastAsia="宋体" w:cs="Times New Roman"/>
                <w:b w:val="0"/>
                <w:bCs w:val="0"/>
                <w:color w:val="auto"/>
                <w:kern w:val="0"/>
                <w:sz w:val="24"/>
                <w:szCs w:val="24"/>
                <w:highlight w:val="none"/>
                <w:lang w:eastAsia="zh-CN"/>
              </w:rPr>
              <w:t>《产业结构调整指导目录（</w:t>
            </w:r>
            <w:r>
              <w:rPr>
                <w:rFonts w:hint="eastAsia" w:ascii="Times New Roman" w:hAnsi="Times New Roman" w:eastAsia="宋体" w:cs="Times New Roman"/>
                <w:b w:val="0"/>
                <w:bCs w:val="0"/>
                <w:color w:val="auto"/>
                <w:kern w:val="0"/>
                <w:sz w:val="24"/>
                <w:szCs w:val="24"/>
                <w:highlight w:val="none"/>
                <w:lang w:val="en-US" w:eastAsia="zh-CN"/>
              </w:rPr>
              <w:t>2024</w:t>
            </w:r>
            <w:r>
              <w:rPr>
                <w:rFonts w:hint="default" w:ascii="Times New Roman" w:hAnsi="Times New Roman" w:eastAsia="宋体" w:cs="Times New Roman"/>
                <w:b w:val="0"/>
                <w:bCs w:val="0"/>
                <w:color w:val="auto"/>
                <w:kern w:val="0"/>
                <w:sz w:val="24"/>
                <w:szCs w:val="24"/>
                <w:highlight w:val="none"/>
                <w:lang w:eastAsia="zh-CN"/>
              </w:rPr>
              <w:t>年本）》中</w:t>
            </w:r>
            <w:r>
              <w:rPr>
                <w:rFonts w:hint="eastAsia" w:ascii="Times New Roman" w:hAnsi="Times New Roman" w:eastAsia="宋体" w:cs="Times New Roman"/>
                <w:b w:val="0"/>
                <w:bCs w:val="0"/>
                <w:color w:val="auto"/>
                <w:kern w:val="0"/>
                <w:sz w:val="24"/>
                <w:szCs w:val="24"/>
                <w:highlight w:val="none"/>
                <w:lang w:val="en-US" w:eastAsia="zh-CN"/>
              </w:rPr>
              <w:t>规定的</w:t>
            </w:r>
            <w:r>
              <w:rPr>
                <w:rFonts w:hint="eastAsia" w:hAnsi="宋体"/>
                <w:b w:val="0"/>
                <w:bCs w:val="0"/>
                <w:color w:val="auto"/>
                <w:sz w:val="24"/>
                <w:lang w:val="en-US" w:eastAsia="zh-CN"/>
              </w:rPr>
              <w:t>落后生产工艺装备、落后产品。</w:t>
            </w:r>
          </w:p>
          <w:p w14:paraId="398CB19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lang w:eastAsia="zh-CN"/>
              </w:rPr>
            </w:pPr>
            <w:r>
              <w:rPr>
                <w:rFonts w:hint="default" w:ascii="Times New Roman" w:hAnsi="Times New Roman" w:eastAsia="宋体" w:cs="Times New Roman"/>
                <w:b w:val="0"/>
                <w:bCs w:val="0"/>
                <w:color w:val="auto"/>
                <w:kern w:val="0"/>
                <w:sz w:val="24"/>
                <w:szCs w:val="24"/>
                <w:highlight w:val="none"/>
                <w:lang w:val="en-US" w:eastAsia="zh-CN"/>
              </w:rPr>
              <w:t>因此</w:t>
            </w:r>
            <w:r>
              <w:rPr>
                <w:rFonts w:hint="eastAsia" w:cs="Times New Roman"/>
                <w:b w:val="0"/>
                <w:bCs w:val="0"/>
                <w:color w:val="auto"/>
                <w:kern w:val="0"/>
                <w:sz w:val="24"/>
                <w:szCs w:val="24"/>
                <w:highlight w:val="none"/>
                <w:lang w:val="en-US" w:eastAsia="zh-CN"/>
              </w:rPr>
              <w:t>，</w:t>
            </w:r>
            <w:r>
              <w:rPr>
                <w:rFonts w:hint="default" w:ascii="Times New Roman" w:hAnsi="Times New Roman" w:eastAsia="宋体" w:cs="Times New Roman"/>
                <w:b w:val="0"/>
                <w:bCs w:val="0"/>
                <w:color w:val="auto"/>
                <w:kern w:val="0"/>
                <w:sz w:val="24"/>
                <w:szCs w:val="24"/>
                <w:highlight w:val="none"/>
                <w:lang w:val="en-US" w:eastAsia="zh-CN"/>
              </w:rPr>
              <w:t>本项目</w:t>
            </w:r>
            <w:r>
              <w:rPr>
                <w:rFonts w:hint="eastAsia" w:cs="Times New Roman"/>
                <w:b w:val="0"/>
                <w:bCs w:val="0"/>
                <w:color w:val="auto"/>
                <w:kern w:val="0"/>
                <w:sz w:val="24"/>
                <w:szCs w:val="24"/>
                <w:highlight w:val="none"/>
                <w:lang w:val="en-US" w:eastAsia="zh-CN"/>
              </w:rPr>
              <w:t>建设</w:t>
            </w:r>
            <w:r>
              <w:rPr>
                <w:rFonts w:hint="default" w:ascii="Times New Roman" w:hAnsi="Times New Roman" w:eastAsia="宋体" w:cs="Times New Roman"/>
                <w:b w:val="0"/>
                <w:bCs w:val="0"/>
                <w:color w:val="auto"/>
                <w:kern w:val="0"/>
                <w:sz w:val="24"/>
                <w:szCs w:val="24"/>
                <w:highlight w:val="none"/>
                <w:lang w:val="en-US" w:eastAsia="zh-CN"/>
              </w:rPr>
              <w:t>符合国家和地方产业政策的要求</w:t>
            </w:r>
            <w:r>
              <w:rPr>
                <w:rFonts w:hint="default" w:ascii="Times New Roman" w:hAnsi="Times New Roman" w:eastAsia="宋体" w:cs="Times New Roman"/>
                <w:b w:val="0"/>
                <w:bCs w:val="0"/>
                <w:color w:val="auto"/>
                <w:kern w:val="0"/>
                <w:sz w:val="24"/>
                <w:szCs w:val="24"/>
                <w:highlight w:val="none"/>
                <w:lang w:eastAsia="zh-CN"/>
              </w:rPr>
              <w:t>。</w:t>
            </w:r>
          </w:p>
          <w:p w14:paraId="5B287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宋体"/>
                <w:b/>
                <w:bCs/>
                <w:color w:val="auto"/>
                <w:kern w:val="2"/>
                <w:sz w:val="24"/>
                <w:szCs w:val="24"/>
                <w:lang w:val="en-US" w:eastAsia="zh-CN" w:bidi="ar"/>
              </w:rPr>
            </w:pPr>
            <w:r>
              <w:rPr>
                <w:rFonts w:hint="eastAsia" w:cs="Times New Roman"/>
                <w:b/>
                <w:bCs/>
                <w:color w:val="auto"/>
                <w:spacing w:val="0"/>
                <w:sz w:val="24"/>
                <w:szCs w:val="24"/>
                <w:highlight w:val="none"/>
                <w:lang w:val="en-US" w:eastAsia="zh-CN"/>
              </w:rPr>
              <w:t>2、生态环境分区符合性分析</w:t>
            </w:r>
          </w:p>
          <w:p w14:paraId="0A3DBB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hAnsi="宋体"/>
                <w:b w:val="0"/>
                <w:bCs w:val="0"/>
                <w:color w:val="auto"/>
                <w:kern w:val="0"/>
                <w:sz w:val="24"/>
                <w:lang w:val="en-US" w:eastAsia="zh-CN"/>
              </w:rPr>
            </w:pPr>
            <w:r>
              <w:rPr>
                <w:rFonts w:hint="default" w:hAnsi="宋体"/>
                <w:b w:val="0"/>
                <w:bCs w:val="0"/>
                <w:color w:val="auto"/>
                <w:kern w:val="0"/>
                <w:sz w:val="24"/>
                <w:lang w:val="en-US" w:eastAsia="zh-CN"/>
              </w:rPr>
              <w:t>根据《长治市2023年度生态环境分区管控动态更新成果公告》中“长治市生态环境管控单元分布图”（附图</w:t>
            </w:r>
            <w:r>
              <w:rPr>
                <w:rFonts w:hint="eastAsia" w:hAnsi="宋体"/>
                <w:b w:val="0"/>
                <w:bCs w:val="0"/>
                <w:color w:val="auto"/>
                <w:kern w:val="0"/>
                <w:sz w:val="24"/>
                <w:lang w:val="en-US" w:eastAsia="zh-CN"/>
              </w:rPr>
              <w:t>10</w:t>
            </w:r>
            <w:r>
              <w:rPr>
                <w:rFonts w:hint="default" w:hAnsi="宋体"/>
                <w:b w:val="0"/>
                <w:bCs w:val="0"/>
                <w:color w:val="auto"/>
                <w:kern w:val="0"/>
                <w:sz w:val="24"/>
                <w:lang w:val="en-US" w:eastAsia="zh-CN"/>
              </w:rPr>
              <w:t>），经在“山西省“三线一单”数据管理及应用平台”进行查询，本项目位于长治市屯留区一般管控单元，具体管控类型及管控要求见表1-</w:t>
            </w:r>
            <w:r>
              <w:rPr>
                <w:rFonts w:hint="eastAsia" w:hAnsi="宋体"/>
                <w:b w:val="0"/>
                <w:bCs w:val="0"/>
                <w:color w:val="auto"/>
                <w:kern w:val="0"/>
                <w:sz w:val="24"/>
                <w:lang w:val="en-US" w:eastAsia="zh-CN"/>
              </w:rPr>
              <w:t>1</w:t>
            </w:r>
            <w:r>
              <w:rPr>
                <w:rFonts w:hint="default" w:hAnsi="宋体"/>
                <w:b w:val="0"/>
                <w:bCs w:val="0"/>
                <w:color w:val="auto"/>
                <w:kern w:val="0"/>
                <w:sz w:val="24"/>
                <w:lang w:val="en-US" w:eastAsia="zh-CN"/>
              </w:rPr>
              <w:t>，查询结果见附件</w:t>
            </w:r>
            <w:r>
              <w:rPr>
                <w:rFonts w:hint="eastAsia" w:hAnsi="宋体"/>
                <w:b w:val="0"/>
                <w:bCs w:val="0"/>
                <w:color w:val="auto"/>
                <w:kern w:val="0"/>
                <w:sz w:val="24"/>
                <w:lang w:val="en-US" w:eastAsia="zh-CN"/>
              </w:rPr>
              <w:t>12</w:t>
            </w:r>
            <w:r>
              <w:rPr>
                <w:rFonts w:hint="default" w:hAnsi="宋体"/>
                <w:b w:val="0"/>
                <w:bCs w:val="0"/>
                <w:color w:val="auto"/>
                <w:kern w:val="0"/>
                <w:sz w:val="24"/>
                <w:lang w:val="en-US" w:eastAsia="zh-CN"/>
              </w:rPr>
              <w:t>。</w:t>
            </w:r>
          </w:p>
          <w:p w14:paraId="1A2C3B1F">
            <w:pPr>
              <w:keepNext w:val="0"/>
              <w:keepLines/>
              <w:suppressLineNumbers w:val="0"/>
              <w:spacing w:before="0" w:beforeAutospacing="0" w:after="0" w:afterAutospacing="0" w:line="480" w:lineRule="exact"/>
              <w:ind w:left="0" w:right="0"/>
              <w:jc w:val="center"/>
              <w:rPr>
                <w:rFonts w:hint="default" w:eastAsia="宋体"/>
                <w:b w:val="0"/>
                <w:bCs w:val="0"/>
                <w:color w:val="auto"/>
                <w:szCs w:val="21"/>
                <w:lang w:val="en-US" w:eastAsia="zh-CN"/>
              </w:rPr>
            </w:pPr>
            <w:r>
              <w:rPr>
                <w:rFonts w:hint="eastAsia"/>
                <w:b/>
                <w:bCs/>
                <w:color w:val="auto"/>
                <w:sz w:val="21"/>
                <w:szCs w:val="21"/>
              </w:rPr>
              <w:t>表1-</w:t>
            </w:r>
            <w:r>
              <w:rPr>
                <w:rFonts w:hint="eastAsia"/>
                <w:b/>
                <w:bCs/>
                <w:color w:val="auto"/>
                <w:sz w:val="21"/>
                <w:szCs w:val="21"/>
                <w:lang w:val="en-US" w:eastAsia="zh-CN"/>
              </w:rPr>
              <w:t>1</w:t>
            </w:r>
            <w:r>
              <w:rPr>
                <w:rFonts w:hint="eastAsia"/>
                <w:b/>
                <w:bCs/>
                <w:color w:val="auto"/>
                <w:sz w:val="21"/>
                <w:szCs w:val="21"/>
              </w:rPr>
              <w:t xml:space="preserve">  本项目管控单元</w:t>
            </w:r>
            <w:r>
              <w:rPr>
                <w:rFonts w:hint="eastAsia"/>
                <w:b/>
                <w:bCs/>
                <w:color w:val="auto"/>
                <w:sz w:val="21"/>
                <w:szCs w:val="21"/>
                <w:lang w:val="en-US" w:eastAsia="zh-CN"/>
              </w:rPr>
              <w:t>及管控要求</w:t>
            </w:r>
          </w:p>
          <w:tbl>
            <w:tblPr>
              <w:tblStyle w:val="3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8"/>
              <w:gridCol w:w="3173"/>
              <w:gridCol w:w="1302"/>
              <w:gridCol w:w="2027"/>
            </w:tblGrid>
            <w:tr w14:paraId="276D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9" w:type="pct"/>
                  <w:tcBorders>
                    <w:tl2br w:val="nil"/>
                    <w:tr2bl w:val="nil"/>
                  </w:tcBorders>
                  <w:noWrap w:val="0"/>
                  <w:vAlign w:val="center"/>
                </w:tcPr>
                <w:p w14:paraId="3F2E6B5A">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bCs/>
                      <w:color w:val="auto"/>
                      <w:sz w:val="21"/>
                      <w:szCs w:val="21"/>
                    </w:rPr>
                  </w:pPr>
                  <w:r>
                    <w:rPr>
                      <w:rFonts w:hint="eastAsia" w:ascii="Times New Roman" w:hAnsi="Times New Roman"/>
                      <w:b/>
                      <w:bCs/>
                      <w:color w:val="auto"/>
                      <w:sz w:val="21"/>
                      <w:szCs w:val="21"/>
                    </w:rPr>
                    <w:t>管控单元编码</w:t>
                  </w:r>
                </w:p>
              </w:tc>
              <w:tc>
                <w:tcPr>
                  <w:tcW w:w="1811" w:type="pct"/>
                  <w:tcBorders>
                    <w:tl2br w:val="nil"/>
                    <w:tr2bl w:val="nil"/>
                  </w:tcBorders>
                  <w:noWrap w:val="0"/>
                  <w:vAlign w:val="center"/>
                </w:tcPr>
                <w:p w14:paraId="451D369B">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bCs/>
                      <w:color w:val="auto"/>
                      <w:sz w:val="21"/>
                      <w:szCs w:val="21"/>
                    </w:rPr>
                  </w:pPr>
                  <w:r>
                    <w:rPr>
                      <w:rFonts w:hint="default" w:ascii="Times New Roman" w:hAnsi="Times New Roman"/>
                      <w:b/>
                      <w:bCs/>
                      <w:color w:val="auto"/>
                      <w:sz w:val="21"/>
                      <w:szCs w:val="21"/>
                    </w:rPr>
                    <w:t>环境管控单元名称</w:t>
                  </w:r>
                </w:p>
              </w:tc>
              <w:tc>
                <w:tcPr>
                  <w:tcW w:w="743" w:type="pct"/>
                  <w:tcBorders>
                    <w:tl2br w:val="nil"/>
                    <w:tr2bl w:val="nil"/>
                  </w:tcBorders>
                  <w:noWrap w:val="0"/>
                  <w:vAlign w:val="center"/>
                </w:tcPr>
                <w:p w14:paraId="21F05A91">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bCs/>
                      <w:color w:val="auto"/>
                      <w:sz w:val="21"/>
                      <w:szCs w:val="21"/>
                    </w:rPr>
                  </w:pPr>
                  <w:r>
                    <w:rPr>
                      <w:rFonts w:hint="default" w:ascii="Times New Roman" w:hAnsi="Times New Roman"/>
                      <w:b/>
                      <w:bCs/>
                      <w:color w:val="auto"/>
                      <w:sz w:val="21"/>
                      <w:szCs w:val="21"/>
                    </w:rPr>
                    <w:t>行政区划</w:t>
                  </w:r>
                </w:p>
              </w:tc>
              <w:tc>
                <w:tcPr>
                  <w:tcW w:w="1154" w:type="pct"/>
                  <w:tcBorders>
                    <w:tl2br w:val="nil"/>
                    <w:tr2bl w:val="nil"/>
                  </w:tcBorders>
                  <w:noWrap w:val="0"/>
                  <w:vAlign w:val="center"/>
                </w:tcPr>
                <w:p w14:paraId="54CACA57">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bCs/>
                      <w:color w:val="auto"/>
                      <w:sz w:val="21"/>
                      <w:szCs w:val="21"/>
                    </w:rPr>
                  </w:pPr>
                  <w:r>
                    <w:rPr>
                      <w:rFonts w:hint="default" w:ascii="Times New Roman" w:hAnsi="Times New Roman"/>
                      <w:b/>
                      <w:bCs/>
                      <w:color w:val="auto"/>
                      <w:sz w:val="21"/>
                      <w:szCs w:val="21"/>
                    </w:rPr>
                    <w:t>管控单元分类</w:t>
                  </w:r>
                </w:p>
              </w:tc>
            </w:tr>
            <w:tr w14:paraId="5CDC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9" w:type="pct"/>
                  <w:tcBorders>
                    <w:tl2br w:val="nil"/>
                    <w:tr2bl w:val="nil"/>
                  </w:tcBorders>
                  <w:noWrap w:val="0"/>
                  <w:vAlign w:val="center"/>
                </w:tcPr>
                <w:p w14:paraId="7B94E73A">
                  <w:pPr>
                    <w:pStyle w:val="27"/>
                    <w:keepNext w:val="0"/>
                    <w:keepLines w:val="0"/>
                    <w:pageBreakBefore w:val="0"/>
                    <w:widowControl/>
                    <w:suppressLineNumbers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b w:val="0"/>
                      <w:bCs w:val="0"/>
                      <w:color w:val="auto"/>
                      <w:sz w:val="21"/>
                      <w:szCs w:val="21"/>
                      <w:lang w:eastAsia="zh-CN"/>
                    </w:rPr>
                  </w:pPr>
                  <w:r>
                    <w:rPr>
                      <w:rFonts w:hint="default" w:ascii="Times New Roman" w:hAnsi="Times New Roman"/>
                      <w:b w:val="0"/>
                      <w:bCs w:val="0"/>
                      <w:color w:val="auto"/>
                      <w:sz w:val="21"/>
                      <w:szCs w:val="21"/>
                    </w:rPr>
                    <w:t>ZH140405</w:t>
                  </w:r>
                  <w:r>
                    <w:rPr>
                      <w:rFonts w:hint="eastAsia" w:ascii="Times New Roman" w:hAnsi="Times New Roman"/>
                      <w:b w:val="0"/>
                      <w:bCs w:val="0"/>
                      <w:color w:val="auto"/>
                      <w:sz w:val="21"/>
                      <w:szCs w:val="21"/>
                      <w:lang w:val="en-US" w:eastAsia="zh-CN"/>
                    </w:rPr>
                    <w:t>3</w:t>
                  </w:r>
                  <w:r>
                    <w:rPr>
                      <w:rFonts w:hint="default" w:ascii="Times New Roman" w:hAnsi="Times New Roman"/>
                      <w:b w:val="0"/>
                      <w:bCs w:val="0"/>
                      <w:color w:val="auto"/>
                      <w:sz w:val="21"/>
                      <w:szCs w:val="21"/>
                    </w:rPr>
                    <w:t>000</w:t>
                  </w:r>
                  <w:r>
                    <w:rPr>
                      <w:rFonts w:hint="eastAsia" w:ascii="Times New Roman" w:hAnsi="Times New Roman"/>
                      <w:b w:val="0"/>
                      <w:bCs w:val="0"/>
                      <w:color w:val="auto"/>
                      <w:sz w:val="21"/>
                      <w:szCs w:val="21"/>
                      <w:lang w:val="en-US" w:eastAsia="zh-CN"/>
                    </w:rPr>
                    <w:t>1</w:t>
                  </w:r>
                </w:p>
              </w:tc>
              <w:tc>
                <w:tcPr>
                  <w:tcW w:w="1811" w:type="pct"/>
                  <w:tcBorders>
                    <w:tl2br w:val="nil"/>
                    <w:tr2bl w:val="nil"/>
                  </w:tcBorders>
                  <w:noWrap w:val="0"/>
                  <w:vAlign w:val="center"/>
                </w:tcPr>
                <w:p w14:paraId="253DEA6B">
                  <w:pPr>
                    <w:pStyle w:val="27"/>
                    <w:keepNext w:val="0"/>
                    <w:keepLines w:val="0"/>
                    <w:pageBreakBefore w:val="0"/>
                    <w:widowControl/>
                    <w:suppressLineNumbers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b w:val="0"/>
                      <w:bCs w:val="0"/>
                      <w:color w:val="auto"/>
                      <w:sz w:val="21"/>
                      <w:szCs w:val="21"/>
                    </w:rPr>
                  </w:pPr>
                  <w:r>
                    <w:rPr>
                      <w:rFonts w:hint="default" w:ascii="Times New Roman" w:hAnsi="Times New Roman"/>
                      <w:b w:val="0"/>
                      <w:bCs w:val="0"/>
                      <w:color w:val="auto"/>
                      <w:sz w:val="21"/>
                      <w:szCs w:val="21"/>
                      <w:lang w:val="en-US" w:eastAsia="zh-CN"/>
                    </w:rPr>
                    <w:t>长治市屯留区一般管控单元</w:t>
                  </w:r>
                </w:p>
              </w:tc>
              <w:tc>
                <w:tcPr>
                  <w:tcW w:w="743" w:type="pct"/>
                  <w:tcBorders>
                    <w:tl2br w:val="nil"/>
                    <w:tr2bl w:val="nil"/>
                  </w:tcBorders>
                  <w:noWrap w:val="0"/>
                  <w:vAlign w:val="center"/>
                </w:tcPr>
                <w:p w14:paraId="06F9EBFB">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val="0"/>
                      <w:bCs w:val="0"/>
                      <w:color w:val="auto"/>
                      <w:sz w:val="21"/>
                      <w:szCs w:val="21"/>
                    </w:rPr>
                  </w:pPr>
                  <w:r>
                    <w:rPr>
                      <w:rFonts w:hint="eastAsia" w:ascii="Times New Roman" w:hAnsi="Times New Roman"/>
                      <w:b w:val="0"/>
                      <w:bCs w:val="0"/>
                      <w:color w:val="auto"/>
                      <w:sz w:val="21"/>
                      <w:szCs w:val="21"/>
                    </w:rPr>
                    <w:t>屯留区</w:t>
                  </w:r>
                </w:p>
              </w:tc>
              <w:tc>
                <w:tcPr>
                  <w:tcW w:w="1154" w:type="pct"/>
                  <w:tcBorders>
                    <w:tl2br w:val="nil"/>
                    <w:tr2bl w:val="nil"/>
                  </w:tcBorders>
                  <w:noWrap w:val="0"/>
                  <w:vAlign w:val="center"/>
                </w:tcPr>
                <w:p w14:paraId="6401620F">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val="0"/>
                      <w:bCs w:val="0"/>
                      <w:color w:val="auto"/>
                      <w:sz w:val="21"/>
                      <w:szCs w:val="21"/>
                    </w:rPr>
                  </w:pPr>
                  <w:r>
                    <w:rPr>
                      <w:rFonts w:hint="eastAsia" w:ascii="Times New Roman" w:hAnsi="Times New Roman"/>
                      <w:b w:val="0"/>
                      <w:bCs w:val="0"/>
                      <w:color w:val="auto"/>
                      <w:sz w:val="21"/>
                      <w:szCs w:val="21"/>
                      <w:lang w:val="en-US" w:eastAsia="zh-CN"/>
                    </w:rPr>
                    <w:t>一般</w:t>
                  </w:r>
                  <w:r>
                    <w:rPr>
                      <w:rFonts w:hint="eastAsia" w:ascii="Times New Roman" w:hAnsi="Times New Roman"/>
                      <w:b w:val="0"/>
                      <w:bCs w:val="0"/>
                      <w:color w:val="auto"/>
                      <w:sz w:val="21"/>
                      <w:szCs w:val="21"/>
                    </w:rPr>
                    <w:t>管控单元</w:t>
                  </w:r>
                </w:p>
              </w:tc>
            </w:tr>
            <w:tr w14:paraId="4CEE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9" w:type="pct"/>
                  <w:tcBorders>
                    <w:tl2br w:val="nil"/>
                    <w:tr2bl w:val="nil"/>
                  </w:tcBorders>
                  <w:noWrap w:val="0"/>
                  <w:vAlign w:val="center"/>
                </w:tcPr>
                <w:p w14:paraId="0179D57A">
                  <w:pPr>
                    <w:pStyle w:val="27"/>
                    <w:keepNext w:val="0"/>
                    <w:keepLines w:val="0"/>
                    <w:pageBreakBefore w:val="0"/>
                    <w:widowControl/>
                    <w:suppressLineNumbers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b/>
                      <w:bCs/>
                      <w:color w:val="auto"/>
                      <w:sz w:val="21"/>
                      <w:szCs w:val="21"/>
                      <w:lang w:val="en-US" w:eastAsia="zh-CN"/>
                    </w:rPr>
                    <w:t>类别</w:t>
                  </w:r>
                </w:p>
              </w:tc>
              <w:tc>
                <w:tcPr>
                  <w:tcW w:w="3710" w:type="pct"/>
                  <w:gridSpan w:val="3"/>
                  <w:tcBorders>
                    <w:tl2br w:val="nil"/>
                    <w:tr2bl w:val="nil"/>
                  </w:tcBorders>
                  <w:noWrap w:val="0"/>
                  <w:vAlign w:val="center"/>
                </w:tcPr>
                <w:p w14:paraId="5F501444">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val="0"/>
                      <w:bCs w:val="0"/>
                      <w:color w:val="auto"/>
                      <w:sz w:val="21"/>
                      <w:szCs w:val="21"/>
                      <w:lang w:val="en-US" w:eastAsia="zh-CN"/>
                    </w:rPr>
                  </w:pPr>
                  <w:r>
                    <w:rPr>
                      <w:rFonts w:hint="eastAsia" w:ascii="Times New Roman" w:hAnsi="Times New Roman"/>
                      <w:b/>
                      <w:bCs/>
                      <w:color w:val="auto"/>
                      <w:sz w:val="21"/>
                      <w:szCs w:val="21"/>
                      <w:lang w:val="en-US" w:eastAsia="zh-CN"/>
                    </w:rPr>
                    <w:t>管控要求</w:t>
                  </w:r>
                </w:p>
              </w:tc>
            </w:tr>
            <w:tr w14:paraId="47F9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9" w:type="pct"/>
                  <w:tcBorders>
                    <w:tl2br w:val="nil"/>
                    <w:tr2bl w:val="nil"/>
                  </w:tcBorders>
                  <w:noWrap w:val="0"/>
                  <w:vAlign w:val="center"/>
                </w:tcPr>
                <w:p w14:paraId="4B16A433">
                  <w:pPr>
                    <w:pStyle w:val="27"/>
                    <w:keepNext w:val="0"/>
                    <w:keepLines w:val="0"/>
                    <w:pageBreakBefore w:val="0"/>
                    <w:widowControl/>
                    <w:suppressLineNumbers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b w:val="0"/>
                      <w:bCs w:val="0"/>
                      <w:color w:val="auto"/>
                      <w:sz w:val="21"/>
                      <w:szCs w:val="21"/>
                    </w:rPr>
                  </w:pPr>
                  <w:r>
                    <w:rPr>
                      <w:rFonts w:hint="eastAsia" w:ascii="Times New Roman" w:hAnsi="Times New Roman" w:eastAsia="宋体" w:cs="Times New Roman"/>
                      <w:color w:val="auto"/>
                      <w:kern w:val="0"/>
                      <w:sz w:val="21"/>
                      <w:szCs w:val="21"/>
                      <w:highlight w:val="none"/>
                      <w:lang w:val="en-US" w:eastAsia="zh-CN"/>
                    </w:rPr>
                    <w:t>空间布局约束</w:t>
                  </w:r>
                </w:p>
              </w:tc>
              <w:tc>
                <w:tcPr>
                  <w:tcW w:w="3710" w:type="pct"/>
                  <w:gridSpan w:val="3"/>
                  <w:tcBorders>
                    <w:tl2br w:val="nil"/>
                    <w:tr2bl w:val="nil"/>
                  </w:tcBorders>
                  <w:noWrap w:val="0"/>
                  <w:vAlign w:val="center"/>
                </w:tcPr>
                <w:p w14:paraId="258D921B">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b w:val="0"/>
                      <w:bCs w:val="0"/>
                      <w:color w:val="auto"/>
                      <w:sz w:val="21"/>
                      <w:szCs w:val="21"/>
                      <w:lang w:val="en-US" w:eastAsia="zh-CN"/>
                    </w:rPr>
                  </w:pPr>
                  <w:r>
                    <w:rPr>
                      <w:rFonts w:hint="eastAsia" w:ascii="Times New Roman" w:hAnsi="Times New Roman" w:eastAsia="宋体" w:cs="Times New Roman"/>
                      <w:color w:val="auto"/>
                      <w:kern w:val="0"/>
                      <w:sz w:val="21"/>
                      <w:szCs w:val="21"/>
                      <w:highlight w:val="none"/>
                      <w:lang w:val="en-US" w:eastAsia="zh-CN"/>
                    </w:rPr>
                    <w:t>执行山西省、长治市空间布局准入的要求</w:t>
                  </w:r>
                </w:p>
              </w:tc>
            </w:tr>
            <w:tr w14:paraId="5917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9" w:type="pct"/>
                  <w:tcBorders>
                    <w:tl2br w:val="nil"/>
                    <w:tr2bl w:val="nil"/>
                  </w:tcBorders>
                  <w:noWrap w:val="0"/>
                  <w:vAlign w:val="center"/>
                </w:tcPr>
                <w:p w14:paraId="30A5AB41">
                  <w:pPr>
                    <w:pStyle w:val="27"/>
                    <w:keepNext w:val="0"/>
                    <w:keepLines w:val="0"/>
                    <w:pageBreakBefore w:val="0"/>
                    <w:widowControl/>
                    <w:suppressLineNumbers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b w:val="0"/>
                      <w:bCs w:val="0"/>
                      <w:color w:val="auto"/>
                      <w:sz w:val="21"/>
                      <w:szCs w:val="21"/>
                    </w:rPr>
                  </w:pPr>
                  <w:r>
                    <w:rPr>
                      <w:rFonts w:hint="eastAsia" w:ascii="Times New Roman" w:hAnsi="Times New Roman" w:eastAsia="宋体" w:cs="Times New Roman"/>
                      <w:color w:val="auto"/>
                      <w:kern w:val="0"/>
                      <w:sz w:val="21"/>
                      <w:szCs w:val="21"/>
                      <w:highlight w:val="none"/>
                      <w:lang w:val="en-US" w:eastAsia="zh-CN"/>
                    </w:rPr>
                    <w:t>污染物排放管控</w:t>
                  </w:r>
                </w:p>
              </w:tc>
              <w:tc>
                <w:tcPr>
                  <w:tcW w:w="3710" w:type="pct"/>
                  <w:gridSpan w:val="3"/>
                  <w:tcBorders>
                    <w:tl2br w:val="nil"/>
                    <w:tr2bl w:val="nil"/>
                  </w:tcBorders>
                  <w:noWrap w:val="0"/>
                  <w:vAlign w:val="center"/>
                </w:tcPr>
                <w:p w14:paraId="49AD9737">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b w:val="0"/>
                      <w:bCs w:val="0"/>
                      <w:color w:val="auto"/>
                      <w:sz w:val="21"/>
                      <w:szCs w:val="21"/>
                      <w:lang w:val="en-US" w:eastAsia="zh-CN"/>
                    </w:rPr>
                  </w:pPr>
                  <w:r>
                    <w:rPr>
                      <w:rFonts w:hint="eastAsia" w:ascii="Times New Roman" w:hAnsi="Times New Roman" w:eastAsia="宋体" w:cs="Times New Roman"/>
                      <w:color w:val="auto"/>
                      <w:kern w:val="0"/>
                      <w:sz w:val="21"/>
                      <w:szCs w:val="21"/>
                      <w:highlight w:val="none"/>
                      <w:lang w:val="en-US" w:eastAsia="zh-CN"/>
                    </w:rPr>
                    <w:t>执行山西省、长治市污染物排放控制要求</w:t>
                  </w:r>
                </w:p>
              </w:tc>
            </w:tr>
            <w:tr w14:paraId="3C47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00" w:type="pct"/>
                  <w:gridSpan w:val="4"/>
                  <w:tcBorders>
                    <w:tl2br w:val="nil"/>
                    <w:tr2bl w:val="nil"/>
                  </w:tcBorders>
                  <w:noWrap w:val="0"/>
                  <w:vAlign w:val="center"/>
                </w:tcPr>
                <w:p w14:paraId="0E4DB70F">
                  <w:pPr>
                    <w:pStyle w:val="2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highlight w:val="none"/>
                      <w:lang w:val="en-US" w:eastAsia="zh-CN"/>
                    </w:rPr>
                  </w:pPr>
                  <w:r>
                    <w:rPr>
                      <w:rFonts w:hint="default"/>
                      <w:bCs/>
                      <w:color w:val="auto"/>
                      <w:sz w:val="24"/>
                      <w:lang w:val="en-US" w:eastAsia="zh-CN"/>
                    </w:rPr>
                    <w:drawing>
                      <wp:inline distT="0" distB="0" distL="114300" distR="114300">
                        <wp:extent cx="3572510" cy="2849245"/>
                        <wp:effectExtent l="0" t="0" r="8890" b="8255"/>
                        <wp:docPr id="1" name="图片 1" descr="基本分析结果db034846-ff9a-429c-83c2-60e111e5ccd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基本分析结果db034846-ff9a-429c-83c2-60e111e5ccd2_02"/>
                                <pic:cNvPicPr>
                                  <a:picLocks noChangeAspect="1"/>
                                </pic:cNvPicPr>
                              </pic:nvPicPr>
                              <pic:blipFill>
                                <a:blip r:embed="rId10"/>
                                <a:srcRect l="14734" t="12612" r="14239" b="47333"/>
                                <a:stretch>
                                  <a:fillRect/>
                                </a:stretch>
                              </pic:blipFill>
                              <pic:spPr>
                                <a:xfrm>
                                  <a:off x="0" y="0"/>
                                  <a:ext cx="3572510" cy="2849245"/>
                                </a:xfrm>
                                <a:prstGeom prst="rect">
                                  <a:avLst/>
                                </a:prstGeom>
                              </pic:spPr>
                            </pic:pic>
                          </a:graphicData>
                        </a:graphic>
                      </wp:inline>
                    </w:drawing>
                  </w:r>
                </w:p>
              </w:tc>
            </w:tr>
          </w:tbl>
          <w:p w14:paraId="261AA8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具体见表1-</w:t>
            </w:r>
            <w:r>
              <w:rPr>
                <w:rFonts w:hint="eastAsia" w:cs="Times New Roman"/>
                <w:color w:val="auto"/>
                <w:kern w:val="0"/>
                <w:sz w:val="24"/>
                <w:szCs w:val="24"/>
                <w:highlight w:val="none"/>
                <w:lang w:val="en-US" w:eastAsia="zh-CN"/>
              </w:rPr>
              <w:t>2</w:t>
            </w:r>
            <w:r>
              <w:rPr>
                <w:rFonts w:hint="eastAsia" w:ascii="Times New Roman" w:hAnsi="Times New Roman" w:eastAsia="宋体" w:cs="Times New Roman"/>
                <w:color w:val="auto"/>
                <w:kern w:val="0"/>
                <w:sz w:val="24"/>
                <w:szCs w:val="24"/>
                <w:highlight w:val="none"/>
                <w:lang w:val="en-US" w:eastAsia="zh-CN"/>
              </w:rPr>
              <w:t>。</w:t>
            </w:r>
          </w:p>
          <w:p w14:paraId="315AD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Times New Roman" w:hAnsi="Times New Roman" w:eastAsia="宋体" w:cs="宋体"/>
                <w:b w:val="0"/>
                <w:bCs w:val="0"/>
                <w:color w:val="auto"/>
                <w:kern w:val="2"/>
                <w:sz w:val="24"/>
                <w:szCs w:val="24"/>
                <w:lang w:val="en-US" w:eastAsia="zh-CN" w:bidi="ar"/>
              </w:rPr>
            </w:pPr>
            <w:r>
              <w:rPr>
                <w:rFonts w:hint="eastAsia"/>
                <w:b/>
                <w:bCs/>
                <w:color w:val="auto"/>
                <w:sz w:val="21"/>
                <w:szCs w:val="21"/>
              </w:rPr>
              <w:t>表1-</w:t>
            </w:r>
            <w:r>
              <w:rPr>
                <w:rFonts w:hint="eastAsia"/>
                <w:b/>
                <w:bCs/>
                <w:color w:val="auto"/>
                <w:sz w:val="21"/>
                <w:szCs w:val="21"/>
                <w:lang w:val="en-US" w:eastAsia="zh-CN"/>
              </w:rPr>
              <w:t xml:space="preserve">2  </w:t>
            </w:r>
            <w:r>
              <w:rPr>
                <w:rFonts w:hint="default"/>
                <w:b/>
                <w:bCs/>
                <w:color w:val="auto"/>
                <w:sz w:val="21"/>
                <w:szCs w:val="21"/>
                <w:lang w:val="en-US" w:eastAsia="zh-CN"/>
              </w:rPr>
              <w:t>长治市生态环境准入总体要求</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5689"/>
              <w:gridCol w:w="1751"/>
              <w:gridCol w:w="642"/>
            </w:tblGrid>
            <w:tr w14:paraId="1819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8" w:type="pct"/>
                  <w:vAlign w:val="center"/>
                </w:tcPr>
                <w:p w14:paraId="6B7C2F00">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bCs/>
                      <w:color w:val="auto"/>
                      <w:kern w:val="2"/>
                      <w:sz w:val="21"/>
                      <w:szCs w:val="21"/>
                      <w:vertAlign w:val="baseline"/>
                      <w:lang w:val="en-US" w:eastAsia="zh-CN" w:bidi="ar"/>
                    </w:rPr>
                  </w:pPr>
                  <w:r>
                    <w:rPr>
                      <w:rFonts w:hint="default" w:ascii="Times New Roman" w:hAnsi="Times New Roman" w:eastAsia="宋体" w:cs="Times New Roman"/>
                      <w:b/>
                      <w:bCs/>
                      <w:color w:val="auto"/>
                      <w:sz w:val="21"/>
                      <w:szCs w:val="21"/>
                      <w:highlight w:val="none"/>
                    </w:rPr>
                    <w:t>管控类别</w:t>
                  </w:r>
                </w:p>
              </w:tc>
              <w:tc>
                <w:tcPr>
                  <w:tcW w:w="3245" w:type="pct"/>
                  <w:vAlign w:val="center"/>
                </w:tcPr>
                <w:p w14:paraId="67991A7B">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vertAlign w:val="baseline"/>
                      <w:lang w:val="en-US" w:eastAsia="zh-CN" w:bidi="ar"/>
                    </w:rPr>
                  </w:pPr>
                  <w:r>
                    <w:rPr>
                      <w:rFonts w:hint="default" w:ascii="Times New Roman" w:hAnsi="Times New Roman" w:eastAsia="宋体" w:cs="Times New Roman"/>
                      <w:b/>
                      <w:bCs/>
                      <w:color w:val="auto"/>
                      <w:sz w:val="21"/>
                      <w:szCs w:val="21"/>
                      <w:highlight w:val="none"/>
                    </w:rPr>
                    <w:t>管控要求</w:t>
                  </w:r>
                </w:p>
              </w:tc>
              <w:tc>
                <w:tcPr>
                  <w:tcW w:w="999" w:type="pct"/>
                  <w:vAlign w:val="center"/>
                </w:tcPr>
                <w:p w14:paraId="0C3E6139">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bCs/>
                      <w:color w:val="auto"/>
                      <w:kern w:val="2"/>
                      <w:sz w:val="21"/>
                      <w:szCs w:val="21"/>
                      <w:highlight w:val="yellow"/>
                      <w:vertAlign w:val="baseline"/>
                      <w:lang w:val="en-US" w:eastAsia="zh-CN" w:bidi="ar"/>
                    </w:rPr>
                  </w:pPr>
                  <w:r>
                    <w:rPr>
                      <w:rFonts w:hint="default" w:ascii="Times New Roman" w:hAnsi="Times New Roman" w:eastAsia="宋体" w:cs="Times New Roman"/>
                      <w:b/>
                      <w:bCs/>
                      <w:color w:val="auto"/>
                      <w:sz w:val="21"/>
                      <w:szCs w:val="21"/>
                      <w:highlight w:val="none"/>
                    </w:rPr>
                    <w:t>项目情况</w:t>
                  </w:r>
                </w:p>
              </w:tc>
              <w:tc>
                <w:tcPr>
                  <w:tcW w:w="366" w:type="pct"/>
                  <w:vAlign w:val="center"/>
                </w:tcPr>
                <w:p w14:paraId="776BCEE3">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bCs/>
                      <w:color w:val="auto"/>
                      <w:kern w:val="2"/>
                      <w:sz w:val="21"/>
                      <w:szCs w:val="21"/>
                      <w:vertAlign w:val="baseline"/>
                      <w:lang w:val="en-US" w:eastAsia="zh-CN" w:bidi="ar"/>
                    </w:rPr>
                  </w:pPr>
                  <w:r>
                    <w:rPr>
                      <w:rFonts w:hint="default" w:ascii="Times New Roman" w:hAnsi="Times New Roman" w:eastAsia="宋体" w:cs="Times New Roman"/>
                      <w:b/>
                      <w:bCs/>
                      <w:color w:val="auto"/>
                      <w:sz w:val="21"/>
                      <w:szCs w:val="21"/>
                      <w:highlight w:val="none"/>
                    </w:rPr>
                    <w:t>符合性</w:t>
                  </w:r>
                </w:p>
              </w:tc>
            </w:tr>
            <w:tr w14:paraId="6529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8" w:type="pct"/>
                  <w:vAlign w:val="center"/>
                </w:tcPr>
                <w:p w14:paraId="13F9D7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val="0"/>
                      <w:bCs w:val="0"/>
                      <w:color w:val="auto"/>
                      <w:kern w:val="2"/>
                      <w:sz w:val="21"/>
                      <w:szCs w:val="21"/>
                      <w:vertAlign w:val="baseline"/>
                      <w:lang w:val="en-US" w:eastAsia="zh-CN" w:bidi="ar"/>
                    </w:rPr>
                  </w:pPr>
                  <w:r>
                    <w:rPr>
                      <w:rFonts w:hint="default"/>
                      <w:b w:val="0"/>
                      <w:bCs w:val="0"/>
                      <w:color w:val="auto"/>
                      <w:sz w:val="21"/>
                      <w:szCs w:val="21"/>
                    </w:rPr>
                    <w:t>空间布局约束</w:t>
                  </w:r>
                </w:p>
              </w:tc>
              <w:tc>
                <w:tcPr>
                  <w:tcW w:w="3245" w:type="pct"/>
                  <w:vAlign w:val="center"/>
                </w:tcPr>
                <w:p w14:paraId="35941C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1.强化河</w:t>
                  </w:r>
                  <w:r>
                    <w:rPr>
                      <w:rFonts w:hint="eastAsia" w:cs="Times New Roman"/>
                      <w:b w:val="0"/>
                      <w:bCs w:val="0"/>
                      <w:color w:val="auto"/>
                      <w:kern w:val="2"/>
                      <w:sz w:val="21"/>
                      <w:szCs w:val="21"/>
                      <w:vertAlign w:val="baseline"/>
                      <w:lang w:val="en-US" w:eastAsia="zh-CN" w:bidi="ar"/>
                    </w:rPr>
                    <w:t>（</w:t>
                  </w:r>
                  <w:r>
                    <w:rPr>
                      <w:rFonts w:hint="default" w:ascii="Times New Roman" w:hAnsi="Times New Roman" w:eastAsia="宋体" w:cs="Times New Roman"/>
                      <w:b w:val="0"/>
                      <w:bCs w:val="0"/>
                      <w:color w:val="auto"/>
                      <w:kern w:val="2"/>
                      <w:sz w:val="21"/>
                      <w:szCs w:val="21"/>
                      <w:vertAlign w:val="baseline"/>
                      <w:lang w:val="en-US" w:eastAsia="zh-CN" w:bidi="ar"/>
                    </w:rPr>
                    <w:t>湖</w:t>
                  </w:r>
                  <w:r>
                    <w:rPr>
                      <w:rFonts w:hint="eastAsia" w:cs="Times New Roman"/>
                      <w:b w:val="0"/>
                      <w:bCs w:val="0"/>
                      <w:color w:val="auto"/>
                      <w:kern w:val="2"/>
                      <w:sz w:val="21"/>
                      <w:szCs w:val="21"/>
                      <w:vertAlign w:val="baseline"/>
                      <w:lang w:val="en-US" w:eastAsia="zh-CN" w:bidi="ar"/>
                    </w:rPr>
                    <w:t>）</w:t>
                  </w:r>
                  <w:r>
                    <w:rPr>
                      <w:rFonts w:hint="default" w:ascii="Times New Roman" w:hAnsi="Times New Roman" w:eastAsia="宋体" w:cs="Times New Roman"/>
                      <w:b w:val="0"/>
                      <w:bCs w:val="0"/>
                      <w:color w:val="auto"/>
                      <w:kern w:val="2"/>
                      <w:sz w:val="21"/>
                      <w:szCs w:val="21"/>
                      <w:vertAlign w:val="baseline"/>
                      <w:lang w:val="en-US" w:eastAsia="zh-CN" w:bidi="ar"/>
                    </w:rPr>
                    <w:t>岸生态缓冲带保护与修复。在重点河流和重点湖库两岸以及划定的河湖库管理范围线之外30-50米建设生态缓冲带，宜林地段结合堤岸防护营造防护林带，平川水系、山区河滨带优先选择本地生水生植物、低杆植物，恢复湖库生态功能，实现水域、陆域生境联通，保护生物多样性。</w:t>
                  </w:r>
                </w:p>
                <w:p w14:paraId="69F1F2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2.除属于2021年分类处置清单范围内完善手续的“两高”项目外，太原及周边“1+30”大气污染联防联控重点区域不再审批新建焦化和传统烧结、高炉、转炉长流程钢铁项目(产能置换项目除外)。</w:t>
                  </w:r>
                </w:p>
                <w:p w14:paraId="499BD7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3.在永久基本农田集中区域，严禁规划新建可能造成土壤污染的建设项目。</w:t>
                  </w:r>
                </w:p>
                <w:p w14:paraId="33452C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4.依法依规开展化工园区认定，分批公布省级合格化工园区名单，引导化工生产企业向化工园区转移，推动产业优化整合，形成规模效应。推动入园入区煤化工企业发展循环经济和低碳经济建立绿色、低碳、循环发展的产业体系。坚持煤焦化一体、煤化电热一体和多联产发展方向，构建企业首尾相连、互为供需和生产装置互联互通的产业链，提高资源综合利用水平，减少物流运输能源消耗。鼓励化工园区管理部门按照生产加工体系匹配、产业联系紧密、原料物料互供、污染物统一治理、安全设施配套、资源利用高效、管理科学规范的标准，加强基础设施建设和配套项目招商，打造煤化工产业绿色低碳安全发展示范区。</w:t>
                  </w:r>
                </w:p>
                <w:p w14:paraId="5263D0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5.构建城市化地区、农产品主产区、重点生态功能区分类指导的减污降碳政策。衔接国土空间规划分区和用途管制要求，将碳达峰碳中和要求纳入“三线一单”分区管控体系，落实到环境管控单元。强化环境质量改善目标对能源和产业布局的引导约束作用，深入推进结构调整和布局优化，引导重污染项目向资源禀赋好、环境承载力强的地区转移。加大污染严重地区结构调整和布局优化力度，加快推动重点行业落后和过剩产能退出，2023年底前全面关停退出炭化室高度4.3米焦炉以及达不到超低排放要求的其他焦炉，逐步淘汰1200立方米以下高炉100吨以下转炉、步进式烧结机、球团坚炉以及半封闭式硅锰合金、镍铁、高碳铬铁、高碳锰铁电炉。依法加快城市(含县城)建成区钢铁、焦化、水泥、化工等重污染企业搬迁改造或关闭退出，对城市(含县城)建成区重污染企业实施更为严格的差异化管控措施。</w:t>
                  </w:r>
                </w:p>
                <w:p w14:paraId="341783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6.统筹调配全省危险废物集中处置设施资源，支持区域协作处置，鼓励危险废物产生量小的市依托相邻地区联合建设配套焚烧，填埋处置工艺的集中处置设施。各市应在全面调查评估危险废物产生及处置需求的基础上，按照“自我消纳为主、区域协同为辅”和“立足现状、适度超前”的原则，建设满足实际需要的危险废物集中处置设施，作为危险废物处置基础保障和突发事件应急处置保障。</w:t>
                  </w:r>
                </w:p>
                <w:p w14:paraId="6DB622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7.危险废物利用、处置设施选址必须符合城市总体发展规划、生态环境保护规划、国土空间规划和“三线一单”管控要求，并综合考虑服务范围、公共基础设施、公众意见等因素，以及区域工程地质和水文地质条件。避让生态保护红线范围。禁止在城市建成区、自然保护区、风景名胜区、饮用水水源保护区、泉域重点保护区等法律法规明令禁止和限制的区城，黄河干流及主要支流沿岸和汾河、桑干河、滹沱河、漳河、沁河、涑水河、大清河等河流谷地禁止和限制的范围，晋阳湖、漳泽湖、云竹湖、盐湖、伍姓湖等湖泊生态保护与修复范围，“黄河，长城、太行”旅游区建设危险废物利用、处置设施。鼓励危险废物集中处置设施入园入区建设，但不得选址于临近城市建成区的工业园区、开发区或工业集聚区。在满足环境防护距离的基础上，应尽量远离居民区、学校、医院、行政办公和科研机构等敏感目标，不得在各市下设区范围内新建危险废物集中处置设施，现有集中处置设施要加快搬迁或退出。危险废物填埋场选址还应充分考虑对周围地下水环境、居住人群身体健康，日常生活和生产活动的长期影响以及所在地区社会经济长远发展可能带来的土地需求和功能调整等因素。</w:t>
                  </w:r>
                </w:p>
                <w:p w14:paraId="17C478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8.强化“三区三线”管控。深入实施主体功能区战略，基于省域不同地区的资源环境承载力，实施差异化的国土空间开发保护，统筹优化农业、生态、城镇等功能空间布局，严格落实耕地和永久基本农田、生态保护红线、城镇开发边界“三条控制线”，确保红线面积不减少、功能不降低、性质不改变。健全国土空间开发保护制度，建立和实施常态化国土动态监测评估预警和监管机制。实施生态环境分区管控，落实“三线一单”生态环境分区管控制度，对优先、重点、一般三类管控单元实施分区分类管理，筑牢生态优先、绿色发展的底线，构建新发展格局。强化“三线一单”生态环境分区管控成果在当地重大经济政策制定、规划编制、园区管理、执法监管等方面的应用，推动“三线一单”生态环境分区管控落地实施取得实效。</w:t>
                  </w:r>
                </w:p>
                <w:p w14:paraId="2DFAC1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9.构建国土空间开发保护新格局。综合考虑人口分布、经济布局、国土利用、资源环境承载、生态环境保护等因素，科学布局生产空间、生活空间、生态空间，合理确定城市规模和空间结构，优化国土空间总体格局。统筹推进山西中部城市群生态共建环境共治，优化空间结构，构筑生态安全屏障。保护人居环境等敏感区，严控重污染行业产能规模，推进产业布局与生态空间协调发展，保障生活空间安全。严格耕地用途管制，强化农产品产地环境保护，加强农业面源、畜禽养殖污染治理和农村环境整治，保障农产品安全。强化生态功能区生态保护和修复，把保护生态环境、提供生态产品作为重点，禁止或限制大规模高强度的工业化城市化开发，制定完善生态保护修复政策，推进一批生态保护修复项目。合理支持重点生态功能区县城建设，支持生态功能区人口逐步有序向城市化地区转移，提高生态服务功能。</w:t>
                  </w:r>
                </w:p>
                <w:p w14:paraId="485FA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10.坚决遏制“两高”项目盲目发展。严格按照国家、省“两高”项目处置要求，分类处置，动态监管，加快推进现有“两高”项目清理整顿，坚决控制“两高”项目体量，坚决叫停不符合要求的“两高”项目，推动在建和拟建“两高”项目能效、环保水平达国际国内先进水平，为转型发展项目腾出环境容量。严格“两高”项目准入，市区规划区范围内不再新增“两高”项目。</w:t>
                  </w:r>
                </w:p>
                <w:p w14:paraId="53C367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11.强化生态空间管控。严格落实永久基本农田、生态保护红线、城镇开发边界“三条控制线”和“三线一单”生态环境分区管控要求。按照资源环境承载能力，合理确定城市规模和空间结构，统筹安排城市建设、产业发展、生态涵养、基础设施和公共服务。在产业布局、结构调整、资源开发、城镇建设、重大项目选址时，应加强与国土空间规划和“三线一单”协调性分析，在规划编制、政策制定、执法监管等过程中，应将其作为重要依据，从严把好生态环境准入关，确保环境不超载、底线不突破。</w:t>
                  </w:r>
                </w:p>
                <w:p w14:paraId="78C40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12.市、县（区）人民政府应当按照主体功能区规划和环境保护要求，制定规划，统筹安排，逐步对高污染工业企业实施关停搬迁。</w:t>
                  </w:r>
                </w:p>
                <w:p w14:paraId="48788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13.禁止在人口集中地区和其他依法需要特殊保护的区域内焚烧沥青、油毡、橡胶、塑料、皮革、垃圾以及其他产生有毒有害烟尘和恶臭气体的物质。</w:t>
                  </w:r>
                </w:p>
                <w:p w14:paraId="461E5A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14.禁止在居民住宅楼、未配套设立专用烟道的商住综合楼以及商住综合楼内与居住层相邻的商业楼层内新建、改建、扩建产生油烟、异味、废气的餐饮服务项目。任何单位和个人不得在当地人民政府禁止的区域内露天烧烤食品或者为露天烧烤食品提供场地。</w:t>
                  </w:r>
                </w:p>
                <w:p w14:paraId="303074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15.市人民政府应当根据大气环境质量改善要求，将城市建成区划定为禁煤区，并逐渐扩展县（区）人民政府可以根据实际情况划定禁煤区范围。禁煤区的划定应当考虑当地居民的生活需要。禁煤区内除煤电、集中供热和原料用煤企业外，禁止储存、销售和燃用煤炭及其制品。</w:t>
                  </w:r>
                </w:p>
                <w:p w14:paraId="6F42BD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16.在漳泽湖保护区内新建、改建、扩建工程，应当符合国土空间规划、漳泽湖生态保护与修复规划、水资源保护、海绵城市建设等有关规定，并依法办理环境影响评价等行政许可手续；建设项目的选址、布局、高度、体量、造型和色彩等应当与周围景观和环境相协调。在漳泽湖保护区内新建、改建、扩建工程，不得影响水工程安全和运行管理，不得损害河流、湖泊及湿地的生态环境；造成生态破坏的，建设单位应当依法承担生态恢复治理责任。</w:t>
                  </w:r>
                </w:p>
                <w:p w14:paraId="65E601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17.漳泽湖的开发利用应当以不影响湖区功能和不超过生态环境承载力为前提，开发利用项目应当以生态、文化、旅游、康养、休闲为主。</w:t>
                  </w:r>
                </w:p>
                <w:p w14:paraId="73B85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18.防控企业污染。严格控制在优先保护类耕地集中区域新建、扩建有色金属矿采选、有色金属冶炼、化工、焦化、电镀、制革、农药、铅蓄电池等重点行业企业和危险废物处置填埋场所。</w:t>
                  </w:r>
                </w:p>
                <w:p w14:paraId="6D0434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19.位于优先保护类耕地集中区域内的现有重点行业企业要采用新技术、新工艺，淘汰落后产能。</w:t>
                  </w:r>
                </w:p>
                <w:p w14:paraId="1314C7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b w:val="0"/>
                      <w:bCs w:val="0"/>
                      <w:color w:val="auto"/>
                      <w:kern w:val="2"/>
                      <w:sz w:val="21"/>
                      <w:szCs w:val="21"/>
                      <w:vertAlign w:val="baseline"/>
                      <w:lang w:val="en-US" w:eastAsia="zh-CN" w:bidi="ar"/>
                    </w:rPr>
                    <w:t>20.加强对严格管控类耕地的用途管理。行政区域内存在严格管控类耕地的县（市、区），要依法划定特定农产品禁止生产区域，严禁种植食用农产品。</w:t>
                  </w:r>
                </w:p>
              </w:tc>
              <w:tc>
                <w:tcPr>
                  <w:tcW w:w="999" w:type="pct"/>
                  <w:vAlign w:val="center"/>
                </w:tcPr>
                <w:p w14:paraId="317DEC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宋体"/>
                      <w:b w:val="0"/>
                      <w:bCs w:val="0"/>
                      <w:color w:val="auto"/>
                      <w:kern w:val="2"/>
                      <w:sz w:val="21"/>
                      <w:szCs w:val="21"/>
                      <w:highlight w:val="none"/>
                      <w:vertAlign w:val="baseline"/>
                      <w:lang w:val="en-US" w:eastAsia="zh-CN" w:bidi="ar"/>
                    </w:rPr>
                  </w:pPr>
                  <w:r>
                    <w:rPr>
                      <w:rFonts w:hint="eastAsia" w:ascii="Times New Roman" w:hAnsi="Times New Roman" w:eastAsia="宋体" w:cs="宋体"/>
                      <w:b w:val="0"/>
                      <w:bCs w:val="0"/>
                      <w:color w:val="auto"/>
                      <w:kern w:val="2"/>
                      <w:sz w:val="21"/>
                      <w:szCs w:val="21"/>
                      <w:highlight w:val="none"/>
                      <w:vertAlign w:val="baseline"/>
                      <w:lang w:val="en-US" w:eastAsia="zh-CN" w:bidi="ar"/>
                    </w:rPr>
                    <w:t>1.</w:t>
                  </w:r>
                  <w:r>
                    <w:rPr>
                      <w:rFonts w:hint="eastAsia" w:cs="宋体"/>
                      <w:b w:val="0"/>
                      <w:bCs w:val="0"/>
                      <w:color w:val="auto"/>
                      <w:kern w:val="2"/>
                      <w:sz w:val="21"/>
                      <w:szCs w:val="21"/>
                      <w:highlight w:val="none"/>
                      <w:vertAlign w:val="baseline"/>
                      <w:lang w:val="en-US" w:eastAsia="zh-CN" w:bidi="ar"/>
                    </w:rPr>
                    <w:t>本项目</w:t>
                  </w:r>
                  <w:r>
                    <w:rPr>
                      <w:rFonts w:hint="eastAsia" w:ascii="Times New Roman" w:hAnsi="Times New Roman" w:eastAsia="宋体" w:cs="宋体"/>
                      <w:b w:val="0"/>
                      <w:bCs w:val="0"/>
                      <w:color w:val="auto"/>
                      <w:kern w:val="2"/>
                      <w:sz w:val="21"/>
                      <w:szCs w:val="21"/>
                      <w:highlight w:val="none"/>
                      <w:vertAlign w:val="baseline"/>
                      <w:lang w:val="en-US" w:eastAsia="zh-CN" w:bidi="ar"/>
                    </w:rPr>
                    <w:t>不涉及</w:t>
                  </w:r>
                  <w:r>
                    <w:rPr>
                      <w:rFonts w:hint="default" w:ascii="Times New Roman" w:hAnsi="Times New Roman" w:eastAsia="宋体" w:cs="Times New Roman"/>
                      <w:b w:val="0"/>
                      <w:bCs w:val="0"/>
                      <w:color w:val="auto"/>
                      <w:kern w:val="2"/>
                      <w:sz w:val="21"/>
                      <w:szCs w:val="21"/>
                      <w:highlight w:val="none"/>
                      <w:vertAlign w:val="baseline"/>
                      <w:lang w:val="en-US" w:eastAsia="zh-CN" w:bidi="ar"/>
                    </w:rPr>
                    <w:t>强化河</w:t>
                  </w:r>
                  <w:r>
                    <w:rPr>
                      <w:rFonts w:hint="eastAsia" w:cs="Times New Roman"/>
                      <w:b w:val="0"/>
                      <w:bCs w:val="0"/>
                      <w:color w:val="auto"/>
                      <w:kern w:val="2"/>
                      <w:sz w:val="21"/>
                      <w:szCs w:val="21"/>
                      <w:highlight w:val="none"/>
                      <w:vertAlign w:val="baseline"/>
                      <w:lang w:val="en-US" w:eastAsia="zh-CN" w:bidi="ar"/>
                    </w:rPr>
                    <w:t>（</w:t>
                  </w:r>
                  <w:r>
                    <w:rPr>
                      <w:rFonts w:hint="default" w:ascii="Times New Roman" w:hAnsi="Times New Roman" w:eastAsia="宋体" w:cs="Times New Roman"/>
                      <w:b w:val="0"/>
                      <w:bCs w:val="0"/>
                      <w:color w:val="auto"/>
                      <w:kern w:val="2"/>
                      <w:sz w:val="21"/>
                      <w:szCs w:val="21"/>
                      <w:highlight w:val="none"/>
                      <w:vertAlign w:val="baseline"/>
                      <w:lang w:val="en-US" w:eastAsia="zh-CN" w:bidi="ar"/>
                    </w:rPr>
                    <w:t>湖</w:t>
                  </w:r>
                  <w:r>
                    <w:rPr>
                      <w:rFonts w:hint="eastAsia" w:cs="Times New Roman"/>
                      <w:b w:val="0"/>
                      <w:bCs w:val="0"/>
                      <w:color w:val="auto"/>
                      <w:kern w:val="2"/>
                      <w:sz w:val="21"/>
                      <w:szCs w:val="21"/>
                      <w:highlight w:val="none"/>
                      <w:vertAlign w:val="baseline"/>
                      <w:lang w:val="en-US" w:eastAsia="zh-CN" w:bidi="ar"/>
                    </w:rPr>
                    <w:t>）</w:t>
                  </w:r>
                  <w:r>
                    <w:rPr>
                      <w:rFonts w:hint="default" w:ascii="Times New Roman" w:hAnsi="Times New Roman" w:eastAsia="宋体" w:cs="Times New Roman"/>
                      <w:b w:val="0"/>
                      <w:bCs w:val="0"/>
                      <w:color w:val="auto"/>
                      <w:kern w:val="2"/>
                      <w:sz w:val="21"/>
                      <w:szCs w:val="21"/>
                      <w:highlight w:val="none"/>
                      <w:vertAlign w:val="baseline"/>
                      <w:lang w:val="en-US" w:eastAsia="zh-CN" w:bidi="ar"/>
                    </w:rPr>
                    <w:t>岸生态缓冲带保护与修复</w:t>
                  </w:r>
                  <w:r>
                    <w:rPr>
                      <w:rFonts w:hint="eastAsia" w:cs="Times New Roman"/>
                      <w:b w:val="0"/>
                      <w:bCs w:val="0"/>
                      <w:color w:val="auto"/>
                      <w:kern w:val="2"/>
                      <w:sz w:val="21"/>
                      <w:szCs w:val="21"/>
                      <w:highlight w:val="none"/>
                      <w:vertAlign w:val="baseline"/>
                      <w:lang w:val="en-US" w:eastAsia="zh-CN" w:bidi="ar"/>
                    </w:rPr>
                    <w:t>；</w:t>
                  </w:r>
                </w:p>
                <w:p w14:paraId="5CE6F4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宋体"/>
                      <w:b w:val="0"/>
                      <w:bCs w:val="0"/>
                      <w:color w:val="auto"/>
                      <w:kern w:val="2"/>
                      <w:sz w:val="21"/>
                      <w:szCs w:val="21"/>
                      <w:highlight w:val="none"/>
                      <w:vertAlign w:val="baseline"/>
                      <w:lang w:val="en-US" w:eastAsia="zh-CN" w:bidi="ar"/>
                    </w:rPr>
                  </w:pPr>
                  <w:r>
                    <w:rPr>
                      <w:rFonts w:hint="eastAsia" w:ascii="Times New Roman" w:hAnsi="Times New Roman" w:eastAsia="宋体" w:cs="宋体"/>
                      <w:b w:val="0"/>
                      <w:bCs w:val="0"/>
                      <w:color w:val="auto"/>
                      <w:kern w:val="2"/>
                      <w:sz w:val="21"/>
                      <w:szCs w:val="21"/>
                      <w:highlight w:val="none"/>
                      <w:vertAlign w:val="baseline"/>
                      <w:lang w:val="en-US" w:eastAsia="zh-CN" w:bidi="ar"/>
                    </w:rPr>
                    <w:t>2.</w:t>
                  </w:r>
                  <w:r>
                    <w:rPr>
                      <w:rFonts w:hint="default"/>
                      <w:bCs/>
                      <w:color w:val="auto"/>
                      <w:kern w:val="0"/>
                      <w:szCs w:val="21"/>
                    </w:rPr>
                    <w:t>本项目属于</w:t>
                  </w:r>
                  <w:r>
                    <w:rPr>
                      <w:rFonts w:hint="default"/>
                      <w:color w:val="auto"/>
                      <w:kern w:val="0"/>
                      <w:szCs w:val="21"/>
                    </w:rPr>
                    <w:t>废弃资源综合利用项目</w:t>
                  </w:r>
                  <w:r>
                    <w:rPr>
                      <w:rFonts w:hint="eastAsia" w:cs="Times New Roman"/>
                      <w:b w:val="0"/>
                      <w:bCs w:val="0"/>
                      <w:color w:val="auto"/>
                      <w:kern w:val="2"/>
                      <w:sz w:val="21"/>
                      <w:szCs w:val="21"/>
                      <w:highlight w:val="none"/>
                      <w:vertAlign w:val="baseline"/>
                      <w:lang w:val="en-US" w:eastAsia="zh-CN" w:bidi="ar"/>
                    </w:rPr>
                    <w:t>；</w:t>
                  </w:r>
                </w:p>
                <w:p w14:paraId="6BBE9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宋体"/>
                      <w:b w:val="0"/>
                      <w:bCs w:val="0"/>
                      <w:color w:val="auto"/>
                      <w:kern w:val="2"/>
                      <w:sz w:val="21"/>
                      <w:szCs w:val="21"/>
                      <w:highlight w:val="none"/>
                      <w:vertAlign w:val="baseline"/>
                      <w:lang w:val="en-US" w:eastAsia="zh-CN" w:bidi="ar"/>
                    </w:rPr>
                  </w:pPr>
                  <w:r>
                    <w:rPr>
                      <w:rFonts w:hint="eastAsia" w:ascii="Times New Roman" w:hAnsi="Times New Roman" w:eastAsia="宋体" w:cs="宋体"/>
                      <w:b w:val="0"/>
                      <w:bCs w:val="0"/>
                      <w:color w:val="auto"/>
                      <w:kern w:val="2"/>
                      <w:sz w:val="21"/>
                      <w:szCs w:val="21"/>
                      <w:highlight w:val="none"/>
                      <w:vertAlign w:val="baseline"/>
                      <w:lang w:val="en-US" w:eastAsia="zh-CN" w:bidi="ar"/>
                    </w:rPr>
                    <w:t>3.</w:t>
                  </w:r>
                  <w:r>
                    <w:rPr>
                      <w:rFonts w:hint="eastAsia" w:cs="宋体"/>
                      <w:b w:val="0"/>
                      <w:bCs w:val="0"/>
                      <w:color w:val="auto"/>
                      <w:kern w:val="2"/>
                      <w:sz w:val="21"/>
                      <w:szCs w:val="21"/>
                      <w:highlight w:val="none"/>
                      <w:vertAlign w:val="baseline"/>
                      <w:lang w:val="en-US" w:eastAsia="zh-CN" w:bidi="ar"/>
                    </w:rPr>
                    <w:t>本项目占地</w:t>
                  </w:r>
                  <w:r>
                    <w:rPr>
                      <w:rFonts w:hint="eastAsia" w:ascii="Times New Roman" w:hAnsi="Times New Roman" w:eastAsia="宋体" w:cs="宋体"/>
                      <w:b w:val="0"/>
                      <w:bCs w:val="0"/>
                      <w:color w:val="auto"/>
                      <w:kern w:val="2"/>
                      <w:sz w:val="21"/>
                      <w:szCs w:val="21"/>
                      <w:highlight w:val="none"/>
                      <w:vertAlign w:val="baseline"/>
                      <w:lang w:val="en-US" w:eastAsia="zh-CN" w:bidi="ar"/>
                    </w:rPr>
                    <w:t>不</w:t>
                  </w:r>
                  <w:r>
                    <w:rPr>
                      <w:rFonts w:hint="eastAsia" w:cs="宋体"/>
                      <w:b w:val="0"/>
                      <w:bCs w:val="0"/>
                      <w:color w:val="auto"/>
                      <w:kern w:val="2"/>
                      <w:sz w:val="21"/>
                      <w:szCs w:val="21"/>
                      <w:highlight w:val="none"/>
                      <w:vertAlign w:val="baseline"/>
                      <w:lang w:val="en-US" w:eastAsia="zh-CN" w:bidi="ar"/>
                    </w:rPr>
                    <w:t>涉及基本农田；</w:t>
                  </w:r>
                </w:p>
                <w:p w14:paraId="16EB57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宋体"/>
                      <w:b w:val="0"/>
                      <w:bCs w:val="0"/>
                      <w:color w:val="auto"/>
                      <w:kern w:val="2"/>
                      <w:sz w:val="21"/>
                      <w:szCs w:val="21"/>
                      <w:highlight w:val="none"/>
                      <w:vertAlign w:val="baseline"/>
                      <w:lang w:val="en-US" w:eastAsia="zh-CN" w:bidi="ar"/>
                    </w:rPr>
                  </w:pPr>
                  <w:r>
                    <w:rPr>
                      <w:rFonts w:hint="eastAsia" w:ascii="Times New Roman" w:hAnsi="Times New Roman" w:eastAsia="宋体" w:cs="宋体"/>
                      <w:b w:val="0"/>
                      <w:bCs w:val="0"/>
                      <w:color w:val="auto"/>
                      <w:kern w:val="2"/>
                      <w:sz w:val="21"/>
                      <w:szCs w:val="21"/>
                      <w:highlight w:val="none"/>
                      <w:vertAlign w:val="baseline"/>
                      <w:lang w:val="en-US" w:eastAsia="zh-CN" w:bidi="ar"/>
                    </w:rPr>
                    <w:t>4.</w:t>
                  </w:r>
                  <w:r>
                    <w:rPr>
                      <w:rFonts w:hint="eastAsia" w:cs="宋体"/>
                      <w:b w:val="0"/>
                      <w:bCs w:val="0"/>
                      <w:color w:val="auto"/>
                      <w:kern w:val="2"/>
                      <w:sz w:val="21"/>
                      <w:szCs w:val="21"/>
                      <w:highlight w:val="none"/>
                      <w:vertAlign w:val="baseline"/>
                      <w:lang w:val="en-US" w:eastAsia="zh-CN" w:bidi="ar"/>
                    </w:rPr>
                    <w:t>本项目位于屯留经济技术开发区的康庄工业园内</w:t>
                  </w:r>
                  <w:r>
                    <w:rPr>
                      <w:rFonts w:hint="eastAsia" w:cs="Times New Roman"/>
                      <w:b w:val="0"/>
                      <w:bCs w:val="0"/>
                      <w:color w:val="auto"/>
                      <w:kern w:val="2"/>
                      <w:sz w:val="21"/>
                      <w:szCs w:val="21"/>
                      <w:highlight w:val="none"/>
                      <w:vertAlign w:val="baseline"/>
                      <w:lang w:val="en-US" w:eastAsia="zh-CN" w:bidi="ar"/>
                    </w:rPr>
                    <w:t>；</w:t>
                  </w:r>
                </w:p>
                <w:p w14:paraId="03BDCA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宋体"/>
                      <w:b w:val="0"/>
                      <w:bCs w:val="0"/>
                      <w:color w:val="auto"/>
                      <w:kern w:val="2"/>
                      <w:sz w:val="21"/>
                      <w:szCs w:val="21"/>
                      <w:highlight w:val="none"/>
                      <w:vertAlign w:val="baseline"/>
                      <w:lang w:val="en-US" w:eastAsia="zh-CN" w:bidi="ar"/>
                    </w:rPr>
                  </w:pPr>
                  <w:r>
                    <w:rPr>
                      <w:rFonts w:hint="eastAsia" w:ascii="Times New Roman" w:hAnsi="Times New Roman" w:eastAsia="宋体" w:cs="宋体"/>
                      <w:b w:val="0"/>
                      <w:bCs w:val="0"/>
                      <w:color w:val="auto"/>
                      <w:kern w:val="2"/>
                      <w:sz w:val="21"/>
                      <w:szCs w:val="21"/>
                      <w:highlight w:val="none"/>
                      <w:vertAlign w:val="baseline"/>
                      <w:lang w:val="en-US" w:eastAsia="zh-CN" w:bidi="ar"/>
                    </w:rPr>
                    <w:t>5.</w:t>
                  </w:r>
                  <w:r>
                    <w:rPr>
                      <w:rFonts w:hint="eastAsia" w:cs="宋体"/>
                      <w:b w:val="0"/>
                      <w:bCs w:val="0"/>
                      <w:color w:val="auto"/>
                      <w:kern w:val="2"/>
                      <w:sz w:val="21"/>
                      <w:szCs w:val="21"/>
                      <w:highlight w:val="none"/>
                      <w:vertAlign w:val="baseline"/>
                      <w:lang w:val="en-US" w:eastAsia="zh-CN" w:bidi="ar"/>
                    </w:rPr>
                    <w:t>本项目</w:t>
                  </w:r>
                  <w:r>
                    <w:rPr>
                      <w:rFonts w:hint="eastAsia" w:ascii="Times New Roman" w:hAnsi="Times New Roman" w:eastAsia="宋体" w:cs="宋体"/>
                      <w:b w:val="0"/>
                      <w:bCs w:val="0"/>
                      <w:color w:val="auto"/>
                      <w:kern w:val="2"/>
                      <w:sz w:val="21"/>
                      <w:szCs w:val="21"/>
                      <w:highlight w:val="none"/>
                      <w:vertAlign w:val="baseline"/>
                      <w:lang w:val="en-US" w:eastAsia="zh-CN" w:bidi="ar"/>
                    </w:rPr>
                    <w:t>不涉及</w:t>
                  </w:r>
                  <w:r>
                    <w:rPr>
                      <w:rFonts w:hint="eastAsia" w:cs="宋体"/>
                      <w:b w:val="0"/>
                      <w:bCs w:val="0"/>
                      <w:color w:val="auto"/>
                      <w:kern w:val="2"/>
                      <w:sz w:val="21"/>
                      <w:szCs w:val="21"/>
                      <w:highlight w:val="none"/>
                      <w:vertAlign w:val="baseline"/>
                      <w:lang w:val="en-US" w:eastAsia="zh-CN" w:bidi="ar"/>
                    </w:rPr>
                    <w:t>焦炉、电炉。不属于</w:t>
                  </w:r>
                  <w:r>
                    <w:rPr>
                      <w:rFonts w:hint="default" w:ascii="Times New Roman" w:hAnsi="Times New Roman" w:eastAsia="宋体" w:cs="Times New Roman"/>
                      <w:b w:val="0"/>
                      <w:bCs w:val="0"/>
                      <w:color w:val="auto"/>
                      <w:kern w:val="2"/>
                      <w:sz w:val="21"/>
                      <w:szCs w:val="21"/>
                      <w:highlight w:val="none"/>
                      <w:vertAlign w:val="baseline"/>
                      <w:lang w:val="en-US" w:eastAsia="zh-CN" w:bidi="ar"/>
                    </w:rPr>
                    <w:t>钢铁、焦化、水泥、化工等重污染企业</w:t>
                  </w:r>
                  <w:r>
                    <w:rPr>
                      <w:rFonts w:hint="eastAsia" w:cs="Times New Roman"/>
                      <w:b w:val="0"/>
                      <w:bCs w:val="0"/>
                      <w:color w:val="auto"/>
                      <w:kern w:val="2"/>
                      <w:sz w:val="21"/>
                      <w:szCs w:val="21"/>
                      <w:highlight w:val="none"/>
                      <w:vertAlign w:val="baseline"/>
                      <w:lang w:val="en-US" w:eastAsia="zh-CN" w:bidi="ar"/>
                    </w:rPr>
                    <w:t>；</w:t>
                  </w:r>
                </w:p>
                <w:p w14:paraId="476B4C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b w:val="0"/>
                      <w:bCs w:val="0"/>
                      <w:color w:val="auto"/>
                      <w:kern w:val="2"/>
                      <w:sz w:val="21"/>
                      <w:szCs w:val="21"/>
                      <w:highlight w:val="none"/>
                      <w:vertAlign w:val="baseline"/>
                      <w:lang w:val="en-US" w:eastAsia="zh-CN" w:bidi="ar"/>
                    </w:rPr>
                  </w:pPr>
                  <w:r>
                    <w:rPr>
                      <w:rFonts w:hint="eastAsia" w:ascii="Times New Roman" w:hAnsi="Times New Roman" w:eastAsia="宋体" w:cs="Times New Roman"/>
                      <w:b w:val="0"/>
                      <w:bCs w:val="0"/>
                      <w:color w:val="auto"/>
                      <w:kern w:val="2"/>
                      <w:sz w:val="21"/>
                      <w:szCs w:val="21"/>
                      <w:highlight w:val="none"/>
                      <w:vertAlign w:val="baseline"/>
                      <w:lang w:val="en-US" w:eastAsia="zh-CN" w:bidi="ar"/>
                    </w:rPr>
                    <w:t>6.本项目不属于</w:t>
                  </w:r>
                  <w:r>
                    <w:rPr>
                      <w:rFonts w:hint="default" w:ascii="Times New Roman" w:hAnsi="Times New Roman" w:eastAsia="宋体" w:cs="Times New Roman"/>
                      <w:b w:val="0"/>
                      <w:bCs w:val="0"/>
                      <w:color w:val="auto"/>
                      <w:kern w:val="2"/>
                      <w:sz w:val="21"/>
                      <w:szCs w:val="21"/>
                      <w:highlight w:val="none"/>
                      <w:vertAlign w:val="baseline"/>
                      <w:lang w:val="en-US" w:eastAsia="zh-CN" w:bidi="ar"/>
                    </w:rPr>
                    <w:t>危险废物集中处置设施</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42B91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宋体"/>
                      <w:b w:val="0"/>
                      <w:bCs w:val="0"/>
                      <w:color w:val="auto"/>
                      <w:kern w:val="2"/>
                      <w:sz w:val="21"/>
                      <w:szCs w:val="21"/>
                      <w:highlight w:val="yellow"/>
                      <w:vertAlign w:val="baseline"/>
                      <w:lang w:val="en-US" w:eastAsia="zh-CN" w:bidi="ar"/>
                    </w:rPr>
                  </w:pPr>
                  <w:r>
                    <w:rPr>
                      <w:rFonts w:hint="eastAsia" w:ascii="Times New Roman" w:hAnsi="Times New Roman" w:eastAsia="宋体" w:cs="宋体"/>
                      <w:b w:val="0"/>
                      <w:bCs w:val="0"/>
                      <w:color w:val="auto"/>
                      <w:kern w:val="2"/>
                      <w:sz w:val="21"/>
                      <w:szCs w:val="21"/>
                      <w:highlight w:val="none"/>
                      <w:vertAlign w:val="baseline"/>
                      <w:lang w:val="en-US" w:eastAsia="zh-CN" w:bidi="ar"/>
                    </w:rPr>
                    <w:t>7.</w:t>
                  </w:r>
                  <w:r>
                    <w:rPr>
                      <w:rFonts w:hint="eastAsia" w:cs="宋体"/>
                      <w:b w:val="0"/>
                      <w:bCs w:val="0"/>
                      <w:color w:val="auto"/>
                      <w:kern w:val="2"/>
                      <w:sz w:val="21"/>
                      <w:szCs w:val="21"/>
                      <w:highlight w:val="none"/>
                      <w:vertAlign w:val="baseline"/>
                      <w:lang w:val="en-US" w:eastAsia="zh-CN" w:bidi="ar"/>
                    </w:rPr>
                    <w:t>本项目</w:t>
                  </w:r>
                  <w:r>
                    <w:rPr>
                      <w:rFonts w:hint="eastAsia" w:ascii="Times New Roman" w:hAnsi="Times New Roman" w:eastAsia="宋体" w:cs="宋体"/>
                      <w:b w:val="0"/>
                      <w:bCs w:val="0"/>
                      <w:color w:val="auto"/>
                      <w:kern w:val="2"/>
                      <w:sz w:val="21"/>
                      <w:szCs w:val="21"/>
                      <w:highlight w:val="none"/>
                      <w:vertAlign w:val="baseline"/>
                      <w:lang w:val="en-US" w:eastAsia="zh-CN" w:bidi="ar"/>
                    </w:rPr>
                    <w:t>不属于</w:t>
                  </w:r>
                  <w:r>
                    <w:rPr>
                      <w:rFonts w:hint="default" w:ascii="Times New Roman" w:hAnsi="Times New Roman" w:eastAsia="宋体" w:cs="Times New Roman"/>
                      <w:b w:val="0"/>
                      <w:bCs w:val="0"/>
                      <w:color w:val="auto"/>
                      <w:kern w:val="2"/>
                      <w:sz w:val="21"/>
                      <w:szCs w:val="21"/>
                      <w:highlight w:val="none"/>
                      <w:vertAlign w:val="baseline"/>
                      <w:lang w:val="en-US" w:eastAsia="zh-CN" w:bidi="ar"/>
                    </w:rPr>
                    <w:t>危险废物集中处置</w:t>
                  </w:r>
                  <w:r>
                    <w:rPr>
                      <w:rFonts w:hint="eastAsia" w:cs="Times New Roman"/>
                      <w:b w:val="0"/>
                      <w:bCs w:val="0"/>
                      <w:color w:val="auto"/>
                      <w:kern w:val="2"/>
                      <w:sz w:val="21"/>
                      <w:szCs w:val="21"/>
                      <w:highlight w:val="none"/>
                      <w:vertAlign w:val="baseline"/>
                      <w:lang w:val="en-US" w:eastAsia="zh-CN" w:bidi="ar"/>
                    </w:rPr>
                    <w:t>项目</w:t>
                  </w:r>
                  <w:r>
                    <w:rPr>
                      <w:rFonts w:hint="eastAsia" w:cs="Times New Roman"/>
                      <w:b w:val="0"/>
                      <w:bCs w:val="0"/>
                      <w:color w:val="auto"/>
                      <w:kern w:val="2"/>
                      <w:sz w:val="21"/>
                      <w:szCs w:val="21"/>
                      <w:vertAlign w:val="baseline"/>
                      <w:lang w:val="en-US" w:eastAsia="zh-CN" w:bidi="ar"/>
                    </w:rPr>
                    <w:t>；</w:t>
                  </w:r>
                </w:p>
                <w:p w14:paraId="6DE9AAC3">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8.</w:t>
                  </w:r>
                  <w:r>
                    <w:rPr>
                      <w:rFonts w:hint="default" w:ascii="Times New Roman" w:hAnsi="Times New Roman" w:eastAsia="宋体" w:cs="Times New Roman"/>
                      <w:b w:val="0"/>
                      <w:bCs w:val="0"/>
                      <w:color w:val="auto"/>
                      <w:kern w:val="0"/>
                      <w:sz w:val="21"/>
                      <w:szCs w:val="21"/>
                      <w:highlight w:val="none"/>
                      <w:lang w:val="en-US" w:eastAsia="zh-CN" w:bidi="ar"/>
                    </w:rPr>
                    <w:t>位于</w:t>
                  </w:r>
                  <w:r>
                    <w:rPr>
                      <w:rFonts w:hint="eastAsia" w:cs="Times New Roman"/>
                      <w:b w:val="0"/>
                      <w:bCs w:val="0"/>
                      <w:color w:val="auto"/>
                      <w:kern w:val="0"/>
                      <w:sz w:val="21"/>
                      <w:szCs w:val="21"/>
                      <w:highlight w:val="none"/>
                      <w:lang w:val="en-US" w:eastAsia="zh-CN" w:bidi="ar"/>
                    </w:rPr>
                    <w:t>一般</w:t>
                  </w:r>
                  <w:r>
                    <w:rPr>
                      <w:rFonts w:hint="default" w:ascii="Times New Roman" w:hAnsi="Times New Roman" w:eastAsia="宋体" w:cs="Times New Roman"/>
                      <w:b w:val="0"/>
                      <w:bCs w:val="0"/>
                      <w:color w:val="auto"/>
                      <w:kern w:val="0"/>
                      <w:sz w:val="21"/>
                      <w:szCs w:val="21"/>
                      <w:highlight w:val="none"/>
                      <w:lang w:val="en-US" w:eastAsia="zh-CN" w:bidi="ar"/>
                    </w:rPr>
                    <w:t>管控单元，符合相关管控要求</w:t>
                  </w:r>
                  <w:r>
                    <w:rPr>
                      <w:rFonts w:hint="eastAsia" w:ascii="Times New Roman" w:hAnsi="Times New Roman" w:eastAsia="宋体" w:cs="Times New Roman"/>
                      <w:b w:val="0"/>
                      <w:bCs w:val="0"/>
                      <w:color w:val="auto"/>
                      <w:kern w:val="0"/>
                      <w:sz w:val="21"/>
                      <w:szCs w:val="21"/>
                      <w:highlight w:val="none"/>
                      <w:lang w:val="en-US" w:eastAsia="zh-CN" w:bidi="ar"/>
                    </w:rPr>
                    <w:t>，占地为工业用地，不涉及</w:t>
                  </w:r>
                  <w:r>
                    <w:rPr>
                      <w:rFonts w:hint="default" w:ascii="Times New Roman" w:hAnsi="Times New Roman" w:eastAsia="宋体" w:cs="Times New Roman"/>
                      <w:b w:val="0"/>
                      <w:bCs w:val="0"/>
                      <w:color w:val="auto"/>
                      <w:kern w:val="2"/>
                      <w:sz w:val="21"/>
                      <w:szCs w:val="21"/>
                      <w:highlight w:val="none"/>
                      <w:vertAlign w:val="baseline"/>
                      <w:lang w:val="en-US" w:eastAsia="zh-CN" w:bidi="ar"/>
                    </w:rPr>
                    <w:t>耕地和永久基本农田、生态保护红线</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r>
                    <w:rPr>
                      <w:rFonts w:hint="eastAsia" w:cs="Times New Roman"/>
                      <w:b w:val="0"/>
                      <w:bCs w:val="0"/>
                      <w:color w:val="auto"/>
                      <w:kern w:val="2"/>
                      <w:sz w:val="21"/>
                      <w:szCs w:val="21"/>
                      <w:highlight w:val="none"/>
                      <w:vertAlign w:val="baseline"/>
                      <w:lang w:val="en-US" w:eastAsia="zh-CN" w:bidi="ar"/>
                    </w:rPr>
                    <w:t>未突破</w:t>
                  </w:r>
                  <w:r>
                    <w:rPr>
                      <w:rFonts w:hint="eastAsia" w:ascii="Times New Roman" w:hAnsi="Times New Roman" w:eastAsia="宋体" w:cs="Times New Roman"/>
                      <w:b w:val="0"/>
                      <w:bCs w:val="0"/>
                      <w:color w:val="auto"/>
                      <w:kern w:val="2"/>
                      <w:sz w:val="21"/>
                      <w:szCs w:val="21"/>
                      <w:highlight w:val="none"/>
                      <w:vertAlign w:val="baseline"/>
                      <w:lang w:val="en-US" w:eastAsia="zh-CN" w:bidi="ar"/>
                    </w:rPr>
                    <w:t>城镇开发边界；</w:t>
                  </w:r>
                </w:p>
                <w:p w14:paraId="1D79E891">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9.本项目占地为工业用地，项目属于</w:t>
                  </w:r>
                  <w:r>
                    <w:rPr>
                      <w:rFonts w:hint="default"/>
                      <w:color w:val="auto"/>
                      <w:kern w:val="0"/>
                      <w:szCs w:val="21"/>
                    </w:rPr>
                    <w:t>废弃资源综合利用项目</w:t>
                  </w:r>
                  <w:r>
                    <w:rPr>
                      <w:rFonts w:hint="eastAsia" w:ascii="Times New Roman" w:hAnsi="Times New Roman" w:eastAsia="宋体" w:cs="Times New Roman"/>
                      <w:b w:val="0"/>
                      <w:bCs w:val="0"/>
                      <w:color w:val="auto"/>
                      <w:kern w:val="0"/>
                      <w:sz w:val="21"/>
                      <w:szCs w:val="21"/>
                      <w:highlight w:val="none"/>
                      <w:lang w:val="en-US" w:eastAsia="zh-CN" w:bidi="ar"/>
                    </w:rPr>
                    <w:t>，不属于</w:t>
                  </w:r>
                  <w:r>
                    <w:rPr>
                      <w:rFonts w:hint="default" w:ascii="Times New Roman" w:hAnsi="Times New Roman" w:eastAsia="宋体" w:cs="Times New Roman"/>
                      <w:b w:val="0"/>
                      <w:bCs w:val="0"/>
                      <w:color w:val="auto"/>
                      <w:kern w:val="2"/>
                      <w:sz w:val="21"/>
                      <w:szCs w:val="21"/>
                      <w:highlight w:val="none"/>
                      <w:vertAlign w:val="baseline"/>
                      <w:lang w:val="en-US" w:eastAsia="zh-CN" w:bidi="ar"/>
                    </w:rPr>
                    <w:t>重污染行业</w:t>
                  </w:r>
                  <w:r>
                    <w:rPr>
                      <w:rFonts w:hint="eastAsia" w:cs="Times New Roman"/>
                      <w:b w:val="0"/>
                      <w:bCs w:val="0"/>
                      <w:color w:val="auto"/>
                      <w:kern w:val="2"/>
                      <w:sz w:val="21"/>
                      <w:szCs w:val="21"/>
                      <w:highlight w:val="none"/>
                      <w:vertAlign w:val="baseline"/>
                      <w:lang w:val="en-US" w:eastAsia="zh-CN" w:bidi="ar"/>
                    </w:rPr>
                    <w:t>；</w:t>
                  </w:r>
                </w:p>
                <w:p w14:paraId="4DCE7E87">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10.</w:t>
                  </w:r>
                  <w:r>
                    <w:rPr>
                      <w:rFonts w:hint="default" w:ascii="Times New Roman" w:hAnsi="Times New Roman" w:eastAsia="宋体" w:cs="Times New Roman"/>
                      <w:b w:val="0"/>
                      <w:bCs w:val="0"/>
                      <w:color w:val="auto"/>
                      <w:kern w:val="2"/>
                      <w:sz w:val="21"/>
                      <w:szCs w:val="21"/>
                      <w:highlight w:val="none"/>
                      <w:vertAlign w:val="baseline"/>
                      <w:lang w:val="en-US" w:eastAsia="zh-CN" w:bidi="ar"/>
                    </w:rPr>
                    <w:t>不属于“两高”项目</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3DC59BBD">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11.</w:t>
                  </w:r>
                  <w:r>
                    <w:rPr>
                      <w:rFonts w:hint="default" w:ascii="Times New Roman" w:hAnsi="Times New Roman" w:eastAsia="宋体" w:cs="Times New Roman"/>
                      <w:b w:val="0"/>
                      <w:bCs w:val="0"/>
                      <w:color w:val="auto"/>
                      <w:kern w:val="0"/>
                      <w:sz w:val="21"/>
                      <w:szCs w:val="21"/>
                      <w:highlight w:val="none"/>
                      <w:lang w:val="en-US" w:eastAsia="zh-CN" w:bidi="ar"/>
                    </w:rPr>
                    <w:t>本项目占地为工业用地，项目属于</w:t>
                  </w:r>
                  <w:r>
                    <w:rPr>
                      <w:rFonts w:hint="default"/>
                      <w:color w:val="auto"/>
                      <w:kern w:val="0"/>
                      <w:szCs w:val="21"/>
                    </w:rPr>
                    <w:t>废弃资源综合利用项目</w:t>
                  </w:r>
                  <w:r>
                    <w:rPr>
                      <w:rFonts w:hint="eastAsia" w:ascii="Times New Roman" w:hAnsi="Times New Roman" w:eastAsia="宋体" w:cs="Times New Roman"/>
                      <w:b w:val="0"/>
                      <w:bCs w:val="0"/>
                      <w:color w:val="auto"/>
                      <w:kern w:val="0"/>
                      <w:sz w:val="21"/>
                      <w:szCs w:val="21"/>
                      <w:highlight w:val="none"/>
                      <w:lang w:val="en-US" w:eastAsia="zh-CN" w:bidi="ar"/>
                    </w:rPr>
                    <w:t>；项目占地为工业用地，不涉及</w:t>
                  </w:r>
                  <w:r>
                    <w:rPr>
                      <w:rFonts w:hint="default" w:ascii="Times New Roman" w:hAnsi="Times New Roman" w:eastAsia="宋体" w:cs="Times New Roman"/>
                      <w:b w:val="0"/>
                      <w:bCs w:val="0"/>
                      <w:color w:val="auto"/>
                      <w:kern w:val="2"/>
                      <w:sz w:val="21"/>
                      <w:szCs w:val="21"/>
                      <w:highlight w:val="none"/>
                      <w:vertAlign w:val="baseline"/>
                      <w:lang w:val="en-US" w:eastAsia="zh-CN" w:bidi="ar"/>
                    </w:rPr>
                    <w:t>耕地和永久基本农田、生态保护红线</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r>
                    <w:rPr>
                      <w:rFonts w:hint="eastAsia" w:cs="Times New Roman"/>
                      <w:b w:val="0"/>
                      <w:bCs w:val="0"/>
                      <w:color w:val="auto"/>
                      <w:kern w:val="2"/>
                      <w:sz w:val="21"/>
                      <w:szCs w:val="21"/>
                      <w:highlight w:val="none"/>
                      <w:vertAlign w:val="baseline"/>
                      <w:lang w:val="en-US" w:eastAsia="zh-CN" w:bidi="ar"/>
                    </w:rPr>
                    <w:t>未突破</w:t>
                  </w:r>
                  <w:r>
                    <w:rPr>
                      <w:rFonts w:hint="eastAsia" w:ascii="Times New Roman" w:hAnsi="Times New Roman" w:eastAsia="宋体" w:cs="Times New Roman"/>
                      <w:b w:val="0"/>
                      <w:bCs w:val="0"/>
                      <w:color w:val="auto"/>
                      <w:kern w:val="2"/>
                      <w:sz w:val="21"/>
                      <w:szCs w:val="21"/>
                      <w:highlight w:val="none"/>
                      <w:vertAlign w:val="baseline"/>
                      <w:lang w:val="en-US" w:eastAsia="zh-CN" w:bidi="ar"/>
                    </w:rPr>
                    <w:t>城镇开发边界；</w:t>
                  </w:r>
                </w:p>
                <w:p w14:paraId="68455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12.</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不属于高污染工业企业</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1EAC07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13.</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不涉及有毒有害烟尘和恶臭气体</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73E29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14.不属于餐饮服务</w:t>
                  </w:r>
                  <w:r>
                    <w:rPr>
                      <w:rFonts w:hint="eastAsia" w:ascii="Times New Roman" w:hAnsi="Times New Roman" w:eastAsia="宋体" w:cs="Times New Roman"/>
                      <w:b w:val="0"/>
                      <w:bCs w:val="0"/>
                      <w:color w:val="auto"/>
                      <w:kern w:val="2"/>
                      <w:sz w:val="21"/>
                      <w:szCs w:val="21"/>
                      <w:highlight w:val="none"/>
                      <w:vertAlign w:val="baseline"/>
                      <w:lang w:val="en-US" w:eastAsia="zh-CN" w:bidi="ar"/>
                    </w:rPr>
                    <w:t>项目；</w:t>
                  </w:r>
                </w:p>
                <w:p w14:paraId="66DADA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15.</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本项目占地</w:t>
                  </w:r>
                  <w:r>
                    <w:rPr>
                      <w:rFonts w:hint="default" w:ascii="Times New Roman" w:hAnsi="Times New Roman" w:eastAsia="宋体" w:cs="Times New Roman"/>
                      <w:b w:val="0"/>
                      <w:bCs w:val="0"/>
                      <w:color w:val="auto"/>
                      <w:kern w:val="2"/>
                      <w:sz w:val="21"/>
                      <w:szCs w:val="21"/>
                      <w:highlight w:val="none"/>
                      <w:vertAlign w:val="baseline"/>
                      <w:lang w:val="en-US" w:eastAsia="zh-CN" w:bidi="ar"/>
                    </w:rPr>
                    <w:t>不</w:t>
                  </w:r>
                  <w:r>
                    <w:rPr>
                      <w:rFonts w:hint="eastAsia" w:ascii="Times New Roman" w:hAnsi="Times New Roman" w:eastAsia="宋体" w:cs="Times New Roman"/>
                      <w:b w:val="0"/>
                      <w:bCs w:val="0"/>
                      <w:color w:val="auto"/>
                      <w:kern w:val="2"/>
                      <w:sz w:val="21"/>
                      <w:szCs w:val="21"/>
                      <w:highlight w:val="none"/>
                      <w:vertAlign w:val="baseline"/>
                      <w:lang w:val="en-US" w:eastAsia="zh-CN" w:bidi="ar"/>
                    </w:rPr>
                    <w:t>属于</w:t>
                  </w:r>
                  <w:r>
                    <w:rPr>
                      <w:rFonts w:hint="default" w:ascii="Times New Roman" w:hAnsi="Times New Roman" w:eastAsia="宋体" w:cs="Times New Roman"/>
                      <w:b w:val="0"/>
                      <w:bCs w:val="0"/>
                      <w:color w:val="auto"/>
                      <w:kern w:val="2"/>
                      <w:sz w:val="21"/>
                      <w:szCs w:val="21"/>
                      <w:highlight w:val="none"/>
                      <w:vertAlign w:val="baseline"/>
                      <w:lang w:val="en-US" w:eastAsia="zh-CN" w:bidi="ar"/>
                    </w:rPr>
                    <w:t>禁煤区范围</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57A012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16.</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不涉及漳泽湖保护区</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77DD0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17.</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不涉及漳泽湖的开发利用</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14B599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18.</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不涉及有色金属矿采选、有色金属冶炼、化工、焦化等重点行业企业和危险废物处置填埋场所</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6B139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19.</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不属于重点行业企业</w:t>
                  </w:r>
                  <w:r>
                    <w:rPr>
                      <w:rFonts w:hint="eastAsia" w:ascii="Times New Roman" w:hAnsi="Times New Roman" w:eastAsia="宋体" w:cs="Times New Roman"/>
                      <w:b w:val="0"/>
                      <w:bCs w:val="0"/>
                      <w:color w:val="auto"/>
                      <w:kern w:val="2"/>
                      <w:sz w:val="21"/>
                      <w:szCs w:val="21"/>
                      <w:highlight w:val="none"/>
                      <w:vertAlign w:val="baseline"/>
                      <w:lang w:val="en-US" w:eastAsia="zh-CN" w:bidi="ar"/>
                    </w:rPr>
                    <w:t>；</w:t>
                  </w:r>
                </w:p>
                <w:p w14:paraId="3D9C5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宋体"/>
                      <w:b w:val="0"/>
                      <w:bCs w:val="0"/>
                      <w:color w:val="auto"/>
                      <w:kern w:val="2"/>
                      <w:sz w:val="21"/>
                      <w:szCs w:val="21"/>
                      <w:highlight w:val="yellow"/>
                      <w:vertAlign w:val="baseline"/>
                      <w:lang w:val="en-US" w:eastAsia="zh-CN" w:bidi="ar"/>
                    </w:rPr>
                  </w:pPr>
                  <w:r>
                    <w:rPr>
                      <w:rFonts w:hint="default" w:ascii="Times New Roman" w:hAnsi="Times New Roman" w:eastAsia="宋体" w:cs="Times New Roman"/>
                      <w:b w:val="0"/>
                      <w:bCs w:val="0"/>
                      <w:color w:val="auto"/>
                      <w:kern w:val="2"/>
                      <w:sz w:val="21"/>
                      <w:szCs w:val="21"/>
                      <w:highlight w:val="none"/>
                      <w:vertAlign w:val="baseline"/>
                      <w:lang w:val="en-US" w:eastAsia="zh-CN" w:bidi="ar"/>
                    </w:rPr>
                    <w:t>20</w:t>
                  </w:r>
                  <w:r>
                    <w:rPr>
                      <w:rFonts w:hint="eastAsia" w:ascii="Times New Roman" w:hAnsi="Times New Roman" w:eastAsia="宋体" w:cs="Times New Roman"/>
                      <w:b w:val="0"/>
                      <w:bCs w:val="0"/>
                      <w:color w:val="auto"/>
                      <w:kern w:val="2"/>
                      <w:sz w:val="21"/>
                      <w:szCs w:val="21"/>
                      <w:highlight w:val="none"/>
                      <w:vertAlign w:val="baseline"/>
                      <w:lang w:val="en-US" w:eastAsia="zh-CN" w:bidi="ar"/>
                    </w:rPr>
                    <w:t>本项目</w:t>
                  </w:r>
                  <w:r>
                    <w:rPr>
                      <w:rFonts w:hint="default" w:ascii="Times New Roman" w:hAnsi="Times New Roman" w:eastAsia="宋体" w:cs="Times New Roman"/>
                      <w:b w:val="0"/>
                      <w:bCs w:val="0"/>
                      <w:color w:val="auto"/>
                      <w:kern w:val="2"/>
                      <w:sz w:val="21"/>
                      <w:szCs w:val="21"/>
                      <w:highlight w:val="none"/>
                      <w:vertAlign w:val="baseline"/>
                      <w:lang w:val="en-US" w:eastAsia="zh-CN" w:bidi="ar"/>
                    </w:rPr>
                    <w:t>不涉及耕地</w:t>
                  </w:r>
                  <w:r>
                    <w:rPr>
                      <w:rFonts w:hint="eastAsia" w:cs="Times New Roman"/>
                      <w:b w:val="0"/>
                      <w:bCs w:val="0"/>
                      <w:color w:val="auto"/>
                      <w:kern w:val="2"/>
                      <w:sz w:val="21"/>
                      <w:szCs w:val="21"/>
                      <w:highlight w:val="none"/>
                      <w:vertAlign w:val="baseline"/>
                      <w:lang w:val="en-US" w:eastAsia="zh-CN" w:bidi="ar"/>
                    </w:rPr>
                    <w:t>。</w:t>
                  </w:r>
                </w:p>
              </w:tc>
              <w:tc>
                <w:tcPr>
                  <w:tcW w:w="366" w:type="pct"/>
                  <w:vAlign w:val="center"/>
                </w:tcPr>
                <w:p w14:paraId="123FD1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宋体"/>
                      <w:b w:val="0"/>
                      <w:bCs w:val="0"/>
                      <w:color w:val="auto"/>
                      <w:kern w:val="2"/>
                      <w:sz w:val="21"/>
                      <w:szCs w:val="21"/>
                      <w:vertAlign w:val="baseline"/>
                      <w:lang w:val="en-US" w:eastAsia="zh-CN" w:bidi="ar"/>
                    </w:rPr>
                  </w:pPr>
                  <w:r>
                    <w:rPr>
                      <w:rFonts w:hint="eastAsia" w:cs="宋体"/>
                      <w:b w:val="0"/>
                      <w:bCs w:val="0"/>
                      <w:color w:val="auto"/>
                      <w:kern w:val="2"/>
                      <w:sz w:val="21"/>
                      <w:szCs w:val="21"/>
                      <w:vertAlign w:val="baseline"/>
                      <w:lang w:val="en-US" w:eastAsia="zh-CN" w:bidi="ar"/>
                    </w:rPr>
                    <w:t>符合</w:t>
                  </w:r>
                </w:p>
              </w:tc>
            </w:tr>
            <w:tr w14:paraId="08F5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8" w:type="pct"/>
                  <w:vAlign w:val="center"/>
                </w:tcPr>
                <w:p w14:paraId="08224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val="0"/>
                      <w:color w:val="auto"/>
                      <w:sz w:val="21"/>
                      <w:szCs w:val="21"/>
                    </w:rPr>
                  </w:pPr>
                  <w:r>
                    <w:rPr>
                      <w:rFonts w:hint="default"/>
                      <w:b w:val="0"/>
                      <w:bCs w:val="0"/>
                      <w:color w:val="auto"/>
                      <w:sz w:val="21"/>
                      <w:szCs w:val="21"/>
                    </w:rPr>
                    <w:t>污染物排放管控</w:t>
                  </w:r>
                </w:p>
              </w:tc>
              <w:tc>
                <w:tcPr>
                  <w:tcW w:w="3245" w:type="pct"/>
                  <w:vAlign w:val="center"/>
                </w:tcPr>
                <w:p w14:paraId="26B18BF9">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环境质量目标：</w:t>
                  </w:r>
                </w:p>
                <w:p w14:paraId="6AD0A6D6">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1.2023年地表水国考断面达到或优于Ⅲ类比例达到76.6%，劣V类水质断面全部消除。饮用水水源水质达到或优于Ⅲ类比例达到国家年度目标。2023年底前</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潞州区、上党区、屯留区、潞城区建成区黑臭水体全面消除。</w:t>
                  </w:r>
                </w:p>
                <w:p w14:paraId="05C744E2">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2.全省地下水环境质量总体保持稳定，地下水国考区域点位V类比例不高于6.67%，地下水国考饮用水源点位达到或优于Ⅲ类比例不低于76.9%，地下水国考污染风险监控点位V类比例不高于17.6%。</w:t>
                  </w:r>
                </w:p>
                <w:p w14:paraId="792EADC0">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3.到2025年，全省县级及以上集中式饮用水水源水质达到或优于Ⅲ类水体的比例达到92%。</w:t>
                  </w:r>
                </w:p>
                <w:p w14:paraId="69A04814">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污染物控制：</w:t>
                  </w:r>
                </w:p>
                <w:p w14:paraId="2BCD1089">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4.强化工业废水深度治理。汾河流域新建工业企业生产废水不得排入城镇生活污水处理厂，已纳入城镇生活污水处理厂处理的工业废水应当逐步退出。其他地区已纳入城镇生活污水处理厂处理的工业废水，经评估认定为污染物不能被污水处理厂有效处理,或可能影响城镇生活污水处理厂出水稳定达标的，依法限期退出，退出前向城镇生活污水处理厂排放的工业废水水质需达到行业特别排放限值。加强焦化、化工类工业企业雨污分流管网建设,推动实现厂区初期雨水收集处理不外排、化工园区废水循环利用零排放、蒸发后杂盐合理处置</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杜绝产生二次污染。</w:t>
                  </w:r>
                </w:p>
                <w:p w14:paraId="4CCE8CAC">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5.畜禽养殖场、养殖小区应当按照规定对污水、畜禽粪便和尸体等进行收集、贮存、清运和无害化处理；未达到规模养殖的畜禽养殖单位和个人应当采取与其养殖规模相适应的大气污染防治措施，防止排放恶臭气体。</w:t>
                  </w:r>
                </w:p>
                <w:p w14:paraId="65751FC7">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6.排放油烟的餐饮服务业经营者应当安装油烟净化设施并保持正常使用，或者采取其他油烟净化措施，使油烟达标排放，并防止对附近居民的正常生活环境造成污染。</w:t>
                  </w:r>
                </w:p>
                <w:p w14:paraId="6AC22974">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7.有组织排放控制指标。在基准氧含量10%的条件下，水泥窑及窑尾余热利用系统烟气颗粒物、二氧化硫、氮氧化物排放浓度分别不高于10、35、50mg/m</w:t>
                  </w:r>
                  <w:r>
                    <w:rPr>
                      <w:rFonts w:hint="default" w:ascii="Times New Roman" w:hAnsi="Times New Roman" w:cs="Times New Roman"/>
                      <w:b w:val="0"/>
                      <w:bCs w:val="0"/>
                      <w:color w:val="auto"/>
                      <w:sz w:val="21"/>
                      <w:szCs w:val="21"/>
                      <w:vertAlign w:val="superscript"/>
                      <w:lang w:bidi="ar"/>
                    </w:rPr>
                    <w:t>3</w:t>
                  </w:r>
                  <w:r>
                    <w:rPr>
                      <w:rFonts w:hint="default" w:ascii="Times New Roman" w:hAnsi="Times New Roman" w:cs="Times New Roman"/>
                      <w:b w:val="0"/>
                      <w:bCs w:val="0"/>
                      <w:color w:val="auto"/>
                      <w:sz w:val="21"/>
                      <w:szCs w:val="21"/>
                      <w:lang w:bidi="ar"/>
                    </w:rPr>
                    <w:t>，氨逃逸浓度不高于5mg/m</w:t>
                  </w:r>
                  <w:r>
                    <w:rPr>
                      <w:rFonts w:hint="default" w:ascii="Times New Roman" w:hAnsi="Times New Roman" w:cs="Times New Roman"/>
                      <w:b w:val="0"/>
                      <w:bCs w:val="0"/>
                      <w:color w:val="auto"/>
                      <w:sz w:val="21"/>
                      <w:szCs w:val="21"/>
                      <w:vertAlign w:val="superscript"/>
                      <w:lang w:bidi="ar"/>
                    </w:rPr>
                    <w:t>3</w:t>
                  </w:r>
                  <w:r>
                    <w:rPr>
                      <w:rFonts w:hint="default" w:ascii="Times New Roman" w:hAnsi="Times New Roman" w:cs="Times New Roman"/>
                      <w:b w:val="0"/>
                      <w:bCs w:val="0"/>
                      <w:color w:val="auto"/>
                      <w:sz w:val="21"/>
                      <w:szCs w:val="21"/>
                      <w:lang w:bidi="ar"/>
                    </w:rPr>
                    <w:t>。采用独立热源烘干的企业应采用余热或清洁能源，颗粒物、二氧化硫、氮氧化物排放浓度分别不高于10、35、50mg/m</w:t>
                  </w:r>
                  <w:r>
                    <w:rPr>
                      <w:rFonts w:hint="default" w:ascii="Times New Roman" w:hAnsi="Times New Roman" w:cs="Times New Roman"/>
                      <w:b w:val="0"/>
                      <w:bCs w:val="0"/>
                      <w:color w:val="auto"/>
                      <w:sz w:val="21"/>
                      <w:szCs w:val="21"/>
                      <w:vertAlign w:val="superscript"/>
                      <w:lang w:bidi="ar"/>
                    </w:rPr>
                    <w:t>3</w:t>
                  </w:r>
                  <w:r>
                    <w:rPr>
                      <w:rFonts w:hint="default" w:ascii="Times New Roman" w:hAnsi="Times New Roman" w:cs="Times New Roman"/>
                      <w:b w:val="0"/>
                      <w:bCs w:val="0"/>
                      <w:color w:val="auto"/>
                      <w:sz w:val="21"/>
                      <w:szCs w:val="21"/>
                      <w:lang w:bidi="ar"/>
                    </w:rPr>
                    <w:t>。其他产尘环节颗粒物浓度不高于10mg/m</w:t>
                  </w:r>
                  <w:r>
                    <w:rPr>
                      <w:rFonts w:hint="default" w:ascii="Times New Roman" w:hAnsi="Times New Roman" w:cs="Times New Roman"/>
                      <w:b w:val="0"/>
                      <w:bCs w:val="0"/>
                      <w:color w:val="auto"/>
                      <w:sz w:val="21"/>
                      <w:szCs w:val="21"/>
                      <w:vertAlign w:val="superscript"/>
                      <w:lang w:bidi="ar"/>
                    </w:rPr>
                    <w:t>3</w:t>
                  </w:r>
                  <w:r>
                    <w:rPr>
                      <w:rFonts w:hint="default" w:ascii="Times New Roman" w:hAnsi="Times New Roman" w:cs="Times New Roman"/>
                      <w:b w:val="0"/>
                      <w:bCs w:val="0"/>
                      <w:color w:val="auto"/>
                      <w:sz w:val="21"/>
                      <w:szCs w:val="21"/>
                      <w:lang w:bidi="ar"/>
                    </w:rPr>
                    <w:t>。</w:t>
                  </w:r>
                </w:p>
                <w:p w14:paraId="6395D361">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8.无组织排放控制措施。全面加强物料储存、输送、协同处置及生产工艺过程无组织排放控制，以及厂区及周边环境综合整治。在保障生产安全的前提下，采取密闭、封闭等措施，有效提高废气收集率，产尘点及车间不得有可见烟粉尘外逸协同处置垃圾或固体废物相关区域不得有明显恶臭异味。广区无裸露地面，除绿化带外均应硬化，无散状物料露天堆放，厂区及周边道路无积尘。生产设施、管道通廊、料棚及生产车间外部定期清理，做到物见本色。</w:t>
                  </w:r>
                </w:p>
                <w:p w14:paraId="47F9B2BB">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9.强化工业企业排水监管。严格排水许可管理，对纳入城镇污水处理厂处理的工业废水应进行风险评估，经评估认定为污染物不能被污水处理厂有效处理，或可能影响污水处理厂出水稳定达标的纳管企业的废水依法限期退出污水管网，退出前向城镇污水处理厂排放的工业废水水质需达到行业特别排放限值或《污水综合排放标准》（DB14</w:t>
                  </w:r>
                  <w:r>
                    <w:rPr>
                      <w:rFonts w:hint="default" w:ascii="Times New Roman" w:hAnsi="Times New Roman" w:cs="Times New Roman"/>
                      <w:b w:val="0"/>
                      <w:bCs w:val="0"/>
                      <w:color w:val="auto"/>
                      <w:sz w:val="21"/>
                      <w:szCs w:val="21"/>
                      <w:lang w:val="en-US" w:eastAsia="zh-CN" w:bidi="ar"/>
                    </w:rPr>
                    <w:t>/</w:t>
                  </w:r>
                  <w:r>
                    <w:rPr>
                      <w:rFonts w:hint="default" w:ascii="Times New Roman" w:hAnsi="Times New Roman" w:cs="Times New Roman"/>
                      <w:b w:val="0"/>
                      <w:bCs w:val="0"/>
                      <w:color w:val="auto"/>
                      <w:sz w:val="21"/>
                      <w:szCs w:val="21"/>
                      <w:lang w:bidi="ar"/>
                    </w:rPr>
                    <w:t>1928－2019）要求。</w:t>
                  </w:r>
                </w:p>
                <w:p w14:paraId="5DCE82ED">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10.加快推进焦化、水泥行业超低排放改造。按照省定时限，完成沁县华安焦化、沁源县沁新焦化和明源焦化3家焦化企业和潞州区红旗水泥和科保水泥、上党区陶清河水泥和三元王庄华泰、壶关县红旗水泥、屯留区瑞昌水泥6家水泥粉磨站超低排放改造工程建设。已完成超低排放改造的企业要加快实施监测评估。鼓励焦化、水泥企业提前完成超低排放改造。启动焦化行业干法熄焦工艺升级改造，把全干法熄焦作为焦化行业的准入条件，全市所有“上大关小”新建焦炉要全部配套建设常用、备用干熄焦装置；现有5.5米及以上焦炉配套建设常用干熄焦装置，具备条件的要配套建设备用干熄焦装置；列入淘汰计划的4.3米焦炉，不再实施干熄焦改造；在资金和政策上对干熄焦改造项目给予重点支持，对未按期完成干熄焦改造的焦化企业实施更为严格的差异化错峰生产、重污染天气应急减排措施。</w:t>
                  </w:r>
                </w:p>
                <w:p w14:paraId="60886C12">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11.严格控制涉重金属企业污染物排放。依法依规将符合条件的排放镉等有毒有害大气、水污染物的企业纳入重点排污单位名录。严格落实《涉镉等重金属排放企业颗粒物自动监控设施建设工作方案》，按要求完成建设任务并与生态环境部门联网。鼓励涉重金属企业实施清洁生产改造，进一步减少污染物排放。</w:t>
                  </w:r>
                </w:p>
                <w:p w14:paraId="42A33A6B">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12.全面实施重点行业超低排放和深度治理。全面完成水泥行业超低排放改造,加快推进钢铁、焦化行业超超低排放改造,开展有组织、无组织及清洁运输等环节全过程、高标准、系统化整治</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并建设完善无组织排放监控系统,推动现有焦化企业将现有备用湿熄焦改造为备用干熄焦,实现全干熄。加强工业炉窑深度治理,严格控制物料储存、输送及生产工艺过程无组织排放。加强煤炭等粉粒物料堆场扬尘控制。重点涉气排放企业取消烟气旁路</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因安全生产无法取消的</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安装在线监管系统。以能源、钢铁、焦化、建材、有色、化工、工业涂装、包装印刷等行业为重点</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实施强制性清洁生产审核。加强挥发性有机物全过程综合治理。大力推动低(无)挥发性有机物原辅料生产和替代</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积极引导企业生产和使用低(无)挥发性有机物的产品</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有效减少挥发性有机物产生。深入推进炼焦、化工、表面涂装、印刷、储油库、加油站、汽修和餐饮油烟挥发性有机物综合整治。推进工业园区和企业集群建设涉挥发性有机物“绿岛”项目,统筹规划建设集中涂装中心、活性炭集中处理中心、溶剂回收中心等。</w:t>
                  </w:r>
                </w:p>
                <w:p w14:paraId="4040F3C3">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13.排污单位应当建立大气环境保护责任制度，明确相关责任及责任人，并按照有关规定设置大气污染物排放口及其标志。重点排污单位应当安装、使用大气污染物排放自动监测设备，与生态环境主管部门的监控设备联网，保证监测设备正常运行。重点排污单位应当如实向社会公开其主要污染物的名称、排放方式、排放浓度和总量、超标排放情况，以及防治污染设施的建设和运行情况，接受社会监督。禁止侵占、损毁或者擅自移动、改变大气环境质量监测设施和大气污染物排放自动监测设备。</w:t>
                  </w:r>
                </w:p>
                <w:p w14:paraId="5B7C246F">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14.钢铁、石油、有色金属、电力、焦化、建材、化工等企业生产过程中排放粉尘、硫化物和氮氧化物的，应当采用清洁生产工艺，配套建设除尘、脱硫、脱硝等装置，或者采取技术改造等其他控制大气污染物排放的措施。</w:t>
                  </w:r>
                </w:p>
                <w:p w14:paraId="2D72E442">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15.产生含挥发性有机物废气的生产和服务活动，应当在密闭空间或者设备中进行，并按照规定安装、使用污染防治设施；无法密闭的，应当采取措施减少废气排放。工业涂装企业应当使用低挥发性有机物含量的涂料，并建立台账，记录生产原料、辅料的使用量、废弃量、去向以及挥发性有机物含量。台账保存期限不得少于三年。</w:t>
                  </w:r>
                </w:p>
                <w:p w14:paraId="55634090">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16.排污单位和其他生产经营者，应当保持大气污染物防治设施的正常使用。工业企业大气污染物防治设施因检修暂停使用的，应当提前五个工作日书面报告当地人民政府生态环境主管部门;因突发故障不能正常使用的，应当采取措施确保排放达标，不能达标的，应当停产，并在二十四小时内向当地人民政府生态环境主管部门书面报告。工业企业大气污染物防治设施修复前，不得恢复生产。</w:t>
                  </w:r>
                </w:p>
                <w:p w14:paraId="701C27F1">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17.非道路移动机械所有人或者使用人应当遵守下列规定：</w:t>
                  </w:r>
                </w:p>
                <w:p w14:paraId="42ED66A7">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一）非道路移动机械的所有人应当在新增非道路移动机械的三十日内向所在地县（区）人民政府生态环境主管部门报送非道路移动机械的名称、类别、数量、污染物排放等数据和资料，农用非道路移动机械的名称、类别、数量、污染物排放等数据和资料由所有人所在地人民政府农机管理主管部门每季度末向县（区）人民政府生态环境主管部门集中申报；</w:t>
                  </w:r>
                </w:p>
                <w:p w14:paraId="16187694">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二）对超标排放且经维修或者采用排放控制技术后仍不达标的机械，应当停止使用工业企业、施工单位、货运企业、城市环境卫生管理单位等拥有非道路移动机械的单位和个人，不得使用非道路移动机械从事道路运输业务。</w:t>
                  </w:r>
                </w:p>
                <w:p w14:paraId="3381CF70">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18.储油储气库、加油加气站及油罐车、气罐车应当安装油气回收设施并保持正常运行，按照国家有关规定向市、县（区）人民政府生态环境主管部门报送油气排放检测报告。</w:t>
                  </w:r>
                </w:p>
                <w:p w14:paraId="4860CED9">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19.严格入河排污口整治。各县区政府负责具体整治工作，要按照“依法取缔一批、清理合并一批、规范整治一批”要求，遵循“问题导向、分类处置、属地负责、部门联动”的原则，强化截污治污，根据入河排污口清单和实际情况，逐一明确整治措施，设置整治期限，制定年度入河排污口整治方案，实行整治销号制度。通过对入河排污口进行取缔、合并、规范，最终形成需要保留的入河排污口清单。</w:t>
                  </w:r>
                </w:p>
                <w:p w14:paraId="391C1968">
                  <w:pPr>
                    <w:pStyle w:val="10"/>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20.依法取缔一批。对违反法律法规规定，在饮用水水源保护区、泉域重点保护区、自然保护地、生态保护红线、永久基本农田及其他需要特殊保护区域内设置的入河排污口，由县区政府依法采取责令拆除、责令关闭等措施坚决取缔。对历史遗留问题要妥善处理，合理制定整治措施，避免“一刀切”。</w:t>
                  </w:r>
                </w:p>
                <w:p w14:paraId="5F3879E8">
                  <w:pPr>
                    <w:pStyle w:val="17"/>
                    <w:keepNext w:val="0"/>
                    <w:keepLines w:val="0"/>
                    <w:pageBreakBefore w:val="0"/>
                    <w:numPr>
                      <w:ilvl w:val="0"/>
                      <w:numId w:val="0"/>
                    </w:numPr>
                    <w:suppressLineNumbers w:val="0"/>
                    <w:kinsoku/>
                    <w:wordWrap/>
                    <w:overflowPunct/>
                    <w:topLinePunct w:val="0"/>
                    <w:bidi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cs="Times New Roman"/>
                      <w:b w:val="0"/>
                      <w:bCs w:val="0"/>
                      <w:color w:val="auto"/>
                      <w:sz w:val="21"/>
                      <w:szCs w:val="21"/>
                      <w:lang w:bidi="ar"/>
                    </w:rPr>
                    <w:t>21.清理合并一批。城镇污水收集管网覆盖范围内的生活污水散排口应由属地住建部门予以清理合并，生活污水全部收集进入污水处理厂处理。住建部门牵头开展城镇雨洪排口旱天污水直排的溯源治理，加大雨污分流改造和管网错混接改造力度。对工矿企业雨洪排口、城镇污水处理厂进水管网溢流口实行精准管理，加装在线视频监控系统，实施实时监控。建设出水口闸阀，实行汛期打开、非汛期关闭，并向属地生态环境部门备案。园区或开发区内企业现有入河排污口限期清理合并为一个排污口和一个雨洪排口，各工业企业废水治理达到行业排放标准后由园区或开发区污水集中处理设施统一处理。园区或开发区外的工矿企业，原则上一个企业只保留两个入河排污口（一个工矿企业排污口和一个雨洪排口），对于厂区较大或有多个厂区的，应尽可能清理合并，清理合并后仍确有必要保留其他工矿企业入河排污口的，应按照审核权限，全部完成入河排污口设置审核。农村生活污水散排口要先结合实际对污水进行收集处理，再对散排口分类整治。对于城镇周边的农村生活污水，鼓励纳入城镇污水处理系统；对于村庄人口少、污水日产生量小于500立方米的村庄，鼓励采用罐车收集转运；对于村庄人口较为集聚、污水日产生量大于500立方米的村庄，建设农村生活污水集中处理设施及配套管网，统一设置一个入河排污口。对于集中分布、连片聚集的中小型水产养殖散排口，鼓励统一收集处理养殖尾水，统一设置一个入河排污口。</w:t>
                  </w:r>
                </w:p>
              </w:tc>
              <w:tc>
                <w:tcPr>
                  <w:tcW w:w="999" w:type="pct"/>
                  <w:vAlign w:val="center"/>
                </w:tcPr>
                <w:p w14:paraId="04F95B3F">
                  <w:pPr>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cs="宋体" w:eastAsiaTheme="minorEastAsia"/>
                      <w:b w:val="0"/>
                      <w:bCs w:val="0"/>
                      <w:color w:val="auto"/>
                      <w:kern w:val="2"/>
                      <w:sz w:val="21"/>
                      <w:szCs w:val="21"/>
                      <w:highlight w:val="none"/>
                      <w:vertAlign w:val="baseline"/>
                      <w:lang w:val="en-US" w:eastAsia="zh-CN" w:bidi="ar"/>
                    </w:rPr>
                  </w:pPr>
                  <w:r>
                    <w:rPr>
                      <w:rFonts w:hint="eastAsia" w:cs="宋体"/>
                      <w:b w:val="0"/>
                      <w:bCs w:val="0"/>
                      <w:color w:val="auto"/>
                      <w:kern w:val="2"/>
                      <w:sz w:val="21"/>
                      <w:szCs w:val="21"/>
                      <w:highlight w:val="none"/>
                      <w:vertAlign w:val="baseline"/>
                      <w:lang w:val="en-US" w:eastAsia="zh-CN" w:bidi="ar"/>
                    </w:rPr>
                    <w:t>1.本项目不涉及</w:t>
                  </w:r>
                  <w:r>
                    <w:rPr>
                      <w:rFonts w:hint="default" w:ascii="Times New Roman" w:hAnsi="Times New Roman" w:cs="Times New Roman"/>
                      <w:b w:val="0"/>
                      <w:bCs w:val="0"/>
                      <w:color w:val="auto"/>
                      <w:sz w:val="21"/>
                      <w:szCs w:val="21"/>
                      <w:highlight w:val="none"/>
                      <w:lang w:bidi="ar"/>
                    </w:rPr>
                    <w:t>黑臭水体</w:t>
                  </w:r>
                  <w:r>
                    <w:rPr>
                      <w:rFonts w:hint="eastAsia" w:ascii="Times New Roman" w:hAnsi="Times New Roman" w:cs="Times New Roman"/>
                      <w:b w:val="0"/>
                      <w:bCs w:val="0"/>
                      <w:color w:val="auto"/>
                      <w:sz w:val="21"/>
                      <w:szCs w:val="21"/>
                      <w:highlight w:val="none"/>
                      <w:lang w:eastAsia="zh-CN" w:bidi="ar"/>
                    </w:rPr>
                    <w:t>；</w:t>
                  </w:r>
                </w:p>
                <w:p w14:paraId="2857645E">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cs="宋体"/>
                      <w:b w:val="0"/>
                      <w:bCs w:val="0"/>
                      <w:color w:val="auto"/>
                      <w:kern w:val="2"/>
                      <w:sz w:val="21"/>
                      <w:szCs w:val="21"/>
                      <w:highlight w:val="none"/>
                      <w:vertAlign w:val="baseline"/>
                      <w:lang w:val="en-US" w:eastAsia="zh-CN" w:bidi="ar"/>
                    </w:rPr>
                  </w:pPr>
                  <w:r>
                    <w:rPr>
                      <w:rFonts w:hint="eastAsia" w:cs="宋体"/>
                      <w:b w:val="0"/>
                      <w:bCs w:val="0"/>
                      <w:color w:val="auto"/>
                      <w:kern w:val="2"/>
                      <w:sz w:val="21"/>
                      <w:szCs w:val="21"/>
                      <w:highlight w:val="none"/>
                      <w:vertAlign w:val="baseline"/>
                      <w:lang w:val="en-US" w:eastAsia="zh-CN" w:bidi="ar"/>
                    </w:rPr>
                    <w:t>2.本项目不涉及；</w:t>
                  </w:r>
                </w:p>
                <w:p w14:paraId="6A1477D5">
                  <w:pPr>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cs="宋体"/>
                      <w:b w:val="0"/>
                      <w:bCs w:val="0"/>
                      <w:color w:val="auto"/>
                      <w:kern w:val="2"/>
                      <w:sz w:val="21"/>
                      <w:szCs w:val="21"/>
                      <w:highlight w:val="none"/>
                      <w:vertAlign w:val="baseline"/>
                      <w:lang w:val="en-US" w:eastAsia="zh-CN" w:bidi="ar"/>
                    </w:rPr>
                  </w:pPr>
                  <w:r>
                    <w:rPr>
                      <w:rFonts w:hint="eastAsia" w:cs="宋体"/>
                      <w:b w:val="0"/>
                      <w:bCs w:val="0"/>
                      <w:color w:val="auto"/>
                      <w:kern w:val="2"/>
                      <w:sz w:val="21"/>
                      <w:szCs w:val="21"/>
                      <w:highlight w:val="none"/>
                      <w:vertAlign w:val="baseline"/>
                      <w:lang w:val="en-US" w:eastAsia="zh-CN" w:bidi="ar"/>
                    </w:rPr>
                    <w:t>3.本项目不涉及；</w:t>
                  </w:r>
                </w:p>
                <w:p w14:paraId="0DED7126">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cs="宋体" w:eastAsiaTheme="minorEastAsia"/>
                      <w:b w:val="0"/>
                      <w:bCs w:val="0"/>
                      <w:color w:val="auto"/>
                      <w:kern w:val="2"/>
                      <w:sz w:val="21"/>
                      <w:szCs w:val="21"/>
                      <w:highlight w:val="none"/>
                      <w:vertAlign w:val="baseline"/>
                      <w:lang w:val="en-US" w:eastAsia="zh-CN" w:bidi="ar"/>
                    </w:rPr>
                  </w:pPr>
                  <w:r>
                    <w:rPr>
                      <w:rFonts w:hint="eastAsia" w:cs="宋体"/>
                      <w:b w:val="0"/>
                      <w:bCs w:val="0"/>
                      <w:color w:val="auto"/>
                      <w:kern w:val="2"/>
                      <w:sz w:val="21"/>
                      <w:szCs w:val="21"/>
                      <w:highlight w:val="none"/>
                      <w:vertAlign w:val="baseline"/>
                      <w:lang w:val="en-US" w:eastAsia="zh-CN" w:bidi="ar"/>
                    </w:rPr>
                    <w:t>4.本项目不涉及</w:t>
                  </w:r>
                  <w:r>
                    <w:rPr>
                      <w:rFonts w:hint="default" w:ascii="Times New Roman" w:hAnsi="Times New Roman" w:cs="Times New Roman"/>
                      <w:b w:val="0"/>
                      <w:bCs w:val="0"/>
                      <w:color w:val="auto"/>
                      <w:sz w:val="21"/>
                      <w:szCs w:val="21"/>
                      <w:highlight w:val="none"/>
                      <w:lang w:bidi="ar"/>
                    </w:rPr>
                    <w:t>工业废水深度治理</w:t>
                  </w:r>
                  <w:r>
                    <w:rPr>
                      <w:rFonts w:hint="eastAsia" w:ascii="Times New Roman" w:hAnsi="Times New Roman" w:cs="Times New Roman"/>
                      <w:b w:val="0"/>
                      <w:bCs w:val="0"/>
                      <w:color w:val="auto"/>
                      <w:sz w:val="21"/>
                      <w:szCs w:val="21"/>
                      <w:highlight w:val="none"/>
                      <w:lang w:eastAsia="zh-CN" w:bidi="ar"/>
                    </w:rPr>
                    <w:t>；</w:t>
                  </w:r>
                </w:p>
                <w:p w14:paraId="6CB78C72">
                  <w:pPr>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default" w:cs="宋体"/>
                      <w:b w:val="0"/>
                      <w:bCs w:val="0"/>
                      <w:color w:val="auto"/>
                      <w:kern w:val="2"/>
                      <w:sz w:val="21"/>
                      <w:szCs w:val="21"/>
                      <w:highlight w:val="none"/>
                      <w:vertAlign w:val="baseline"/>
                      <w:lang w:val="en-US" w:eastAsia="zh-CN" w:bidi="ar"/>
                    </w:rPr>
                  </w:pPr>
                  <w:r>
                    <w:rPr>
                      <w:rFonts w:hint="eastAsia" w:cs="宋体"/>
                      <w:b w:val="0"/>
                      <w:bCs w:val="0"/>
                      <w:color w:val="auto"/>
                      <w:kern w:val="2"/>
                      <w:sz w:val="21"/>
                      <w:szCs w:val="21"/>
                      <w:highlight w:val="none"/>
                      <w:vertAlign w:val="baseline"/>
                      <w:lang w:val="en-US" w:eastAsia="zh-CN" w:bidi="ar"/>
                    </w:rPr>
                    <w:t>5.本项目不属于养殖类项目；</w:t>
                  </w:r>
                </w:p>
                <w:p w14:paraId="296EBFB6">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cs="宋体" w:asciiTheme="minorHAnsi" w:hAnsiTheme="minorHAnsi" w:eastAsiaTheme="minorEastAsia"/>
                      <w:b w:val="0"/>
                      <w:bCs w:val="0"/>
                      <w:color w:val="auto"/>
                      <w:kern w:val="2"/>
                      <w:sz w:val="21"/>
                      <w:szCs w:val="21"/>
                      <w:highlight w:val="none"/>
                      <w:vertAlign w:val="baseline"/>
                      <w:lang w:val="en-US" w:eastAsia="zh-CN" w:bidi="ar"/>
                    </w:rPr>
                  </w:pPr>
                  <w:r>
                    <w:rPr>
                      <w:rFonts w:hint="eastAsia" w:cs="宋体" w:asciiTheme="minorHAnsi" w:hAnsiTheme="minorHAnsi" w:eastAsiaTheme="minorEastAsia"/>
                      <w:b w:val="0"/>
                      <w:bCs w:val="0"/>
                      <w:color w:val="auto"/>
                      <w:kern w:val="2"/>
                      <w:sz w:val="21"/>
                      <w:szCs w:val="21"/>
                      <w:highlight w:val="none"/>
                      <w:vertAlign w:val="baseline"/>
                      <w:lang w:val="en-US" w:eastAsia="zh-CN" w:bidi="ar"/>
                    </w:rPr>
                    <w:t>6.本项目不属于</w:t>
                  </w:r>
                  <w:r>
                    <w:rPr>
                      <w:rFonts w:hint="default" w:cs="宋体" w:asciiTheme="minorHAnsi" w:hAnsiTheme="minorHAnsi" w:eastAsiaTheme="minorEastAsia"/>
                      <w:b w:val="0"/>
                      <w:bCs w:val="0"/>
                      <w:color w:val="auto"/>
                      <w:kern w:val="2"/>
                      <w:sz w:val="21"/>
                      <w:szCs w:val="21"/>
                      <w:highlight w:val="none"/>
                      <w:vertAlign w:val="baseline"/>
                      <w:lang w:val="en-US" w:eastAsia="zh-CN" w:bidi="ar"/>
                    </w:rPr>
                    <w:t>餐饮服务业</w:t>
                  </w:r>
                  <w:r>
                    <w:rPr>
                      <w:rFonts w:hint="eastAsia" w:cs="宋体" w:asciiTheme="minorHAnsi" w:hAnsiTheme="minorHAnsi" w:eastAsiaTheme="minorEastAsia"/>
                      <w:b w:val="0"/>
                      <w:bCs w:val="0"/>
                      <w:color w:val="auto"/>
                      <w:kern w:val="2"/>
                      <w:sz w:val="21"/>
                      <w:szCs w:val="21"/>
                      <w:highlight w:val="none"/>
                      <w:vertAlign w:val="baseline"/>
                      <w:lang w:val="en-US" w:eastAsia="zh-CN" w:bidi="ar"/>
                    </w:rPr>
                    <w:t>；</w:t>
                  </w:r>
                </w:p>
                <w:p w14:paraId="2D67C36D">
                  <w:pPr>
                    <w:keepNext w:val="0"/>
                    <w:keepLines w:val="0"/>
                    <w:pageBreakBefore w:val="0"/>
                    <w:suppressLineNumbers w:val="0"/>
                    <w:kinsoku/>
                    <w:wordWrap/>
                    <w:overflowPunct/>
                    <w:topLinePunct w:val="0"/>
                    <w:bidi w:val="0"/>
                    <w:spacing w:before="0" w:beforeAutospacing="0" w:after="0" w:afterAutospacing="0" w:line="240" w:lineRule="auto"/>
                    <w:ind w:left="0" w:right="0"/>
                    <w:jc w:val="left"/>
                    <w:textAlignment w:val="auto"/>
                    <w:rPr>
                      <w:rFonts w:hint="eastAsia" w:eastAsiaTheme="minorEastAsia"/>
                      <w:b w:val="0"/>
                      <w:bCs w:val="0"/>
                      <w:color w:val="auto"/>
                      <w:sz w:val="21"/>
                      <w:szCs w:val="21"/>
                      <w:highlight w:val="none"/>
                      <w:vertAlign w:val="superscript"/>
                      <w:lang w:eastAsia="zh-CN" w:bidi="ar"/>
                    </w:rPr>
                  </w:pPr>
                  <w:r>
                    <w:rPr>
                      <w:rFonts w:hint="eastAsia" w:cs="宋体"/>
                      <w:b w:val="0"/>
                      <w:bCs w:val="0"/>
                      <w:color w:val="auto"/>
                      <w:kern w:val="2"/>
                      <w:sz w:val="21"/>
                      <w:szCs w:val="21"/>
                      <w:highlight w:val="none"/>
                      <w:vertAlign w:val="baseline"/>
                      <w:lang w:val="en-US" w:eastAsia="zh-CN" w:bidi="ar"/>
                    </w:rPr>
                    <w:t>7.有组织颗粒物排放浓度</w:t>
                  </w:r>
                  <w:r>
                    <w:rPr>
                      <w:rFonts w:hint="default" w:ascii="Times New Roman" w:hAnsi="Times New Roman" w:cs="Times New Roman"/>
                      <w:b w:val="0"/>
                      <w:bCs w:val="0"/>
                      <w:color w:val="auto"/>
                      <w:kern w:val="2"/>
                      <w:sz w:val="21"/>
                      <w:szCs w:val="21"/>
                      <w:highlight w:val="none"/>
                      <w:vertAlign w:val="baseline"/>
                      <w:lang w:val="en-US" w:eastAsia="zh-CN" w:bidi="ar"/>
                    </w:rPr>
                    <w:t>≤</w:t>
                  </w:r>
                  <w:r>
                    <w:rPr>
                      <w:rFonts w:hint="eastAsia" w:cs="宋体"/>
                      <w:b w:val="0"/>
                      <w:bCs w:val="0"/>
                      <w:color w:val="auto"/>
                      <w:kern w:val="2"/>
                      <w:sz w:val="21"/>
                      <w:szCs w:val="21"/>
                      <w:highlight w:val="none"/>
                      <w:vertAlign w:val="baseline"/>
                      <w:lang w:val="en-US" w:eastAsia="zh-CN" w:bidi="ar"/>
                    </w:rPr>
                    <w:t>10</w:t>
                  </w:r>
                  <w:r>
                    <w:rPr>
                      <w:rFonts w:hint="default"/>
                      <w:b w:val="0"/>
                      <w:bCs w:val="0"/>
                      <w:color w:val="auto"/>
                      <w:sz w:val="21"/>
                      <w:szCs w:val="21"/>
                      <w:highlight w:val="none"/>
                      <w:lang w:bidi="ar"/>
                    </w:rPr>
                    <w:t>mg/m</w:t>
                  </w:r>
                  <w:r>
                    <w:rPr>
                      <w:rFonts w:hint="default"/>
                      <w:b w:val="0"/>
                      <w:bCs w:val="0"/>
                      <w:color w:val="auto"/>
                      <w:sz w:val="21"/>
                      <w:szCs w:val="21"/>
                      <w:highlight w:val="none"/>
                      <w:vertAlign w:val="superscript"/>
                      <w:lang w:bidi="ar"/>
                    </w:rPr>
                    <w:t>3</w:t>
                  </w:r>
                  <w:r>
                    <w:rPr>
                      <w:rFonts w:hint="eastAsia"/>
                      <w:b w:val="0"/>
                      <w:bCs w:val="0"/>
                      <w:color w:val="auto"/>
                      <w:sz w:val="21"/>
                      <w:szCs w:val="21"/>
                      <w:highlight w:val="none"/>
                      <w:vertAlign w:val="baseline"/>
                      <w:lang w:eastAsia="zh-CN" w:bidi="ar"/>
                    </w:rPr>
                    <w:t>；</w:t>
                  </w:r>
                </w:p>
                <w:p w14:paraId="6E7B78A1">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b w:val="0"/>
                      <w:bCs w:val="0"/>
                      <w:color w:val="auto"/>
                      <w:sz w:val="21"/>
                      <w:szCs w:val="21"/>
                      <w:highlight w:val="none"/>
                    </w:rPr>
                  </w:pPr>
                  <w:r>
                    <w:rPr>
                      <w:rFonts w:hint="eastAsia"/>
                      <w:b w:val="0"/>
                      <w:bCs w:val="0"/>
                      <w:color w:val="auto"/>
                      <w:sz w:val="21"/>
                      <w:szCs w:val="21"/>
                      <w:highlight w:val="none"/>
                      <w:vertAlign w:val="baseline"/>
                      <w:lang w:val="en-US" w:eastAsia="zh-CN" w:bidi="ar"/>
                    </w:rPr>
                    <w:t>8.</w:t>
                  </w:r>
                  <w:r>
                    <w:rPr>
                      <w:rFonts w:hint="eastAsia" w:ascii="宋体" w:hAnsi="宋体" w:eastAsia="宋体" w:cs="宋体"/>
                      <w:b w:val="0"/>
                      <w:bCs w:val="0"/>
                      <w:color w:val="auto"/>
                      <w:kern w:val="0"/>
                      <w:sz w:val="21"/>
                      <w:szCs w:val="21"/>
                      <w:highlight w:val="none"/>
                      <w:lang w:val="en-US" w:eastAsia="zh-CN" w:bidi="ar"/>
                    </w:rPr>
                    <w:t>生产设备全部于生产车间内，物料储存于全封闭车间内，物料输送进行全封闭，厂区地面全部硬化，生产设施及生产车间外部定期进行清理；</w:t>
                  </w:r>
                </w:p>
                <w:p w14:paraId="26D01594">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9.</w:t>
                  </w:r>
                  <w:r>
                    <w:rPr>
                      <w:rFonts w:hint="default" w:ascii="Times New Roman" w:hAnsi="Times New Roman" w:eastAsia="宋体" w:cs="Times New Roman"/>
                      <w:b w:val="0"/>
                      <w:bCs w:val="0"/>
                      <w:color w:val="auto"/>
                      <w:kern w:val="0"/>
                      <w:sz w:val="21"/>
                      <w:szCs w:val="21"/>
                      <w:highlight w:val="none"/>
                      <w:lang w:val="en-US" w:eastAsia="zh-CN" w:bidi="ar"/>
                    </w:rPr>
                    <w:t>本项目</w:t>
                  </w:r>
                  <w:r>
                    <w:rPr>
                      <w:rFonts w:hint="default"/>
                      <w:color w:val="auto"/>
                      <w:kern w:val="0"/>
                      <w:sz w:val="21"/>
                      <w:szCs w:val="21"/>
                      <w:highlight w:val="none"/>
                    </w:rPr>
                    <w:t>生活污水</w:t>
                  </w:r>
                  <w:r>
                    <w:rPr>
                      <w:rFonts w:hint="eastAsia"/>
                      <w:color w:val="auto"/>
                      <w:kern w:val="0"/>
                      <w:sz w:val="21"/>
                      <w:szCs w:val="21"/>
                      <w:highlight w:val="none"/>
                      <w:lang w:val="en-US" w:eastAsia="zh-CN"/>
                    </w:rPr>
                    <w:t>和循环冷却排污水</w:t>
                  </w: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r>
                    <w:rPr>
                      <w:rFonts w:hint="default" w:ascii="Times New Roman" w:hAnsi="Times New Roman" w:eastAsia="宋体" w:cs="Times New Roman"/>
                      <w:b w:val="0"/>
                      <w:bCs w:val="0"/>
                      <w:color w:val="auto"/>
                      <w:kern w:val="0"/>
                      <w:sz w:val="21"/>
                      <w:szCs w:val="21"/>
                      <w:highlight w:val="none"/>
                      <w:lang w:val="en-US" w:eastAsia="zh-CN" w:bidi="ar"/>
                    </w:rPr>
                    <w:t>；</w:t>
                  </w:r>
                </w:p>
                <w:p w14:paraId="52E196A3">
                  <w:pPr>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val="en-US" w:eastAsia="zh-CN"/>
                    </w:rPr>
                  </w:pPr>
                  <w:r>
                    <w:rPr>
                      <w:rFonts w:hint="eastAsia"/>
                      <w:b w:val="0"/>
                      <w:bCs w:val="0"/>
                      <w:color w:val="auto"/>
                      <w:sz w:val="21"/>
                      <w:szCs w:val="21"/>
                      <w:highlight w:val="none"/>
                      <w:lang w:val="en-US" w:eastAsia="zh-CN"/>
                    </w:rPr>
                    <w:t>10.本项目不属于</w:t>
                  </w:r>
                  <w:r>
                    <w:rPr>
                      <w:rFonts w:hint="default" w:ascii="Times New Roman" w:hAnsi="Times New Roman" w:cs="Times New Roman"/>
                      <w:b w:val="0"/>
                      <w:bCs w:val="0"/>
                      <w:color w:val="auto"/>
                      <w:sz w:val="21"/>
                      <w:szCs w:val="21"/>
                      <w:highlight w:val="none"/>
                      <w:lang w:bidi="ar"/>
                    </w:rPr>
                    <w:t>焦化、水泥行业</w:t>
                  </w:r>
                  <w:r>
                    <w:rPr>
                      <w:rFonts w:hint="eastAsia" w:ascii="Times New Roman" w:hAnsi="Times New Roman" w:cs="Times New Roman"/>
                      <w:b w:val="0"/>
                      <w:bCs w:val="0"/>
                      <w:color w:val="auto"/>
                      <w:sz w:val="21"/>
                      <w:szCs w:val="21"/>
                      <w:highlight w:val="none"/>
                      <w:lang w:eastAsia="zh-CN" w:bidi="ar"/>
                    </w:rPr>
                    <w:t>；</w:t>
                  </w:r>
                </w:p>
                <w:p w14:paraId="61E57DAE">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bidi="ar"/>
                    </w:rPr>
                    <w:t>11.本项目不涉及</w:t>
                  </w:r>
                  <w:r>
                    <w:rPr>
                      <w:rFonts w:hint="default" w:ascii="Times New Roman" w:hAnsi="Times New Roman" w:cs="Times New Roman"/>
                      <w:b w:val="0"/>
                      <w:bCs w:val="0"/>
                      <w:color w:val="auto"/>
                      <w:sz w:val="21"/>
                      <w:szCs w:val="21"/>
                      <w:highlight w:val="none"/>
                      <w:lang w:bidi="ar"/>
                    </w:rPr>
                    <w:t>涉重金属企业污染物排放</w:t>
                  </w:r>
                  <w:r>
                    <w:rPr>
                      <w:rFonts w:hint="eastAsia" w:ascii="Times New Roman" w:hAnsi="Times New Roman" w:cs="Times New Roman"/>
                      <w:b w:val="0"/>
                      <w:bCs w:val="0"/>
                      <w:color w:val="auto"/>
                      <w:sz w:val="21"/>
                      <w:szCs w:val="21"/>
                      <w:highlight w:val="none"/>
                      <w:lang w:eastAsia="zh-CN" w:bidi="ar"/>
                    </w:rPr>
                    <w:t>；</w:t>
                  </w:r>
                </w:p>
                <w:p w14:paraId="3F88A3A9">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cs="Times New Roman"/>
                      <w:b w:val="0"/>
                      <w:bCs w:val="0"/>
                      <w:color w:val="auto"/>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bidi="ar"/>
                    </w:rPr>
                    <w:t>12.不涉及</w:t>
                  </w:r>
                  <w:r>
                    <w:rPr>
                      <w:rFonts w:hint="default" w:ascii="Times New Roman" w:hAnsi="Times New Roman" w:cs="Times New Roman"/>
                      <w:b w:val="0"/>
                      <w:bCs w:val="0"/>
                      <w:color w:val="auto"/>
                      <w:sz w:val="21"/>
                      <w:szCs w:val="21"/>
                      <w:highlight w:val="none"/>
                      <w:lang w:bidi="ar"/>
                    </w:rPr>
                    <w:t>水泥行业</w:t>
                  </w:r>
                  <w:r>
                    <w:rPr>
                      <w:rFonts w:hint="eastAsia" w:ascii="Times New Roman" w:hAnsi="Times New Roman" w:cs="Times New Roman"/>
                      <w:b w:val="0"/>
                      <w:bCs w:val="0"/>
                      <w:color w:val="auto"/>
                      <w:sz w:val="21"/>
                      <w:szCs w:val="21"/>
                      <w:highlight w:val="none"/>
                      <w:lang w:eastAsia="zh-CN" w:bidi="ar"/>
                    </w:rPr>
                    <w:t>、</w:t>
                  </w:r>
                  <w:r>
                    <w:rPr>
                      <w:rFonts w:hint="eastAsia" w:ascii="Times New Roman" w:hAnsi="Times New Roman" w:cs="Times New Roman"/>
                      <w:b w:val="0"/>
                      <w:bCs w:val="0"/>
                      <w:color w:val="auto"/>
                      <w:sz w:val="21"/>
                      <w:szCs w:val="21"/>
                      <w:highlight w:val="none"/>
                      <w:lang w:val="en-US" w:eastAsia="zh-CN" w:bidi="ar"/>
                    </w:rPr>
                    <w:t>钢铁焦化等重点行业；</w:t>
                  </w:r>
                </w:p>
                <w:p w14:paraId="08F44471">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bidi="ar"/>
                    </w:rPr>
                    <w:t>13.严格按照规定建立大气环境保护责任制度，明确相关责任及责任人，设置大气污染物排放口及其标志；</w:t>
                  </w:r>
                </w:p>
                <w:p w14:paraId="53EA3818">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bidi="ar"/>
                    </w:rPr>
                    <w:t>14.本项目不涉及</w:t>
                  </w:r>
                  <w:r>
                    <w:rPr>
                      <w:rFonts w:hint="default" w:ascii="Times New Roman" w:hAnsi="Times New Roman" w:cs="Times New Roman"/>
                      <w:b w:val="0"/>
                      <w:bCs w:val="0"/>
                      <w:color w:val="auto"/>
                      <w:sz w:val="21"/>
                      <w:szCs w:val="21"/>
                      <w:highlight w:val="none"/>
                      <w:lang w:bidi="ar"/>
                    </w:rPr>
                    <w:t>钢铁、石油、有色金属、电力、焦化、建材、化工等</w:t>
                  </w:r>
                  <w:r>
                    <w:rPr>
                      <w:rFonts w:hint="eastAsia" w:ascii="Times New Roman" w:hAnsi="Times New Roman" w:cs="Times New Roman"/>
                      <w:b w:val="0"/>
                      <w:bCs w:val="0"/>
                      <w:color w:val="auto"/>
                      <w:sz w:val="21"/>
                      <w:szCs w:val="21"/>
                      <w:highlight w:val="none"/>
                      <w:lang w:val="en-US" w:eastAsia="zh-CN" w:bidi="ar"/>
                    </w:rPr>
                    <w:t>行业；</w:t>
                  </w:r>
                </w:p>
                <w:p w14:paraId="19DE9CE9">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bidi="ar"/>
                    </w:rPr>
                    <w:t>15.本项目不涉及</w:t>
                  </w:r>
                  <w:r>
                    <w:rPr>
                      <w:rFonts w:hint="default" w:ascii="Times New Roman" w:hAnsi="Times New Roman" w:cs="Times New Roman"/>
                      <w:b w:val="0"/>
                      <w:bCs w:val="0"/>
                      <w:color w:val="auto"/>
                      <w:sz w:val="21"/>
                      <w:szCs w:val="21"/>
                      <w:highlight w:val="none"/>
                      <w:lang w:val="en-US" w:eastAsia="zh-CN" w:bidi="ar"/>
                    </w:rPr>
                    <w:t>挥发性有机物</w:t>
                  </w:r>
                  <w:r>
                    <w:rPr>
                      <w:rFonts w:hint="eastAsia" w:ascii="Times New Roman" w:hAnsi="Times New Roman" w:cs="Times New Roman"/>
                      <w:b w:val="0"/>
                      <w:bCs w:val="0"/>
                      <w:color w:val="auto"/>
                      <w:sz w:val="21"/>
                      <w:szCs w:val="21"/>
                      <w:highlight w:val="none"/>
                      <w:lang w:val="en-US" w:eastAsia="zh-CN" w:bidi="ar"/>
                    </w:rPr>
                    <w:t>废气；</w:t>
                  </w:r>
                </w:p>
                <w:p w14:paraId="50BD6C06">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bidi="ar"/>
                    </w:rPr>
                    <w:t>16.要求企业加强大气污染物防治设施的维护管理；</w:t>
                  </w:r>
                </w:p>
                <w:p w14:paraId="756D4196">
                  <w:pPr>
                    <w:pStyle w:val="21"/>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17.</w:t>
                  </w:r>
                  <w:r>
                    <w:rPr>
                      <w:rFonts w:hint="eastAsia" w:ascii="Times New Roman" w:hAnsi="Times New Roman" w:cs="Times New Roman"/>
                      <w:b w:val="0"/>
                      <w:bCs w:val="0"/>
                      <w:color w:val="auto"/>
                      <w:sz w:val="21"/>
                      <w:szCs w:val="21"/>
                      <w:highlight w:val="none"/>
                      <w:lang w:val="en-US" w:eastAsia="zh-CN" w:bidi="ar"/>
                    </w:rPr>
                    <w:t>本项目</w:t>
                  </w:r>
                  <w:r>
                    <w:rPr>
                      <w:rFonts w:hint="default" w:ascii="Times New Roman" w:hAnsi="Times New Roman" w:cs="Times New Roman"/>
                      <w:b w:val="0"/>
                      <w:bCs w:val="0"/>
                      <w:color w:val="auto"/>
                      <w:sz w:val="21"/>
                      <w:szCs w:val="21"/>
                      <w:highlight w:val="none"/>
                      <w:lang w:val="en-US" w:eastAsia="zh-CN" w:bidi="ar"/>
                    </w:rPr>
                    <w:t>非道路移动机械</w:t>
                  </w:r>
                  <w:r>
                    <w:rPr>
                      <w:rFonts w:hint="eastAsia" w:ascii="Times New Roman" w:hAnsi="Times New Roman" w:cs="Times New Roman"/>
                      <w:b w:val="0"/>
                      <w:bCs w:val="0"/>
                      <w:color w:val="auto"/>
                      <w:sz w:val="21"/>
                      <w:szCs w:val="21"/>
                      <w:highlight w:val="none"/>
                      <w:lang w:val="en-US" w:eastAsia="zh-CN" w:bidi="ar"/>
                    </w:rPr>
                    <w:t>严格执行相关规定；</w:t>
                  </w:r>
                </w:p>
                <w:p w14:paraId="5FF216CD">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eastAsiaTheme="minorEastAsia"/>
                      <w:b w:val="0"/>
                      <w:bCs w:val="0"/>
                      <w:color w:val="auto"/>
                      <w:kern w:val="0"/>
                      <w:sz w:val="21"/>
                      <w:szCs w:val="21"/>
                      <w:highlight w:val="none"/>
                      <w:lang w:val="en-US" w:eastAsia="zh-CN" w:bidi="ar"/>
                    </w:rPr>
                  </w:pPr>
                  <w:r>
                    <w:rPr>
                      <w:rFonts w:hint="default" w:ascii="Times New Roman" w:hAnsi="Times New Roman" w:cs="Times New Roman" w:eastAsiaTheme="minorEastAsia"/>
                      <w:b w:val="0"/>
                      <w:bCs w:val="0"/>
                      <w:color w:val="auto"/>
                      <w:kern w:val="0"/>
                      <w:sz w:val="21"/>
                      <w:szCs w:val="21"/>
                      <w:highlight w:val="none"/>
                      <w:lang w:val="en-US" w:eastAsia="zh-CN" w:bidi="ar"/>
                    </w:rPr>
                    <w:t>18</w:t>
                  </w:r>
                  <w:r>
                    <w:rPr>
                      <w:rFonts w:hint="eastAsia" w:ascii="Times New Roman" w:hAnsi="Times New Roman" w:cs="Times New Roman" w:eastAsiaTheme="minorEastAsia"/>
                      <w:b w:val="0"/>
                      <w:bCs w:val="0"/>
                      <w:color w:val="auto"/>
                      <w:kern w:val="0"/>
                      <w:sz w:val="21"/>
                      <w:szCs w:val="21"/>
                      <w:highlight w:val="none"/>
                      <w:lang w:val="en-US" w:eastAsia="zh-CN" w:bidi="ar"/>
                    </w:rPr>
                    <w:t>.本项目不涉及</w:t>
                  </w:r>
                  <w:r>
                    <w:rPr>
                      <w:rFonts w:hint="default" w:ascii="Times New Roman" w:hAnsi="Times New Roman" w:cs="Times New Roman" w:eastAsiaTheme="minorEastAsia"/>
                      <w:b w:val="0"/>
                      <w:bCs w:val="0"/>
                      <w:color w:val="auto"/>
                      <w:kern w:val="0"/>
                      <w:sz w:val="21"/>
                      <w:szCs w:val="21"/>
                      <w:highlight w:val="none"/>
                      <w:lang w:val="en-US" w:eastAsia="zh-CN" w:bidi="ar"/>
                    </w:rPr>
                    <w:t>油气回收设施</w:t>
                  </w:r>
                  <w:r>
                    <w:rPr>
                      <w:rFonts w:hint="eastAsia" w:ascii="Times New Roman" w:hAnsi="Times New Roman" w:cs="Times New Roman" w:eastAsiaTheme="minorEastAsia"/>
                      <w:b w:val="0"/>
                      <w:bCs w:val="0"/>
                      <w:color w:val="auto"/>
                      <w:kern w:val="0"/>
                      <w:sz w:val="21"/>
                      <w:szCs w:val="21"/>
                      <w:highlight w:val="none"/>
                      <w:lang w:val="en-US" w:eastAsia="zh-CN" w:bidi="ar"/>
                    </w:rPr>
                    <w:t>；</w:t>
                  </w:r>
                </w:p>
                <w:p w14:paraId="1446DB40">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b w:val="0"/>
                      <w:bCs w:val="0"/>
                      <w:color w:val="auto"/>
                      <w:sz w:val="21"/>
                      <w:szCs w:val="21"/>
                      <w:highlight w:val="yellow"/>
                      <w:lang w:val="en-US" w:eastAsia="zh-CN"/>
                    </w:rPr>
                  </w:pPr>
                  <w:r>
                    <w:rPr>
                      <w:rFonts w:hint="default" w:ascii="Times New Roman" w:hAnsi="Times New Roman" w:eastAsia="宋体" w:cs="Times New Roman"/>
                      <w:b w:val="0"/>
                      <w:bCs w:val="0"/>
                      <w:color w:val="auto"/>
                      <w:kern w:val="0"/>
                      <w:sz w:val="21"/>
                      <w:szCs w:val="21"/>
                      <w:highlight w:val="none"/>
                      <w:lang w:val="en-US" w:eastAsia="zh-CN" w:bidi="ar"/>
                    </w:rPr>
                    <w:t>19</w:t>
                  </w:r>
                  <w:r>
                    <w:rPr>
                      <w:rFonts w:hint="eastAsia" w:ascii="Times New Roman" w:hAnsi="Times New Roman" w:eastAsia="宋体" w:cs="Times New Roman"/>
                      <w:b w:val="0"/>
                      <w:bCs w:val="0"/>
                      <w:color w:val="auto"/>
                      <w:kern w:val="0"/>
                      <w:sz w:val="21"/>
                      <w:szCs w:val="21"/>
                      <w:highlight w:val="none"/>
                      <w:lang w:val="en-US" w:eastAsia="zh-CN" w:bidi="ar"/>
                    </w:rPr>
                    <w:t>-21</w:t>
                  </w:r>
                  <w:r>
                    <w:rPr>
                      <w:rFonts w:hint="default" w:ascii="Times New Roman" w:hAnsi="Times New Roman" w:eastAsia="宋体" w:cs="Times New Roman"/>
                      <w:b w:val="0"/>
                      <w:bCs w:val="0"/>
                      <w:color w:val="auto"/>
                      <w:kern w:val="0"/>
                      <w:sz w:val="21"/>
                      <w:szCs w:val="21"/>
                      <w:highlight w:val="none"/>
                      <w:lang w:val="en-US" w:eastAsia="zh-CN" w:bidi="ar"/>
                    </w:rPr>
                    <w:t>.</w:t>
                  </w:r>
                  <w:r>
                    <w:rPr>
                      <w:rFonts w:hint="eastAsia" w:ascii="Times New Roman" w:hAnsi="Times New Roman" w:eastAsia="宋体" w:cs="Times New Roman"/>
                      <w:b w:val="0"/>
                      <w:bCs w:val="0"/>
                      <w:color w:val="auto"/>
                      <w:kern w:val="0"/>
                      <w:sz w:val="21"/>
                      <w:szCs w:val="21"/>
                      <w:highlight w:val="none"/>
                      <w:lang w:val="en-US" w:eastAsia="zh-CN" w:bidi="ar"/>
                    </w:rPr>
                    <w:t>本项目</w:t>
                  </w:r>
                  <w:r>
                    <w:rPr>
                      <w:rFonts w:hint="eastAsia" w:ascii="宋体" w:hAnsi="宋体" w:eastAsia="宋体" w:cs="宋体"/>
                      <w:b w:val="0"/>
                      <w:bCs w:val="0"/>
                      <w:color w:val="auto"/>
                      <w:kern w:val="0"/>
                      <w:sz w:val="21"/>
                      <w:szCs w:val="21"/>
                      <w:highlight w:val="none"/>
                      <w:lang w:val="en-US" w:eastAsia="zh-CN" w:bidi="ar"/>
                    </w:rPr>
                    <w:t>不涉及</w:t>
                  </w:r>
                  <w:r>
                    <w:rPr>
                      <w:rFonts w:hint="default" w:ascii="Times New Roman" w:hAnsi="Times New Roman" w:cs="Times New Roman"/>
                      <w:b w:val="0"/>
                      <w:bCs w:val="0"/>
                      <w:color w:val="auto"/>
                      <w:sz w:val="21"/>
                      <w:szCs w:val="21"/>
                      <w:highlight w:val="none"/>
                      <w:lang w:bidi="ar"/>
                    </w:rPr>
                    <w:t>入河排污口</w:t>
                  </w:r>
                  <w:r>
                    <w:rPr>
                      <w:rFonts w:hint="eastAsia" w:cs="Times New Roman"/>
                      <w:b w:val="0"/>
                      <w:bCs w:val="0"/>
                      <w:color w:val="auto"/>
                      <w:sz w:val="21"/>
                      <w:szCs w:val="21"/>
                      <w:highlight w:val="none"/>
                      <w:lang w:eastAsia="zh-CN" w:bidi="ar"/>
                    </w:rPr>
                    <w:t>。</w:t>
                  </w:r>
                </w:p>
              </w:tc>
              <w:tc>
                <w:tcPr>
                  <w:tcW w:w="366" w:type="pct"/>
                  <w:vAlign w:val="center"/>
                </w:tcPr>
                <w:p w14:paraId="6DC1BE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val="0"/>
                      <w:bCs w:val="0"/>
                      <w:color w:val="auto"/>
                      <w:kern w:val="2"/>
                      <w:sz w:val="21"/>
                      <w:szCs w:val="21"/>
                      <w:vertAlign w:val="baseline"/>
                      <w:lang w:val="en-US" w:eastAsia="zh-CN" w:bidi="ar"/>
                    </w:rPr>
                  </w:pPr>
                  <w:r>
                    <w:rPr>
                      <w:rFonts w:hint="eastAsia" w:cs="宋体"/>
                      <w:b w:val="0"/>
                      <w:bCs w:val="0"/>
                      <w:color w:val="auto"/>
                      <w:kern w:val="2"/>
                      <w:sz w:val="21"/>
                      <w:szCs w:val="21"/>
                      <w:vertAlign w:val="baseline"/>
                      <w:lang w:val="en-US" w:eastAsia="zh-CN" w:bidi="ar"/>
                    </w:rPr>
                    <w:t>符合</w:t>
                  </w:r>
                </w:p>
              </w:tc>
            </w:tr>
            <w:tr w14:paraId="37EC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8" w:type="pct"/>
                  <w:vAlign w:val="center"/>
                </w:tcPr>
                <w:p w14:paraId="14B0F4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val="0"/>
                      <w:color w:val="auto"/>
                      <w:sz w:val="21"/>
                      <w:szCs w:val="21"/>
                    </w:rPr>
                  </w:pPr>
                  <w:r>
                    <w:rPr>
                      <w:rFonts w:hint="default"/>
                      <w:b w:val="0"/>
                      <w:bCs w:val="0"/>
                      <w:color w:val="auto"/>
                      <w:sz w:val="21"/>
                      <w:szCs w:val="21"/>
                    </w:rPr>
                    <w:t>环境风险防控</w:t>
                  </w:r>
                </w:p>
              </w:tc>
              <w:tc>
                <w:tcPr>
                  <w:tcW w:w="3245" w:type="pct"/>
                  <w:vAlign w:val="center"/>
                </w:tcPr>
                <w:p w14:paraId="1F8F1EFD">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1.加强河流水系整治。充分发挥“河长制”作用，持续开展河湖“清四乱”，组织实施妨碍河道行洪突出问题排查整治，全面清理河道内垃圾等废弃物。严禁在河道内开展清洗机械车辆、油桶等可能污染水体的作业，禁止在湖库内使用加油船，严控石油类物质漏洒，严禁在河道内放牧、倾倒畜禽粪污、生活垃圾、工业固废等。</w:t>
                  </w:r>
                </w:p>
                <w:p w14:paraId="3A9FA459">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2.强化入河排污口管控。实施入河排污口设置审核管理，强化入河排污口规范化管理。推动水环境精细化管控项目建设，全面提升入河排污口管理水平。深化入河排污口“查、测、溯、治”，实施“一口一策”，坚持分类治理，明确每个排污口整治措施和责任主体，按月组织入河排污口水质监测，对超标排放的排污口溯源整治，限期达标。</w:t>
                  </w:r>
                </w:p>
                <w:p w14:paraId="218823CB">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3.积极推进重污染企业退城搬迁。持续推进市区及县城建成区内及周边钢铁、焦化、水泥、化工等重污染企业搬迁改造或关停退出，进一步优化产业布局。对市区规划区内的重污染企业，实施更为严格的差异化错峰生产、重污染天气应急减排措施。</w:t>
                  </w:r>
                </w:p>
                <w:p w14:paraId="1BFA8170">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4.严格保护优先保护类耕地。加强农药等农业投入品质量监管，严厉打击向农田施用重金属不达标肥料等农业投入品的行为。在永久基本农田集中区域，严禁规划新建可能造成土壤污染的建设项目。依法将符合条件的优先保护类耕地划为永久基本农田，实行严格保护，确保其面积不减少、土壤环境质量不下降。对优先保护类耕地面积减少或土壤环境质量下降的县、区，进行预警提醒并依法采取环评限批等限制性措施。</w:t>
                  </w:r>
                </w:p>
                <w:p w14:paraId="787D5768">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5.巩固受污染耕地安全利用成效。制定全市受污染耕地安全利用年度计划。有安全利用类耕地的县、区，要结合当地主要作物品种和种植习惯，有针对性的制定并实施受污染耕地安全利用方案，落实品种替代、水肥调控、生理阻隔、土壤调理等安全利用技术措施，分区分类建立完善安全利用技术库和农作物种植推荐清单，巩固提高受污染耕地安全利用成效。</w:t>
                  </w:r>
                </w:p>
                <w:p w14:paraId="284FC53C">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6.加强严格管控类耕地风险管控。鼓励对严格管控类耕地按规定采取种植结构调整、轮作休耕等风险管控措施。加强粮食收储和流通环节监管，杜绝重金属超标粮食进入口粮市场。</w:t>
                  </w:r>
                </w:p>
                <w:p w14:paraId="67F5E930">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7.严格污染地块准入管理。从严管控农药、焦化、化工等行业中的重度污染地块规划用途，严禁规划学校、住宅等，鼓励用于拓展生态空间。从事土地开发利用活动，要因地制宜采取有效措施，确保建设用地符合土壤环境质量要求。对列入建设用地土壤污染风险管控和修复名录的地块，自然资源部门严禁作为“一住两公”用地，严禁办理土地收回、收购、土地供应以及改变土地用途等手续。用途拟变更为“一住两公”用地的所有地块，要严格落实土壤污染状况调查评估及治理修复制度，认真执行《长治市建设用地土壤环境联动监督管理实施细则（试行）》。依法开展土壤污染状况调查或风险评估而未开展或尚未完成的地块，以及未达到土壤污染风险评估报告确定的风险管控、修复目标的地块，不得开工建设与风险管控、修复无关的项目。探索“环境修复＋开发建设”模式。</w:t>
                  </w:r>
                </w:p>
                <w:p w14:paraId="6B1F26FE">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8.严格重点流域、区域产业空间布局。严禁浊漳南源、北源、干流等河流谷地，太行山旅游板块，以及人居环境敏感的区域布局重污染项目。严禁在漳泽湖生态保护与修复区域、城市(县城)规划区布局钢铁(不含短流程炼钢)、铸造(不含高端铸件)、水泥、有色等高污染项目，以及危险化学品贮存、处理处置等高风险项目，支持城市(县城)建成区及周边重污染企业搬迁改造，大力推进企业建设节能环保水平高的先进产能项目。发挥主要污染物总量约束引导作用，对环境质量超标地区严格落实主要污染物总量“倍量削减”要求。优先支持焦化、钢铁等重点产业向资源禀赋好、环境承载力强、大气扩散条件优、铁路运输便利的城镇下风向工业园区转移。</w:t>
                  </w:r>
                </w:p>
                <w:p w14:paraId="04743D95">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ascii="Times New Roman" w:hAnsi="Times New Roman" w:cs="Times New Roman"/>
                      <w:b w:val="0"/>
                      <w:bCs w:val="0"/>
                      <w:color w:val="auto"/>
                      <w:sz w:val="21"/>
                      <w:szCs w:val="21"/>
                      <w:lang w:bidi="ar"/>
                    </w:rPr>
                  </w:pPr>
                  <w:r>
                    <w:rPr>
                      <w:rFonts w:hint="default" w:ascii="Times New Roman" w:hAnsi="Times New Roman" w:cs="Times New Roman"/>
                      <w:b w:val="0"/>
                      <w:bCs w:val="0"/>
                      <w:color w:val="auto"/>
                      <w:sz w:val="21"/>
                      <w:szCs w:val="21"/>
                      <w:lang w:bidi="ar"/>
                    </w:rPr>
                    <w:t>9.加强重点流域农业面源污染治理，积极推进流域内畜禽养殖粪污资源化利用；加强农业化肥农药施用管控，源头化肥农药减量增效，过程建设生态拦截沟，末端结合采煤沉陷区建设净化湿地，有效控制农业面源污染。</w:t>
                  </w:r>
                </w:p>
                <w:p w14:paraId="773C949B">
                  <w:pPr>
                    <w:pStyle w:val="17"/>
                    <w:keepNext w:val="0"/>
                    <w:keepLines w:val="0"/>
                    <w:pageBreakBefore w:val="0"/>
                    <w:numPr>
                      <w:ilvl w:val="0"/>
                      <w:numId w:val="0"/>
                    </w:numPr>
                    <w:suppressLineNumbers w:val="0"/>
                    <w:kinsoku/>
                    <w:wordWrap/>
                    <w:overflowPunct/>
                    <w:topLinePunct w:val="0"/>
                    <w:bidi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cs="Times New Roman"/>
                      <w:b w:val="0"/>
                      <w:bCs w:val="0"/>
                      <w:color w:val="auto"/>
                      <w:sz w:val="21"/>
                      <w:szCs w:val="21"/>
                      <w:lang w:bidi="ar"/>
                    </w:rPr>
                    <w:t>10.完善地下水污染源监测体系</w:t>
                  </w:r>
                  <w:r>
                    <w:rPr>
                      <w:rFonts w:hint="eastAsia"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到2023年底</w:t>
                  </w:r>
                  <w:r>
                    <w:rPr>
                      <w:rFonts w:hint="default" w:ascii="Times New Roman" w:hAnsi="Times New Roman"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化学品生产企业、危险废物处置场、垃圾填埋场等地下水重点污染源地下水环境监测井规范监测比例不低于70%。强化地下水污染风险防控</w:t>
                  </w:r>
                  <w:r>
                    <w:rPr>
                      <w:rFonts w:hint="eastAsia"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全面推进地下水污染调查、监测、评估、风险防控和修复等。建立生态环境、自然资源、水利等部门信息共享机制</w:t>
                  </w:r>
                  <w:r>
                    <w:rPr>
                      <w:rFonts w:hint="eastAsia" w:cs="Times New Roman"/>
                      <w:b w:val="0"/>
                      <w:bCs w:val="0"/>
                      <w:color w:val="auto"/>
                      <w:sz w:val="21"/>
                      <w:szCs w:val="21"/>
                      <w:lang w:eastAsia="zh-CN" w:bidi="ar"/>
                    </w:rPr>
                    <w:t>，</w:t>
                  </w:r>
                  <w:r>
                    <w:rPr>
                      <w:rFonts w:hint="default" w:ascii="Times New Roman" w:hAnsi="Times New Roman" w:cs="Times New Roman"/>
                      <w:b w:val="0"/>
                      <w:bCs w:val="0"/>
                      <w:color w:val="auto"/>
                      <w:sz w:val="21"/>
                      <w:szCs w:val="21"/>
                      <w:lang w:bidi="ar"/>
                    </w:rPr>
                    <w:t>推进地下水型饮用水水源保护区、地下水重点污染源、水文地质分区、地下水监测水位水质等地下水环境“一张图”管理。</w:t>
                  </w:r>
                </w:p>
              </w:tc>
              <w:tc>
                <w:tcPr>
                  <w:tcW w:w="999" w:type="pct"/>
                  <w:vAlign w:val="center"/>
                </w:tcPr>
                <w:p w14:paraId="786ADCA7">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b w:val="0"/>
                      <w:bCs w:val="0"/>
                      <w:color w:val="auto"/>
                      <w:sz w:val="21"/>
                      <w:szCs w:val="21"/>
                      <w:highlight w:val="none"/>
                      <w:lang w:val="en-US"/>
                    </w:rPr>
                  </w:pPr>
                  <w:r>
                    <w:rPr>
                      <w:rFonts w:hint="default" w:ascii="Times New Roman" w:hAnsi="Times New Roman" w:eastAsia="宋体" w:cs="Times New Roman"/>
                      <w:b w:val="0"/>
                      <w:bCs w:val="0"/>
                      <w:color w:val="auto"/>
                      <w:kern w:val="0"/>
                      <w:sz w:val="21"/>
                      <w:szCs w:val="21"/>
                      <w:highlight w:val="none"/>
                      <w:lang w:val="en-US" w:eastAsia="zh-CN" w:bidi="ar"/>
                    </w:rPr>
                    <w:t>1.本项目</w:t>
                  </w:r>
                  <w:r>
                    <w:rPr>
                      <w:rFonts w:hint="default"/>
                      <w:color w:val="auto"/>
                      <w:kern w:val="0"/>
                      <w:sz w:val="21"/>
                      <w:szCs w:val="21"/>
                      <w:highlight w:val="none"/>
                    </w:rPr>
                    <w:t>生活污水</w:t>
                  </w:r>
                  <w:r>
                    <w:rPr>
                      <w:rFonts w:hint="eastAsia"/>
                      <w:color w:val="auto"/>
                      <w:kern w:val="0"/>
                      <w:sz w:val="21"/>
                      <w:szCs w:val="21"/>
                      <w:highlight w:val="none"/>
                      <w:lang w:val="en-US" w:eastAsia="zh-CN"/>
                    </w:rPr>
                    <w:t>和循环冷却排污水</w:t>
                  </w: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r>
                    <w:rPr>
                      <w:rFonts w:hint="default" w:ascii="Times New Roman" w:hAnsi="Times New Roman" w:eastAsia="宋体" w:cs="Times New Roman"/>
                      <w:b w:val="0"/>
                      <w:bCs w:val="0"/>
                      <w:color w:val="auto"/>
                      <w:kern w:val="0"/>
                      <w:sz w:val="21"/>
                      <w:szCs w:val="21"/>
                      <w:highlight w:val="none"/>
                      <w:lang w:val="en-US" w:eastAsia="zh-CN" w:bidi="ar"/>
                    </w:rPr>
                    <w:t>；</w:t>
                  </w:r>
                </w:p>
                <w:p w14:paraId="32D4E05F">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eastAsia="zh-CN"/>
                    </w:rPr>
                  </w:pPr>
                  <w:r>
                    <w:rPr>
                      <w:rFonts w:hint="default" w:ascii="Times New Roman" w:hAnsi="Times New Roman" w:eastAsia="宋体" w:cs="Times New Roman"/>
                      <w:b w:val="0"/>
                      <w:bCs w:val="0"/>
                      <w:color w:val="auto"/>
                      <w:kern w:val="0"/>
                      <w:sz w:val="21"/>
                      <w:szCs w:val="21"/>
                      <w:highlight w:val="none"/>
                      <w:lang w:val="en-US" w:eastAsia="zh-CN" w:bidi="ar"/>
                    </w:rPr>
                    <w:t>2.</w:t>
                  </w:r>
                  <w:r>
                    <w:rPr>
                      <w:rFonts w:hint="eastAsia" w:ascii="Times New Roman" w:hAnsi="Times New Roman" w:eastAsia="宋体" w:cs="Times New Roman"/>
                      <w:b w:val="0"/>
                      <w:bCs w:val="0"/>
                      <w:color w:val="auto"/>
                      <w:kern w:val="0"/>
                      <w:sz w:val="21"/>
                      <w:szCs w:val="21"/>
                      <w:highlight w:val="none"/>
                      <w:lang w:val="en-US" w:eastAsia="zh-CN" w:bidi="ar"/>
                    </w:rPr>
                    <w:t>项目</w:t>
                  </w:r>
                  <w:r>
                    <w:rPr>
                      <w:rFonts w:hint="eastAsia" w:ascii="宋体" w:hAnsi="宋体" w:eastAsia="宋体" w:cs="宋体"/>
                      <w:b w:val="0"/>
                      <w:bCs w:val="0"/>
                      <w:color w:val="auto"/>
                      <w:kern w:val="0"/>
                      <w:sz w:val="21"/>
                      <w:szCs w:val="21"/>
                      <w:highlight w:val="none"/>
                      <w:lang w:val="en-US" w:eastAsia="zh-CN" w:bidi="ar"/>
                    </w:rPr>
                    <w:t>不涉及</w:t>
                  </w:r>
                  <w:r>
                    <w:rPr>
                      <w:rFonts w:hint="default" w:ascii="Times New Roman" w:hAnsi="Times New Roman" w:cs="Times New Roman"/>
                      <w:b w:val="0"/>
                      <w:bCs w:val="0"/>
                      <w:color w:val="auto"/>
                      <w:sz w:val="21"/>
                      <w:szCs w:val="21"/>
                      <w:highlight w:val="none"/>
                      <w:lang w:bidi="ar"/>
                    </w:rPr>
                    <w:t>入河排污口管控</w:t>
                  </w:r>
                  <w:r>
                    <w:rPr>
                      <w:rFonts w:hint="eastAsia" w:ascii="Times New Roman" w:hAnsi="Times New Roman" w:cs="Times New Roman"/>
                      <w:b w:val="0"/>
                      <w:bCs w:val="0"/>
                      <w:color w:val="auto"/>
                      <w:sz w:val="21"/>
                      <w:szCs w:val="21"/>
                      <w:highlight w:val="none"/>
                      <w:lang w:eastAsia="zh-CN" w:bidi="ar"/>
                    </w:rPr>
                    <w:t>；</w:t>
                  </w:r>
                </w:p>
                <w:p w14:paraId="141776F7">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eastAsia="zh-CN"/>
                    </w:rPr>
                  </w:pPr>
                  <w:r>
                    <w:rPr>
                      <w:rFonts w:hint="default" w:ascii="Times New Roman" w:hAnsi="Times New Roman" w:eastAsia="宋体" w:cs="Times New Roman"/>
                      <w:b w:val="0"/>
                      <w:bCs w:val="0"/>
                      <w:color w:val="auto"/>
                      <w:kern w:val="0"/>
                      <w:sz w:val="21"/>
                      <w:szCs w:val="21"/>
                      <w:highlight w:val="none"/>
                      <w:lang w:val="en-US" w:eastAsia="zh-CN" w:bidi="ar"/>
                    </w:rPr>
                    <w:t>3.</w:t>
                  </w:r>
                  <w:r>
                    <w:rPr>
                      <w:rFonts w:hint="eastAsia" w:ascii="Times New Roman" w:hAnsi="Times New Roman" w:eastAsia="宋体" w:cs="Times New Roman"/>
                      <w:b w:val="0"/>
                      <w:bCs w:val="0"/>
                      <w:color w:val="auto"/>
                      <w:kern w:val="0"/>
                      <w:sz w:val="21"/>
                      <w:szCs w:val="21"/>
                      <w:highlight w:val="none"/>
                      <w:lang w:val="en-US" w:eastAsia="zh-CN" w:bidi="ar"/>
                    </w:rPr>
                    <w:t>本项目</w:t>
                  </w:r>
                  <w:r>
                    <w:rPr>
                      <w:rFonts w:hint="eastAsia" w:ascii="宋体" w:hAnsi="宋体" w:eastAsia="宋体" w:cs="宋体"/>
                      <w:b w:val="0"/>
                      <w:bCs w:val="0"/>
                      <w:color w:val="auto"/>
                      <w:kern w:val="0"/>
                      <w:sz w:val="21"/>
                      <w:szCs w:val="21"/>
                      <w:highlight w:val="none"/>
                      <w:lang w:val="en-US" w:eastAsia="zh-CN" w:bidi="ar"/>
                    </w:rPr>
                    <w:t>不属于</w:t>
                  </w:r>
                  <w:r>
                    <w:rPr>
                      <w:rFonts w:hint="default" w:ascii="Times New Roman" w:hAnsi="Times New Roman" w:cs="Times New Roman"/>
                      <w:b w:val="0"/>
                      <w:bCs w:val="0"/>
                      <w:color w:val="auto"/>
                      <w:sz w:val="21"/>
                      <w:szCs w:val="21"/>
                      <w:highlight w:val="none"/>
                      <w:lang w:bidi="ar"/>
                    </w:rPr>
                    <w:t>重污染企业</w:t>
                  </w:r>
                  <w:r>
                    <w:rPr>
                      <w:rFonts w:hint="eastAsia" w:ascii="Times New Roman" w:hAnsi="Times New Roman" w:cs="Times New Roman"/>
                      <w:b w:val="0"/>
                      <w:bCs w:val="0"/>
                      <w:color w:val="auto"/>
                      <w:sz w:val="21"/>
                      <w:szCs w:val="21"/>
                      <w:highlight w:val="none"/>
                      <w:lang w:eastAsia="zh-CN" w:bidi="ar"/>
                    </w:rPr>
                    <w:t>；</w:t>
                  </w:r>
                </w:p>
                <w:p w14:paraId="25102263">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cs="Times New Roman"/>
                      <w:b w:val="0"/>
                      <w:bCs w:val="0"/>
                      <w:color w:val="auto"/>
                      <w:sz w:val="21"/>
                      <w:szCs w:val="21"/>
                      <w:highlight w:val="none"/>
                      <w:lang w:val="en-US" w:bidi="ar"/>
                    </w:rPr>
                  </w:pPr>
                  <w:r>
                    <w:rPr>
                      <w:rFonts w:hint="default" w:ascii="Times New Roman" w:hAnsi="Times New Roman" w:cs="Times New Roman"/>
                      <w:b w:val="0"/>
                      <w:bCs w:val="0"/>
                      <w:color w:val="auto"/>
                      <w:sz w:val="21"/>
                      <w:szCs w:val="21"/>
                      <w:highlight w:val="none"/>
                      <w:lang w:val="en-US" w:eastAsia="zh-CN" w:bidi="ar"/>
                    </w:rPr>
                    <w:t>4</w:t>
                  </w:r>
                  <w:r>
                    <w:rPr>
                      <w:rFonts w:hint="eastAsia" w:ascii="Times New Roman" w:hAnsi="Times New Roman" w:cs="Times New Roman"/>
                      <w:b w:val="0"/>
                      <w:bCs w:val="0"/>
                      <w:color w:val="auto"/>
                      <w:sz w:val="21"/>
                      <w:szCs w:val="21"/>
                      <w:highlight w:val="none"/>
                      <w:lang w:val="en-US" w:eastAsia="zh-CN" w:bidi="ar"/>
                    </w:rPr>
                    <w:t>-6</w:t>
                  </w:r>
                  <w:r>
                    <w:rPr>
                      <w:rFonts w:hint="default" w:ascii="Times New Roman" w:hAnsi="Times New Roman" w:cs="Times New Roman"/>
                      <w:b w:val="0"/>
                      <w:bCs w:val="0"/>
                      <w:color w:val="auto"/>
                      <w:sz w:val="21"/>
                      <w:szCs w:val="21"/>
                      <w:highlight w:val="none"/>
                      <w:lang w:val="en-US" w:eastAsia="zh-CN" w:bidi="ar"/>
                    </w:rPr>
                    <w:t>.</w:t>
                  </w:r>
                  <w:r>
                    <w:rPr>
                      <w:rFonts w:hint="eastAsia" w:ascii="Times New Roman" w:hAnsi="Times New Roman" w:cs="Times New Roman"/>
                      <w:b w:val="0"/>
                      <w:bCs w:val="0"/>
                      <w:color w:val="auto"/>
                      <w:sz w:val="21"/>
                      <w:szCs w:val="21"/>
                      <w:highlight w:val="none"/>
                      <w:lang w:val="en-US" w:eastAsia="zh-CN" w:bidi="ar"/>
                    </w:rPr>
                    <w:t>项目占地不属于耕地；</w:t>
                  </w:r>
                </w:p>
                <w:p w14:paraId="539E23DC">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eastAsia="zh-CN" w:bidi="ar"/>
                    </w:rPr>
                  </w:pPr>
                  <w:r>
                    <w:rPr>
                      <w:rFonts w:hint="default" w:ascii="Times New Roman" w:hAnsi="Times New Roman" w:cs="Times New Roman"/>
                      <w:b w:val="0"/>
                      <w:bCs w:val="0"/>
                      <w:color w:val="auto"/>
                      <w:sz w:val="21"/>
                      <w:szCs w:val="21"/>
                      <w:highlight w:val="none"/>
                      <w:lang w:val="en-US" w:eastAsia="zh-CN" w:bidi="ar"/>
                    </w:rPr>
                    <w:t>7.</w:t>
                  </w:r>
                  <w:r>
                    <w:rPr>
                      <w:rFonts w:hint="eastAsia" w:ascii="Times New Roman" w:hAnsi="Times New Roman" w:cs="Times New Roman"/>
                      <w:b w:val="0"/>
                      <w:bCs w:val="0"/>
                      <w:color w:val="auto"/>
                      <w:sz w:val="21"/>
                      <w:szCs w:val="21"/>
                      <w:highlight w:val="none"/>
                      <w:lang w:val="en-US" w:eastAsia="zh-CN" w:bidi="ar"/>
                    </w:rPr>
                    <w:t>本项目不属于</w:t>
                  </w:r>
                  <w:r>
                    <w:rPr>
                      <w:rFonts w:hint="default" w:ascii="Times New Roman" w:hAnsi="Times New Roman" w:cs="Times New Roman"/>
                      <w:b w:val="0"/>
                      <w:bCs w:val="0"/>
                      <w:color w:val="auto"/>
                      <w:sz w:val="21"/>
                      <w:szCs w:val="21"/>
                      <w:highlight w:val="none"/>
                      <w:lang w:bidi="ar"/>
                    </w:rPr>
                    <w:t>农药、焦化、化工等行业中的重度污染地</w:t>
                  </w:r>
                  <w:r>
                    <w:rPr>
                      <w:rFonts w:hint="eastAsia" w:ascii="Times New Roman" w:hAnsi="Times New Roman" w:cs="Times New Roman"/>
                      <w:b w:val="0"/>
                      <w:bCs w:val="0"/>
                      <w:color w:val="auto"/>
                      <w:sz w:val="21"/>
                      <w:szCs w:val="21"/>
                      <w:highlight w:val="none"/>
                      <w:lang w:eastAsia="zh-CN" w:bidi="ar"/>
                    </w:rPr>
                    <w:t>；</w:t>
                  </w:r>
                </w:p>
                <w:p w14:paraId="065EBE29">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val="en-US" w:eastAsia="zh-CN" w:bidi="ar"/>
                    </w:rPr>
                  </w:pPr>
                  <w:r>
                    <w:rPr>
                      <w:rFonts w:hint="default" w:ascii="Times New Roman" w:hAnsi="Times New Roman" w:cs="Times New Roman"/>
                      <w:b w:val="0"/>
                      <w:bCs w:val="0"/>
                      <w:color w:val="auto"/>
                      <w:sz w:val="21"/>
                      <w:szCs w:val="21"/>
                      <w:highlight w:val="none"/>
                      <w:lang w:val="en-US" w:eastAsia="zh-CN" w:bidi="ar"/>
                    </w:rPr>
                    <w:t>8.</w:t>
                  </w:r>
                  <w:r>
                    <w:rPr>
                      <w:rFonts w:hint="eastAsia" w:ascii="Times New Roman" w:hAnsi="Times New Roman" w:cs="Times New Roman"/>
                      <w:b w:val="0"/>
                      <w:bCs w:val="0"/>
                      <w:color w:val="auto"/>
                      <w:sz w:val="21"/>
                      <w:szCs w:val="21"/>
                      <w:highlight w:val="none"/>
                      <w:lang w:val="en-US" w:eastAsia="zh-CN" w:bidi="ar"/>
                    </w:rPr>
                    <w:t>本项目不属于</w:t>
                  </w:r>
                  <w:r>
                    <w:rPr>
                      <w:rFonts w:hint="default" w:ascii="Times New Roman" w:hAnsi="Times New Roman" w:cs="Times New Roman"/>
                      <w:b w:val="0"/>
                      <w:bCs w:val="0"/>
                      <w:color w:val="auto"/>
                      <w:sz w:val="21"/>
                      <w:szCs w:val="21"/>
                      <w:highlight w:val="none"/>
                      <w:lang w:bidi="ar"/>
                    </w:rPr>
                    <w:t>焦化、钢铁等</w:t>
                  </w:r>
                  <w:r>
                    <w:rPr>
                      <w:rFonts w:hint="eastAsia" w:ascii="Times New Roman" w:hAnsi="Times New Roman" w:cs="Times New Roman"/>
                      <w:b w:val="0"/>
                      <w:bCs w:val="0"/>
                      <w:color w:val="auto"/>
                      <w:sz w:val="21"/>
                      <w:szCs w:val="21"/>
                      <w:highlight w:val="none"/>
                      <w:lang w:val="en-US" w:eastAsia="zh-CN" w:bidi="ar"/>
                    </w:rPr>
                    <w:t>行业；</w:t>
                  </w:r>
                </w:p>
                <w:p w14:paraId="1F5A4046">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cs="Times New Roman"/>
                      <w:b w:val="0"/>
                      <w:bCs w:val="0"/>
                      <w:color w:val="auto"/>
                      <w:sz w:val="21"/>
                      <w:szCs w:val="21"/>
                      <w:highlight w:val="none"/>
                      <w:lang w:eastAsia="zh-CN" w:bidi="ar"/>
                    </w:rPr>
                  </w:pPr>
                  <w:r>
                    <w:rPr>
                      <w:rFonts w:hint="default" w:ascii="Times New Roman" w:hAnsi="Times New Roman" w:cs="Times New Roman"/>
                      <w:b w:val="0"/>
                      <w:bCs w:val="0"/>
                      <w:color w:val="auto"/>
                      <w:sz w:val="21"/>
                      <w:szCs w:val="21"/>
                      <w:highlight w:val="none"/>
                      <w:lang w:val="en-US" w:eastAsia="zh-CN" w:bidi="ar"/>
                    </w:rPr>
                    <w:t>9.</w:t>
                  </w:r>
                  <w:r>
                    <w:rPr>
                      <w:rFonts w:hint="eastAsia" w:ascii="Times New Roman" w:hAnsi="Times New Roman" w:cs="Times New Roman"/>
                      <w:b w:val="0"/>
                      <w:bCs w:val="0"/>
                      <w:color w:val="auto"/>
                      <w:sz w:val="21"/>
                      <w:szCs w:val="21"/>
                      <w:highlight w:val="none"/>
                      <w:lang w:val="en-US" w:eastAsia="zh-CN" w:bidi="ar"/>
                    </w:rPr>
                    <w:t>本项目不涉及</w:t>
                  </w:r>
                  <w:r>
                    <w:rPr>
                      <w:rFonts w:hint="default" w:ascii="Times New Roman" w:hAnsi="Times New Roman" w:cs="Times New Roman"/>
                      <w:b w:val="0"/>
                      <w:bCs w:val="0"/>
                      <w:color w:val="auto"/>
                      <w:sz w:val="21"/>
                      <w:szCs w:val="21"/>
                      <w:highlight w:val="none"/>
                      <w:lang w:bidi="ar"/>
                    </w:rPr>
                    <w:t>农业面源污染治理</w:t>
                  </w:r>
                  <w:r>
                    <w:rPr>
                      <w:rFonts w:hint="eastAsia" w:ascii="Times New Roman" w:hAnsi="Times New Roman" w:cs="Times New Roman"/>
                      <w:b w:val="0"/>
                      <w:bCs w:val="0"/>
                      <w:color w:val="auto"/>
                      <w:sz w:val="21"/>
                      <w:szCs w:val="21"/>
                      <w:highlight w:val="none"/>
                      <w:lang w:eastAsia="zh-CN" w:bidi="ar"/>
                    </w:rPr>
                    <w:t>；</w:t>
                  </w:r>
                </w:p>
                <w:p w14:paraId="7131601A">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ascii="Times New Roman" w:hAnsi="Times New Roman" w:eastAsia="宋体" w:cs="宋体"/>
                      <w:b w:val="0"/>
                      <w:bCs w:val="0"/>
                      <w:color w:val="auto"/>
                      <w:kern w:val="2"/>
                      <w:sz w:val="21"/>
                      <w:szCs w:val="21"/>
                      <w:highlight w:val="yellow"/>
                      <w:vertAlign w:val="baseline"/>
                      <w:lang w:val="en-US" w:eastAsia="zh-CN" w:bidi="ar"/>
                    </w:rPr>
                  </w:pPr>
                  <w:r>
                    <w:rPr>
                      <w:rFonts w:hint="default" w:ascii="Times New Roman" w:hAnsi="Times New Roman" w:cs="Times New Roman"/>
                      <w:b w:val="0"/>
                      <w:bCs w:val="0"/>
                      <w:color w:val="auto"/>
                      <w:sz w:val="21"/>
                      <w:szCs w:val="21"/>
                      <w:highlight w:val="none"/>
                      <w:lang w:val="en-US" w:eastAsia="zh-CN" w:bidi="ar"/>
                    </w:rPr>
                    <w:t>10.</w:t>
                  </w:r>
                  <w:r>
                    <w:rPr>
                      <w:rFonts w:hint="eastAsia" w:ascii="Times New Roman" w:hAnsi="Times New Roman" w:cs="Times New Roman"/>
                      <w:b w:val="0"/>
                      <w:bCs w:val="0"/>
                      <w:color w:val="auto"/>
                      <w:sz w:val="21"/>
                      <w:szCs w:val="21"/>
                      <w:highlight w:val="none"/>
                      <w:lang w:val="en-US" w:eastAsia="zh-CN" w:bidi="ar"/>
                    </w:rPr>
                    <w:t>本项目不涉及</w:t>
                  </w:r>
                  <w:r>
                    <w:rPr>
                      <w:rFonts w:hint="default" w:ascii="Times New Roman" w:hAnsi="Times New Roman" w:cs="Times New Roman"/>
                      <w:b w:val="0"/>
                      <w:bCs w:val="0"/>
                      <w:color w:val="auto"/>
                      <w:sz w:val="21"/>
                      <w:szCs w:val="21"/>
                      <w:highlight w:val="none"/>
                      <w:lang w:bidi="ar"/>
                    </w:rPr>
                    <w:t>地下水污染</w:t>
                  </w:r>
                  <w:r>
                    <w:rPr>
                      <w:rFonts w:hint="eastAsia" w:ascii="Times New Roman" w:hAnsi="Times New Roman" w:cs="Times New Roman"/>
                      <w:b w:val="0"/>
                      <w:bCs w:val="0"/>
                      <w:color w:val="auto"/>
                      <w:sz w:val="21"/>
                      <w:szCs w:val="21"/>
                      <w:highlight w:val="none"/>
                      <w:lang w:eastAsia="zh-CN" w:bidi="ar"/>
                    </w:rPr>
                    <w:t>。</w:t>
                  </w:r>
                </w:p>
              </w:tc>
              <w:tc>
                <w:tcPr>
                  <w:tcW w:w="366" w:type="pct"/>
                  <w:vAlign w:val="center"/>
                </w:tcPr>
                <w:p w14:paraId="76D6D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val="0"/>
                      <w:bCs w:val="0"/>
                      <w:color w:val="auto"/>
                      <w:kern w:val="2"/>
                      <w:sz w:val="21"/>
                      <w:szCs w:val="21"/>
                      <w:vertAlign w:val="baseline"/>
                      <w:lang w:val="en-US" w:eastAsia="zh-CN" w:bidi="ar"/>
                    </w:rPr>
                  </w:pPr>
                  <w:r>
                    <w:rPr>
                      <w:rFonts w:hint="eastAsia" w:cs="宋体"/>
                      <w:b w:val="0"/>
                      <w:bCs w:val="0"/>
                      <w:color w:val="auto"/>
                      <w:kern w:val="2"/>
                      <w:sz w:val="21"/>
                      <w:szCs w:val="21"/>
                      <w:vertAlign w:val="baseline"/>
                      <w:lang w:val="en-US" w:eastAsia="zh-CN" w:bidi="ar"/>
                    </w:rPr>
                    <w:t>符合</w:t>
                  </w:r>
                </w:p>
              </w:tc>
            </w:tr>
            <w:tr w14:paraId="1964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88" w:type="pct"/>
                  <w:vAlign w:val="center"/>
                </w:tcPr>
                <w:p w14:paraId="496161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val="0"/>
                      <w:color w:val="auto"/>
                      <w:sz w:val="21"/>
                      <w:szCs w:val="21"/>
                    </w:rPr>
                  </w:pPr>
                  <w:r>
                    <w:rPr>
                      <w:rFonts w:hint="default"/>
                      <w:b w:val="0"/>
                      <w:bCs w:val="0"/>
                      <w:color w:val="auto"/>
                      <w:sz w:val="21"/>
                      <w:szCs w:val="21"/>
                      <w:highlight w:val="none"/>
                    </w:rPr>
                    <w:t>资源利用效率</w:t>
                  </w:r>
                </w:p>
              </w:tc>
              <w:tc>
                <w:tcPr>
                  <w:tcW w:w="3245" w:type="pct"/>
                  <w:vAlign w:val="center"/>
                </w:tcPr>
                <w:p w14:paraId="4C563170">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1.保障河流生态流量。以浊漳河为重点，制定生态流量保障实施方案，将生态用水纳入水资源日常运行调度规程，落实《浊漳河生态调水方案》，保障河流生态流量。建立应对水污染事故应急补水机制。</w:t>
                  </w:r>
                </w:p>
                <w:p w14:paraId="6BEBF451">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2.推动再生水循环利用。提升城市再生水利用水平，完善再生水利用设施，拓宽再生水利用渠道。加快推进再生水利用工程，城市再生水优先用于工业生产、城市绿化、市政杂用和河湖景观用水，2023年城镇污水处理再生水利用率达到25</w:t>
                  </w:r>
                  <w:r>
                    <w:rPr>
                      <w:rFonts w:hint="eastAsia"/>
                      <w:b w:val="0"/>
                      <w:bCs w:val="0"/>
                      <w:color w:val="auto"/>
                      <w:sz w:val="21"/>
                      <w:szCs w:val="21"/>
                      <w:lang w:val="en-US" w:eastAsia="zh-CN" w:bidi="ar"/>
                    </w:rPr>
                    <w:t>%</w:t>
                  </w:r>
                  <w:r>
                    <w:rPr>
                      <w:rFonts w:hint="default"/>
                      <w:b w:val="0"/>
                      <w:bCs w:val="0"/>
                      <w:color w:val="auto"/>
                      <w:sz w:val="21"/>
                      <w:szCs w:val="21"/>
                      <w:lang w:bidi="ar"/>
                    </w:rPr>
                    <w:t>以上。</w:t>
                  </w:r>
                </w:p>
                <w:p w14:paraId="5603A30F">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3.提升饮用水水源保护水平。深化县级及以上集中式饮用水水源保护区规范化建设，2023年底前完成县级地表水型集中式饮用水水源保护区规范化建设。</w:t>
                  </w:r>
                </w:p>
                <w:p w14:paraId="01ABB53E">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4.推进海绵化城市建设。综合运用“渗、滞、蓄、净、用、排”等措施，充分发挥建筑、道路、绿地、水系等生态系统对雨水的吸纳、蓄渗和缓释作用，开展初期雨水收集处理，有效控制雨水径流，实现自然积存、自然渗透、自然净化。完成雨污分流改造，2023年完成164km城镇排水管网雨污分流改造任务。</w:t>
                  </w:r>
                </w:p>
                <w:p w14:paraId="71655509">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5.严格控制煤炭消费总量。严格落实耗煤项目煤炭减量替代措施，未落实减量替代的耗煤项目不予审批、核准、备案。大力发展新能源和清洁能源，不断提升非化石能源消费比重。严格控制燃煤机组新增装机规模，鼓励通过关停规模小、煤耗高、服役时间长、排放强度大的煤电机组，等容量替代建设支撑性煤电项目。支持自备燃煤（矸石）机组实施清洁能源替代，鼓励自备电厂转为公用电厂。</w:t>
                  </w:r>
                </w:p>
                <w:p w14:paraId="4F14F2E3">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6.推进传统产业绿色化改造。坚持高端化、智能化、绿色化发展方向，通过延链补链强链，进一步推动产业链耦合、循环式发展。严把高耗能、高排放项目准入关口，严格落实污染物排放削减要求，对不符合规定的项目坚决停批停建，坚决打破“两高”项目路径依赖。大力推动智能绿色安全开采和清洁高效深度利用，因地制宜推广充填开采、煤与瓦斯共采、井下洗选等绿色开采技术，鼓励原煤全部入选(洗)。鼓励高炉-转炉长流程钢铁企业转型为电炉短流程企业，推动落实《长治市钢铁产业布局意见》，推广清洁生产，加快以节能降耗为核心的技术改造，全面实现超低排放，吨钢综合能耗降至全国行业平均数值以下。开展煤电机组节能改造、供热改造和灵活性改造。加快推动4.3米焦炉淘汰，支持焦化行业通过压减产能、淘汰整合提质升级，推进焦炉煤气、煤焦油、粗苯高端利用，化产品精深加工高端发展，污染排放总量大幅下降。以试点示范为抓手，开展绿色园区、绿色工厂创建，培育绿色设计产品，打造绿色供应链，持续推进绿色制造体系建设。</w:t>
                  </w:r>
                </w:p>
                <w:p w14:paraId="7F3BCC1F">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7.到2025年，全市万元地区生产总值用水量下降15%，灌溉利用系数达到0.58以上。</w:t>
                  </w:r>
                </w:p>
                <w:p w14:paraId="08206ED4">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8.到2025年再生水利用率达到50%以上。</w:t>
                  </w:r>
                </w:p>
                <w:p w14:paraId="560BDCE1">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9.到2025年，农村生活污水治理率达到25%。</w:t>
                  </w:r>
                </w:p>
                <w:p w14:paraId="2A40D123">
                  <w:pPr>
                    <w:keepNext w:val="0"/>
                    <w:keepLines w:val="0"/>
                    <w:pageBreakBefore w:val="0"/>
                    <w:suppressLineNumbers w:val="0"/>
                    <w:kinsoku/>
                    <w:wordWrap/>
                    <w:overflowPunct/>
                    <w:topLinePunct w:val="0"/>
                    <w:bidi w:val="0"/>
                    <w:spacing w:before="0" w:beforeAutospacing="0" w:after="0" w:afterAutospacing="0" w:line="240" w:lineRule="auto"/>
                    <w:ind w:left="0" w:right="0"/>
                    <w:textAlignment w:val="auto"/>
                    <w:rPr>
                      <w:rFonts w:hint="default"/>
                      <w:b w:val="0"/>
                      <w:bCs w:val="0"/>
                      <w:color w:val="auto"/>
                      <w:sz w:val="21"/>
                      <w:szCs w:val="21"/>
                      <w:lang w:bidi="ar"/>
                    </w:rPr>
                  </w:pPr>
                  <w:r>
                    <w:rPr>
                      <w:rFonts w:hint="default"/>
                      <w:b w:val="0"/>
                      <w:bCs w:val="0"/>
                      <w:color w:val="auto"/>
                      <w:sz w:val="21"/>
                      <w:szCs w:val="21"/>
                      <w:lang w:bidi="ar"/>
                    </w:rPr>
                    <w:t>10.到2025年，畜禽粪污综合利用率达到90%以上，规模养殖场粪污处理设施装备配套率达到100%。</w:t>
                  </w:r>
                </w:p>
                <w:p w14:paraId="23EE0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b w:val="0"/>
                      <w:bCs w:val="0"/>
                      <w:color w:val="auto"/>
                      <w:sz w:val="21"/>
                      <w:szCs w:val="21"/>
                      <w:highlight w:val="none"/>
                    </w:rPr>
                  </w:pPr>
                  <w:r>
                    <w:rPr>
                      <w:rFonts w:hint="default"/>
                      <w:b w:val="0"/>
                      <w:bCs w:val="0"/>
                      <w:color w:val="auto"/>
                      <w:sz w:val="21"/>
                      <w:szCs w:val="21"/>
                      <w:lang w:bidi="ar"/>
                    </w:rPr>
                    <w:t>11.健全双控指标体系，强化水资源承载能力刚性约束。严格实行区域用水总量和强度控制。</w:t>
                  </w:r>
                </w:p>
              </w:tc>
              <w:tc>
                <w:tcPr>
                  <w:tcW w:w="999" w:type="pct"/>
                  <w:vAlign w:val="center"/>
                </w:tcPr>
                <w:p w14:paraId="13BE9330">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b w:val="0"/>
                      <w:bCs w:val="0"/>
                      <w:color w:val="auto"/>
                      <w:sz w:val="21"/>
                      <w:szCs w:val="21"/>
                      <w:highlight w:val="none"/>
                      <w:lang w:val="en-US"/>
                    </w:rPr>
                  </w:pPr>
                  <w:r>
                    <w:rPr>
                      <w:rFonts w:hint="default" w:ascii="Times New Roman" w:hAnsi="Times New Roman" w:eastAsia="宋体" w:cs="Times New Roman"/>
                      <w:b w:val="0"/>
                      <w:bCs w:val="0"/>
                      <w:color w:val="auto"/>
                      <w:kern w:val="0"/>
                      <w:sz w:val="21"/>
                      <w:szCs w:val="21"/>
                      <w:highlight w:val="none"/>
                      <w:lang w:val="en-US" w:eastAsia="zh-CN" w:bidi="ar"/>
                    </w:rPr>
                    <w:t>1.本项目</w:t>
                  </w:r>
                  <w:r>
                    <w:rPr>
                      <w:rFonts w:hint="default"/>
                      <w:color w:val="auto"/>
                      <w:kern w:val="0"/>
                      <w:sz w:val="21"/>
                      <w:szCs w:val="21"/>
                      <w:highlight w:val="none"/>
                    </w:rPr>
                    <w:t>生活污水</w:t>
                  </w:r>
                  <w:r>
                    <w:rPr>
                      <w:rFonts w:hint="eastAsia"/>
                      <w:color w:val="auto"/>
                      <w:kern w:val="0"/>
                      <w:sz w:val="21"/>
                      <w:szCs w:val="21"/>
                      <w:highlight w:val="none"/>
                      <w:lang w:val="en-US" w:eastAsia="zh-CN"/>
                    </w:rPr>
                    <w:t>和循环冷却排污水</w:t>
                  </w: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r>
                    <w:rPr>
                      <w:rFonts w:hint="default" w:ascii="Times New Roman" w:hAnsi="Times New Roman" w:eastAsia="宋体" w:cs="Times New Roman"/>
                      <w:b w:val="0"/>
                      <w:bCs w:val="0"/>
                      <w:color w:val="auto"/>
                      <w:kern w:val="0"/>
                      <w:sz w:val="21"/>
                      <w:szCs w:val="21"/>
                      <w:highlight w:val="none"/>
                      <w:lang w:val="en-US" w:eastAsia="zh-CN" w:bidi="ar"/>
                    </w:rPr>
                    <w:t>；</w:t>
                  </w:r>
                </w:p>
                <w:p w14:paraId="3A7B795C">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eastAsia="zh-CN"/>
                    </w:rPr>
                  </w:pPr>
                  <w:r>
                    <w:rPr>
                      <w:rFonts w:hint="default" w:ascii="Times New Roman" w:hAnsi="Times New Roman" w:eastAsia="宋体" w:cs="Times New Roman"/>
                      <w:b w:val="0"/>
                      <w:bCs w:val="0"/>
                      <w:color w:val="auto"/>
                      <w:kern w:val="0"/>
                      <w:sz w:val="21"/>
                      <w:szCs w:val="21"/>
                      <w:highlight w:val="none"/>
                      <w:lang w:val="en-US" w:eastAsia="zh-CN" w:bidi="ar"/>
                    </w:rPr>
                    <w:t>2.</w:t>
                  </w:r>
                  <w:r>
                    <w:rPr>
                      <w:rFonts w:hint="eastAsia" w:ascii="宋体" w:hAnsi="宋体" w:eastAsia="宋体" w:cs="宋体"/>
                      <w:b w:val="0"/>
                      <w:bCs w:val="0"/>
                      <w:color w:val="auto"/>
                      <w:kern w:val="0"/>
                      <w:sz w:val="21"/>
                      <w:szCs w:val="21"/>
                      <w:highlight w:val="none"/>
                      <w:lang w:val="en-US" w:eastAsia="zh-CN" w:bidi="ar"/>
                    </w:rPr>
                    <w:t>不涉及</w:t>
                  </w:r>
                  <w:r>
                    <w:rPr>
                      <w:rFonts w:hint="default"/>
                      <w:b w:val="0"/>
                      <w:bCs w:val="0"/>
                      <w:color w:val="auto"/>
                      <w:sz w:val="21"/>
                      <w:szCs w:val="21"/>
                      <w:highlight w:val="none"/>
                      <w:lang w:bidi="ar"/>
                    </w:rPr>
                    <w:t>再生水循环利用</w:t>
                  </w:r>
                  <w:r>
                    <w:rPr>
                      <w:rFonts w:hint="eastAsia"/>
                      <w:b w:val="0"/>
                      <w:bCs w:val="0"/>
                      <w:color w:val="auto"/>
                      <w:sz w:val="21"/>
                      <w:szCs w:val="21"/>
                      <w:highlight w:val="none"/>
                      <w:lang w:eastAsia="zh-CN" w:bidi="ar"/>
                    </w:rPr>
                    <w:t>；</w:t>
                  </w:r>
                </w:p>
                <w:p w14:paraId="4C06ED15">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eastAsiaTheme="minorEastAsia"/>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
                    </w:rPr>
                    <w:t>3.</w:t>
                  </w:r>
                  <w:r>
                    <w:rPr>
                      <w:rFonts w:hint="eastAsia" w:ascii="Times New Roman" w:hAnsi="Times New Roman" w:eastAsia="宋体" w:cs="Times New Roman"/>
                      <w:b w:val="0"/>
                      <w:bCs w:val="0"/>
                      <w:color w:val="auto"/>
                      <w:kern w:val="0"/>
                      <w:sz w:val="21"/>
                      <w:szCs w:val="21"/>
                      <w:highlight w:val="none"/>
                      <w:lang w:val="en-US" w:eastAsia="zh-CN" w:bidi="ar"/>
                    </w:rPr>
                    <w:t>本项目距离</w:t>
                  </w:r>
                  <w:r>
                    <w:rPr>
                      <w:rFonts w:hint="default"/>
                      <w:b w:val="0"/>
                      <w:bCs w:val="0"/>
                      <w:color w:val="auto"/>
                      <w:sz w:val="21"/>
                      <w:szCs w:val="21"/>
                      <w:highlight w:val="none"/>
                      <w:lang w:bidi="ar"/>
                    </w:rPr>
                    <w:t>饮用水水源</w:t>
                  </w:r>
                  <w:r>
                    <w:rPr>
                      <w:rFonts w:hint="eastAsia"/>
                      <w:b w:val="0"/>
                      <w:bCs w:val="0"/>
                      <w:color w:val="auto"/>
                      <w:sz w:val="21"/>
                      <w:szCs w:val="21"/>
                      <w:highlight w:val="none"/>
                      <w:lang w:val="en-US" w:eastAsia="zh-CN" w:bidi="ar"/>
                    </w:rPr>
                    <w:t>较远，</w:t>
                  </w:r>
                  <w:r>
                    <w:rPr>
                      <w:rFonts w:hint="default"/>
                      <w:color w:val="auto"/>
                      <w:kern w:val="0"/>
                      <w:sz w:val="21"/>
                      <w:szCs w:val="21"/>
                      <w:highlight w:val="none"/>
                    </w:rPr>
                    <w:t>生活污水</w:t>
                  </w:r>
                  <w:r>
                    <w:rPr>
                      <w:rFonts w:hint="eastAsia"/>
                      <w:color w:val="auto"/>
                      <w:kern w:val="0"/>
                      <w:sz w:val="21"/>
                      <w:szCs w:val="21"/>
                      <w:highlight w:val="none"/>
                      <w:lang w:val="en-US" w:eastAsia="zh-CN"/>
                    </w:rPr>
                    <w:t>和循环冷却排污水</w:t>
                  </w: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r>
                    <w:rPr>
                      <w:rFonts w:hint="default" w:ascii="Times New Roman" w:hAnsi="Times New Roman" w:eastAsia="宋体" w:cs="Times New Roman"/>
                      <w:b w:val="0"/>
                      <w:bCs w:val="0"/>
                      <w:color w:val="auto"/>
                      <w:kern w:val="0"/>
                      <w:sz w:val="21"/>
                      <w:szCs w:val="21"/>
                      <w:highlight w:val="none"/>
                      <w:lang w:val="en-US" w:eastAsia="zh-CN" w:bidi="ar"/>
                    </w:rPr>
                    <w:t>；</w:t>
                  </w:r>
                  <w:r>
                    <w:rPr>
                      <w:rFonts w:hint="eastAsia" w:ascii="宋体" w:hAnsi="宋体" w:eastAsia="宋体" w:cs="宋体"/>
                      <w:b w:val="0"/>
                      <w:bCs w:val="0"/>
                      <w:color w:val="auto"/>
                      <w:kern w:val="0"/>
                      <w:sz w:val="21"/>
                      <w:szCs w:val="21"/>
                      <w:highlight w:val="none"/>
                      <w:lang w:val="en-US" w:eastAsia="zh-CN" w:bidi="ar"/>
                    </w:rPr>
                    <w:t>对</w:t>
                  </w:r>
                  <w:r>
                    <w:rPr>
                      <w:rFonts w:hint="default"/>
                      <w:b w:val="0"/>
                      <w:bCs w:val="0"/>
                      <w:color w:val="auto"/>
                      <w:sz w:val="21"/>
                      <w:szCs w:val="21"/>
                      <w:highlight w:val="none"/>
                      <w:lang w:bidi="ar"/>
                    </w:rPr>
                    <w:t>集中式饮用水水源保护区</w:t>
                  </w:r>
                  <w:r>
                    <w:rPr>
                      <w:rFonts w:hint="eastAsia"/>
                      <w:b w:val="0"/>
                      <w:bCs w:val="0"/>
                      <w:color w:val="auto"/>
                      <w:sz w:val="21"/>
                      <w:szCs w:val="21"/>
                      <w:highlight w:val="none"/>
                      <w:lang w:val="en-US" w:eastAsia="zh-CN" w:bidi="ar"/>
                    </w:rPr>
                    <w:t>影响较小；</w:t>
                  </w:r>
                </w:p>
                <w:p w14:paraId="0082882D">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default"/>
                      <w:b w:val="0"/>
                      <w:bCs w:val="0"/>
                      <w:color w:val="auto"/>
                      <w:sz w:val="21"/>
                      <w:szCs w:val="21"/>
                      <w:highlight w:val="none"/>
                      <w:lang w:val="en-US" w:bidi="ar"/>
                    </w:rPr>
                  </w:pPr>
                  <w:r>
                    <w:rPr>
                      <w:rFonts w:hint="default"/>
                      <w:b w:val="0"/>
                      <w:bCs w:val="0"/>
                      <w:color w:val="auto"/>
                      <w:sz w:val="21"/>
                      <w:szCs w:val="21"/>
                      <w:highlight w:val="none"/>
                      <w:lang w:val="en-US" w:eastAsia="zh-CN" w:bidi="ar"/>
                    </w:rPr>
                    <w:t>4.厂区实行雨污分流，</w:t>
                  </w:r>
                  <w:r>
                    <w:rPr>
                      <w:rFonts w:hint="eastAsia"/>
                      <w:b w:val="0"/>
                      <w:bCs w:val="0"/>
                      <w:color w:val="auto"/>
                      <w:sz w:val="21"/>
                      <w:szCs w:val="21"/>
                      <w:highlight w:val="none"/>
                      <w:lang w:val="en-US" w:eastAsia="zh-CN" w:bidi="ar"/>
                    </w:rPr>
                    <w:t>厂区内设有初期雨水收集池用于收集厂区前15min的初期雨水，后期雨水排入园区雨水管网；</w:t>
                  </w:r>
                </w:p>
                <w:p w14:paraId="4897D780">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eastAsia="zh-CN" w:bidi="ar"/>
                    </w:rPr>
                  </w:pPr>
                  <w:r>
                    <w:rPr>
                      <w:rFonts w:hint="default"/>
                      <w:b w:val="0"/>
                      <w:bCs w:val="0"/>
                      <w:color w:val="auto"/>
                      <w:sz w:val="21"/>
                      <w:szCs w:val="21"/>
                      <w:highlight w:val="none"/>
                      <w:lang w:val="en-US" w:eastAsia="zh-CN" w:bidi="ar"/>
                    </w:rPr>
                    <w:t>5.</w:t>
                  </w:r>
                  <w:r>
                    <w:rPr>
                      <w:rFonts w:hint="eastAsia"/>
                      <w:b w:val="0"/>
                      <w:bCs w:val="0"/>
                      <w:color w:val="auto"/>
                      <w:sz w:val="21"/>
                      <w:szCs w:val="21"/>
                      <w:highlight w:val="none"/>
                      <w:lang w:val="en-US" w:eastAsia="zh-CN" w:bidi="ar"/>
                    </w:rPr>
                    <w:t>本项目不涉</w:t>
                  </w:r>
                  <w:r>
                    <w:rPr>
                      <w:rFonts w:hint="default"/>
                      <w:b w:val="0"/>
                      <w:bCs w:val="0"/>
                      <w:color w:val="auto"/>
                      <w:sz w:val="21"/>
                      <w:szCs w:val="21"/>
                      <w:lang w:bidi="ar"/>
                    </w:rPr>
                    <w:t>煤</w:t>
                  </w:r>
                  <w:r>
                    <w:rPr>
                      <w:rFonts w:hint="eastAsia"/>
                      <w:b w:val="0"/>
                      <w:bCs w:val="0"/>
                      <w:color w:val="auto"/>
                      <w:sz w:val="21"/>
                      <w:szCs w:val="21"/>
                      <w:highlight w:val="none"/>
                      <w:lang w:eastAsia="zh-CN" w:bidi="ar"/>
                    </w:rPr>
                    <w:t>；</w:t>
                  </w:r>
                </w:p>
                <w:p w14:paraId="22E2A70B">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eastAsia="zh-CN"/>
                    </w:rPr>
                  </w:pPr>
                  <w:r>
                    <w:rPr>
                      <w:rFonts w:hint="default" w:ascii="Times New Roman" w:hAnsi="Times New Roman" w:eastAsia="宋体" w:cs="Times New Roman"/>
                      <w:b w:val="0"/>
                      <w:bCs w:val="0"/>
                      <w:color w:val="auto"/>
                      <w:kern w:val="0"/>
                      <w:sz w:val="21"/>
                      <w:szCs w:val="21"/>
                      <w:highlight w:val="none"/>
                      <w:lang w:val="en-US" w:eastAsia="zh-CN" w:bidi="ar"/>
                    </w:rPr>
                    <w:t>6.</w:t>
                  </w:r>
                  <w:r>
                    <w:rPr>
                      <w:rFonts w:hint="eastAsia"/>
                      <w:b w:val="0"/>
                      <w:bCs w:val="0"/>
                      <w:color w:val="auto"/>
                      <w:sz w:val="21"/>
                      <w:szCs w:val="21"/>
                      <w:highlight w:val="none"/>
                      <w:lang w:val="en-US" w:eastAsia="zh-CN" w:bidi="ar"/>
                    </w:rPr>
                    <w:t>本项目</w:t>
                  </w:r>
                  <w:r>
                    <w:rPr>
                      <w:rFonts w:hint="eastAsia" w:ascii="宋体" w:hAnsi="宋体" w:eastAsia="宋体" w:cs="宋体"/>
                      <w:b w:val="0"/>
                      <w:bCs w:val="0"/>
                      <w:color w:val="auto"/>
                      <w:kern w:val="0"/>
                      <w:sz w:val="21"/>
                      <w:szCs w:val="21"/>
                      <w:highlight w:val="none"/>
                      <w:lang w:val="en-US" w:eastAsia="zh-CN" w:bidi="ar"/>
                    </w:rPr>
                    <w:t>不属于</w:t>
                  </w:r>
                  <w:r>
                    <w:rPr>
                      <w:rFonts w:hint="default"/>
                      <w:b w:val="0"/>
                      <w:bCs w:val="0"/>
                      <w:color w:val="auto"/>
                      <w:sz w:val="21"/>
                      <w:szCs w:val="21"/>
                      <w:highlight w:val="none"/>
                      <w:lang w:bidi="ar"/>
                    </w:rPr>
                    <w:t>高耗能、高排放项目</w:t>
                  </w:r>
                  <w:r>
                    <w:rPr>
                      <w:rFonts w:hint="eastAsia"/>
                      <w:b w:val="0"/>
                      <w:bCs w:val="0"/>
                      <w:color w:val="auto"/>
                      <w:sz w:val="21"/>
                      <w:szCs w:val="21"/>
                      <w:highlight w:val="none"/>
                      <w:lang w:eastAsia="zh-CN" w:bidi="ar"/>
                    </w:rPr>
                    <w:t>；</w:t>
                  </w:r>
                </w:p>
                <w:p w14:paraId="422F301E">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eastAsia="zh-CN"/>
                    </w:rPr>
                  </w:pPr>
                  <w:r>
                    <w:rPr>
                      <w:rFonts w:hint="default" w:ascii="Times New Roman" w:hAnsi="Times New Roman" w:eastAsia="宋体" w:cs="Times New Roman"/>
                      <w:b w:val="0"/>
                      <w:bCs w:val="0"/>
                      <w:color w:val="auto"/>
                      <w:kern w:val="0"/>
                      <w:sz w:val="21"/>
                      <w:szCs w:val="21"/>
                      <w:highlight w:val="none"/>
                      <w:lang w:val="en-US" w:eastAsia="zh-CN" w:bidi="ar"/>
                    </w:rPr>
                    <w:t>7.</w:t>
                  </w:r>
                  <w:r>
                    <w:rPr>
                      <w:rFonts w:hint="eastAsia"/>
                      <w:b w:val="0"/>
                      <w:bCs w:val="0"/>
                      <w:color w:val="auto"/>
                      <w:sz w:val="21"/>
                      <w:szCs w:val="21"/>
                      <w:highlight w:val="none"/>
                      <w:lang w:val="en-US" w:eastAsia="zh-CN" w:bidi="ar"/>
                    </w:rPr>
                    <w:t>本项目</w:t>
                  </w:r>
                  <w:r>
                    <w:rPr>
                      <w:rFonts w:hint="eastAsia" w:ascii="宋体" w:hAnsi="宋体" w:eastAsia="宋体" w:cs="宋体"/>
                      <w:b w:val="0"/>
                      <w:bCs w:val="0"/>
                      <w:color w:val="auto"/>
                      <w:kern w:val="0"/>
                      <w:sz w:val="21"/>
                      <w:szCs w:val="21"/>
                      <w:highlight w:val="none"/>
                      <w:lang w:val="en-US" w:eastAsia="zh-CN" w:bidi="ar"/>
                    </w:rPr>
                    <w:t>不涉及</w:t>
                  </w:r>
                  <w:r>
                    <w:rPr>
                      <w:rFonts w:hint="default"/>
                      <w:b w:val="0"/>
                      <w:bCs w:val="0"/>
                      <w:color w:val="auto"/>
                      <w:sz w:val="21"/>
                      <w:szCs w:val="21"/>
                      <w:highlight w:val="none"/>
                      <w:lang w:bidi="ar"/>
                    </w:rPr>
                    <w:t>灌溉</w:t>
                  </w:r>
                  <w:r>
                    <w:rPr>
                      <w:rFonts w:hint="eastAsia"/>
                      <w:b w:val="0"/>
                      <w:bCs w:val="0"/>
                      <w:color w:val="auto"/>
                      <w:sz w:val="21"/>
                      <w:szCs w:val="21"/>
                      <w:highlight w:val="none"/>
                      <w:lang w:eastAsia="zh-CN" w:bidi="ar"/>
                    </w:rPr>
                    <w:t>；</w:t>
                  </w:r>
                </w:p>
                <w:p w14:paraId="48764498">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b w:val="0"/>
                      <w:bCs w:val="0"/>
                      <w:color w:val="auto"/>
                      <w:sz w:val="21"/>
                      <w:szCs w:val="21"/>
                      <w:highlight w:val="none"/>
                      <w:lang w:val="en-US" w:eastAsia="zh-CN" w:bidi="ar"/>
                    </w:rPr>
                  </w:pPr>
                  <w:r>
                    <w:rPr>
                      <w:rFonts w:hint="default"/>
                      <w:b w:val="0"/>
                      <w:bCs w:val="0"/>
                      <w:color w:val="auto"/>
                      <w:sz w:val="21"/>
                      <w:szCs w:val="21"/>
                      <w:highlight w:val="none"/>
                      <w:lang w:val="en-US" w:eastAsia="zh-CN" w:bidi="ar"/>
                    </w:rPr>
                    <w:t>8.</w:t>
                  </w:r>
                  <w:r>
                    <w:rPr>
                      <w:rFonts w:hint="eastAsia"/>
                      <w:b w:val="0"/>
                      <w:bCs w:val="0"/>
                      <w:color w:val="auto"/>
                      <w:sz w:val="21"/>
                      <w:szCs w:val="21"/>
                      <w:highlight w:val="none"/>
                      <w:lang w:val="en-US" w:eastAsia="zh-CN" w:bidi="ar"/>
                    </w:rPr>
                    <w:t>本项目不涉及</w:t>
                  </w:r>
                  <w:r>
                    <w:rPr>
                      <w:rFonts w:hint="default"/>
                      <w:b w:val="0"/>
                      <w:bCs w:val="0"/>
                      <w:color w:val="auto"/>
                      <w:sz w:val="21"/>
                      <w:szCs w:val="21"/>
                      <w:highlight w:val="none"/>
                      <w:lang w:val="en-US" w:eastAsia="zh-CN" w:bidi="ar"/>
                    </w:rPr>
                    <w:t>再生水利用</w:t>
                  </w:r>
                  <w:r>
                    <w:rPr>
                      <w:rFonts w:hint="eastAsia"/>
                      <w:b w:val="0"/>
                      <w:bCs w:val="0"/>
                      <w:color w:val="auto"/>
                      <w:sz w:val="21"/>
                      <w:szCs w:val="21"/>
                      <w:highlight w:val="none"/>
                      <w:lang w:val="en-US" w:eastAsia="zh-CN" w:bidi="ar"/>
                    </w:rPr>
                    <w:t>；</w:t>
                  </w:r>
                </w:p>
                <w:p w14:paraId="17E28A35">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b w:val="0"/>
                      <w:bCs w:val="0"/>
                      <w:color w:val="auto"/>
                      <w:sz w:val="21"/>
                      <w:szCs w:val="21"/>
                      <w:highlight w:val="none"/>
                      <w:lang w:val="en-US" w:eastAsia="zh-CN" w:bidi="ar"/>
                    </w:rPr>
                  </w:pPr>
                  <w:r>
                    <w:rPr>
                      <w:rFonts w:hint="default"/>
                      <w:b w:val="0"/>
                      <w:bCs w:val="0"/>
                      <w:color w:val="auto"/>
                      <w:sz w:val="21"/>
                      <w:szCs w:val="21"/>
                      <w:highlight w:val="none"/>
                      <w:lang w:val="en-US" w:eastAsia="zh-CN" w:bidi="ar"/>
                    </w:rPr>
                    <w:t>9.</w:t>
                  </w:r>
                  <w:r>
                    <w:rPr>
                      <w:rFonts w:hint="eastAsia"/>
                      <w:b w:val="0"/>
                      <w:bCs w:val="0"/>
                      <w:color w:val="auto"/>
                      <w:sz w:val="21"/>
                      <w:szCs w:val="21"/>
                      <w:highlight w:val="none"/>
                      <w:lang w:val="en-US" w:eastAsia="zh-CN" w:bidi="ar"/>
                    </w:rPr>
                    <w:t>本项目不涉及</w:t>
                  </w:r>
                  <w:r>
                    <w:rPr>
                      <w:rFonts w:hint="default"/>
                      <w:b w:val="0"/>
                      <w:bCs w:val="0"/>
                      <w:color w:val="auto"/>
                      <w:sz w:val="21"/>
                      <w:szCs w:val="21"/>
                      <w:highlight w:val="none"/>
                      <w:lang w:val="en-US" w:eastAsia="zh-CN" w:bidi="ar"/>
                    </w:rPr>
                    <w:t>农村生活污水治理</w:t>
                  </w:r>
                  <w:r>
                    <w:rPr>
                      <w:rFonts w:hint="eastAsia"/>
                      <w:b w:val="0"/>
                      <w:bCs w:val="0"/>
                      <w:color w:val="auto"/>
                      <w:sz w:val="21"/>
                      <w:szCs w:val="21"/>
                      <w:highlight w:val="none"/>
                      <w:lang w:val="en-US" w:eastAsia="zh-CN" w:bidi="ar"/>
                    </w:rPr>
                    <w:t>；</w:t>
                  </w:r>
                </w:p>
                <w:p w14:paraId="3AEC598B">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both"/>
                    <w:textAlignment w:val="auto"/>
                    <w:rPr>
                      <w:rFonts w:hint="eastAsia" w:eastAsiaTheme="minorEastAsia"/>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
                    </w:rPr>
                    <w:t>10.</w:t>
                  </w:r>
                  <w:r>
                    <w:rPr>
                      <w:rFonts w:hint="eastAsia"/>
                      <w:b w:val="0"/>
                      <w:bCs w:val="0"/>
                      <w:color w:val="auto"/>
                      <w:sz w:val="21"/>
                      <w:szCs w:val="21"/>
                      <w:highlight w:val="none"/>
                      <w:lang w:val="en-US" w:eastAsia="zh-CN" w:bidi="ar"/>
                    </w:rPr>
                    <w:t>本项目</w:t>
                  </w:r>
                  <w:r>
                    <w:rPr>
                      <w:rFonts w:hint="eastAsia" w:ascii="宋体" w:hAnsi="宋体" w:eastAsia="宋体" w:cs="宋体"/>
                      <w:b w:val="0"/>
                      <w:bCs w:val="0"/>
                      <w:color w:val="auto"/>
                      <w:kern w:val="0"/>
                      <w:sz w:val="21"/>
                      <w:szCs w:val="21"/>
                      <w:highlight w:val="none"/>
                      <w:lang w:val="en-US" w:eastAsia="zh-CN" w:bidi="ar"/>
                    </w:rPr>
                    <w:t>不属于</w:t>
                  </w:r>
                  <w:r>
                    <w:rPr>
                      <w:rFonts w:hint="default"/>
                      <w:b w:val="0"/>
                      <w:bCs w:val="0"/>
                      <w:color w:val="auto"/>
                      <w:sz w:val="21"/>
                      <w:szCs w:val="21"/>
                      <w:highlight w:val="none"/>
                      <w:lang w:bidi="ar"/>
                    </w:rPr>
                    <w:t>畜禽</w:t>
                  </w:r>
                  <w:r>
                    <w:rPr>
                      <w:rFonts w:hint="eastAsia"/>
                      <w:b w:val="0"/>
                      <w:bCs w:val="0"/>
                      <w:color w:val="auto"/>
                      <w:sz w:val="21"/>
                      <w:szCs w:val="21"/>
                      <w:highlight w:val="none"/>
                      <w:lang w:val="en-US" w:eastAsia="zh-CN" w:bidi="ar"/>
                    </w:rPr>
                    <w:t>行业；</w:t>
                  </w:r>
                </w:p>
                <w:p w14:paraId="4A9EEF59">
                  <w:pPr>
                    <w:keepNext w:val="0"/>
                    <w:keepLines w:val="0"/>
                    <w:pageBreakBefore w:val="0"/>
                    <w:suppressLineNumbers w:val="0"/>
                    <w:kinsoku/>
                    <w:wordWrap/>
                    <w:overflowPunct/>
                    <w:topLinePunct w:val="0"/>
                    <w:bidi w:val="0"/>
                    <w:spacing w:before="0" w:beforeAutospacing="0" w:after="0" w:afterAutospacing="0" w:line="240" w:lineRule="auto"/>
                    <w:ind w:left="0" w:right="0"/>
                    <w:jc w:val="both"/>
                    <w:textAlignment w:val="auto"/>
                    <w:rPr>
                      <w:rFonts w:hint="default" w:ascii="Times New Roman" w:hAnsi="Times New Roman" w:eastAsia="宋体" w:cs="宋体"/>
                      <w:b w:val="0"/>
                      <w:bCs w:val="0"/>
                      <w:color w:val="auto"/>
                      <w:kern w:val="2"/>
                      <w:sz w:val="21"/>
                      <w:szCs w:val="21"/>
                      <w:highlight w:val="yellow"/>
                      <w:vertAlign w:val="baseli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11.本项目</w:t>
                  </w:r>
                  <w:r>
                    <w:rPr>
                      <w:rFonts w:hint="default"/>
                      <w:color w:val="auto"/>
                      <w:kern w:val="0"/>
                      <w:sz w:val="21"/>
                      <w:szCs w:val="21"/>
                      <w:highlight w:val="none"/>
                    </w:rPr>
                    <w:t>生活污水</w:t>
                  </w:r>
                  <w:r>
                    <w:rPr>
                      <w:rFonts w:hint="eastAsia"/>
                      <w:color w:val="auto"/>
                      <w:kern w:val="0"/>
                      <w:sz w:val="21"/>
                      <w:szCs w:val="21"/>
                      <w:highlight w:val="none"/>
                      <w:lang w:val="en-US" w:eastAsia="zh-CN"/>
                    </w:rPr>
                    <w:t>和循环冷却排污水</w:t>
                  </w: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r>
                    <w:rPr>
                      <w:rFonts w:hint="eastAsia"/>
                      <w:b w:val="0"/>
                      <w:bCs w:val="0"/>
                      <w:color w:val="auto"/>
                      <w:sz w:val="21"/>
                      <w:szCs w:val="21"/>
                      <w:highlight w:val="none"/>
                      <w:lang w:val="en-US" w:eastAsia="zh-CN" w:bidi="ar"/>
                    </w:rPr>
                    <w:t>。</w:t>
                  </w:r>
                </w:p>
              </w:tc>
              <w:tc>
                <w:tcPr>
                  <w:tcW w:w="366" w:type="pct"/>
                  <w:vAlign w:val="center"/>
                </w:tcPr>
                <w:p w14:paraId="3E9B0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宋体"/>
                      <w:b w:val="0"/>
                      <w:bCs w:val="0"/>
                      <w:color w:val="auto"/>
                      <w:kern w:val="2"/>
                      <w:sz w:val="21"/>
                      <w:szCs w:val="21"/>
                      <w:vertAlign w:val="baseline"/>
                      <w:lang w:val="en-US" w:eastAsia="zh-CN" w:bidi="ar"/>
                    </w:rPr>
                  </w:pPr>
                  <w:r>
                    <w:rPr>
                      <w:rFonts w:hint="eastAsia" w:cs="宋体"/>
                      <w:b w:val="0"/>
                      <w:bCs w:val="0"/>
                      <w:color w:val="auto"/>
                      <w:kern w:val="2"/>
                      <w:sz w:val="21"/>
                      <w:szCs w:val="21"/>
                      <w:vertAlign w:val="baseline"/>
                      <w:lang w:val="en-US" w:eastAsia="zh-CN" w:bidi="ar"/>
                    </w:rPr>
                    <w:t>符合</w:t>
                  </w:r>
                </w:p>
              </w:tc>
            </w:tr>
          </w:tbl>
          <w:p w14:paraId="2E90A58D">
            <w:pPr>
              <w:pStyle w:val="27"/>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cs="Times New Roman"/>
                <w:b w:val="0"/>
                <w:bCs w:val="0"/>
                <w:color w:val="auto"/>
                <w:kern w:val="2"/>
                <w:lang w:val="en-US"/>
              </w:rPr>
            </w:pPr>
            <w:r>
              <w:rPr>
                <w:rFonts w:hint="eastAsia" w:ascii="Times New Roman" w:hAnsi="Times New Roman" w:cs="Times New Roman"/>
                <w:b/>
                <w:bCs/>
                <w:color w:val="auto"/>
                <w:kern w:val="2"/>
                <w:sz w:val="24"/>
                <w:szCs w:val="24"/>
                <w:lang w:val="en-US" w:eastAsia="zh-CN" w:bidi="ar"/>
              </w:rPr>
              <w:t>3、</w:t>
            </w:r>
            <w:r>
              <w:rPr>
                <w:rFonts w:hint="eastAsia" w:ascii="Times New Roman" w:hAnsi="Times New Roman" w:eastAsia="宋体" w:cs="Times New Roman"/>
                <w:b/>
                <w:bCs/>
                <w:color w:val="auto"/>
                <w:kern w:val="2"/>
                <w:sz w:val="24"/>
                <w:szCs w:val="24"/>
                <w:lang w:val="en-US" w:eastAsia="zh-CN" w:bidi="ar"/>
              </w:rPr>
              <w:t>与相关生态环境保护法律法规政策、生态环境保护规划的符合性分析</w:t>
            </w:r>
          </w:p>
          <w:p w14:paraId="1D36066E">
            <w:pPr>
              <w:pStyle w:val="6"/>
              <w:keepNext/>
              <w:keepLines/>
              <w:pageBreakBefore w:val="0"/>
              <w:widowControl/>
              <w:suppressLineNumbers w:val="0"/>
              <w:kinsoku/>
              <w:wordWrap/>
              <w:overflowPunct/>
              <w:topLinePunct w:val="0"/>
              <w:autoSpaceDE/>
              <w:autoSpaceDN/>
              <w:bidi w:val="0"/>
              <w:adjustRightInd/>
              <w:snapToGrid/>
              <w:spacing w:before="0" w:beforeLines="0" w:beforeAutospacing="0" w:after="0" w:afterAutospacing="0" w:line="480" w:lineRule="exact"/>
              <w:ind w:left="0" w:right="0" w:firstLine="480" w:firstLineChars="200"/>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w:t>
            </w:r>
            <w:bookmarkStart w:id="4" w:name="_Hlk82075314"/>
            <w:r>
              <w:rPr>
                <w:rFonts w:hint="default" w:ascii="Times New Roman" w:hAnsi="Times New Roman" w:eastAsia="宋体" w:cs="Times New Roman"/>
                <w:b w:val="0"/>
                <w:bCs w:val="0"/>
                <w:color w:val="auto"/>
                <w:kern w:val="2"/>
                <w:sz w:val="24"/>
                <w:szCs w:val="24"/>
                <w:lang w:val="en-US" w:eastAsia="zh-CN" w:bidi="ar"/>
              </w:rPr>
              <w:t>县城集中饮用水源地</w:t>
            </w:r>
            <w:bookmarkEnd w:id="4"/>
          </w:p>
          <w:p w14:paraId="4CC30333">
            <w:pPr>
              <w:keepNext w:val="0"/>
              <w:keepLines w:val="0"/>
              <w:widowControl w:val="0"/>
              <w:suppressLineNumbers w:val="0"/>
              <w:spacing w:before="0" w:beforeAutospacing="0" w:after="0" w:afterAutospacing="0" w:line="480" w:lineRule="exact"/>
              <w:ind w:left="0" w:right="0" w:firstLine="480" w:firstLineChars="200"/>
              <w:jc w:val="both"/>
              <w:rPr>
                <w:rFonts w:hint="default"/>
                <w:b w:val="0"/>
                <w:bCs w:val="0"/>
                <w:color w:val="auto"/>
                <w:sz w:val="24"/>
                <w:szCs w:val="21"/>
                <w:lang w:val="en-US"/>
              </w:rPr>
            </w:pPr>
            <w:r>
              <w:rPr>
                <w:rFonts w:hint="eastAsia" w:ascii="Times New Roman" w:hAnsi="Times New Roman" w:eastAsia="宋体" w:cs="宋体"/>
                <w:b w:val="0"/>
                <w:bCs w:val="0"/>
                <w:color w:val="auto"/>
                <w:kern w:val="2"/>
                <w:sz w:val="24"/>
                <w:szCs w:val="21"/>
                <w:lang w:val="en-US" w:eastAsia="zh-CN" w:bidi="ar"/>
              </w:rPr>
              <w:t>根据《屯留县城水源地保护区划分技术报告》，屯留区有席店和屯降两处水源地保护区。席店水源地保护区范围为东自郭村西一线，西自刘家坪西南一线，北起刘家坪南一线，南到罗庄席店东一线，由以上圈点的面积为</w:t>
            </w:r>
            <w:r>
              <w:rPr>
                <w:rFonts w:hint="default" w:ascii="Times New Roman" w:hAnsi="Times New Roman" w:eastAsia="宋体" w:cs="Times New Roman"/>
                <w:b w:val="0"/>
                <w:bCs w:val="0"/>
                <w:color w:val="auto"/>
                <w:kern w:val="2"/>
                <w:sz w:val="24"/>
                <w:szCs w:val="21"/>
                <w:lang w:val="en-US" w:eastAsia="zh-CN" w:bidi="ar"/>
              </w:rPr>
              <w:t>1.85km</w:t>
            </w:r>
            <w:r>
              <w:rPr>
                <w:rFonts w:hint="default" w:ascii="Times New Roman" w:hAnsi="Times New Roman" w:eastAsia="宋体" w:cs="Times New Roman"/>
                <w:b w:val="0"/>
                <w:bCs w:val="0"/>
                <w:color w:val="auto"/>
                <w:kern w:val="2"/>
                <w:sz w:val="24"/>
                <w:szCs w:val="21"/>
                <w:vertAlign w:val="superscript"/>
                <w:lang w:val="en-US" w:eastAsia="zh-CN" w:bidi="ar"/>
              </w:rPr>
              <w:t>2</w:t>
            </w:r>
            <w:r>
              <w:rPr>
                <w:rFonts w:hint="eastAsia" w:ascii="Times New Roman" w:hAnsi="Times New Roman" w:eastAsia="宋体" w:cs="宋体"/>
                <w:b w:val="0"/>
                <w:bCs w:val="0"/>
                <w:color w:val="auto"/>
                <w:kern w:val="2"/>
                <w:sz w:val="24"/>
                <w:szCs w:val="21"/>
                <w:lang w:val="en-US" w:eastAsia="zh-CN" w:bidi="ar"/>
              </w:rPr>
              <w:t>。屯降水库水源地保护区范围为屯降水库水面及水库上游</w:t>
            </w:r>
            <w:r>
              <w:rPr>
                <w:rFonts w:hint="default" w:ascii="Times New Roman" w:hAnsi="Times New Roman" w:eastAsia="宋体" w:cs="Times New Roman"/>
                <w:b w:val="0"/>
                <w:bCs w:val="0"/>
                <w:color w:val="auto"/>
                <w:kern w:val="2"/>
                <w:sz w:val="24"/>
                <w:szCs w:val="21"/>
                <w:lang w:val="en-US" w:eastAsia="zh-CN" w:bidi="ar"/>
              </w:rPr>
              <w:t>1000m</w:t>
            </w:r>
            <w:r>
              <w:rPr>
                <w:rFonts w:hint="eastAsia" w:ascii="Times New Roman" w:hAnsi="Times New Roman" w:eastAsia="宋体" w:cs="宋体"/>
                <w:b w:val="0"/>
                <w:bCs w:val="0"/>
                <w:color w:val="auto"/>
                <w:kern w:val="2"/>
                <w:sz w:val="24"/>
                <w:szCs w:val="21"/>
                <w:lang w:val="en-US" w:eastAsia="zh-CN" w:bidi="ar"/>
              </w:rPr>
              <w:t>的水面和陆面。厂址位置距离席店和屯降两处水源地保护区分别为</w:t>
            </w:r>
            <w:r>
              <w:rPr>
                <w:rFonts w:hint="eastAsia" w:cs="Times New Roman"/>
                <w:b w:val="0"/>
                <w:bCs w:val="0"/>
                <w:color w:val="auto"/>
                <w:kern w:val="2"/>
                <w:sz w:val="24"/>
                <w:szCs w:val="21"/>
                <w:highlight w:val="none"/>
                <w:lang w:val="en-US" w:eastAsia="zh-CN" w:bidi="ar"/>
              </w:rPr>
              <w:t>6.7</w:t>
            </w:r>
            <w:r>
              <w:rPr>
                <w:rFonts w:hint="default" w:ascii="Times New Roman" w:hAnsi="Times New Roman" w:eastAsia="宋体" w:cs="Times New Roman"/>
                <w:b w:val="0"/>
                <w:bCs w:val="0"/>
                <w:color w:val="auto"/>
                <w:kern w:val="2"/>
                <w:sz w:val="24"/>
                <w:szCs w:val="21"/>
                <w:highlight w:val="none"/>
                <w:lang w:val="en-US" w:eastAsia="zh-CN" w:bidi="ar"/>
              </w:rPr>
              <w:t>km</w:t>
            </w:r>
            <w:r>
              <w:rPr>
                <w:rFonts w:hint="eastAsia" w:ascii="Times New Roman" w:hAnsi="Times New Roman" w:eastAsia="宋体" w:cs="宋体"/>
                <w:b w:val="0"/>
                <w:bCs w:val="0"/>
                <w:color w:val="auto"/>
                <w:kern w:val="2"/>
                <w:sz w:val="24"/>
                <w:szCs w:val="21"/>
                <w:highlight w:val="none"/>
                <w:lang w:val="en-US" w:eastAsia="zh-CN" w:bidi="ar"/>
              </w:rPr>
              <w:t>和</w:t>
            </w:r>
            <w:r>
              <w:rPr>
                <w:rFonts w:hint="default" w:ascii="Times New Roman" w:hAnsi="Times New Roman" w:eastAsia="宋体" w:cs="Times New Roman"/>
                <w:b w:val="0"/>
                <w:bCs w:val="0"/>
                <w:color w:val="auto"/>
                <w:kern w:val="2"/>
                <w:sz w:val="24"/>
                <w:szCs w:val="21"/>
                <w:highlight w:val="none"/>
                <w:lang w:val="en-US" w:eastAsia="zh-CN" w:bidi="ar"/>
              </w:rPr>
              <w:t>1</w:t>
            </w:r>
            <w:r>
              <w:rPr>
                <w:rFonts w:hint="eastAsia" w:cs="Times New Roman"/>
                <w:b w:val="0"/>
                <w:bCs w:val="0"/>
                <w:color w:val="auto"/>
                <w:kern w:val="2"/>
                <w:sz w:val="24"/>
                <w:szCs w:val="21"/>
                <w:highlight w:val="none"/>
                <w:lang w:val="en-US" w:eastAsia="zh-CN" w:bidi="ar"/>
              </w:rPr>
              <w:t>7.4</w:t>
            </w:r>
            <w:r>
              <w:rPr>
                <w:rFonts w:hint="default" w:ascii="Times New Roman" w:hAnsi="Times New Roman" w:eastAsia="宋体" w:cs="Times New Roman"/>
                <w:b w:val="0"/>
                <w:bCs w:val="0"/>
                <w:color w:val="auto"/>
                <w:kern w:val="2"/>
                <w:sz w:val="24"/>
                <w:szCs w:val="21"/>
                <w:highlight w:val="none"/>
                <w:lang w:val="en-US" w:eastAsia="zh-CN" w:bidi="ar"/>
              </w:rPr>
              <w:t>km</w:t>
            </w:r>
            <w:r>
              <w:rPr>
                <w:rFonts w:hint="eastAsia" w:ascii="Times New Roman" w:hAnsi="Times New Roman" w:eastAsia="宋体" w:cs="宋体"/>
                <w:b w:val="0"/>
                <w:bCs w:val="0"/>
                <w:color w:val="auto"/>
                <w:kern w:val="2"/>
                <w:sz w:val="24"/>
                <w:szCs w:val="21"/>
                <w:highlight w:val="none"/>
                <w:lang w:val="en-US" w:eastAsia="zh-CN" w:bidi="ar"/>
              </w:rPr>
              <w:t>，</w:t>
            </w:r>
            <w:r>
              <w:rPr>
                <w:rFonts w:hint="eastAsia" w:ascii="Times New Roman" w:hAnsi="Times New Roman" w:eastAsia="宋体" w:cs="宋体"/>
                <w:b w:val="0"/>
                <w:bCs w:val="0"/>
                <w:color w:val="auto"/>
                <w:kern w:val="2"/>
                <w:sz w:val="24"/>
                <w:szCs w:val="21"/>
                <w:lang w:val="en-US" w:eastAsia="zh-CN" w:bidi="ar"/>
              </w:rPr>
              <w:t>不会对水源地造成影响。本项目与屯留区县城水源地保护区相对位置关系图见附图</w:t>
            </w:r>
            <w:r>
              <w:rPr>
                <w:rFonts w:hint="eastAsia" w:cs="Times New Roman"/>
                <w:b w:val="0"/>
                <w:bCs w:val="0"/>
                <w:color w:val="auto"/>
                <w:kern w:val="2"/>
                <w:sz w:val="24"/>
                <w:szCs w:val="21"/>
                <w:lang w:val="en-US" w:eastAsia="zh-CN" w:bidi="ar"/>
              </w:rPr>
              <w:t>8</w:t>
            </w:r>
            <w:r>
              <w:rPr>
                <w:rFonts w:hint="eastAsia" w:ascii="Times New Roman" w:hAnsi="Times New Roman" w:eastAsia="宋体" w:cs="宋体"/>
                <w:b w:val="0"/>
                <w:bCs w:val="0"/>
                <w:color w:val="auto"/>
                <w:kern w:val="2"/>
                <w:sz w:val="24"/>
                <w:szCs w:val="21"/>
                <w:lang w:val="en-US" w:eastAsia="zh-CN" w:bidi="ar"/>
              </w:rPr>
              <w:t>。</w:t>
            </w:r>
          </w:p>
          <w:p w14:paraId="141FC4CE">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w:t>
            </w:r>
            <w:r>
              <w:rPr>
                <w:rFonts w:hint="eastAsia"/>
                <w:b w:val="0"/>
                <w:bCs w:val="0"/>
                <w:color w:val="auto"/>
                <w:sz w:val="24"/>
                <w:szCs w:val="21"/>
              </w:rPr>
              <w:t>2</w:t>
            </w:r>
            <w:r>
              <w:rPr>
                <w:rFonts w:hint="default"/>
                <w:b w:val="0"/>
                <w:bCs w:val="0"/>
                <w:color w:val="auto"/>
                <w:sz w:val="24"/>
                <w:szCs w:val="21"/>
              </w:rPr>
              <w:t>）</w:t>
            </w:r>
            <w:r>
              <w:rPr>
                <w:rFonts w:hint="eastAsia"/>
                <w:b w:val="0"/>
                <w:bCs w:val="0"/>
                <w:color w:val="auto"/>
                <w:sz w:val="24"/>
                <w:szCs w:val="21"/>
              </w:rPr>
              <w:t>乡镇</w:t>
            </w:r>
            <w:r>
              <w:rPr>
                <w:rFonts w:hint="default"/>
                <w:b w:val="0"/>
                <w:bCs w:val="0"/>
                <w:color w:val="auto"/>
                <w:sz w:val="24"/>
                <w:szCs w:val="21"/>
              </w:rPr>
              <w:t>集中饮用水源地</w:t>
            </w:r>
          </w:p>
          <w:p w14:paraId="599EBC97">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eastAsia" w:ascii="Times New Roman" w:hAnsi="Times New Roman" w:eastAsia="宋体" w:cs="Times New Roman"/>
                <w:color w:val="auto"/>
                <w:sz w:val="24"/>
                <w:highlight w:val="none"/>
                <w:lang w:val="en-US" w:eastAsia="zh-CN"/>
              </w:rPr>
              <w:t>屯留区共有7个乡镇集中饮用水水源地，其中有6个乡镇集中供水水源地（上村镇、渔泽镇、吾元镇、张店镇、李高乡、河神庙乡集中供水水源地），1个开发区集中供水水源地（上莲开发区集中供水水源地），均为地下水型水源地，开采地下水类型包括岩溶裂隙水、砂岩裂隙水、第四系孔隙水，承压水和潜水类型均有。</w:t>
            </w:r>
          </w:p>
          <w:p w14:paraId="4BFFAC41">
            <w:pPr>
              <w:keepNext w:val="0"/>
              <w:keepLines w:val="0"/>
              <w:suppressLineNumbers w:val="0"/>
              <w:spacing w:before="0" w:beforeAutospacing="0" w:after="0" w:afterAutospacing="0" w:line="480" w:lineRule="exact"/>
              <w:ind w:left="0" w:right="0" w:firstLine="480" w:firstLineChars="200"/>
              <w:rPr>
                <w:rFonts w:hint="eastAsia"/>
                <w:b w:val="0"/>
                <w:bCs w:val="0"/>
                <w:color w:val="auto"/>
                <w:sz w:val="24"/>
                <w:szCs w:val="21"/>
                <w:highlight w:val="none"/>
              </w:rPr>
            </w:pPr>
            <w:r>
              <w:rPr>
                <w:rFonts w:hint="default"/>
                <w:b w:val="0"/>
                <w:bCs w:val="0"/>
                <w:color w:val="auto"/>
                <w:sz w:val="24"/>
                <w:szCs w:val="21"/>
                <w:highlight w:val="none"/>
              </w:rPr>
              <w:t>本项目厂址距离屯留</w:t>
            </w:r>
            <w:r>
              <w:rPr>
                <w:rFonts w:hint="eastAsia"/>
                <w:b w:val="0"/>
                <w:bCs w:val="0"/>
                <w:color w:val="auto"/>
                <w:sz w:val="24"/>
                <w:szCs w:val="21"/>
                <w:highlight w:val="none"/>
              </w:rPr>
              <w:t>区</w:t>
            </w:r>
            <w:r>
              <w:rPr>
                <w:rFonts w:hint="default"/>
                <w:b w:val="0"/>
                <w:bCs w:val="0"/>
                <w:color w:val="auto"/>
                <w:sz w:val="24"/>
                <w:szCs w:val="21"/>
                <w:highlight w:val="none"/>
              </w:rPr>
              <w:t>各乡镇集中供水水源地最近的为</w:t>
            </w:r>
            <w:r>
              <w:rPr>
                <w:rFonts w:hint="eastAsia"/>
                <w:b w:val="0"/>
                <w:bCs w:val="0"/>
                <w:color w:val="auto"/>
                <w:sz w:val="24"/>
                <w:szCs w:val="21"/>
                <w:highlight w:val="none"/>
                <w:lang w:val="en-US" w:eastAsia="zh-CN"/>
              </w:rPr>
              <w:t>李高乡</w:t>
            </w:r>
            <w:r>
              <w:rPr>
                <w:rFonts w:hint="eastAsia"/>
                <w:b w:val="0"/>
                <w:bCs w:val="0"/>
                <w:color w:val="auto"/>
                <w:sz w:val="24"/>
                <w:szCs w:val="21"/>
                <w:highlight w:val="none"/>
              </w:rPr>
              <w:t>集中供水水源</w:t>
            </w:r>
            <w:r>
              <w:rPr>
                <w:rFonts w:hint="default"/>
                <w:b w:val="0"/>
                <w:bCs w:val="0"/>
                <w:color w:val="auto"/>
                <w:sz w:val="24"/>
                <w:szCs w:val="21"/>
                <w:highlight w:val="none"/>
              </w:rPr>
              <w:t>，距离其一级保护区边界为</w:t>
            </w:r>
            <w:r>
              <w:rPr>
                <w:rFonts w:hint="eastAsia"/>
                <w:b w:val="0"/>
                <w:bCs w:val="0"/>
                <w:color w:val="auto"/>
                <w:sz w:val="24"/>
                <w:szCs w:val="21"/>
                <w:highlight w:val="none"/>
                <w:lang w:val="en-US" w:eastAsia="zh-CN"/>
              </w:rPr>
              <w:t>4.6</w:t>
            </w:r>
            <w:r>
              <w:rPr>
                <w:rFonts w:hint="default"/>
                <w:b w:val="0"/>
                <w:bCs w:val="0"/>
                <w:color w:val="auto"/>
                <w:sz w:val="24"/>
                <w:szCs w:val="21"/>
                <w:highlight w:val="none"/>
              </w:rPr>
              <w:t>km，距离较远。</w:t>
            </w:r>
            <w:r>
              <w:rPr>
                <w:rFonts w:hint="eastAsia"/>
                <w:b w:val="0"/>
                <w:bCs w:val="0"/>
                <w:color w:val="auto"/>
                <w:sz w:val="24"/>
                <w:szCs w:val="21"/>
                <w:highlight w:val="none"/>
              </w:rPr>
              <w:t>本项目与</w:t>
            </w:r>
            <w:bookmarkStart w:id="5" w:name="_Hlk120198576"/>
            <w:r>
              <w:rPr>
                <w:rFonts w:hint="eastAsia"/>
                <w:b w:val="0"/>
                <w:bCs w:val="0"/>
                <w:color w:val="auto"/>
                <w:sz w:val="24"/>
                <w:szCs w:val="21"/>
                <w:highlight w:val="none"/>
                <w:lang w:val="en-US" w:eastAsia="zh-CN"/>
              </w:rPr>
              <w:t>李高乡</w:t>
            </w:r>
            <w:r>
              <w:rPr>
                <w:rFonts w:hint="eastAsia"/>
                <w:b w:val="0"/>
                <w:bCs w:val="0"/>
                <w:color w:val="auto"/>
                <w:sz w:val="24"/>
                <w:szCs w:val="21"/>
                <w:highlight w:val="none"/>
              </w:rPr>
              <w:t>集中供水水源保护区</w:t>
            </w:r>
            <w:bookmarkEnd w:id="5"/>
            <w:r>
              <w:rPr>
                <w:rFonts w:hint="eastAsia"/>
                <w:b w:val="0"/>
                <w:bCs w:val="0"/>
                <w:color w:val="auto"/>
                <w:sz w:val="24"/>
                <w:szCs w:val="21"/>
                <w:highlight w:val="none"/>
              </w:rPr>
              <w:t>相对位置关系图见附图</w:t>
            </w:r>
            <w:r>
              <w:rPr>
                <w:rFonts w:hint="eastAsia"/>
                <w:b w:val="0"/>
                <w:bCs w:val="0"/>
                <w:color w:val="auto"/>
                <w:sz w:val="24"/>
                <w:szCs w:val="21"/>
                <w:highlight w:val="none"/>
                <w:lang w:val="en-US" w:eastAsia="zh-CN"/>
              </w:rPr>
              <w:t>12</w:t>
            </w:r>
            <w:r>
              <w:rPr>
                <w:rFonts w:hint="eastAsia"/>
                <w:b w:val="0"/>
                <w:bCs w:val="0"/>
                <w:color w:val="auto"/>
                <w:sz w:val="24"/>
                <w:szCs w:val="21"/>
                <w:highlight w:val="none"/>
              </w:rPr>
              <w:t>。</w:t>
            </w:r>
          </w:p>
          <w:p w14:paraId="7D575FCD">
            <w:pPr>
              <w:pStyle w:val="17"/>
              <w:keepNext w:val="0"/>
              <w:keepLines w:val="0"/>
              <w:suppressLineNumbers w:val="0"/>
              <w:spacing w:before="0" w:beforeAutospacing="0" w:after="0" w:afterAutospacing="0" w:line="480" w:lineRule="exact"/>
              <w:ind w:left="0" w:right="0" w:firstLine="480" w:firstLineChars="200"/>
              <w:rPr>
                <w:rFonts w:hint="default" w:ascii="Times New Roman" w:hAnsi="Times New Roman"/>
                <w:b w:val="0"/>
                <w:bCs w:val="0"/>
                <w:color w:val="auto"/>
              </w:rPr>
            </w:pPr>
            <w:r>
              <w:rPr>
                <w:rFonts w:hint="eastAsia" w:cs="Times New Roman"/>
                <w:b w:val="0"/>
                <w:bCs w:val="0"/>
                <w:color w:val="auto"/>
                <w:kern w:val="0"/>
                <w:sz w:val="24"/>
                <w:szCs w:val="24"/>
                <w:highlight w:val="none"/>
                <w:lang w:val="en-US" w:eastAsia="zh-CN"/>
              </w:rPr>
              <w:t>（3）</w:t>
            </w:r>
            <w:r>
              <w:rPr>
                <w:rFonts w:hint="default" w:ascii="Times New Roman" w:hAnsi="Times New Roman"/>
                <w:b w:val="0"/>
                <w:bCs w:val="0"/>
                <w:color w:val="auto"/>
              </w:rPr>
              <w:t>与</w:t>
            </w:r>
            <w:r>
              <w:rPr>
                <w:rFonts w:hint="eastAsia" w:ascii="Times New Roman" w:hAnsi="Times New Roman"/>
                <w:b w:val="0"/>
                <w:bCs w:val="0"/>
                <w:color w:val="auto"/>
              </w:rPr>
              <w:t>辛安</w:t>
            </w:r>
            <w:r>
              <w:rPr>
                <w:rFonts w:hint="default" w:ascii="Times New Roman" w:hAnsi="Times New Roman"/>
                <w:b w:val="0"/>
                <w:bCs w:val="0"/>
                <w:color w:val="auto"/>
              </w:rPr>
              <w:t>泉域符合性分析</w:t>
            </w:r>
          </w:p>
          <w:p w14:paraId="1C48A8A3">
            <w:pPr>
              <w:keepNext w:val="0"/>
              <w:keepLines w:val="0"/>
              <w:suppressLineNumbers w:val="0"/>
              <w:spacing w:before="0" w:beforeAutospacing="0" w:after="0" w:afterAutospacing="0" w:line="480" w:lineRule="exact"/>
              <w:ind w:left="0" w:right="0" w:firstLine="480" w:firstLineChars="200"/>
              <w:rPr>
                <w:rFonts w:hint="eastAsia"/>
                <w:b w:val="0"/>
                <w:bCs w:val="0"/>
                <w:color w:val="auto"/>
                <w:sz w:val="24"/>
                <w:szCs w:val="21"/>
              </w:rPr>
            </w:pPr>
            <w:r>
              <w:rPr>
                <w:rFonts w:hint="eastAsia"/>
                <w:b w:val="0"/>
                <w:bCs w:val="0"/>
                <w:color w:val="auto"/>
                <w:sz w:val="24"/>
                <w:szCs w:val="21"/>
                <w:lang w:val="en-US" w:eastAsia="zh-CN"/>
              </w:rPr>
              <w:t>①</w:t>
            </w:r>
            <w:r>
              <w:rPr>
                <w:rFonts w:hint="eastAsia"/>
                <w:b w:val="0"/>
                <w:bCs w:val="0"/>
                <w:color w:val="auto"/>
                <w:sz w:val="24"/>
                <w:szCs w:val="21"/>
              </w:rPr>
              <w:t>泉域概况</w:t>
            </w:r>
          </w:p>
          <w:p w14:paraId="77A46BE3">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辛安泉出露于潞城市西流村至平顺县北耽车长16km的浊漳河河谷中，可见泉点170余个。辛安村以上较大泉组有林滩泉、西流泉、苇泉、南流泉，称王曲泉群，出露高程615-643m，出露地层为奥套系中统；辛安村以下有实会泉、年流泉等，多出露于寒武系中统，称实会泉群，标高600-615m。多年平均流量11.9m</w:t>
            </w:r>
            <w:r>
              <w:rPr>
                <w:rFonts w:hint="default"/>
                <w:b w:val="0"/>
                <w:bCs w:val="0"/>
                <w:color w:val="auto"/>
                <w:sz w:val="24"/>
                <w:szCs w:val="21"/>
                <w:vertAlign w:val="superscript"/>
              </w:rPr>
              <w:t>3</w:t>
            </w:r>
            <w:r>
              <w:rPr>
                <w:rFonts w:hint="default"/>
                <w:b w:val="0"/>
                <w:bCs w:val="0"/>
                <w:color w:val="auto"/>
                <w:sz w:val="24"/>
                <w:szCs w:val="21"/>
              </w:rPr>
              <w:t>/s</w:t>
            </w:r>
            <w:r>
              <w:rPr>
                <w:rFonts w:hint="eastAsia"/>
                <w:b w:val="0"/>
                <w:bCs w:val="0"/>
                <w:color w:val="auto"/>
                <w:sz w:val="24"/>
                <w:szCs w:val="21"/>
                <w:lang w:eastAsia="zh-CN"/>
              </w:rPr>
              <w:t>（</w:t>
            </w:r>
            <w:r>
              <w:rPr>
                <w:rFonts w:hint="default"/>
                <w:b w:val="0"/>
                <w:bCs w:val="0"/>
                <w:color w:val="auto"/>
                <w:sz w:val="24"/>
                <w:szCs w:val="21"/>
              </w:rPr>
              <w:t>1959-1984年</w:t>
            </w:r>
            <w:r>
              <w:rPr>
                <w:rFonts w:hint="eastAsia"/>
                <w:b w:val="0"/>
                <w:bCs w:val="0"/>
                <w:color w:val="auto"/>
                <w:sz w:val="24"/>
                <w:szCs w:val="21"/>
                <w:lang w:eastAsia="zh-CN"/>
              </w:rPr>
              <w:t>）</w:t>
            </w:r>
            <w:r>
              <w:rPr>
                <w:rFonts w:hint="default"/>
                <w:b w:val="0"/>
                <w:bCs w:val="0"/>
                <w:color w:val="auto"/>
                <w:sz w:val="24"/>
                <w:szCs w:val="21"/>
              </w:rPr>
              <w:t>。</w:t>
            </w:r>
          </w:p>
          <w:p w14:paraId="2CA3DEDE">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eastAsia"/>
                <w:b w:val="0"/>
                <w:bCs w:val="0"/>
                <w:color w:val="auto"/>
                <w:sz w:val="24"/>
                <w:szCs w:val="21"/>
                <w:lang w:val="en-US" w:eastAsia="zh-CN"/>
              </w:rPr>
              <w:t>②</w:t>
            </w:r>
            <w:r>
              <w:rPr>
                <w:rFonts w:hint="default"/>
                <w:b w:val="0"/>
                <w:bCs w:val="0"/>
                <w:color w:val="auto"/>
                <w:sz w:val="24"/>
                <w:szCs w:val="21"/>
              </w:rPr>
              <w:t>辛安泉域范围</w:t>
            </w:r>
          </w:p>
          <w:p w14:paraId="2CC39579">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北部及西部边界：泉域北部、西部在构造上处于沁水向斜核部，地表出露二叠、三叠系地层，寒武、奥陶系地层埋深千米以上，岩溶水呈封闭的滞流状态，因此以浊漳河与汾河及沁河的地表分水岭为泉域边界。自北向南有榆社县人头山-辉教北-子金山-分南南。西部沁县与沁源县行政边界，自北向南基本为自分南南-屯留县八泉-长子县良坪西。</w:t>
            </w:r>
          </w:p>
          <w:p w14:paraId="75239DE7">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南部边界：为浊漳河和沁河与丹河的地表分水岭，自西向东基本为长治市与晋城市的行政边界，由老庄沟-色头镇南-金泉山-陵川西马安。</w:t>
            </w:r>
          </w:p>
          <w:p w14:paraId="0415DF7C">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东部边界：东北段以清漳河与浊漳河地表分水岭及和神烟地下分水岭与娘子关泉域为界。为晋中地区和顺县、左权县与榆社县、长治市武乡县的行政边界。</w:t>
            </w:r>
          </w:p>
          <w:p w14:paraId="4F11E69F">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泉域边界范围内总面积为13500m</w:t>
            </w:r>
            <w:r>
              <w:rPr>
                <w:rFonts w:hint="default"/>
                <w:b w:val="0"/>
                <w:bCs w:val="0"/>
                <w:color w:val="auto"/>
                <w:sz w:val="24"/>
                <w:szCs w:val="21"/>
                <w:vertAlign w:val="superscript"/>
              </w:rPr>
              <w:t>2</w:t>
            </w:r>
            <w:r>
              <w:rPr>
                <w:rFonts w:hint="default"/>
                <w:b w:val="0"/>
                <w:bCs w:val="0"/>
                <w:color w:val="auto"/>
                <w:sz w:val="24"/>
                <w:szCs w:val="21"/>
              </w:rPr>
              <w:t>，其中碳酸盐岩裸露面积2600km</w:t>
            </w:r>
            <w:r>
              <w:rPr>
                <w:rFonts w:hint="default"/>
                <w:b w:val="0"/>
                <w:bCs w:val="0"/>
                <w:color w:val="auto"/>
                <w:sz w:val="24"/>
                <w:szCs w:val="21"/>
                <w:vertAlign w:val="superscript"/>
              </w:rPr>
              <w:t>2</w:t>
            </w:r>
            <w:r>
              <w:rPr>
                <w:rFonts w:hint="default"/>
                <w:b w:val="0"/>
                <w:bCs w:val="0"/>
                <w:color w:val="auto"/>
                <w:sz w:val="24"/>
                <w:szCs w:val="21"/>
              </w:rPr>
              <w:t>，碎屑岩面积为6830km</w:t>
            </w:r>
            <w:r>
              <w:rPr>
                <w:rFonts w:hint="default"/>
                <w:b w:val="0"/>
                <w:bCs w:val="0"/>
                <w:color w:val="auto"/>
                <w:sz w:val="24"/>
                <w:szCs w:val="21"/>
                <w:vertAlign w:val="superscript"/>
              </w:rPr>
              <w:t>2</w:t>
            </w:r>
            <w:r>
              <w:rPr>
                <w:rFonts w:hint="default"/>
                <w:b w:val="0"/>
                <w:bCs w:val="0"/>
                <w:color w:val="auto"/>
                <w:sz w:val="24"/>
                <w:szCs w:val="21"/>
              </w:rPr>
              <w:t>，松散岩面积为4070km</w:t>
            </w:r>
            <w:r>
              <w:rPr>
                <w:rFonts w:hint="default"/>
                <w:b w:val="0"/>
                <w:bCs w:val="0"/>
                <w:color w:val="auto"/>
                <w:sz w:val="24"/>
                <w:szCs w:val="21"/>
                <w:vertAlign w:val="superscript"/>
              </w:rPr>
              <w:t>2</w:t>
            </w:r>
            <w:r>
              <w:rPr>
                <w:rFonts w:hint="default"/>
                <w:b w:val="0"/>
                <w:bCs w:val="0"/>
                <w:color w:val="auto"/>
                <w:sz w:val="24"/>
                <w:szCs w:val="21"/>
              </w:rPr>
              <w:t>。</w:t>
            </w:r>
          </w:p>
          <w:p w14:paraId="751CB75D">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eastAsia"/>
                <w:b w:val="0"/>
                <w:bCs w:val="0"/>
                <w:color w:val="auto"/>
                <w:sz w:val="24"/>
                <w:szCs w:val="21"/>
                <w:lang w:val="en-US" w:eastAsia="zh-CN"/>
              </w:rPr>
              <w:t>③</w:t>
            </w:r>
            <w:r>
              <w:rPr>
                <w:rFonts w:hint="default"/>
                <w:b w:val="0"/>
                <w:bCs w:val="0"/>
                <w:color w:val="auto"/>
                <w:sz w:val="24"/>
                <w:szCs w:val="21"/>
              </w:rPr>
              <w:t>泉域重点保护区范围</w:t>
            </w:r>
          </w:p>
          <w:p w14:paraId="7A44BB6C">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根据山西省人民政府晋政函[1998]137号“关于山西省泉域边界范围及重点保护区划定的批复”，划定的辛安泉域重点保护区范围：</w:t>
            </w:r>
          </w:p>
          <w:p w14:paraId="6F8E56AF">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1）泉水集中出露带和文王山地拿渗漏段，其中泉水集中出露带以浊漳河为轴线，北起黎城县南赵店桥，顺浊漳河谷向下游、至平顺县北耽车，包括河谷两岸地带；西起山西化肥厂排污管道，两侧宽200m，至辛安桥下河道，面积48km</w:t>
            </w:r>
            <w:r>
              <w:rPr>
                <w:rFonts w:hint="default"/>
                <w:b w:val="0"/>
                <w:bCs w:val="0"/>
                <w:color w:val="auto"/>
                <w:sz w:val="24"/>
                <w:szCs w:val="21"/>
                <w:vertAlign w:val="superscript"/>
              </w:rPr>
              <w:t>2</w:t>
            </w:r>
            <w:r>
              <w:rPr>
                <w:rFonts w:hint="default"/>
                <w:b w:val="0"/>
                <w:bCs w:val="0"/>
                <w:color w:val="auto"/>
                <w:sz w:val="24"/>
                <w:szCs w:val="21"/>
              </w:rPr>
              <w:t>。</w:t>
            </w:r>
          </w:p>
          <w:p w14:paraId="331660C0">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2）文王山地垒渗漏段自黄碾南铁路桥上游500m起，顺浊漳河南源主河道，左右两侧各500m，向下游至与浊漳河西源汇流处，面积18km</w:t>
            </w:r>
            <w:r>
              <w:rPr>
                <w:rFonts w:hint="default"/>
                <w:b w:val="0"/>
                <w:bCs w:val="0"/>
                <w:color w:val="auto"/>
                <w:sz w:val="24"/>
                <w:szCs w:val="21"/>
                <w:vertAlign w:val="superscript"/>
              </w:rPr>
              <w:t>2</w:t>
            </w:r>
            <w:r>
              <w:rPr>
                <w:rFonts w:hint="default"/>
                <w:b w:val="0"/>
                <w:bCs w:val="0"/>
                <w:color w:val="auto"/>
                <w:sz w:val="24"/>
                <w:szCs w:val="21"/>
              </w:rPr>
              <w:t>。</w:t>
            </w:r>
          </w:p>
          <w:p w14:paraId="3BA8151E">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两处合计面积为66km</w:t>
            </w:r>
            <w:r>
              <w:rPr>
                <w:rFonts w:hint="default"/>
                <w:b w:val="0"/>
                <w:bCs w:val="0"/>
                <w:color w:val="auto"/>
                <w:sz w:val="24"/>
                <w:szCs w:val="21"/>
                <w:vertAlign w:val="superscript"/>
              </w:rPr>
              <w:t>2</w:t>
            </w:r>
            <w:r>
              <w:rPr>
                <w:rFonts w:hint="default"/>
                <w:b w:val="0"/>
                <w:bCs w:val="0"/>
                <w:color w:val="auto"/>
                <w:sz w:val="24"/>
                <w:szCs w:val="21"/>
              </w:rPr>
              <w:t>。</w:t>
            </w:r>
          </w:p>
          <w:p w14:paraId="2C5A7729">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同时，根据《山西省长治市辛安泉饮用水水源地保护条例》，建立辛安泉饮用水水源地保护区制度。辛安泉饮用水水源地保护区划分为一级保护区、二级保护区，并在保护区外围设立准保护区，实行分级保护与管理。</w:t>
            </w:r>
          </w:p>
          <w:p w14:paraId="58B545EA">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辛安泉饮用水水源地一级保护区范围为现有水源井组周边区域，涉及潞城市辛安泉镇西流北村</w:t>
            </w:r>
            <w:r>
              <w:rPr>
                <w:rFonts w:hint="eastAsia"/>
                <w:b w:val="0"/>
                <w:bCs w:val="0"/>
                <w:color w:val="auto"/>
                <w:sz w:val="24"/>
                <w:szCs w:val="21"/>
                <w:lang w:eastAsia="zh-CN"/>
              </w:rPr>
              <w:t>（</w:t>
            </w:r>
            <w:r>
              <w:rPr>
                <w:rFonts w:hint="default"/>
                <w:b w:val="0"/>
                <w:bCs w:val="0"/>
                <w:color w:val="auto"/>
                <w:sz w:val="24"/>
                <w:szCs w:val="21"/>
              </w:rPr>
              <w:t>西北村</w:t>
            </w:r>
            <w:r>
              <w:rPr>
                <w:rFonts w:hint="eastAsia"/>
                <w:b w:val="0"/>
                <w:bCs w:val="0"/>
                <w:color w:val="auto"/>
                <w:sz w:val="24"/>
                <w:szCs w:val="21"/>
                <w:lang w:eastAsia="zh-CN"/>
              </w:rPr>
              <w:t>）</w:t>
            </w:r>
            <w:r>
              <w:rPr>
                <w:rFonts w:hint="default"/>
                <w:b w:val="0"/>
                <w:bCs w:val="0"/>
                <w:color w:val="auto"/>
                <w:sz w:val="24"/>
                <w:szCs w:val="21"/>
              </w:rPr>
              <w:t>、西流南村</w:t>
            </w:r>
            <w:r>
              <w:rPr>
                <w:rFonts w:hint="eastAsia"/>
                <w:b w:val="0"/>
                <w:bCs w:val="0"/>
                <w:color w:val="auto"/>
                <w:sz w:val="24"/>
                <w:szCs w:val="21"/>
                <w:lang w:eastAsia="zh-CN"/>
              </w:rPr>
              <w:t>（</w:t>
            </w:r>
            <w:r>
              <w:rPr>
                <w:rFonts w:hint="default"/>
                <w:b w:val="0"/>
                <w:bCs w:val="0"/>
                <w:color w:val="auto"/>
                <w:sz w:val="24"/>
                <w:szCs w:val="21"/>
              </w:rPr>
              <w:t>西南村</w:t>
            </w:r>
            <w:r>
              <w:rPr>
                <w:rFonts w:hint="eastAsia"/>
                <w:b w:val="0"/>
                <w:bCs w:val="0"/>
                <w:color w:val="auto"/>
                <w:sz w:val="24"/>
                <w:szCs w:val="21"/>
                <w:lang w:eastAsia="zh-CN"/>
              </w:rPr>
              <w:t>）</w:t>
            </w:r>
            <w:r>
              <w:rPr>
                <w:rFonts w:hint="default"/>
                <w:b w:val="0"/>
                <w:bCs w:val="0"/>
                <w:color w:val="auto"/>
                <w:sz w:val="24"/>
                <w:szCs w:val="21"/>
              </w:rPr>
              <w:t>，黎城县程家山乡北流村，面积3.73平方公里。</w:t>
            </w:r>
          </w:p>
          <w:p w14:paraId="30E25B00">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辛安泉饮用水水源地二级保护区范围为东至黎城县隆旺村东-北流村东-南堡村东一线，南至平顺县王曲村北，西至潞城市西流南村</w:t>
            </w:r>
            <w:r>
              <w:rPr>
                <w:rFonts w:hint="eastAsia"/>
                <w:b w:val="0"/>
                <w:bCs w:val="0"/>
                <w:color w:val="auto"/>
                <w:sz w:val="24"/>
                <w:szCs w:val="21"/>
                <w:lang w:eastAsia="zh-CN"/>
              </w:rPr>
              <w:t>（</w:t>
            </w:r>
            <w:r>
              <w:rPr>
                <w:rFonts w:hint="default"/>
                <w:b w:val="0"/>
                <w:bCs w:val="0"/>
                <w:color w:val="auto"/>
                <w:sz w:val="24"/>
                <w:szCs w:val="21"/>
              </w:rPr>
              <w:t>西南村</w:t>
            </w:r>
            <w:r>
              <w:rPr>
                <w:rFonts w:hint="eastAsia"/>
                <w:b w:val="0"/>
                <w:bCs w:val="0"/>
                <w:color w:val="auto"/>
                <w:sz w:val="24"/>
                <w:szCs w:val="21"/>
                <w:lang w:eastAsia="zh-CN"/>
              </w:rPr>
              <w:t>）</w:t>
            </w:r>
            <w:r>
              <w:rPr>
                <w:rFonts w:hint="default"/>
                <w:b w:val="0"/>
                <w:bCs w:val="0"/>
                <w:color w:val="auto"/>
                <w:sz w:val="24"/>
                <w:szCs w:val="21"/>
              </w:rPr>
              <w:t>西1.3公里-涧口村西一线，北至潞城市续村南-黎城县东窑上村北一线，面积24.9平方公里。</w:t>
            </w:r>
          </w:p>
          <w:p w14:paraId="34E9622C">
            <w:pPr>
              <w:keepNext w:val="0"/>
              <w:keepLines w:val="0"/>
              <w:suppressLineNumbers w:val="0"/>
              <w:spacing w:before="0" w:beforeAutospacing="0" w:after="0" w:afterAutospacing="0" w:line="480" w:lineRule="exact"/>
              <w:ind w:left="0" w:right="0" w:firstLine="480" w:firstLineChars="200"/>
              <w:rPr>
                <w:rFonts w:hint="default"/>
                <w:b w:val="0"/>
                <w:bCs w:val="0"/>
                <w:color w:val="auto"/>
                <w:sz w:val="24"/>
                <w:szCs w:val="21"/>
              </w:rPr>
            </w:pPr>
            <w:r>
              <w:rPr>
                <w:rFonts w:hint="default"/>
                <w:b w:val="0"/>
                <w:bCs w:val="0"/>
                <w:color w:val="auto"/>
                <w:sz w:val="24"/>
                <w:szCs w:val="21"/>
              </w:rPr>
              <w:t>辛安泉饮用水水源地准保护区范围为水源地上游辛安泉域灰岩裸露补给区，涉及城区、郊区、长治县、潞城市、壶关县、平顺县、黎城县、武乡县、襄垣县，面积约1260平方公里。</w:t>
            </w:r>
          </w:p>
          <w:p w14:paraId="312ED1B7">
            <w:pPr>
              <w:pStyle w:val="17"/>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b w:val="0"/>
                <w:bCs w:val="0"/>
                <w:color w:val="auto"/>
              </w:rPr>
            </w:pPr>
            <w:r>
              <w:rPr>
                <w:rFonts w:hint="default" w:ascii="Times New Roman" w:hAnsi="Times New Roman"/>
                <w:b w:val="0"/>
                <w:bCs w:val="0"/>
                <w:color w:val="auto"/>
                <w:kern w:val="2"/>
              </w:rPr>
              <w:t>本项目拟选厂址处于辛安泉域内，但不在泉域的重点保护范围之内，</w:t>
            </w:r>
            <w:r>
              <w:rPr>
                <w:rFonts w:hint="default" w:ascii="Times New Roman" w:hAnsi="Times New Roman"/>
                <w:b w:val="0"/>
                <w:bCs w:val="0"/>
                <w:color w:val="auto"/>
                <w:kern w:val="2"/>
                <w:highlight w:val="none"/>
              </w:rPr>
              <w:t>距离重点泉域保护区边界约</w:t>
            </w:r>
            <w:r>
              <w:rPr>
                <w:rFonts w:hint="eastAsia"/>
                <w:b w:val="0"/>
                <w:bCs w:val="0"/>
                <w:color w:val="auto"/>
                <w:kern w:val="2"/>
                <w:highlight w:val="none"/>
                <w:lang w:val="en-US" w:eastAsia="zh-CN"/>
              </w:rPr>
              <w:t>15</w:t>
            </w:r>
            <w:r>
              <w:rPr>
                <w:rFonts w:hint="default" w:ascii="Times New Roman" w:hAnsi="Times New Roman"/>
                <w:b w:val="0"/>
                <w:bCs w:val="0"/>
                <w:color w:val="auto"/>
                <w:kern w:val="2"/>
                <w:highlight w:val="none"/>
              </w:rPr>
              <w:t>km，</w:t>
            </w:r>
            <w:r>
              <w:rPr>
                <w:rFonts w:hint="default" w:ascii="Times New Roman" w:hAnsi="Times New Roman"/>
                <w:b w:val="0"/>
                <w:bCs w:val="0"/>
                <w:color w:val="auto"/>
                <w:kern w:val="2"/>
              </w:rPr>
              <w:t>且不在</w:t>
            </w:r>
            <w:r>
              <w:rPr>
                <w:rFonts w:hint="default"/>
                <w:b w:val="0"/>
                <w:bCs w:val="0"/>
                <w:color w:val="auto"/>
                <w:szCs w:val="21"/>
              </w:rPr>
              <w:t>辛安泉饮用水水源地</w:t>
            </w:r>
            <w:r>
              <w:rPr>
                <w:rFonts w:hint="default" w:ascii="Times New Roman" w:hAnsi="Times New Roman"/>
                <w:b w:val="0"/>
                <w:bCs w:val="0"/>
                <w:color w:val="auto"/>
                <w:kern w:val="2"/>
              </w:rPr>
              <w:t>一级、二级、准保护区内。相对位置关系详见</w:t>
            </w:r>
            <w:r>
              <w:rPr>
                <w:rFonts w:hint="eastAsia" w:ascii="Times New Roman" w:hAnsi="Times New Roman"/>
                <w:b w:val="0"/>
                <w:bCs w:val="0"/>
                <w:color w:val="auto"/>
                <w:kern w:val="2"/>
              </w:rPr>
              <w:t>附图</w:t>
            </w:r>
            <w:r>
              <w:rPr>
                <w:rFonts w:hint="eastAsia"/>
                <w:b w:val="0"/>
                <w:bCs w:val="0"/>
                <w:color w:val="auto"/>
                <w:kern w:val="2"/>
                <w:lang w:val="en-US" w:eastAsia="zh-CN"/>
              </w:rPr>
              <w:t>9</w:t>
            </w:r>
            <w:r>
              <w:rPr>
                <w:rFonts w:hint="default" w:ascii="Times New Roman" w:hAnsi="Times New Roman"/>
                <w:b w:val="0"/>
                <w:bCs w:val="0"/>
                <w:color w:val="auto"/>
              </w:rPr>
              <w:t>。</w:t>
            </w:r>
          </w:p>
          <w:p w14:paraId="09CAC8B3">
            <w:pPr>
              <w:keepNext w:val="0"/>
              <w:keepLines w:val="0"/>
              <w:suppressLineNumbers w:val="0"/>
              <w:autoSpaceDE w:val="0"/>
              <w:autoSpaceDN w:val="0"/>
              <w:adjustRightInd w:val="0"/>
              <w:snapToGrid w:val="0"/>
              <w:spacing w:before="0" w:beforeAutospacing="0" w:after="0" w:afterAutospacing="0" w:line="480" w:lineRule="exact"/>
              <w:ind w:left="0" w:right="0" w:firstLine="482" w:firstLineChars="200"/>
              <w:rPr>
                <w:rFonts w:hint="default"/>
                <w:b/>
                <w:bCs/>
                <w:color w:val="auto"/>
                <w:sz w:val="24"/>
              </w:rPr>
            </w:pPr>
            <w:r>
              <w:rPr>
                <w:rFonts w:hint="eastAsia" w:cs="Times New Roman"/>
                <w:b/>
                <w:bCs/>
                <w:color w:val="auto"/>
                <w:kern w:val="0"/>
                <w:sz w:val="24"/>
                <w:szCs w:val="24"/>
                <w:highlight w:val="none"/>
                <w:lang w:val="en-US" w:eastAsia="zh-CN"/>
              </w:rPr>
              <w:t>4、</w:t>
            </w:r>
            <w:r>
              <w:rPr>
                <w:rFonts w:hint="default"/>
                <w:b/>
                <w:bCs/>
                <w:color w:val="auto"/>
                <w:sz w:val="24"/>
              </w:rPr>
              <w:t>与《屯留区国土空间总体规划</w:t>
            </w:r>
            <w:r>
              <w:rPr>
                <w:rFonts w:hint="eastAsia"/>
                <w:b/>
                <w:bCs/>
                <w:color w:val="auto"/>
                <w:sz w:val="24"/>
              </w:rPr>
              <w:t>（2021-2035年）</w:t>
            </w:r>
            <w:r>
              <w:rPr>
                <w:rFonts w:hint="default"/>
                <w:b/>
                <w:bCs/>
                <w:color w:val="auto"/>
                <w:sz w:val="24"/>
              </w:rPr>
              <w:t>》符合性分析</w:t>
            </w:r>
          </w:p>
          <w:p w14:paraId="7B1E5E7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（1）规划范围</w:t>
            </w:r>
          </w:p>
          <w:p w14:paraId="1D8E29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规划范围为屯留区行政辖区内全部国土空间，包括全区和中心城区两个层次。</w:t>
            </w:r>
          </w:p>
          <w:p w14:paraId="23F607A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（2）规划期限</w:t>
            </w:r>
          </w:p>
          <w:p w14:paraId="16BD2F3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规划期限为2021-2035年，基准年为2020年，近期目标为2025年，远期目标为2035年，远景展望至2050年。</w:t>
            </w:r>
          </w:p>
          <w:p w14:paraId="57F8FA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（3）功能定位</w:t>
            </w:r>
          </w:p>
          <w:p w14:paraId="69A72DA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规划屯留区功能定位为：有机循环农业示范区、以煤基新材。</w:t>
            </w:r>
          </w:p>
          <w:p w14:paraId="6EB821F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料为主导的资源型城市转型升级示范区、以康体休闲为特色的现代化太行山水名城，合力保障长治市建设全国资源型城市转型升级示范区、现代化太行山水名城。</w:t>
            </w:r>
          </w:p>
          <w:p w14:paraId="41B5150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（4）三区三线划定</w:t>
            </w:r>
          </w:p>
          <w:p w14:paraId="65598AD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lang w:val="en-US" w:eastAsia="zh-CN"/>
              </w:rPr>
              <w:t>①</w:t>
            </w:r>
            <w:r>
              <w:rPr>
                <w:rFonts w:hint="eastAsia"/>
                <w:b w:val="0"/>
                <w:bCs w:val="0"/>
                <w:color w:val="auto"/>
                <w:sz w:val="24"/>
              </w:rPr>
              <w:t>耕地与永久基本农田</w:t>
            </w:r>
          </w:p>
          <w:p w14:paraId="0CCF85D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全区划定不低于513.00平方千米（76.95万亩）的耕地和不低于444.27平方千米（66.64万亩）的永久基本农田。</w:t>
            </w:r>
          </w:p>
          <w:p w14:paraId="1B5699F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落实最严格的耕地保护制度，对永久基本农田实行特殊保护，坚决防止永久基本农田“非农化”，积极开展永久基本农田储备区划定并严格管理。</w:t>
            </w:r>
          </w:p>
          <w:p w14:paraId="4974BB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lang w:val="en-US" w:eastAsia="zh-CN"/>
              </w:rPr>
              <w:t>②</w:t>
            </w:r>
            <w:r>
              <w:rPr>
                <w:rFonts w:hint="eastAsia"/>
                <w:b w:val="0"/>
                <w:bCs w:val="0"/>
                <w:color w:val="auto"/>
                <w:sz w:val="24"/>
              </w:rPr>
              <w:t>生态保护红线</w:t>
            </w:r>
          </w:p>
          <w:p w14:paraId="013A17A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全区划定生态保护红线总面积不少于20.64平方千米，占全区国土面积的1.73%，全部为整合优化后的自然保护地。</w:t>
            </w:r>
          </w:p>
          <w:p w14:paraId="1121A8E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稳固太行山区生态安全屏障，增强水源涵养、水土保持和生物多样性等生态系统服务功能，加强生物多样性保护优先区域和珍稀濒危野生动植物集中分布地保护，注重保护重要生态空间，严格控制人为活动尤其是开发建设活动对生态系统的破坏。</w:t>
            </w:r>
          </w:p>
          <w:p w14:paraId="680E819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lang w:val="en-US" w:eastAsia="zh-CN"/>
              </w:rPr>
              <w:t>③</w:t>
            </w:r>
            <w:r>
              <w:rPr>
                <w:rFonts w:hint="eastAsia"/>
                <w:b w:val="0"/>
                <w:bCs w:val="0"/>
                <w:color w:val="auto"/>
                <w:sz w:val="24"/>
              </w:rPr>
              <w:t>城镇开发边界</w:t>
            </w:r>
          </w:p>
          <w:p w14:paraId="2B53E40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b w:val="0"/>
                <w:bCs w:val="0"/>
                <w:color w:val="auto"/>
                <w:sz w:val="24"/>
              </w:rPr>
            </w:pPr>
            <w:r>
              <w:rPr>
                <w:rFonts w:hint="eastAsia"/>
                <w:b w:val="0"/>
                <w:bCs w:val="0"/>
                <w:color w:val="auto"/>
                <w:sz w:val="24"/>
              </w:rPr>
              <w:t>全区城镇开发边界控制在24.75平方千米（3.71万亩），占全区总面积的2.08%。</w:t>
            </w:r>
          </w:p>
          <w:p w14:paraId="42B8712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default"/>
                <w:b w:val="0"/>
                <w:bCs w:val="0"/>
                <w:color w:val="auto"/>
                <w:sz w:val="24"/>
              </w:rPr>
            </w:pPr>
            <w:r>
              <w:rPr>
                <w:rFonts w:hint="eastAsia"/>
                <w:b w:val="0"/>
                <w:bCs w:val="0"/>
                <w:color w:val="auto"/>
                <w:sz w:val="24"/>
                <w:lang w:val="en-US" w:eastAsia="zh-CN"/>
              </w:rPr>
              <w:t>严格城镇开发边界外的空间准入，原则上除特殊用地外，只能用于农业生产、乡村振兴、生态保护和交通等基础设施建设，不得进行城镇集中建设，不得设立各类开发区。重点保障生产、生活、生态和安全空间需求，在城镇开发边界内实施战略留白，为长远发展谋划预留战略空间。</w:t>
            </w:r>
          </w:p>
          <w:p w14:paraId="2877588E">
            <w:pPr>
              <w:keepNext w:val="0"/>
              <w:keepLines w:val="0"/>
              <w:suppressLineNumbers w:val="0"/>
              <w:autoSpaceDE w:val="0"/>
              <w:autoSpaceDN w:val="0"/>
              <w:adjustRightInd w:val="0"/>
              <w:snapToGrid w:val="0"/>
              <w:spacing w:before="0" w:beforeAutospacing="0" w:after="0" w:afterAutospacing="0" w:line="480" w:lineRule="exact"/>
              <w:ind w:left="0" w:right="0" w:firstLine="480" w:firstLineChars="200"/>
              <w:rPr>
                <w:rFonts w:hint="default"/>
                <w:b w:val="0"/>
                <w:bCs w:val="0"/>
                <w:color w:val="auto"/>
                <w:sz w:val="24"/>
              </w:rPr>
            </w:pPr>
            <w:r>
              <w:rPr>
                <w:rFonts w:hint="default" w:hAnsi="宋体"/>
                <w:b w:val="0"/>
                <w:bCs w:val="0"/>
                <w:color w:val="auto"/>
                <w:kern w:val="0"/>
                <w:sz w:val="24"/>
              </w:rPr>
              <w:t>本</w:t>
            </w:r>
            <w:r>
              <w:rPr>
                <w:rFonts w:hint="eastAsia" w:hAnsi="宋体"/>
                <w:b w:val="0"/>
                <w:bCs w:val="0"/>
                <w:color w:val="auto"/>
                <w:kern w:val="0"/>
                <w:sz w:val="24"/>
              </w:rPr>
              <w:t>项目</w:t>
            </w:r>
            <w:r>
              <w:rPr>
                <w:rFonts w:hint="eastAsia"/>
                <w:b w:val="0"/>
                <w:bCs w:val="0"/>
                <w:color w:val="auto"/>
                <w:sz w:val="24"/>
              </w:rPr>
              <w:t>位于</w:t>
            </w:r>
            <w:r>
              <w:rPr>
                <w:rFonts w:hint="default" w:ascii="Times New Roman" w:hAnsi="Times New Roman" w:eastAsia="宋体" w:cs="Times New Roman"/>
                <w:color w:val="auto"/>
                <w:sz w:val="24"/>
                <w:szCs w:val="24"/>
                <w:highlight w:val="none"/>
                <w:lang w:val="en-US" w:eastAsia="zh-CN"/>
              </w:rPr>
              <w:t>屯留区李高乡康庄村北3</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0m处</w:t>
            </w:r>
            <w:r>
              <w:rPr>
                <w:rFonts w:hint="eastAsia" w:cs="Times New Roman"/>
                <w:color w:val="auto"/>
                <w:sz w:val="24"/>
                <w:szCs w:val="24"/>
                <w:highlight w:val="none"/>
                <w:lang w:val="en-US" w:eastAsia="zh-CN"/>
              </w:rPr>
              <w:t>现有厂房内</w:t>
            </w:r>
            <w:r>
              <w:rPr>
                <w:rFonts w:hint="eastAsia" w:cs="Times New Roman"/>
                <w:b w:val="0"/>
                <w:bCs w:val="0"/>
                <w:color w:val="auto"/>
                <w:sz w:val="24"/>
                <w:szCs w:val="24"/>
                <w:highlight w:val="none"/>
                <w:lang w:val="en-US" w:eastAsia="zh-CN"/>
              </w:rPr>
              <w:t>，本次环评拟在厂区现有厂房内进行建设，不新增占地，</w:t>
            </w:r>
            <w:r>
              <w:rPr>
                <w:rFonts w:hint="eastAsia"/>
                <w:b w:val="0"/>
                <w:bCs w:val="0"/>
                <w:color w:val="auto"/>
                <w:sz w:val="24"/>
                <w:lang w:val="en-US" w:eastAsia="zh-CN"/>
              </w:rPr>
              <w:t>占地类型为工业用地，</w:t>
            </w:r>
            <w:r>
              <w:rPr>
                <w:rFonts w:hint="eastAsia"/>
                <w:b w:val="0"/>
                <w:bCs w:val="0"/>
                <w:color w:val="auto"/>
                <w:sz w:val="24"/>
              </w:rPr>
              <w:t>不占用永久基本农田，不在生态保护红线范围内，</w:t>
            </w:r>
            <w:r>
              <w:rPr>
                <w:rFonts w:hint="eastAsia"/>
                <w:b w:val="0"/>
                <w:bCs w:val="0"/>
                <w:color w:val="auto"/>
                <w:sz w:val="24"/>
                <w:lang w:val="en-US" w:eastAsia="zh-CN"/>
              </w:rPr>
              <w:t>未突破</w:t>
            </w:r>
            <w:r>
              <w:rPr>
                <w:rFonts w:hint="eastAsia"/>
                <w:b w:val="0"/>
                <w:bCs w:val="0"/>
                <w:color w:val="auto"/>
                <w:sz w:val="24"/>
              </w:rPr>
              <w:t>城镇开发边界。本项目与屯留区国土空间控制线规划图相对位置关系图见附图</w:t>
            </w:r>
            <w:r>
              <w:rPr>
                <w:rFonts w:hint="default" w:ascii="Times New Roman" w:hAnsi="Times New Roman" w:cs="Times New Roman"/>
                <w:b w:val="0"/>
                <w:bCs w:val="0"/>
                <w:color w:val="auto"/>
                <w:sz w:val="24"/>
                <w:lang w:val="en-US" w:eastAsia="zh-CN"/>
              </w:rPr>
              <w:t>1</w:t>
            </w:r>
            <w:r>
              <w:rPr>
                <w:rFonts w:hint="eastAsia" w:cs="Times New Roman"/>
                <w:b w:val="0"/>
                <w:bCs w:val="0"/>
                <w:color w:val="auto"/>
                <w:sz w:val="24"/>
                <w:lang w:val="en-US" w:eastAsia="zh-CN"/>
              </w:rPr>
              <w:t>1</w:t>
            </w:r>
            <w:r>
              <w:rPr>
                <w:rFonts w:hint="default"/>
                <w:b w:val="0"/>
                <w:bCs w:val="0"/>
                <w:color w:val="auto"/>
                <w:sz w:val="24"/>
              </w:rPr>
              <w:t>。</w:t>
            </w:r>
          </w:p>
          <w:p w14:paraId="66BA19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eastAsia"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5、</w:t>
            </w:r>
            <w:r>
              <w:rPr>
                <w:rFonts w:hint="default"/>
                <w:b/>
                <w:bCs/>
                <w:color w:val="auto"/>
                <w:kern w:val="0"/>
                <w:sz w:val="24"/>
                <w:szCs w:val="21"/>
              </w:rPr>
              <w:t>废钢铁加工行业准入条件</w:t>
            </w:r>
          </w:p>
          <w:p w14:paraId="0FE59E86">
            <w:pPr>
              <w:keepNext w:val="0"/>
              <w:keepLines w:val="0"/>
              <w:suppressLineNumbers w:val="0"/>
              <w:spacing w:before="0" w:beforeAutospacing="0" w:after="0" w:afterAutospacing="0" w:line="460" w:lineRule="exact"/>
              <w:ind w:left="0" w:right="0" w:firstLine="480" w:firstLineChars="200"/>
              <w:rPr>
                <w:rFonts w:hint="default"/>
                <w:color w:val="auto"/>
                <w:sz w:val="24"/>
                <w:szCs w:val="21"/>
              </w:rPr>
            </w:pPr>
            <w:r>
              <w:rPr>
                <w:rFonts w:hint="default"/>
                <w:color w:val="auto"/>
                <w:sz w:val="24"/>
                <w:szCs w:val="21"/>
              </w:rPr>
              <w:t>本项目与《废钢铁加工行业准入条件》（2016）符合性分析见下表。</w:t>
            </w:r>
          </w:p>
          <w:p w14:paraId="659C69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bCs/>
                <w:color w:val="auto"/>
                <w:sz w:val="21"/>
                <w:szCs w:val="21"/>
              </w:rPr>
              <w:t>表1-</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1"/>
                <w:szCs w:val="21"/>
              </w:rPr>
              <w:t xml:space="preserve"> </w:t>
            </w:r>
            <w:r>
              <w:rPr>
                <w:rFonts w:hint="default" w:ascii="Times New Roman" w:hAnsi="Times New Roman" w:eastAsia="宋体" w:cs="Times New Roman"/>
                <w:b/>
                <w:bCs/>
                <w:color w:val="auto"/>
                <w:sz w:val="21"/>
                <w:szCs w:val="21"/>
                <w:lang w:val="en-US" w:eastAsia="zh-CN"/>
              </w:rPr>
              <w:t xml:space="preserve"> 废钢铁加工行业准入条件</w:t>
            </w:r>
          </w:p>
          <w:tbl>
            <w:tblPr>
              <w:tblStyle w:val="31"/>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5104"/>
              <w:gridCol w:w="2358"/>
              <w:gridCol w:w="669"/>
            </w:tblGrid>
            <w:tr w14:paraId="07BC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221" w:type="pct"/>
                  <w:gridSpan w:val="2"/>
                  <w:tcBorders>
                    <w:tl2br w:val="nil"/>
                    <w:tr2bl w:val="nil"/>
                  </w:tcBorders>
                  <w:noWrap w:val="0"/>
                  <w:vAlign w:val="center"/>
                </w:tcPr>
                <w:p w14:paraId="447D1515">
                  <w:pPr>
                    <w:keepNext w:val="0"/>
                    <w:keepLines w:val="0"/>
                    <w:suppressLineNumbers w:val="0"/>
                    <w:autoSpaceDE w:val="0"/>
                    <w:autoSpaceDN w:val="0"/>
                    <w:adjustRightInd w:val="0"/>
                    <w:snapToGrid w:val="0"/>
                    <w:spacing w:before="0" w:beforeAutospacing="0" w:after="0" w:afterAutospacing="0"/>
                    <w:ind w:left="0" w:right="0"/>
                    <w:jc w:val="center"/>
                    <w:rPr>
                      <w:rFonts w:hint="default"/>
                      <w:b/>
                      <w:bCs/>
                      <w:color w:val="auto"/>
                      <w:kern w:val="0"/>
                      <w:szCs w:val="21"/>
                    </w:rPr>
                  </w:pPr>
                  <w:r>
                    <w:rPr>
                      <w:rFonts w:hint="default"/>
                      <w:b/>
                      <w:bCs/>
                      <w:color w:val="auto"/>
                      <w:kern w:val="0"/>
                      <w:szCs w:val="21"/>
                    </w:rPr>
                    <w:t>准入要求</w:t>
                  </w:r>
                </w:p>
              </w:tc>
              <w:tc>
                <w:tcPr>
                  <w:tcW w:w="1370" w:type="pct"/>
                  <w:tcBorders>
                    <w:tl2br w:val="nil"/>
                    <w:tr2bl w:val="nil"/>
                  </w:tcBorders>
                  <w:noWrap w:val="0"/>
                  <w:vAlign w:val="center"/>
                </w:tcPr>
                <w:p w14:paraId="0687480D">
                  <w:pPr>
                    <w:keepNext w:val="0"/>
                    <w:keepLines w:val="0"/>
                    <w:suppressLineNumbers w:val="0"/>
                    <w:autoSpaceDE w:val="0"/>
                    <w:autoSpaceDN w:val="0"/>
                    <w:adjustRightInd w:val="0"/>
                    <w:snapToGrid w:val="0"/>
                    <w:spacing w:before="0" w:beforeAutospacing="0" w:after="0" w:afterAutospacing="0"/>
                    <w:ind w:left="0" w:right="0"/>
                    <w:jc w:val="center"/>
                    <w:rPr>
                      <w:rFonts w:hint="default"/>
                      <w:b/>
                      <w:bCs/>
                      <w:color w:val="auto"/>
                      <w:kern w:val="0"/>
                      <w:szCs w:val="21"/>
                    </w:rPr>
                  </w:pPr>
                  <w:r>
                    <w:rPr>
                      <w:rFonts w:hint="default"/>
                      <w:b/>
                      <w:bCs/>
                      <w:color w:val="auto"/>
                      <w:kern w:val="0"/>
                      <w:szCs w:val="21"/>
                    </w:rPr>
                    <w:t>项目情况</w:t>
                  </w:r>
                </w:p>
              </w:tc>
              <w:tc>
                <w:tcPr>
                  <w:tcW w:w="407" w:type="pct"/>
                  <w:tcBorders>
                    <w:tl2br w:val="nil"/>
                    <w:tr2bl w:val="nil"/>
                  </w:tcBorders>
                  <w:noWrap w:val="0"/>
                  <w:vAlign w:val="center"/>
                </w:tcPr>
                <w:p w14:paraId="28B61C07">
                  <w:pPr>
                    <w:keepNext w:val="0"/>
                    <w:keepLines w:val="0"/>
                    <w:suppressLineNumbers w:val="0"/>
                    <w:autoSpaceDE w:val="0"/>
                    <w:autoSpaceDN w:val="0"/>
                    <w:adjustRightInd w:val="0"/>
                    <w:snapToGrid w:val="0"/>
                    <w:spacing w:before="0" w:beforeAutospacing="0" w:after="0" w:afterAutospacing="0"/>
                    <w:ind w:left="0" w:right="0"/>
                    <w:jc w:val="center"/>
                    <w:rPr>
                      <w:rFonts w:hint="default"/>
                      <w:b/>
                      <w:bCs/>
                      <w:color w:val="auto"/>
                      <w:kern w:val="0"/>
                      <w:szCs w:val="21"/>
                    </w:rPr>
                  </w:pPr>
                  <w:r>
                    <w:rPr>
                      <w:rFonts w:hint="default"/>
                      <w:b/>
                      <w:bCs/>
                      <w:color w:val="auto"/>
                      <w:kern w:val="0"/>
                      <w:szCs w:val="21"/>
                    </w:rPr>
                    <w:t>符合性</w:t>
                  </w:r>
                </w:p>
              </w:tc>
            </w:tr>
            <w:tr w14:paraId="18F6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tcBorders>
                    <w:tl2br w:val="nil"/>
                    <w:tr2bl w:val="nil"/>
                  </w:tcBorders>
                  <w:noWrap w:val="0"/>
                  <w:vAlign w:val="center"/>
                </w:tcPr>
                <w:p w14:paraId="6E55EE7A">
                  <w:pPr>
                    <w:keepNext w:val="0"/>
                    <w:keepLines w:val="0"/>
                    <w:suppressLineNumbers w:val="0"/>
                    <w:autoSpaceDE w:val="0"/>
                    <w:autoSpaceDN w:val="0"/>
                    <w:adjustRightInd w:val="0"/>
                    <w:snapToGrid w:val="0"/>
                    <w:spacing w:before="0" w:beforeAutospacing="0" w:after="0" w:afterAutospacing="0"/>
                    <w:ind w:left="0" w:right="0"/>
                    <w:jc w:val="center"/>
                    <w:rPr>
                      <w:rFonts w:hint="default"/>
                      <w:b/>
                      <w:bCs/>
                      <w:color w:val="auto"/>
                      <w:kern w:val="0"/>
                      <w:szCs w:val="21"/>
                    </w:rPr>
                  </w:pPr>
                  <w:r>
                    <w:rPr>
                      <w:rFonts w:hint="default"/>
                      <w:color w:val="auto"/>
                      <w:kern w:val="0"/>
                      <w:szCs w:val="21"/>
                    </w:rPr>
                    <w:t>企业的设立和布局</w:t>
                  </w:r>
                </w:p>
              </w:tc>
              <w:tc>
                <w:tcPr>
                  <w:tcW w:w="2934" w:type="pct"/>
                  <w:tcBorders>
                    <w:tl2br w:val="nil"/>
                    <w:tr2bl w:val="nil"/>
                  </w:tcBorders>
                  <w:noWrap w:val="0"/>
                  <w:vAlign w:val="center"/>
                </w:tcPr>
                <w:p w14:paraId="62E1E9D7">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color w:val="auto"/>
                      <w:kern w:val="0"/>
                      <w:szCs w:val="21"/>
                    </w:rPr>
                    <w:t>1、废钢铁加工配送企业应符合有关法律法规规定，符合国家产业政策、土地供应政策及本地区土地利用总体规划、城乡建设规划和主体功能区规划的要求，企业建设应有规范化设计要求</w:t>
                  </w:r>
                </w:p>
                <w:p w14:paraId="23C71DA1">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bCs/>
                      <w:color w:val="auto"/>
                      <w:kern w:val="0"/>
                      <w:szCs w:val="21"/>
                    </w:rPr>
                    <w:t>2、</w:t>
                  </w:r>
                  <w:r>
                    <w:rPr>
                      <w:rFonts w:hint="default"/>
                      <w:color w:val="auto"/>
                      <w:kern w:val="0"/>
                      <w:szCs w:val="21"/>
                    </w:rPr>
                    <w:t>建设废钢铁加工配送项目时，应根据环境影响评价结论，确定厂址及其与周围人群和敏感区域的距离。新建废钢铁加工配送项目原则上应布局在符合相应功能定位的产业园区。在国家法律、法规、规章和规划确定或县级及以上人民政府规定的自然保护区、风景名胜区、饮用水源保护区、基本农田保护区和其他需要特别保护的区域内，不得新建废钢铁加工配送企业。已在上述区域投产运营的废钢铁加工配送企业要根据该区域规划要求，在一定期限内，通过依法搬迁、转产等方式逐步退出</w:t>
                  </w:r>
                </w:p>
                <w:p w14:paraId="11CD7ADB">
                  <w:pPr>
                    <w:keepNext w:val="0"/>
                    <w:keepLines w:val="0"/>
                    <w:suppressLineNumbers w:val="0"/>
                    <w:autoSpaceDE w:val="0"/>
                    <w:autoSpaceDN w:val="0"/>
                    <w:adjustRightInd w:val="0"/>
                    <w:snapToGrid w:val="0"/>
                    <w:spacing w:before="0" w:beforeAutospacing="0" w:after="0" w:afterAutospacing="0"/>
                    <w:ind w:left="0" w:right="0"/>
                    <w:jc w:val="left"/>
                    <w:rPr>
                      <w:rFonts w:hint="default"/>
                      <w:bCs/>
                      <w:color w:val="auto"/>
                      <w:kern w:val="0"/>
                      <w:szCs w:val="21"/>
                    </w:rPr>
                  </w:pPr>
                  <w:r>
                    <w:rPr>
                      <w:rFonts w:hint="default"/>
                      <w:bCs/>
                      <w:color w:val="auto"/>
                      <w:kern w:val="0"/>
                      <w:szCs w:val="21"/>
                    </w:rPr>
                    <w:t>3、</w:t>
                  </w:r>
                  <w:r>
                    <w:rPr>
                      <w:rFonts w:hint="default"/>
                      <w:color w:val="auto"/>
                      <w:kern w:val="0"/>
                      <w:szCs w:val="21"/>
                    </w:rPr>
                    <w:t>废钢铁加工配送企业应符合国家土地管理的相关政策和规定，应符合国家和本地区土地供应政策，以及禁止和限制用地项目目录、工业项目建设用地控制指标等相关土地使用标准的规定</w:t>
                  </w:r>
                </w:p>
              </w:tc>
              <w:tc>
                <w:tcPr>
                  <w:tcW w:w="1370" w:type="pct"/>
                  <w:tcBorders>
                    <w:tl2br w:val="nil"/>
                    <w:tr2bl w:val="nil"/>
                  </w:tcBorders>
                  <w:noWrap w:val="0"/>
                  <w:vAlign w:val="center"/>
                </w:tcPr>
                <w:p w14:paraId="45B14786">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bCs/>
                      <w:color w:val="auto"/>
                      <w:kern w:val="0"/>
                      <w:szCs w:val="21"/>
                    </w:rPr>
                    <w:t>本项目位于</w:t>
                  </w:r>
                  <w:r>
                    <w:rPr>
                      <w:rFonts w:hint="eastAsia"/>
                      <w:bCs/>
                      <w:color w:val="auto"/>
                      <w:kern w:val="0"/>
                      <w:szCs w:val="21"/>
                      <w:lang w:val="en-US" w:eastAsia="zh-CN"/>
                    </w:rPr>
                    <w:t>屯留经济技术开发区的</w:t>
                  </w:r>
                  <w:r>
                    <w:rPr>
                      <w:rFonts w:hint="default"/>
                      <w:bCs/>
                      <w:color w:val="auto"/>
                      <w:kern w:val="0"/>
                      <w:szCs w:val="21"/>
                      <w:lang w:val="en-US" w:eastAsia="zh-CN"/>
                    </w:rPr>
                    <w:t>康庄工业园内</w:t>
                  </w:r>
                  <w:r>
                    <w:rPr>
                      <w:rFonts w:hint="default"/>
                      <w:bCs/>
                      <w:color w:val="auto"/>
                      <w:kern w:val="0"/>
                      <w:szCs w:val="21"/>
                    </w:rPr>
                    <w:t>，</w:t>
                  </w:r>
                  <w:r>
                    <w:rPr>
                      <w:rFonts w:hint="eastAsia"/>
                      <w:bCs/>
                      <w:color w:val="auto"/>
                      <w:kern w:val="0"/>
                      <w:szCs w:val="21"/>
                      <w:lang w:val="en-US" w:eastAsia="zh-CN"/>
                    </w:rPr>
                    <w:t>在现有厂房内建设，不新增占地，</w:t>
                  </w:r>
                  <w:r>
                    <w:rPr>
                      <w:rFonts w:hint="default"/>
                      <w:bCs/>
                      <w:color w:val="auto"/>
                      <w:kern w:val="0"/>
                      <w:szCs w:val="21"/>
                    </w:rPr>
                    <w:t>占地属于工业用地，符合</w:t>
                  </w:r>
                  <w:r>
                    <w:rPr>
                      <w:rFonts w:hint="default"/>
                      <w:color w:val="auto"/>
                      <w:kern w:val="0"/>
                      <w:szCs w:val="21"/>
                    </w:rPr>
                    <w:t>国家产业政策、土地利用规划，</w:t>
                  </w:r>
                  <w:r>
                    <w:rPr>
                      <w:rFonts w:hint="default"/>
                      <w:bCs/>
                      <w:color w:val="auto"/>
                      <w:kern w:val="0"/>
                      <w:szCs w:val="21"/>
                    </w:rPr>
                    <w:t>项目不在生态保护红线范围内</w:t>
                  </w:r>
                </w:p>
              </w:tc>
              <w:tc>
                <w:tcPr>
                  <w:tcW w:w="407" w:type="pct"/>
                  <w:tcBorders>
                    <w:tl2br w:val="nil"/>
                    <w:tr2bl w:val="nil"/>
                  </w:tcBorders>
                  <w:noWrap w:val="0"/>
                  <w:vAlign w:val="center"/>
                </w:tcPr>
                <w:p w14:paraId="3D1F7A84">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4497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restart"/>
                  <w:tcBorders>
                    <w:tl2br w:val="nil"/>
                    <w:tr2bl w:val="nil"/>
                  </w:tcBorders>
                  <w:noWrap w:val="0"/>
                  <w:vAlign w:val="center"/>
                </w:tcPr>
                <w:p w14:paraId="54FEE35A">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r>
                    <w:rPr>
                      <w:rFonts w:hint="default"/>
                      <w:color w:val="auto"/>
                      <w:kern w:val="0"/>
                      <w:szCs w:val="21"/>
                    </w:rPr>
                    <w:t>规模、工艺和装备</w:t>
                  </w:r>
                </w:p>
              </w:tc>
              <w:tc>
                <w:tcPr>
                  <w:tcW w:w="2934" w:type="pct"/>
                  <w:tcBorders>
                    <w:tl2br w:val="nil"/>
                    <w:tr2bl w:val="nil"/>
                  </w:tcBorders>
                  <w:noWrap w:val="0"/>
                  <w:vAlign w:val="center"/>
                </w:tcPr>
                <w:p w14:paraId="0811D4E8">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color w:val="auto"/>
                      <w:kern w:val="0"/>
                      <w:szCs w:val="21"/>
                    </w:rPr>
                    <w:t>1、新建普碳废钢铁加工配送企业年废钢铁加工能力必须在15万吨以上；改造、扩建普碳废钢铁加工配送企业年废钢铁加工能力应达到10万吨以上；废旧不锈钢及其它废旧特种钢加工配送企业年加工能力应达到3万吨以上</w:t>
                  </w:r>
                </w:p>
              </w:tc>
              <w:tc>
                <w:tcPr>
                  <w:tcW w:w="1370" w:type="pct"/>
                  <w:tcBorders>
                    <w:tl2br w:val="nil"/>
                    <w:tr2bl w:val="nil"/>
                  </w:tcBorders>
                  <w:noWrap w:val="0"/>
                  <w:vAlign w:val="center"/>
                </w:tcPr>
                <w:p w14:paraId="0A8CC7DF">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bCs/>
                      <w:color w:val="auto"/>
                      <w:kern w:val="0"/>
                      <w:szCs w:val="21"/>
                    </w:rPr>
                    <w:t>生产规模为</w:t>
                  </w:r>
                  <w:r>
                    <w:rPr>
                      <w:rFonts w:hint="eastAsia"/>
                      <w:bCs/>
                      <w:color w:val="auto"/>
                      <w:kern w:val="0"/>
                      <w:szCs w:val="21"/>
                      <w:lang w:val="en-US" w:eastAsia="zh-CN"/>
                    </w:rPr>
                    <w:t>30万吨环保热熔压饼</w:t>
                  </w:r>
                </w:p>
              </w:tc>
              <w:tc>
                <w:tcPr>
                  <w:tcW w:w="407" w:type="pct"/>
                  <w:tcBorders>
                    <w:tl2br w:val="nil"/>
                    <w:tr2bl w:val="nil"/>
                  </w:tcBorders>
                  <w:noWrap w:val="0"/>
                  <w:vAlign w:val="center"/>
                </w:tcPr>
                <w:p w14:paraId="42BB238C">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3F04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0859DEED">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p>
              </w:tc>
              <w:tc>
                <w:tcPr>
                  <w:tcW w:w="2934" w:type="pct"/>
                  <w:tcBorders>
                    <w:tl2br w:val="nil"/>
                    <w:tr2bl w:val="nil"/>
                  </w:tcBorders>
                  <w:noWrap w:val="0"/>
                  <w:vAlign w:val="center"/>
                </w:tcPr>
                <w:p w14:paraId="388C7253">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color w:val="auto"/>
                      <w:kern w:val="0"/>
                      <w:szCs w:val="21"/>
                    </w:rPr>
                    <w:t>2、新建普碳废钢铁加工配送企业要求厂区面积不小于3万平米，作业场地硬化面积不小于1.5万平米；改造、扩建普碳废钢铁加工配送企业要求厂区面积不小于2万平米，作业场地硬化面积不小于1万平米；废旧不锈钢及其它废旧特种钢加工配送企业厂区面积不小于1万平米，作业场地硬化面积不小于5千平米。土地使用手续合法(若土地为租用，合同期限不少于15年)</w:t>
                  </w:r>
                </w:p>
              </w:tc>
              <w:tc>
                <w:tcPr>
                  <w:tcW w:w="1370" w:type="pct"/>
                  <w:tcBorders>
                    <w:tl2br w:val="nil"/>
                    <w:tr2bl w:val="nil"/>
                  </w:tcBorders>
                  <w:noWrap w:val="0"/>
                  <w:vAlign w:val="center"/>
                </w:tcPr>
                <w:p w14:paraId="1F7D7F63">
                  <w:pPr>
                    <w:keepNext w:val="0"/>
                    <w:keepLines w:val="0"/>
                    <w:suppressLineNumbers w:val="0"/>
                    <w:autoSpaceDE w:val="0"/>
                    <w:autoSpaceDN w:val="0"/>
                    <w:adjustRightInd w:val="0"/>
                    <w:snapToGrid w:val="0"/>
                    <w:spacing w:before="0" w:beforeAutospacing="0" w:after="0" w:afterAutospacing="0"/>
                    <w:ind w:left="0" w:right="0"/>
                    <w:jc w:val="both"/>
                    <w:rPr>
                      <w:rFonts w:hint="default" w:eastAsia="宋体"/>
                      <w:bCs/>
                      <w:color w:val="auto"/>
                      <w:kern w:val="0"/>
                      <w:szCs w:val="21"/>
                      <w:lang w:val="en-US" w:eastAsia="zh-CN"/>
                    </w:rPr>
                  </w:pPr>
                  <w:r>
                    <w:rPr>
                      <w:rFonts w:hint="default"/>
                      <w:bCs/>
                      <w:color w:val="auto"/>
                      <w:kern w:val="0"/>
                      <w:szCs w:val="21"/>
                    </w:rPr>
                    <w:t>根据</w:t>
                  </w:r>
                  <w:r>
                    <w:rPr>
                      <w:rFonts w:hint="eastAsia"/>
                      <w:bCs/>
                      <w:color w:val="auto"/>
                      <w:kern w:val="0"/>
                      <w:szCs w:val="21"/>
                      <w:lang w:val="en-US" w:eastAsia="zh-CN"/>
                    </w:rPr>
                    <w:t>土地手续</w:t>
                  </w:r>
                  <w:r>
                    <w:rPr>
                      <w:rFonts w:hint="default"/>
                      <w:bCs/>
                      <w:color w:val="auto"/>
                      <w:kern w:val="0"/>
                      <w:szCs w:val="21"/>
                    </w:rPr>
                    <w:t>（附件</w:t>
                  </w:r>
                  <w:r>
                    <w:rPr>
                      <w:rFonts w:hint="eastAsia"/>
                      <w:bCs/>
                      <w:color w:val="auto"/>
                      <w:kern w:val="0"/>
                      <w:szCs w:val="21"/>
                      <w:lang w:val="en-US" w:eastAsia="zh-CN"/>
                    </w:rPr>
                    <w:t>3</w:t>
                  </w:r>
                  <w:r>
                    <w:rPr>
                      <w:rFonts w:hint="default"/>
                      <w:bCs/>
                      <w:color w:val="auto"/>
                      <w:kern w:val="0"/>
                      <w:szCs w:val="21"/>
                    </w:rPr>
                    <w:t>），</w:t>
                  </w:r>
                  <w:r>
                    <w:rPr>
                      <w:rFonts w:hint="eastAsia"/>
                      <w:bCs/>
                      <w:color w:val="auto"/>
                      <w:kern w:val="0"/>
                      <w:szCs w:val="21"/>
                      <w:lang w:val="en-US" w:eastAsia="zh-CN"/>
                    </w:rPr>
                    <w:t>现有厂区</w:t>
                  </w:r>
                  <w:r>
                    <w:rPr>
                      <w:rFonts w:hint="default"/>
                      <w:bCs/>
                      <w:color w:val="auto"/>
                      <w:kern w:val="0"/>
                      <w:szCs w:val="21"/>
                    </w:rPr>
                    <w:t>占地面积为</w:t>
                  </w:r>
                  <w:r>
                    <w:rPr>
                      <w:rFonts w:hint="eastAsia"/>
                      <w:bCs/>
                      <w:color w:val="auto"/>
                      <w:kern w:val="0"/>
                      <w:szCs w:val="21"/>
                      <w:lang w:val="en-US" w:eastAsia="zh-CN"/>
                    </w:rPr>
                    <w:t>114405.02m</w:t>
                  </w:r>
                  <w:r>
                    <w:rPr>
                      <w:rFonts w:hint="eastAsia"/>
                      <w:bCs/>
                      <w:color w:val="auto"/>
                      <w:kern w:val="0"/>
                      <w:szCs w:val="21"/>
                      <w:vertAlign w:val="superscript"/>
                      <w:lang w:val="en-US" w:eastAsia="zh-CN"/>
                    </w:rPr>
                    <w:t>2</w:t>
                  </w:r>
                  <w:r>
                    <w:rPr>
                      <w:rFonts w:hint="default"/>
                      <w:bCs/>
                      <w:color w:val="auto"/>
                      <w:kern w:val="0"/>
                      <w:szCs w:val="21"/>
                    </w:rPr>
                    <w:t>，</w:t>
                  </w:r>
                  <w:r>
                    <w:rPr>
                      <w:rFonts w:hint="eastAsia"/>
                      <w:bCs/>
                      <w:color w:val="auto"/>
                      <w:kern w:val="0"/>
                      <w:szCs w:val="21"/>
                      <w:lang w:val="en-US" w:eastAsia="zh-CN"/>
                    </w:rPr>
                    <w:t>本项目</w:t>
                  </w:r>
                  <w:r>
                    <w:rPr>
                      <w:rFonts w:hint="eastAsia"/>
                      <w:color w:val="auto"/>
                      <w:kern w:val="0"/>
                      <w:szCs w:val="21"/>
                      <w:lang w:val="en-US" w:eastAsia="zh-CN"/>
                    </w:rPr>
                    <w:t>作业</w:t>
                  </w:r>
                  <w:r>
                    <w:rPr>
                      <w:rFonts w:hint="default"/>
                      <w:color w:val="auto"/>
                      <w:kern w:val="0"/>
                      <w:szCs w:val="21"/>
                    </w:rPr>
                    <w:t>场地硬化面积</w:t>
                  </w:r>
                  <w:r>
                    <w:rPr>
                      <w:rFonts w:hint="eastAsia"/>
                      <w:color w:val="auto"/>
                      <w:kern w:val="0"/>
                      <w:szCs w:val="21"/>
                      <w:lang w:val="en-US" w:eastAsia="zh-CN"/>
                    </w:rPr>
                    <w:t>约为</w:t>
                  </w:r>
                  <w:r>
                    <w:rPr>
                      <w:rFonts w:hint="eastAsia"/>
                      <w:bCs/>
                      <w:color w:val="auto"/>
                      <w:kern w:val="0"/>
                      <w:szCs w:val="21"/>
                      <w:lang w:val="en-US" w:eastAsia="zh-CN"/>
                    </w:rPr>
                    <w:t>8355m</w:t>
                  </w:r>
                  <w:r>
                    <w:rPr>
                      <w:rFonts w:hint="eastAsia"/>
                      <w:bCs/>
                      <w:color w:val="auto"/>
                      <w:kern w:val="0"/>
                      <w:szCs w:val="21"/>
                      <w:vertAlign w:val="superscript"/>
                      <w:lang w:val="en-US" w:eastAsia="zh-CN"/>
                    </w:rPr>
                    <w:t>2</w:t>
                  </w:r>
                  <w:r>
                    <w:rPr>
                      <w:rFonts w:hint="default"/>
                      <w:bCs/>
                      <w:color w:val="auto"/>
                      <w:kern w:val="0"/>
                      <w:szCs w:val="21"/>
                    </w:rPr>
                    <w:t>，</w:t>
                  </w:r>
                  <w:r>
                    <w:rPr>
                      <w:rFonts w:hint="eastAsia"/>
                      <w:bCs/>
                      <w:color w:val="auto"/>
                      <w:kern w:val="0"/>
                      <w:szCs w:val="21"/>
                      <w:lang w:val="en-US" w:eastAsia="zh-CN"/>
                    </w:rPr>
                    <w:t>土地为山西瑞赛格废弃资源综合利用有限公司单独所有</w:t>
                  </w:r>
                </w:p>
              </w:tc>
              <w:tc>
                <w:tcPr>
                  <w:tcW w:w="407" w:type="pct"/>
                  <w:tcBorders>
                    <w:tl2br w:val="nil"/>
                    <w:tr2bl w:val="nil"/>
                  </w:tcBorders>
                  <w:noWrap w:val="0"/>
                  <w:vAlign w:val="center"/>
                </w:tcPr>
                <w:p w14:paraId="1E86142D">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02EE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3237092A">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p>
              </w:tc>
              <w:tc>
                <w:tcPr>
                  <w:tcW w:w="2934" w:type="pct"/>
                  <w:tcBorders>
                    <w:tl2br w:val="nil"/>
                    <w:tr2bl w:val="nil"/>
                  </w:tcBorders>
                  <w:noWrap w:val="0"/>
                  <w:vAlign w:val="center"/>
                </w:tcPr>
                <w:p w14:paraId="6BF77287">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color w:val="auto"/>
                      <w:kern w:val="0"/>
                      <w:szCs w:val="21"/>
                    </w:rPr>
                    <w:t>3、废钢铁加工配送企业应配有打包设备、剪切设备或破碎设备以及配套装卸设备和车辆等，必须配备辐射监测仪器、电子磅和非钢铁类夹杂物分类设备等。废旧不锈钢及其他废旧特种钢加工配送企业应配备成分检测设备。</w:t>
                  </w:r>
                </w:p>
              </w:tc>
              <w:tc>
                <w:tcPr>
                  <w:tcW w:w="1370" w:type="pct"/>
                  <w:tcBorders>
                    <w:tl2br w:val="nil"/>
                    <w:tr2bl w:val="nil"/>
                  </w:tcBorders>
                  <w:noWrap w:val="0"/>
                  <w:vAlign w:val="center"/>
                </w:tcPr>
                <w:p w14:paraId="6022AD51">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eastAsia"/>
                      <w:color w:val="auto"/>
                      <w:kern w:val="0"/>
                      <w:szCs w:val="21"/>
                      <w:highlight w:val="none"/>
                      <w:lang w:val="en-US" w:eastAsia="zh-CN"/>
                    </w:rPr>
                    <w:t>本项目原料为粒径≤20mm和≤3mm的废钢铁碎料，为颗粒状，无需设置</w:t>
                  </w:r>
                  <w:r>
                    <w:rPr>
                      <w:rFonts w:hint="default"/>
                      <w:color w:val="auto"/>
                      <w:kern w:val="0"/>
                      <w:szCs w:val="21"/>
                      <w:highlight w:val="none"/>
                    </w:rPr>
                    <w:t>破碎</w:t>
                  </w:r>
                  <w:r>
                    <w:rPr>
                      <w:rFonts w:hint="eastAsia"/>
                      <w:color w:val="auto"/>
                      <w:kern w:val="0"/>
                      <w:szCs w:val="21"/>
                      <w:highlight w:val="none"/>
                      <w:lang w:val="en-US" w:eastAsia="zh-CN"/>
                    </w:rPr>
                    <w:t>工序</w:t>
                  </w:r>
                  <w:r>
                    <w:rPr>
                      <w:rFonts w:hint="eastAsia"/>
                      <w:color w:val="auto"/>
                      <w:kern w:val="0"/>
                      <w:szCs w:val="21"/>
                      <w:highlight w:val="none"/>
                      <w:lang w:eastAsia="zh-CN"/>
                    </w:rPr>
                    <w:t>，</w:t>
                  </w:r>
                  <w:r>
                    <w:rPr>
                      <w:rFonts w:hint="default"/>
                      <w:color w:val="auto"/>
                      <w:kern w:val="0"/>
                      <w:szCs w:val="21"/>
                      <w:highlight w:val="none"/>
                    </w:rPr>
                    <w:t>配套装卸设备和车辆、辐射监测仪器、电子磅和非钢铁类夹杂物分类设备</w:t>
                  </w:r>
                </w:p>
              </w:tc>
              <w:tc>
                <w:tcPr>
                  <w:tcW w:w="407" w:type="pct"/>
                  <w:tcBorders>
                    <w:tl2br w:val="nil"/>
                    <w:tr2bl w:val="nil"/>
                  </w:tcBorders>
                  <w:noWrap w:val="0"/>
                  <w:vAlign w:val="center"/>
                </w:tcPr>
                <w:p w14:paraId="36957A7F">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577A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30800B45">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p>
              </w:tc>
              <w:tc>
                <w:tcPr>
                  <w:tcW w:w="2934" w:type="pct"/>
                  <w:tcBorders>
                    <w:tl2br w:val="nil"/>
                    <w:tr2bl w:val="nil"/>
                  </w:tcBorders>
                  <w:noWrap w:val="0"/>
                  <w:vAlign w:val="center"/>
                </w:tcPr>
                <w:p w14:paraId="3C3D5EB8">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color w:val="auto"/>
                      <w:kern w:val="0"/>
                      <w:szCs w:val="21"/>
                    </w:rPr>
                    <w:t>4、废钢铁加工配送企业应选择生产效率高、加工工艺先进、能耗低、</w:t>
                  </w:r>
                  <w:r>
                    <w:rPr>
                      <w:rFonts w:hint="default"/>
                      <w:color w:val="auto"/>
                      <w:kern w:val="0"/>
                      <w:sz w:val="24"/>
                    </w:rPr>
                    <w:fldChar w:fldCharType="begin"/>
                  </w:r>
                  <w:r>
                    <w:rPr>
                      <w:rFonts w:hint="default"/>
                      <w:color w:val="auto"/>
                      <w:kern w:val="0"/>
                      <w:sz w:val="24"/>
                    </w:rPr>
                    <w:instrText xml:space="preserve">HYPERLINK "https://huanbao.bjx.com.cn/topics/huanbao/" \t "_blank"</w:instrText>
                  </w:r>
                  <w:r>
                    <w:rPr>
                      <w:rFonts w:hint="default"/>
                      <w:color w:val="auto"/>
                      <w:kern w:val="0"/>
                      <w:sz w:val="24"/>
                    </w:rPr>
                    <w:fldChar w:fldCharType="separate"/>
                  </w:r>
                  <w:r>
                    <w:rPr>
                      <w:rFonts w:hint="default"/>
                      <w:color w:val="auto"/>
                      <w:kern w:val="0"/>
                      <w:szCs w:val="21"/>
                    </w:rPr>
                    <w:t>环保</w:t>
                  </w:r>
                  <w:r>
                    <w:rPr>
                      <w:rFonts w:hint="default"/>
                      <w:color w:val="auto"/>
                      <w:kern w:val="0"/>
                      <w:szCs w:val="21"/>
                    </w:rPr>
                    <w:fldChar w:fldCharType="end"/>
                  </w:r>
                  <w:r>
                    <w:rPr>
                      <w:rFonts w:hint="default"/>
                      <w:color w:val="auto"/>
                      <w:kern w:val="0"/>
                      <w:szCs w:val="21"/>
                    </w:rPr>
                    <w:t>达标和资源综合利用率高的加工生产系统。必须配套有粉尘收集、污水处理和噪音控制等环境保护设施，加工工艺和设备应满足国家产业政策、禁止和限制用地项目目录的有关要求。</w:t>
                  </w:r>
                </w:p>
              </w:tc>
              <w:tc>
                <w:tcPr>
                  <w:tcW w:w="1370" w:type="pct"/>
                  <w:tcBorders>
                    <w:tl2br w:val="nil"/>
                    <w:tr2bl w:val="nil"/>
                  </w:tcBorders>
                  <w:noWrap w:val="0"/>
                  <w:vAlign w:val="center"/>
                </w:tcPr>
                <w:p w14:paraId="7C9FF109">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color w:val="auto"/>
                      <w:kern w:val="0"/>
                      <w:szCs w:val="21"/>
                    </w:rPr>
                    <w:t>配套有粉尘收集和噪音控制等环保设施，加工工艺和设备满足国家产业政策、禁止和限制用地项目目录有关要求</w:t>
                  </w:r>
                </w:p>
              </w:tc>
              <w:tc>
                <w:tcPr>
                  <w:tcW w:w="407" w:type="pct"/>
                  <w:tcBorders>
                    <w:tl2br w:val="nil"/>
                    <w:tr2bl w:val="nil"/>
                  </w:tcBorders>
                  <w:noWrap w:val="0"/>
                  <w:vAlign w:val="center"/>
                </w:tcPr>
                <w:p w14:paraId="6ECE3F25">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340D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54B1E9C0">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p>
              </w:tc>
              <w:tc>
                <w:tcPr>
                  <w:tcW w:w="2934" w:type="pct"/>
                  <w:tcBorders>
                    <w:tl2br w:val="nil"/>
                    <w:tr2bl w:val="nil"/>
                  </w:tcBorders>
                  <w:noWrap w:val="0"/>
                  <w:vAlign w:val="center"/>
                </w:tcPr>
                <w:p w14:paraId="30489096">
                  <w:pPr>
                    <w:keepNext w:val="0"/>
                    <w:keepLines w:val="0"/>
                    <w:suppressLineNumbers w:val="0"/>
                    <w:autoSpaceDE w:val="0"/>
                    <w:autoSpaceDN w:val="0"/>
                    <w:adjustRightInd w:val="0"/>
                    <w:snapToGrid w:val="0"/>
                    <w:spacing w:before="0" w:beforeAutospacing="0" w:after="0" w:afterAutospacing="0"/>
                    <w:ind w:left="0" w:right="0"/>
                    <w:jc w:val="left"/>
                    <w:rPr>
                      <w:rFonts w:hint="default"/>
                      <w:color w:val="auto"/>
                      <w:kern w:val="0"/>
                      <w:szCs w:val="21"/>
                    </w:rPr>
                  </w:pPr>
                  <w:r>
                    <w:rPr>
                      <w:rFonts w:hint="default"/>
                      <w:color w:val="auto"/>
                      <w:kern w:val="0"/>
                      <w:szCs w:val="21"/>
                    </w:rPr>
                    <w:t>5、鼓励企业积极开发使用节能、环保、高效的新技术、新工艺、新装备，逐步淘汰鳄鱼剪式剪切机。</w:t>
                  </w:r>
                </w:p>
              </w:tc>
              <w:tc>
                <w:tcPr>
                  <w:tcW w:w="1370" w:type="pct"/>
                  <w:tcBorders>
                    <w:tl2br w:val="nil"/>
                    <w:tr2bl w:val="nil"/>
                  </w:tcBorders>
                  <w:noWrap w:val="0"/>
                  <w:vAlign w:val="center"/>
                </w:tcPr>
                <w:p w14:paraId="16F61246">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无</w:t>
                  </w:r>
                  <w:r>
                    <w:rPr>
                      <w:rFonts w:hint="default"/>
                      <w:color w:val="auto"/>
                      <w:kern w:val="0"/>
                      <w:szCs w:val="21"/>
                    </w:rPr>
                    <w:t>鳄鱼剪式剪切机</w:t>
                  </w:r>
                </w:p>
              </w:tc>
              <w:tc>
                <w:tcPr>
                  <w:tcW w:w="407" w:type="pct"/>
                  <w:tcBorders>
                    <w:tl2br w:val="nil"/>
                    <w:tr2bl w:val="nil"/>
                  </w:tcBorders>
                  <w:noWrap w:val="0"/>
                  <w:vAlign w:val="center"/>
                </w:tcPr>
                <w:p w14:paraId="1032BA5B">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229D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restart"/>
                  <w:tcBorders>
                    <w:tl2br w:val="nil"/>
                    <w:tr2bl w:val="nil"/>
                  </w:tcBorders>
                  <w:noWrap w:val="0"/>
                  <w:vAlign w:val="center"/>
                </w:tcPr>
                <w:p w14:paraId="22C79302">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r>
                    <w:rPr>
                      <w:rFonts w:hint="default"/>
                      <w:color w:val="auto"/>
                      <w:kern w:val="0"/>
                      <w:szCs w:val="21"/>
                    </w:rPr>
                    <w:t>产品质量</w:t>
                  </w:r>
                </w:p>
              </w:tc>
              <w:tc>
                <w:tcPr>
                  <w:tcW w:w="2934" w:type="pct"/>
                  <w:tcBorders>
                    <w:tl2br w:val="nil"/>
                    <w:tr2bl w:val="nil"/>
                  </w:tcBorders>
                  <w:noWrap w:val="0"/>
                  <w:vAlign w:val="center"/>
                </w:tcPr>
                <w:p w14:paraId="1AFCC4E1">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1、废钢铁加工产品达到废钢铁国家标准和行业标准。不得销售给生产建筑用钢的工频炉、中频炉企业，以及使用30吨及以下电炉(高合金电炉除外)等落后生产设备的企业。</w:t>
                  </w:r>
                </w:p>
              </w:tc>
              <w:tc>
                <w:tcPr>
                  <w:tcW w:w="1370" w:type="pct"/>
                  <w:tcBorders>
                    <w:tl2br w:val="nil"/>
                    <w:tr2bl w:val="nil"/>
                  </w:tcBorders>
                  <w:noWrap w:val="0"/>
                  <w:vAlign w:val="center"/>
                </w:tcPr>
                <w:p w14:paraId="6F0221B8">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bCs/>
                      <w:color w:val="auto"/>
                      <w:kern w:val="0"/>
                      <w:szCs w:val="21"/>
                    </w:rPr>
                    <w:t>产品出售给当地钢</w:t>
                  </w:r>
                  <w:r>
                    <w:rPr>
                      <w:rFonts w:hint="eastAsia"/>
                      <w:bCs/>
                      <w:color w:val="auto"/>
                      <w:kern w:val="0"/>
                      <w:szCs w:val="21"/>
                      <w:lang w:val="en-US" w:eastAsia="zh-CN"/>
                    </w:rPr>
                    <w:t>铁</w:t>
                  </w:r>
                  <w:r>
                    <w:rPr>
                      <w:rFonts w:hint="default"/>
                      <w:bCs/>
                      <w:color w:val="auto"/>
                      <w:kern w:val="0"/>
                      <w:szCs w:val="21"/>
                    </w:rPr>
                    <w:t>厂炼钢</w:t>
                  </w:r>
                  <w:r>
                    <w:rPr>
                      <w:rFonts w:hint="eastAsia"/>
                      <w:bCs/>
                      <w:color w:val="auto"/>
                      <w:kern w:val="0"/>
                      <w:szCs w:val="21"/>
                      <w:lang w:val="en-US" w:eastAsia="zh-CN"/>
                    </w:rPr>
                    <w:t>炼铁</w:t>
                  </w:r>
                  <w:r>
                    <w:rPr>
                      <w:rFonts w:hint="default"/>
                      <w:bCs/>
                      <w:color w:val="auto"/>
                      <w:kern w:val="0"/>
                      <w:szCs w:val="21"/>
                    </w:rPr>
                    <w:t>使用，</w:t>
                  </w:r>
                  <w:r>
                    <w:rPr>
                      <w:rFonts w:hint="eastAsia"/>
                      <w:bCs/>
                      <w:color w:val="auto"/>
                      <w:kern w:val="0"/>
                      <w:szCs w:val="21"/>
                      <w:lang w:val="en-US" w:eastAsia="zh-CN"/>
                    </w:rPr>
                    <w:t>本项目回转窑加热燃料为天然气，</w:t>
                  </w:r>
                  <w:r>
                    <w:rPr>
                      <w:rFonts w:hint="default"/>
                      <w:bCs/>
                      <w:color w:val="auto"/>
                      <w:kern w:val="0"/>
                      <w:szCs w:val="21"/>
                    </w:rPr>
                    <w:t>不属于</w:t>
                  </w:r>
                  <w:r>
                    <w:rPr>
                      <w:rFonts w:hint="default"/>
                      <w:color w:val="auto"/>
                      <w:kern w:val="0"/>
                      <w:szCs w:val="21"/>
                    </w:rPr>
                    <w:t>生产建筑用钢的工频炉、中频炉企业，以及使用30吨及以下电炉</w:t>
                  </w:r>
                  <w:r>
                    <w:rPr>
                      <w:rFonts w:hint="eastAsia"/>
                      <w:color w:val="auto"/>
                      <w:kern w:val="0"/>
                      <w:szCs w:val="21"/>
                      <w:lang w:eastAsia="zh-CN"/>
                    </w:rPr>
                    <w:t>（</w:t>
                  </w:r>
                  <w:r>
                    <w:rPr>
                      <w:rFonts w:hint="default"/>
                      <w:color w:val="auto"/>
                      <w:kern w:val="0"/>
                      <w:szCs w:val="21"/>
                    </w:rPr>
                    <w:t>高合金电炉除外</w:t>
                  </w:r>
                  <w:r>
                    <w:rPr>
                      <w:rFonts w:hint="eastAsia"/>
                      <w:color w:val="auto"/>
                      <w:kern w:val="0"/>
                      <w:szCs w:val="21"/>
                      <w:lang w:eastAsia="zh-CN"/>
                    </w:rPr>
                    <w:t>）</w:t>
                  </w:r>
                  <w:r>
                    <w:rPr>
                      <w:rFonts w:hint="default"/>
                      <w:color w:val="auto"/>
                      <w:kern w:val="0"/>
                      <w:szCs w:val="21"/>
                    </w:rPr>
                    <w:t>等落后生产设备的企业</w:t>
                  </w:r>
                </w:p>
              </w:tc>
              <w:tc>
                <w:tcPr>
                  <w:tcW w:w="407" w:type="pct"/>
                  <w:tcBorders>
                    <w:tl2br w:val="nil"/>
                    <w:tr2bl w:val="nil"/>
                  </w:tcBorders>
                  <w:noWrap w:val="0"/>
                  <w:vAlign w:val="center"/>
                </w:tcPr>
                <w:p w14:paraId="6BA91498">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1B99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5CB6E756">
                  <w:pPr>
                    <w:keepNext w:val="0"/>
                    <w:keepLines w:val="0"/>
                    <w:suppressLineNumbers w:val="0"/>
                    <w:autoSpaceDE w:val="0"/>
                    <w:autoSpaceDN w:val="0"/>
                    <w:adjustRightInd w:val="0"/>
                    <w:snapToGrid w:val="0"/>
                    <w:spacing w:before="0" w:beforeAutospacing="0" w:after="0" w:afterAutospacing="0"/>
                    <w:ind w:left="0" w:right="0"/>
                    <w:jc w:val="center"/>
                    <w:rPr>
                      <w:rFonts w:hint="default"/>
                      <w:color w:val="auto"/>
                      <w:kern w:val="0"/>
                      <w:szCs w:val="21"/>
                    </w:rPr>
                  </w:pPr>
                </w:p>
              </w:tc>
              <w:tc>
                <w:tcPr>
                  <w:tcW w:w="2934" w:type="pct"/>
                  <w:tcBorders>
                    <w:tl2br w:val="nil"/>
                    <w:tr2bl w:val="nil"/>
                  </w:tcBorders>
                  <w:noWrap w:val="0"/>
                  <w:vAlign w:val="center"/>
                </w:tcPr>
                <w:p w14:paraId="56047156">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2、废钢铁加工配送企业应配备专职质量管理人员，建立质量管理制度。应通过ISO质量管理体系认证。</w:t>
                  </w:r>
                </w:p>
              </w:tc>
              <w:tc>
                <w:tcPr>
                  <w:tcW w:w="1370" w:type="pct"/>
                  <w:tcBorders>
                    <w:tl2br w:val="nil"/>
                    <w:tr2bl w:val="nil"/>
                  </w:tcBorders>
                  <w:noWrap w:val="0"/>
                  <w:vAlign w:val="center"/>
                </w:tcPr>
                <w:p w14:paraId="3ED8CABA">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color w:val="auto"/>
                      <w:kern w:val="0"/>
                      <w:szCs w:val="21"/>
                    </w:rPr>
                    <w:t>配备专职质量管理人员</w:t>
                  </w:r>
                </w:p>
              </w:tc>
              <w:tc>
                <w:tcPr>
                  <w:tcW w:w="407" w:type="pct"/>
                  <w:tcBorders>
                    <w:tl2br w:val="nil"/>
                    <w:tr2bl w:val="nil"/>
                  </w:tcBorders>
                  <w:noWrap w:val="0"/>
                  <w:vAlign w:val="center"/>
                </w:tcPr>
                <w:p w14:paraId="65B41163">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4D9D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restart"/>
                  <w:tcBorders>
                    <w:tl2br w:val="nil"/>
                    <w:tr2bl w:val="nil"/>
                  </w:tcBorders>
                  <w:noWrap w:val="0"/>
                  <w:vAlign w:val="center"/>
                </w:tcPr>
                <w:p w14:paraId="1715F338">
                  <w:pPr>
                    <w:keepNext w:val="0"/>
                    <w:keepLines w:val="0"/>
                    <w:widowControl/>
                    <w:suppressLineNumbers w:val="0"/>
                    <w:spacing w:before="0" w:beforeAutospacing="0" w:after="0" w:afterAutospacing="0"/>
                    <w:ind w:left="0" w:right="0"/>
                    <w:jc w:val="center"/>
                    <w:rPr>
                      <w:rFonts w:hint="default"/>
                      <w:b/>
                      <w:bCs/>
                      <w:color w:val="auto"/>
                      <w:kern w:val="0"/>
                      <w:szCs w:val="21"/>
                    </w:rPr>
                  </w:pPr>
                  <w:r>
                    <w:rPr>
                      <w:rFonts w:hint="default"/>
                      <w:color w:val="auto"/>
                      <w:kern w:val="0"/>
                      <w:szCs w:val="21"/>
                    </w:rPr>
                    <w:t>能源消耗和资源综合利用</w:t>
                  </w:r>
                </w:p>
              </w:tc>
              <w:tc>
                <w:tcPr>
                  <w:tcW w:w="2934" w:type="pct"/>
                  <w:tcBorders>
                    <w:tl2br w:val="nil"/>
                    <w:tr2bl w:val="nil"/>
                  </w:tcBorders>
                  <w:noWrap w:val="0"/>
                  <w:vAlign w:val="center"/>
                </w:tcPr>
                <w:p w14:paraId="12D2D0AA">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1、废钢铁加工配送企业加工生产系统综合电耗应低于30千瓦时/吨废钢铁，新水消耗应低于0.2吨/吨废钢铁。</w:t>
                  </w:r>
                </w:p>
              </w:tc>
              <w:tc>
                <w:tcPr>
                  <w:tcW w:w="1370" w:type="pct"/>
                  <w:tcBorders>
                    <w:tl2br w:val="nil"/>
                    <w:tr2bl w:val="nil"/>
                  </w:tcBorders>
                  <w:noWrap w:val="0"/>
                  <w:vAlign w:val="center"/>
                </w:tcPr>
                <w:p w14:paraId="463F76A2">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color w:val="auto"/>
                      <w:kern w:val="0"/>
                      <w:szCs w:val="21"/>
                      <w:highlight w:val="none"/>
                    </w:rPr>
                    <w:t>综合电耗为</w:t>
                  </w:r>
                  <w:r>
                    <w:rPr>
                      <w:rFonts w:hint="eastAsia"/>
                      <w:color w:val="auto"/>
                      <w:kern w:val="0"/>
                      <w:szCs w:val="21"/>
                      <w:highlight w:val="none"/>
                      <w:lang w:val="en-US" w:eastAsia="zh-CN"/>
                    </w:rPr>
                    <w:t>4</w:t>
                  </w:r>
                  <w:r>
                    <w:rPr>
                      <w:rFonts w:hint="default"/>
                      <w:color w:val="auto"/>
                      <w:kern w:val="0"/>
                      <w:szCs w:val="21"/>
                      <w:highlight w:val="none"/>
                    </w:rPr>
                    <w:t>千瓦时/吨废钢铁，新水消耗为0.0</w:t>
                  </w:r>
                  <w:r>
                    <w:rPr>
                      <w:rFonts w:hint="eastAsia"/>
                      <w:color w:val="auto"/>
                      <w:kern w:val="0"/>
                      <w:szCs w:val="21"/>
                      <w:highlight w:val="none"/>
                      <w:lang w:val="en-US" w:eastAsia="zh-CN"/>
                    </w:rPr>
                    <w:t>14</w:t>
                  </w:r>
                  <w:r>
                    <w:rPr>
                      <w:rFonts w:hint="default"/>
                      <w:color w:val="auto"/>
                      <w:kern w:val="0"/>
                      <w:szCs w:val="21"/>
                      <w:highlight w:val="none"/>
                    </w:rPr>
                    <w:t>吨/吨废钢铁</w:t>
                  </w:r>
                </w:p>
              </w:tc>
              <w:tc>
                <w:tcPr>
                  <w:tcW w:w="407" w:type="pct"/>
                  <w:tcBorders>
                    <w:tl2br w:val="nil"/>
                    <w:tr2bl w:val="nil"/>
                  </w:tcBorders>
                  <w:noWrap w:val="0"/>
                  <w:vAlign w:val="center"/>
                </w:tcPr>
                <w:p w14:paraId="2D37F71C">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118C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2D047362">
                  <w:pPr>
                    <w:keepNext w:val="0"/>
                    <w:keepLines w:val="0"/>
                    <w:widowControl/>
                    <w:suppressLineNumbers w:val="0"/>
                    <w:spacing w:before="0" w:beforeAutospacing="0" w:after="0" w:afterAutospacing="0"/>
                    <w:ind w:left="0" w:right="0"/>
                    <w:jc w:val="left"/>
                    <w:rPr>
                      <w:rFonts w:hint="default"/>
                      <w:color w:val="auto"/>
                      <w:kern w:val="0"/>
                      <w:szCs w:val="21"/>
                    </w:rPr>
                  </w:pPr>
                </w:p>
              </w:tc>
              <w:tc>
                <w:tcPr>
                  <w:tcW w:w="2934" w:type="pct"/>
                  <w:tcBorders>
                    <w:tl2br w:val="nil"/>
                    <w:tr2bl w:val="nil"/>
                  </w:tcBorders>
                  <w:noWrap w:val="0"/>
                  <w:vAlign w:val="center"/>
                </w:tcPr>
                <w:p w14:paraId="6915CBF2">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2、对加工废钢铁过程中产生的各种夹杂物，如有色金属、塑料、橡胶、木块、纤维、渣土、机油、汽油、氟利昂、电池等，应有相应的回收、处理措施和合法流向，避免二次污染</w:t>
                  </w:r>
                </w:p>
              </w:tc>
              <w:tc>
                <w:tcPr>
                  <w:tcW w:w="1370" w:type="pct"/>
                  <w:tcBorders>
                    <w:tl2br w:val="nil"/>
                    <w:tr2bl w:val="nil"/>
                  </w:tcBorders>
                  <w:noWrap w:val="0"/>
                  <w:vAlign w:val="center"/>
                </w:tcPr>
                <w:p w14:paraId="0AF2F2FD">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color w:val="auto"/>
                      <w:kern w:val="0"/>
                      <w:szCs w:val="21"/>
                      <w:highlight w:val="none"/>
                    </w:rPr>
                    <w:t>对分选过程中产生的各种夹杂物，均采取了相应的回收、处理措施</w:t>
                  </w:r>
                </w:p>
              </w:tc>
              <w:tc>
                <w:tcPr>
                  <w:tcW w:w="407" w:type="pct"/>
                  <w:tcBorders>
                    <w:tl2br w:val="nil"/>
                    <w:tr2bl w:val="nil"/>
                  </w:tcBorders>
                  <w:noWrap w:val="0"/>
                  <w:vAlign w:val="center"/>
                </w:tcPr>
                <w:p w14:paraId="242000AD">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0B2E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86" w:type="pct"/>
                  <w:vMerge w:val="restart"/>
                  <w:tcBorders>
                    <w:tl2br w:val="nil"/>
                    <w:tr2bl w:val="nil"/>
                  </w:tcBorders>
                  <w:noWrap w:val="0"/>
                  <w:vAlign w:val="center"/>
                </w:tcPr>
                <w:p w14:paraId="7A4A3F9D">
                  <w:pPr>
                    <w:keepNext w:val="0"/>
                    <w:keepLines w:val="0"/>
                    <w:widowControl/>
                    <w:suppressLineNumbers w:val="0"/>
                    <w:spacing w:before="0" w:beforeAutospacing="0" w:after="0" w:afterAutospacing="0"/>
                    <w:ind w:left="0" w:right="0"/>
                    <w:jc w:val="center"/>
                    <w:rPr>
                      <w:rFonts w:hint="default"/>
                      <w:b/>
                      <w:bCs/>
                      <w:color w:val="auto"/>
                      <w:kern w:val="0"/>
                      <w:szCs w:val="21"/>
                    </w:rPr>
                  </w:pPr>
                  <w:r>
                    <w:rPr>
                      <w:rFonts w:hint="default"/>
                      <w:color w:val="auto"/>
                      <w:kern w:val="0"/>
                      <w:szCs w:val="21"/>
                    </w:rPr>
                    <w:t>环境保护</w:t>
                  </w:r>
                </w:p>
              </w:tc>
              <w:tc>
                <w:tcPr>
                  <w:tcW w:w="2934" w:type="pct"/>
                  <w:tcBorders>
                    <w:tl2br w:val="nil"/>
                    <w:tr2bl w:val="nil"/>
                  </w:tcBorders>
                  <w:noWrap w:val="0"/>
                  <w:vAlign w:val="center"/>
                </w:tcPr>
                <w:p w14:paraId="05FA94FD">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1、废钢铁加工配送企业应按照《建设项目环境保护管理条例》，严格执行环境影响评价制度、环境保护“三同时”制度和排污许可制度等环境保护要求。应按照规定申领排污许可证，经有管辖权的环境保护行政主管部门审核同意、领取排污许可证后，方可排污。</w:t>
                  </w:r>
                </w:p>
              </w:tc>
              <w:tc>
                <w:tcPr>
                  <w:tcW w:w="1370" w:type="pct"/>
                  <w:tcBorders>
                    <w:tl2br w:val="nil"/>
                    <w:tr2bl w:val="nil"/>
                  </w:tcBorders>
                  <w:noWrap w:val="0"/>
                  <w:vAlign w:val="center"/>
                </w:tcPr>
                <w:p w14:paraId="2E592B2F">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color w:val="auto"/>
                      <w:kern w:val="0"/>
                      <w:szCs w:val="21"/>
                    </w:rPr>
                    <w:t>严格执行环境影响评价制度、环境保护“三同时”制度和排污许可制度等环境保护要求</w:t>
                  </w:r>
                </w:p>
              </w:tc>
              <w:tc>
                <w:tcPr>
                  <w:tcW w:w="407" w:type="pct"/>
                  <w:tcBorders>
                    <w:tl2br w:val="nil"/>
                    <w:tr2bl w:val="nil"/>
                  </w:tcBorders>
                  <w:noWrap w:val="0"/>
                  <w:vAlign w:val="center"/>
                </w:tcPr>
                <w:p w14:paraId="17110118">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7FFD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443ED149">
                  <w:pPr>
                    <w:keepNext w:val="0"/>
                    <w:keepLines w:val="0"/>
                    <w:widowControl/>
                    <w:suppressLineNumbers w:val="0"/>
                    <w:spacing w:before="0" w:beforeAutospacing="0" w:after="0" w:afterAutospacing="0"/>
                    <w:ind w:left="0" w:right="0"/>
                    <w:jc w:val="left"/>
                    <w:rPr>
                      <w:rFonts w:hint="default"/>
                      <w:color w:val="auto"/>
                      <w:kern w:val="0"/>
                      <w:szCs w:val="21"/>
                    </w:rPr>
                  </w:pPr>
                </w:p>
              </w:tc>
              <w:tc>
                <w:tcPr>
                  <w:tcW w:w="2934" w:type="pct"/>
                  <w:tcBorders>
                    <w:tl2br w:val="nil"/>
                    <w:tr2bl w:val="nil"/>
                  </w:tcBorders>
                  <w:noWrap w:val="0"/>
                  <w:vAlign w:val="center"/>
                </w:tcPr>
                <w:p w14:paraId="2FACFCF5">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2、按照环境保护主管部门和相关制度规定依法履行环境保护义务，应通过ISO环境管理体系认证。</w:t>
                  </w:r>
                </w:p>
              </w:tc>
              <w:tc>
                <w:tcPr>
                  <w:tcW w:w="1370" w:type="pct"/>
                  <w:tcBorders>
                    <w:tl2br w:val="nil"/>
                    <w:tr2bl w:val="nil"/>
                  </w:tcBorders>
                  <w:noWrap w:val="0"/>
                  <w:vAlign w:val="center"/>
                </w:tcPr>
                <w:p w14:paraId="275064FD">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default"/>
                      <w:color w:val="auto"/>
                      <w:kern w:val="0"/>
                      <w:szCs w:val="21"/>
                    </w:rPr>
                    <w:t>依法履行环境保护义务</w:t>
                  </w:r>
                </w:p>
              </w:tc>
              <w:tc>
                <w:tcPr>
                  <w:tcW w:w="407" w:type="pct"/>
                  <w:tcBorders>
                    <w:tl2br w:val="nil"/>
                    <w:tr2bl w:val="nil"/>
                  </w:tcBorders>
                  <w:noWrap w:val="0"/>
                  <w:vAlign w:val="center"/>
                </w:tcPr>
                <w:p w14:paraId="1CC2921D">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r w14:paraId="2C91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 w:type="pct"/>
                  <w:vMerge w:val="continue"/>
                  <w:tcBorders>
                    <w:tl2br w:val="nil"/>
                    <w:tr2bl w:val="nil"/>
                  </w:tcBorders>
                  <w:noWrap w:val="0"/>
                  <w:vAlign w:val="center"/>
                </w:tcPr>
                <w:p w14:paraId="2B3CED9D">
                  <w:pPr>
                    <w:keepNext w:val="0"/>
                    <w:keepLines w:val="0"/>
                    <w:widowControl/>
                    <w:suppressLineNumbers w:val="0"/>
                    <w:spacing w:before="0" w:beforeAutospacing="0" w:after="0" w:afterAutospacing="0"/>
                    <w:ind w:left="0" w:right="0"/>
                    <w:jc w:val="left"/>
                    <w:rPr>
                      <w:rFonts w:hint="default"/>
                      <w:color w:val="auto"/>
                      <w:kern w:val="0"/>
                      <w:szCs w:val="21"/>
                    </w:rPr>
                  </w:pPr>
                </w:p>
              </w:tc>
              <w:tc>
                <w:tcPr>
                  <w:tcW w:w="2934" w:type="pct"/>
                  <w:tcBorders>
                    <w:tl2br w:val="nil"/>
                    <w:tr2bl w:val="nil"/>
                  </w:tcBorders>
                  <w:noWrap w:val="0"/>
                  <w:vAlign w:val="center"/>
                </w:tcPr>
                <w:p w14:paraId="12F4524E">
                  <w:pPr>
                    <w:keepNext w:val="0"/>
                    <w:keepLines w:val="0"/>
                    <w:widowControl/>
                    <w:suppressLineNumbers w:val="0"/>
                    <w:spacing w:before="0" w:beforeAutospacing="0" w:after="0" w:afterAutospacing="0"/>
                    <w:ind w:left="0" w:right="0"/>
                    <w:jc w:val="left"/>
                    <w:rPr>
                      <w:rFonts w:hint="default"/>
                      <w:color w:val="auto"/>
                      <w:kern w:val="0"/>
                      <w:szCs w:val="21"/>
                    </w:rPr>
                  </w:pPr>
                  <w:r>
                    <w:rPr>
                      <w:rFonts w:hint="default"/>
                      <w:color w:val="auto"/>
                      <w:kern w:val="0"/>
                      <w:szCs w:val="21"/>
                    </w:rPr>
                    <w:t>3、废钢铁加工配送企业应有雨水、生产废水、生活废水的收集和循环利用系统，废水经无害化处理后达标排放，或者排入城市污水集中处理系统处理；应有废油回收储存设备和相关处理措施。废钢铁加工配送企业应有突发环境事件或污染事件应急设施和处理预案，消防设施应达到国家相关要求。</w:t>
                  </w:r>
                </w:p>
              </w:tc>
              <w:tc>
                <w:tcPr>
                  <w:tcW w:w="1370" w:type="pct"/>
                  <w:tcBorders>
                    <w:tl2br w:val="nil"/>
                    <w:tr2bl w:val="nil"/>
                  </w:tcBorders>
                  <w:noWrap w:val="0"/>
                  <w:vAlign w:val="center"/>
                </w:tcPr>
                <w:p w14:paraId="33DBE07D">
                  <w:pPr>
                    <w:keepNext w:val="0"/>
                    <w:keepLines w:val="0"/>
                    <w:suppressLineNumbers w:val="0"/>
                    <w:autoSpaceDE w:val="0"/>
                    <w:autoSpaceDN w:val="0"/>
                    <w:adjustRightInd w:val="0"/>
                    <w:snapToGrid w:val="0"/>
                    <w:spacing w:before="0" w:beforeAutospacing="0" w:after="0" w:afterAutospacing="0"/>
                    <w:ind w:left="0" w:right="0"/>
                    <w:jc w:val="both"/>
                    <w:rPr>
                      <w:rFonts w:hint="default"/>
                      <w:bCs/>
                      <w:color w:val="auto"/>
                      <w:kern w:val="0"/>
                      <w:szCs w:val="21"/>
                    </w:rPr>
                  </w:pPr>
                  <w:r>
                    <w:rPr>
                      <w:rFonts w:hint="eastAsia"/>
                      <w:bCs/>
                      <w:color w:val="auto"/>
                      <w:kern w:val="0"/>
                      <w:szCs w:val="21"/>
                      <w:lang w:val="en-US" w:eastAsia="zh-CN"/>
                    </w:rPr>
                    <w:t>厂</w:t>
                  </w:r>
                  <w:r>
                    <w:rPr>
                      <w:rFonts w:hint="eastAsia"/>
                      <w:bCs/>
                      <w:color w:val="auto"/>
                      <w:kern w:val="0"/>
                      <w:szCs w:val="21"/>
                      <w:highlight w:val="none"/>
                      <w:lang w:val="en-US" w:eastAsia="zh-CN"/>
                    </w:rPr>
                    <w:t>区内</w:t>
                  </w:r>
                  <w:r>
                    <w:rPr>
                      <w:rFonts w:hint="default"/>
                      <w:bCs/>
                      <w:color w:val="auto"/>
                      <w:kern w:val="0"/>
                      <w:szCs w:val="21"/>
                      <w:highlight w:val="none"/>
                    </w:rPr>
                    <w:t>建</w:t>
                  </w:r>
                  <w:r>
                    <w:rPr>
                      <w:rFonts w:hint="eastAsia"/>
                      <w:bCs/>
                      <w:color w:val="auto"/>
                      <w:kern w:val="0"/>
                      <w:szCs w:val="21"/>
                      <w:highlight w:val="none"/>
                      <w:lang w:val="en-US" w:eastAsia="zh-CN"/>
                    </w:rPr>
                    <w:t>有初期</w:t>
                  </w:r>
                  <w:r>
                    <w:rPr>
                      <w:rFonts w:hint="default"/>
                      <w:bCs/>
                      <w:color w:val="auto"/>
                      <w:kern w:val="0"/>
                      <w:szCs w:val="21"/>
                      <w:highlight w:val="none"/>
                    </w:rPr>
                    <w:t>雨水收集池，</w:t>
                  </w:r>
                  <w:r>
                    <w:rPr>
                      <w:rFonts w:hint="eastAsia"/>
                      <w:bCs/>
                      <w:color w:val="auto"/>
                      <w:kern w:val="0"/>
                      <w:szCs w:val="21"/>
                      <w:highlight w:val="none"/>
                      <w:lang w:val="en-US" w:eastAsia="zh-CN"/>
                    </w:rPr>
                    <w:t>本项目产生的</w:t>
                  </w:r>
                  <w:r>
                    <w:rPr>
                      <w:rFonts w:hint="default"/>
                      <w:color w:val="auto"/>
                      <w:kern w:val="0"/>
                      <w:sz w:val="21"/>
                      <w:szCs w:val="21"/>
                      <w:highlight w:val="none"/>
                    </w:rPr>
                    <w:t>生活污水</w:t>
                  </w:r>
                  <w:r>
                    <w:rPr>
                      <w:rFonts w:hint="eastAsia"/>
                      <w:color w:val="auto"/>
                      <w:kern w:val="0"/>
                      <w:sz w:val="21"/>
                      <w:szCs w:val="21"/>
                      <w:highlight w:val="none"/>
                      <w:lang w:val="en-US" w:eastAsia="zh-CN"/>
                    </w:rPr>
                    <w:t>和循环冷却排污水</w:t>
                  </w: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r>
                    <w:rPr>
                      <w:rFonts w:hint="eastAsia"/>
                      <w:bCs/>
                      <w:color w:val="auto"/>
                      <w:kern w:val="0"/>
                      <w:szCs w:val="21"/>
                      <w:highlight w:val="none"/>
                      <w:lang w:eastAsia="zh-CN"/>
                    </w:rPr>
                    <w:t>。</w:t>
                  </w:r>
                  <w:r>
                    <w:rPr>
                      <w:rFonts w:hint="eastAsia"/>
                      <w:bCs/>
                      <w:color w:val="auto"/>
                      <w:kern w:val="0"/>
                      <w:szCs w:val="21"/>
                      <w:highlight w:val="none"/>
                      <w:lang w:val="en-US" w:eastAsia="zh-CN"/>
                    </w:rPr>
                    <w:t>待环</w:t>
                  </w:r>
                  <w:r>
                    <w:rPr>
                      <w:rFonts w:hint="eastAsia"/>
                      <w:bCs/>
                      <w:color w:val="auto"/>
                      <w:kern w:val="0"/>
                      <w:szCs w:val="21"/>
                      <w:lang w:val="en-US" w:eastAsia="zh-CN"/>
                    </w:rPr>
                    <w:t>评报告编制完成后，</w:t>
                  </w:r>
                  <w:r>
                    <w:rPr>
                      <w:rFonts w:hint="default"/>
                      <w:bCs/>
                      <w:color w:val="auto"/>
                      <w:kern w:val="0"/>
                      <w:szCs w:val="21"/>
                    </w:rPr>
                    <w:t>按要求编制</w:t>
                  </w:r>
                  <w:r>
                    <w:rPr>
                      <w:rFonts w:hint="default"/>
                      <w:color w:val="auto"/>
                      <w:kern w:val="0"/>
                      <w:szCs w:val="21"/>
                    </w:rPr>
                    <w:t>突发环境事件应急预案</w:t>
                  </w:r>
                </w:p>
              </w:tc>
              <w:tc>
                <w:tcPr>
                  <w:tcW w:w="407" w:type="pct"/>
                  <w:tcBorders>
                    <w:tl2br w:val="nil"/>
                    <w:tr2bl w:val="nil"/>
                  </w:tcBorders>
                  <w:noWrap w:val="0"/>
                  <w:vAlign w:val="center"/>
                </w:tcPr>
                <w:p w14:paraId="16D81D56">
                  <w:pPr>
                    <w:keepNext w:val="0"/>
                    <w:keepLines w:val="0"/>
                    <w:suppressLineNumbers w:val="0"/>
                    <w:autoSpaceDE w:val="0"/>
                    <w:autoSpaceDN w:val="0"/>
                    <w:adjustRightInd w:val="0"/>
                    <w:snapToGrid w:val="0"/>
                    <w:spacing w:before="0" w:beforeAutospacing="0" w:after="0" w:afterAutospacing="0"/>
                    <w:ind w:left="0" w:right="0"/>
                    <w:jc w:val="center"/>
                    <w:rPr>
                      <w:rFonts w:hint="default"/>
                      <w:bCs/>
                      <w:color w:val="auto"/>
                      <w:kern w:val="0"/>
                      <w:szCs w:val="21"/>
                    </w:rPr>
                  </w:pPr>
                  <w:r>
                    <w:rPr>
                      <w:rFonts w:hint="default"/>
                      <w:bCs/>
                      <w:color w:val="auto"/>
                      <w:kern w:val="0"/>
                      <w:szCs w:val="21"/>
                    </w:rPr>
                    <w:t>符合</w:t>
                  </w:r>
                </w:p>
              </w:tc>
            </w:tr>
          </w:tbl>
          <w:p w14:paraId="54A421B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2" w:firstLineChars="200"/>
              <w:jc w:val="both"/>
              <w:textAlignment w:val="auto"/>
              <w:rPr>
                <w:rFonts w:hint="default"/>
                <w:b/>
                <w:bCs/>
                <w:snapToGrid w:val="0"/>
                <w:color w:val="auto"/>
                <w:sz w:val="24"/>
              </w:rPr>
            </w:pPr>
            <w:r>
              <w:rPr>
                <w:rFonts w:hint="eastAsia" w:cs="Times New Roman"/>
                <w:b/>
                <w:bCs/>
                <w:color w:val="auto"/>
                <w:kern w:val="0"/>
                <w:sz w:val="24"/>
                <w:szCs w:val="24"/>
                <w:highlight w:val="none"/>
                <w:lang w:val="en-US" w:eastAsia="zh-CN"/>
              </w:rPr>
              <w:t>6、</w:t>
            </w:r>
            <w:r>
              <w:rPr>
                <w:rFonts w:hint="default"/>
                <w:b/>
                <w:bCs/>
                <w:color w:val="auto"/>
                <w:kern w:val="0"/>
                <w:sz w:val="24"/>
              </w:rPr>
              <w:t>与《</w:t>
            </w:r>
            <w:r>
              <w:rPr>
                <w:rFonts w:hint="default"/>
                <w:b/>
                <w:bCs/>
                <w:snapToGrid w:val="0"/>
                <w:color w:val="auto"/>
                <w:sz w:val="24"/>
              </w:rPr>
              <w:t>关于支持打击“地条钢”、界定工频和中频感应炉使用范围的意见》</w:t>
            </w:r>
            <w:r>
              <w:rPr>
                <w:rFonts w:hint="eastAsia"/>
                <w:b/>
                <w:bCs/>
                <w:snapToGrid w:val="0"/>
                <w:color w:val="auto"/>
                <w:sz w:val="24"/>
                <w:lang w:eastAsia="zh-CN"/>
              </w:rPr>
              <w:t>（</w:t>
            </w:r>
            <w:r>
              <w:rPr>
                <w:rFonts w:hint="default"/>
                <w:b/>
                <w:bCs/>
                <w:snapToGrid w:val="0"/>
                <w:color w:val="auto"/>
                <w:sz w:val="24"/>
              </w:rPr>
              <w:t>钢协[2017]23号</w:t>
            </w:r>
            <w:r>
              <w:rPr>
                <w:rFonts w:hint="eastAsia"/>
                <w:b/>
                <w:bCs/>
                <w:snapToGrid w:val="0"/>
                <w:color w:val="auto"/>
                <w:sz w:val="24"/>
                <w:lang w:eastAsia="zh-CN"/>
              </w:rPr>
              <w:t>）</w:t>
            </w:r>
            <w:r>
              <w:rPr>
                <w:rFonts w:hint="default"/>
                <w:b/>
                <w:bCs/>
                <w:snapToGrid w:val="0"/>
                <w:color w:val="auto"/>
                <w:sz w:val="24"/>
              </w:rPr>
              <w:t>符合性分析</w:t>
            </w:r>
          </w:p>
          <w:p w14:paraId="60DC387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0" w:firstLineChars="0"/>
              <w:jc w:val="center"/>
              <w:textAlignment w:val="auto"/>
              <w:rPr>
                <w:rFonts w:hint="default"/>
                <w:b/>
                <w:bCs/>
                <w:color w:val="auto"/>
                <w:sz w:val="21"/>
                <w:szCs w:val="21"/>
                <w:shd w:val="clear" w:color="auto" w:fill="FFFFFF"/>
              </w:rPr>
            </w:pPr>
            <w:r>
              <w:rPr>
                <w:rFonts w:hint="default"/>
                <w:b/>
                <w:bCs/>
                <w:color w:val="auto"/>
                <w:sz w:val="21"/>
                <w:szCs w:val="21"/>
                <w:shd w:val="clear" w:color="auto" w:fill="FFFFFF"/>
                <w:lang w:val="en-US" w:eastAsia="zh-CN"/>
              </w:rPr>
              <w:t>表1-</w:t>
            </w:r>
            <w:r>
              <w:rPr>
                <w:rFonts w:hint="eastAsia"/>
                <w:b/>
                <w:bCs/>
                <w:color w:val="auto"/>
                <w:sz w:val="21"/>
                <w:szCs w:val="21"/>
                <w:shd w:val="clear" w:color="auto" w:fill="FFFFFF"/>
                <w:lang w:val="en-US" w:eastAsia="zh-CN"/>
              </w:rPr>
              <w:t>4</w:t>
            </w:r>
            <w:r>
              <w:rPr>
                <w:rFonts w:hint="default"/>
                <w:b/>
                <w:bCs/>
                <w:color w:val="auto"/>
                <w:sz w:val="21"/>
                <w:szCs w:val="21"/>
                <w:shd w:val="clear" w:color="auto" w:fill="FFFFFF"/>
                <w:lang w:val="en-US" w:eastAsia="zh-CN"/>
              </w:rPr>
              <w:t xml:space="preserve">  </w:t>
            </w:r>
            <w:r>
              <w:rPr>
                <w:rFonts w:hint="eastAsia"/>
                <w:b/>
                <w:bCs/>
                <w:color w:val="auto"/>
                <w:sz w:val="21"/>
                <w:szCs w:val="21"/>
                <w:shd w:val="clear" w:color="auto" w:fill="FFFFFF"/>
                <w:lang w:val="en-US" w:eastAsia="zh-CN"/>
              </w:rPr>
              <w:t>与“</w:t>
            </w:r>
            <w:r>
              <w:rPr>
                <w:rFonts w:hint="default"/>
                <w:b/>
                <w:bCs/>
                <w:color w:val="auto"/>
                <w:sz w:val="21"/>
                <w:szCs w:val="21"/>
                <w:shd w:val="clear" w:color="auto" w:fill="FFFFFF"/>
                <w:lang w:val="en-US" w:eastAsia="zh-CN"/>
              </w:rPr>
              <w:t>钢协[2017]23号</w:t>
            </w:r>
            <w:r>
              <w:rPr>
                <w:rFonts w:hint="eastAsia"/>
                <w:b/>
                <w:bCs/>
                <w:color w:val="auto"/>
                <w:sz w:val="21"/>
                <w:szCs w:val="21"/>
                <w:shd w:val="clear" w:color="auto" w:fill="FFFFFF"/>
                <w:lang w:val="en-US" w:eastAsia="zh-CN"/>
              </w:rPr>
              <w:t>”</w:t>
            </w:r>
            <w:r>
              <w:rPr>
                <w:rFonts w:hint="default"/>
                <w:b/>
                <w:bCs/>
                <w:color w:val="auto"/>
                <w:sz w:val="21"/>
                <w:szCs w:val="21"/>
                <w:shd w:val="clear" w:color="auto" w:fill="FFFFFF"/>
                <w:lang w:val="en-US" w:eastAsia="zh-CN"/>
              </w:rPr>
              <w:t>符合性分析</w:t>
            </w:r>
          </w:p>
          <w:tbl>
            <w:tblPr>
              <w:tblStyle w:val="3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3"/>
              <w:gridCol w:w="2288"/>
              <w:gridCol w:w="891"/>
            </w:tblGrid>
            <w:tr w14:paraId="4C76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185" w:type="pct"/>
                  <w:vAlign w:val="center"/>
                </w:tcPr>
                <w:p w14:paraId="1CC1A92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eastAsia="宋体"/>
                      <w:b/>
                      <w:bCs/>
                      <w:color w:val="auto"/>
                      <w:sz w:val="21"/>
                      <w:szCs w:val="21"/>
                      <w:shd w:val="clear" w:color="auto" w:fill="FFFFFF"/>
                      <w:vertAlign w:val="baseline"/>
                      <w:lang w:val="en-US" w:eastAsia="zh-CN"/>
                    </w:rPr>
                  </w:pPr>
                  <w:r>
                    <w:rPr>
                      <w:rFonts w:hint="eastAsia"/>
                      <w:b/>
                      <w:bCs/>
                      <w:color w:val="auto"/>
                      <w:sz w:val="21"/>
                      <w:szCs w:val="21"/>
                      <w:shd w:val="clear" w:color="auto" w:fill="FFFFFF"/>
                      <w:vertAlign w:val="baseline"/>
                      <w:lang w:val="en-US" w:eastAsia="zh-CN"/>
                    </w:rPr>
                    <w:t>意见</w:t>
                  </w:r>
                </w:p>
              </w:tc>
              <w:tc>
                <w:tcPr>
                  <w:tcW w:w="1305" w:type="pct"/>
                  <w:vAlign w:val="center"/>
                </w:tcPr>
                <w:p w14:paraId="45DB8E9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eastAsia="宋体"/>
                      <w:b/>
                      <w:bCs/>
                      <w:color w:val="auto"/>
                      <w:sz w:val="21"/>
                      <w:szCs w:val="21"/>
                      <w:shd w:val="clear" w:color="auto" w:fill="FFFFFF"/>
                      <w:vertAlign w:val="baseline"/>
                      <w:lang w:val="en-US" w:eastAsia="zh-CN"/>
                    </w:rPr>
                  </w:pPr>
                  <w:r>
                    <w:rPr>
                      <w:rFonts w:hint="eastAsia"/>
                      <w:b/>
                      <w:bCs/>
                      <w:color w:val="auto"/>
                      <w:sz w:val="21"/>
                      <w:szCs w:val="21"/>
                      <w:shd w:val="clear" w:color="auto" w:fill="FFFFFF"/>
                      <w:vertAlign w:val="baseline"/>
                      <w:lang w:val="en-US" w:eastAsia="zh-CN"/>
                    </w:rPr>
                    <w:t>项目情况</w:t>
                  </w:r>
                </w:p>
              </w:tc>
              <w:tc>
                <w:tcPr>
                  <w:tcW w:w="508" w:type="pct"/>
                  <w:vAlign w:val="center"/>
                </w:tcPr>
                <w:p w14:paraId="13F184B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eastAsia="宋体"/>
                      <w:b/>
                      <w:bCs/>
                      <w:color w:val="auto"/>
                      <w:sz w:val="21"/>
                      <w:szCs w:val="21"/>
                      <w:shd w:val="clear" w:color="auto" w:fill="FFFFFF"/>
                      <w:vertAlign w:val="baseline"/>
                      <w:lang w:val="en-US" w:eastAsia="zh-CN"/>
                    </w:rPr>
                  </w:pPr>
                  <w:r>
                    <w:rPr>
                      <w:rFonts w:hint="eastAsia"/>
                      <w:b/>
                      <w:bCs/>
                      <w:color w:val="auto"/>
                      <w:sz w:val="21"/>
                      <w:szCs w:val="21"/>
                      <w:shd w:val="clear" w:color="auto" w:fill="FFFFFF"/>
                      <w:vertAlign w:val="baseline"/>
                      <w:lang w:val="en-US" w:eastAsia="zh-CN"/>
                    </w:rPr>
                    <w:t>符合性</w:t>
                  </w:r>
                </w:p>
              </w:tc>
            </w:tr>
            <w:tr w14:paraId="407A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185" w:type="pct"/>
                  <w:vAlign w:val="center"/>
                </w:tcPr>
                <w:p w14:paraId="396C669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both"/>
                    <w:textAlignment w:val="auto"/>
                    <w:rPr>
                      <w:rFonts w:hint="eastAsia" w:eastAsia="宋体"/>
                      <w:color w:val="auto"/>
                      <w:sz w:val="21"/>
                      <w:szCs w:val="21"/>
                      <w:shd w:val="clear" w:color="auto" w:fill="FFFFFF"/>
                      <w:vertAlign w:val="baseline"/>
                      <w:lang w:eastAsia="zh-CN"/>
                    </w:rPr>
                  </w:pPr>
                  <w:r>
                    <w:rPr>
                      <w:rFonts w:hint="eastAsia"/>
                      <w:color w:val="auto"/>
                      <w:sz w:val="21"/>
                      <w:szCs w:val="21"/>
                      <w:shd w:val="clear" w:color="auto" w:fill="FFFFFF"/>
                      <w:vertAlign w:val="baseline"/>
                      <w:lang w:val="en-US" w:eastAsia="zh-CN"/>
                    </w:rPr>
                    <w:t>一</w:t>
                  </w:r>
                  <w:r>
                    <w:rPr>
                      <w:rFonts w:hint="default"/>
                      <w:color w:val="auto"/>
                      <w:sz w:val="21"/>
                      <w:szCs w:val="21"/>
                      <w:shd w:val="clear" w:color="auto" w:fill="FFFFFF"/>
                      <w:vertAlign w:val="baseline"/>
                    </w:rPr>
                    <w:t>、坚决支持取缔“地条钢”违法违规产能</w:t>
                  </w:r>
                  <w:r>
                    <w:rPr>
                      <w:rFonts w:hint="eastAsia"/>
                      <w:color w:val="auto"/>
                      <w:sz w:val="21"/>
                      <w:szCs w:val="21"/>
                      <w:shd w:val="clear" w:color="auto" w:fill="FFFFFF"/>
                      <w:vertAlign w:val="baseline"/>
                      <w:lang w:eastAsia="zh-CN"/>
                    </w:rPr>
                    <w:t>：</w:t>
                  </w:r>
                </w:p>
                <w:p w14:paraId="70D21DC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both"/>
                    <w:textAlignment w:val="auto"/>
                    <w:rPr>
                      <w:rFonts w:hint="default"/>
                      <w:color w:val="auto"/>
                      <w:sz w:val="21"/>
                      <w:szCs w:val="21"/>
                      <w:shd w:val="clear" w:color="auto" w:fill="FFFFFF"/>
                      <w:vertAlign w:val="baseline"/>
                    </w:rPr>
                  </w:pPr>
                  <w:r>
                    <w:rPr>
                      <w:rFonts w:hint="default"/>
                      <w:color w:val="auto"/>
                      <w:sz w:val="21"/>
                      <w:szCs w:val="21"/>
                      <w:shd w:val="clear" w:color="auto" w:fill="FFFFFF"/>
                      <w:vertAlign w:val="baseline"/>
                    </w:rPr>
                    <w:t>早在2002年，质国家经贸委《关于地条钢有关问题的复函》(国经贸产业函([2002)156号)中就表明，“地条钢”是指以废钢铁为原料、经过感应炉等</w:t>
                  </w:r>
                  <w:r>
                    <w:rPr>
                      <w:rFonts w:hint="eastAsia"/>
                      <w:color w:val="auto"/>
                      <w:sz w:val="21"/>
                      <w:szCs w:val="21"/>
                      <w:shd w:val="clear" w:color="auto" w:fill="FFFFFF"/>
                      <w:vertAlign w:val="baseline"/>
                      <w:lang w:val="en-US" w:eastAsia="zh-CN"/>
                    </w:rPr>
                    <w:t>熔</w:t>
                  </w:r>
                  <w:r>
                    <w:rPr>
                      <w:rFonts w:hint="default"/>
                      <w:color w:val="auto"/>
                      <w:sz w:val="21"/>
                      <w:szCs w:val="21"/>
                      <w:shd w:val="clear" w:color="auto" w:fill="FFFFFF"/>
                      <w:vertAlign w:val="baseline"/>
                    </w:rPr>
                    <w:t>化、不能有效的进行成分和质量控制生产的</w:t>
                  </w:r>
                  <w:r>
                    <w:rPr>
                      <w:rFonts w:hint="eastAsia"/>
                      <w:color w:val="auto"/>
                      <w:sz w:val="21"/>
                      <w:szCs w:val="21"/>
                      <w:shd w:val="clear" w:color="auto" w:fill="FFFFFF"/>
                      <w:vertAlign w:val="baseline"/>
                      <w:lang w:val="en-US" w:eastAsia="zh-CN"/>
                    </w:rPr>
                    <w:t>钢</w:t>
                  </w:r>
                  <w:r>
                    <w:rPr>
                      <w:rFonts w:hint="default"/>
                      <w:color w:val="auto"/>
                      <w:sz w:val="21"/>
                      <w:szCs w:val="21"/>
                      <w:shd w:val="clear" w:color="auto" w:fill="FFFFFF"/>
                      <w:vertAlign w:val="baseline"/>
                    </w:rPr>
                    <w:t>及以</w:t>
                  </w:r>
                  <w:r>
                    <w:rPr>
                      <w:rFonts w:hint="eastAsia"/>
                      <w:color w:val="auto"/>
                      <w:sz w:val="21"/>
                      <w:szCs w:val="21"/>
                      <w:shd w:val="clear" w:color="auto" w:fill="FFFFFF"/>
                      <w:vertAlign w:val="baseline"/>
                      <w:lang w:val="en-US" w:eastAsia="zh-CN"/>
                    </w:rPr>
                    <w:t>其</w:t>
                  </w:r>
                  <w:r>
                    <w:rPr>
                      <w:rFonts w:hint="default"/>
                      <w:color w:val="auto"/>
                      <w:sz w:val="21"/>
                      <w:szCs w:val="21"/>
                      <w:shd w:val="clear" w:color="auto" w:fill="FFFFFF"/>
                      <w:vertAlign w:val="baseline"/>
                    </w:rPr>
                    <w:t>为原料轧制的钢材。感应炉是利用感应电热效应使金属物料加热或熔化的电炉，根据输入电源频率可分为工频感应炉（50Hz或60Hz）、中频感应炉（150-10000Hz）和高频感应炉（10000Hz以上）三种，钢铁领域应用较多的为工频和中频感应炉（以下简称“中（工）频炉”）。用中（工）频炉熔化废钢生产地条钢、普碳钢、不锈钢等钢坯（锭）及钢材，不仅保证不了质量要求</w:t>
                  </w:r>
                  <w:r>
                    <w:rPr>
                      <w:rFonts w:hint="eastAsia"/>
                      <w:color w:val="auto"/>
                      <w:sz w:val="21"/>
                      <w:szCs w:val="21"/>
                      <w:shd w:val="clear" w:color="auto" w:fill="FFFFFF"/>
                      <w:vertAlign w:val="baseline"/>
                      <w:lang w:eastAsia="zh-CN"/>
                    </w:rPr>
                    <w:t>，</w:t>
                  </w:r>
                  <w:r>
                    <w:rPr>
                      <w:rFonts w:hint="default"/>
                      <w:color w:val="auto"/>
                      <w:sz w:val="21"/>
                      <w:szCs w:val="21"/>
                      <w:shd w:val="clear" w:color="auto" w:fill="FFFFFF"/>
                      <w:vertAlign w:val="baseline"/>
                    </w:rPr>
                    <w:t>而且严重干扰公平竞争的市场秩序，必须坚决予以拆除。</w:t>
                  </w:r>
                </w:p>
                <w:p w14:paraId="54CF5B5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both"/>
                    <w:textAlignment w:val="auto"/>
                    <w:rPr>
                      <w:rFonts w:hint="default"/>
                      <w:color w:val="auto"/>
                      <w:sz w:val="21"/>
                      <w:szCs w:val="21"/>
                      <w:shd w:val="clear" w:color="auto" w:fill="FFFFFF"/>
                      <w:vertAlign w:val="baseline"/>
                    </w:rPr>
                  </w:pPr>
                  <w:r>
                    <w:rPr>
                      <w:rFonts w:hint="default"/>
                      <w:color w:val="auto"/>
                      <w:sz w:val="21"/>
                      <w:szCs w:val="21"/>
                      <w:shd w:val="clear" w:color="auto" w:fill="FFFFFF"/>
                      <w:vertAlign w:val="baseline"/>
                    </w:rPr>
                    <w:t>2004年，国家发展改革委等7部门联合下发了《</w:t>
                  </w:r>
                  <w:r>
                    <w:rPr>
                      <w:rFonts w:hint="default"/>
                      <w:color w:val="auto"/>
                      <w:sz w:val="21"/>
                      <w:szCs w:val="21"/>
                      <w:shd w:val="clear" w:color="auto" w:fill="FFFFFF"/>
                      <w:vertAlign w:val="baseline"/>
                    </w:rPr>
                    <w:fldChar w:fldCharType="begin"/>
                  </w:r>
                  <w:r>
                    <w:rPr>
                      <w:rFonts w:hint="default"/>
                      <w:color w:val="auto"/>
                      <w:sz w:val="21"/>
                      <w:szCs w:val="21"/>
                      <w:shd w:val="clear" w:color="auto" w:fill="FFFFFF"/>
                      <w:vertAlign w:val="baseline"/>
                    </w:rPr>
                    <w:instrText xml:space="preserve"> HYPERLINK "https://www.waizi.org.cn/law/18966.html" \o "发改运行〔2004〕1003号《关于进一步打击地条钢建筑用材非法生产销售行为的紧急通知》" \t "https://www.waizi.org.cn/law/_blank" </w:instrText>
                  </w:r>
                  <w:r>
                    <w:rPr>
                      <w:rFonts w:hint="default"/>
                      <w:color w:val="auto"/>
                      <w:sz w:val="21"/>
                      <w:szCs w:val="21"/>
                      <w:shd w:val="clear" w:color="auto" w:fill="FFFFFF"/>
                      <w:vertAlign w:val="baseline"/>
                    </w:rPr>
                    <w:fldChar w:fldCharType="separate"/>
                  </w:r>
                  <w:r>
                    <w:rPr>
                      <w:rFonts w:hint="default"/>
                      <w:color w:val="auto"/>
                      <w:sz w:val="21"/>
                      <w:szCs w:val="21"/>
                      <w:shd w:val="clear" w:color="auto" w:fill="FFFFFF"/>
                      <w:vertAlign w:val="baseline"/>
                    </w:rPr>
                    <w:t>关于进一步打击地条钢建筑用材非法生产销售行为的紧急通知</w:t>
                  </w:r>
                  <w:r>
                    <w:rPr>
                      <w:rFonts w:hint="default"/>
                      <w:color w:val="auto"/>
                      <w:sz w:val="21"/>
                      <w:szCs w:val="21"/>
                      <w:shd w:val="clear" w:color="auto" w:fill="FFFFFF"/>
                      <w:vertAlign w:val="baseline"/>
                    </w:rPr>
                    <w:fldChar w:fldCharType="end"/>
                  </w:r>
                  <w:r>
                    <w:rPr>
                      <w:rFonts w:hint="default"/>
                      <w:color w:val="auto"/>
                      <w:sz w:val="21"/>
                      <w:szCs w:val="21"/>
                      <w:shd w:val="clear" w:color="auto" w:fill="FFFFFF"/>
                      <w:vertAlign w:val="baseline"/>
                    </w:rPr>
                    <w:t>》（</w:t>
                  </w:r>
                  <w:r>
                    <w:rPr>
                      <w:rFonts w:hint="default"/>
                      <w:color w:val="auto"/>
                      <w:sz w:val="21"/>
                      <w:szCs w:val="21"/>
                      <w:shd w:val="clear" w:color="auto" w:fill="FFFFFF"/>
                      <w:vertAlign w:val="baseline"/>
                    </w:rPr>
                    <w:fldChar w:fldCharType="begin"/>
                  </w:r>
                  <w:r>
                    <w:rPr>
                      <w:rFonts w:hint="default"/>
                      <w:color w:val="auto"/>
                      <w:sz w:val="21"/>
                      <w:szCs w:val="21"/>
                      <w:shd w:val="clear" w:color="auto" w:fill="FFFFFF"/>
                      <w:vertAlign w:val="baseline"/>
                    </w:rPr>
                    <w:instrText xml:space="preserve"> HYPERLINK "https://www.waizi.org.cn/law/18966.html" \o "发改运行〔2004〕1003号《关于进一步打击地条钢建筑用材非法生产销售行为的紧急通知》" \t "https://www.waizi.org.cn/law/_blank" </w:instrText>
                  </w:r>
                  <w:r>
                    <w:rPr>
                      <w:rFonts w:hint="default"/>
                      <w:color w:val="auto"/>
                      <w:sz w:val="21"/>
                      <w:szCs w:val="21"/>
                      <w:shd w:val="clear" w:color="auto" w:fill="FFFFFF"/>
                      <w:vertAlign w:val="baseline"/>
                    </w:rPr>
                    <w:fldChar w:fldCharType="separate"/>
                  </w:r>
                  <w:r>
                    <w:rPr>
                      <w:rFonts w:hint="default"/>
                      <w:color w:val="auto"/>
                      <w:sz w:val="21"/>
                      <w:szCs w:val="21"/>
                      <w:shd w:val="clear" w:color="auto" w:fill="FFFFFF"/>
                      <w:vertAlign w:val="baseline"/>
                    </w:rPr>
                    <w:t>发改运行〔2004〕1003号</w:t>
                  </w:r>
                  <w:r>
                    <w:rPr>
                      <w:rFonts w:hint="default"/>
                      <w:color w:val="auto"/>
                      <w:sz w:val="21"/>
                      <w:szCs w:val="21"/>
                      <w:shd w:val="clear" w:color="auto" w:fill="FFFFFF"/>
                      <w:vertAlign w:val="baseline"/>
                    </w:rPr>
                    <w:fldChar w:fldCharType="end"/>
                  </w:r>
                  <w:r>
                    <w:rPr>
                      <w:rFonts w:hint="default"/>
                      <w:color w:val="auto"/>
                      <w:sz w:val="21"/>
                      <w:szCs w:val="21"/>
                      <w:shd w:val="clear" w:color="auto" w:fill="FFFFFF"/>
                      <w:vertAlign w:val="baseline"/>
                    </w:rPr>
                    <w:t>），对“地条钢”进行了更加明确的界定，要求各地坚决取缔“地条钢”非法生产企业，依法查处流通环节的“地条钢”建筑用材。但十多年过去了，用中（工）频炉生产销售“地条钢”仍未得到控制，而且为规避国家产业政策限制，这些企业又采用了扩大中（工）频炉炉容、配备炉外精炼、配套连铸连轧等办法，但产品仍属于“地条钢”性质。</w:t>
                  </w:r>
                </w:p>
              </w:tc>
              <w:tc>
                <w:tcPr>
                  <w:tcW w:w="1305" w:type="pct"/>
                  <w:vAlign w:val="center"/>
                </w:tcPr>
                <w:p w14:paraId="45C2BDD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both"/>
                    <w:textAlignment w:val="auto"/>
                    <w:rPr>
                      <w:rFonts w:hint="default"/>
                      <w:color w:val="auto"/>
                      <w:sz w:val="21"/>
                      <w:szCs w:val="21"/>
                      <w:shd w:val="clear" w:color="auto" w:fill="FFFFFF"/>
                      <w:vertAlign w:val="baseline"/>
                      <w:lang w:val="en-US" w:eastAsia="zh-CN"/>
                    </w:rPr>
                  </w:pPr>
                  <w:r>
                    <w:rPr>
                      <w:rFonts w:hint="eastAsia"/>
                      <w:color w:val="auto"/>
                      <w:sz w:val="21"/>
                      <w:szCs w:val="21"/>
                      <w:shd w:val="clear" w:color="auto" w:fill="FFFFFF"/>
                      <w:vertAlign w:val="baseline"/>
                      <w:lang w:val="en-US" w:eastAsia="zh-CN"/>
                    </w:rPr>
                    <w:t>本项目原料为废钢铁碎料，厂区入口处已安装辐射检测装置，原料在入厂前均进行了辐射检测，当原料辐射检测超标时，警报灯将亮起，检测系统会记录下原料批次及辐射超标情况。检测超标车辆禁止进入厂区，并立即通知辐射相关管理部门进行处理。本项目加热过程回转窑采用燃料为天然气，由园区供气管道提供。原料废钢、废铁均满足《废钢铁》（GB/T4223-2017）</w:t>
                  </w:r>
                  <w:r>
                    <w:rPr>
                      <w:rFonts w:hint="eastAsia"/>
                      <w:b w:val="0"/>
                      <w:bCs w:val="0"/>
                      <w:color w:val="auto"/>
                      <w:sz w:val="21"/>
                      <w:szCs w:val="21"/>
                      <w:shd w:val="clear" w:color="auto" w:fill="FFFFFF"/>
                      <w:vertAlign w:val="baseline"/>
                      <w:lang w:val="en-US" w:eastAsia="zh-CN"/>
                    </w:rPr>
                    <w:t>中</w:t>
                  </w:r>
                  <w:r>
                    <w:rPr>
                      <w:rFonts w:hint="default" w:ascii="Times New Roman" w:hAnsi="Times New Roman" w:eastAsia="宋体" w:cs="Times New Roman"/>
                      <w:b w:val="0"/>
                      <w:bCs w:val="0"/>
                      <w:color w:val="auto"/>
                      <w:sz w:val="21"/>
                      <w:szCs w:val="21"/>
                    </w:rPr>
                    <w:t>熔炼用</w:t>
                  </w:r>
                  <w:r>
                    <w:rPr>
                      <w:rFonts w:hint="eastAsia" w:cs="Times New Roman"/>
                      <w:b w:val="0"/>
                      <w:bCs w:val="0"/>
                      <w:color w:val="auto"/>
                      <w:sz w:val="21"/>
                      <w:szCs w:val="21"/>
                      <w:lang w:val="en-US" w:eastAsia="zh-CN"/>
                    </w:rPr>
                    <w:t>废钢、</w:t>
                  </w:r>
                  <w:r>
                    <w:rPr>
                      <w:rFonts w:hint="default" w:ascii="Times New Roman" w:hAnsi="Times New Roman" w:eastAsia="宋体" w:cs="Times New Roman"/>
                      <w:b w:val="0"/>
                      <w:bCs w:val="0"/>
                      <w:color w:val="auto"/>
                      <w:sz w:val="21"/>
                      <w:szCs w:val="21"/>
                    </w:rPr>
                    <w:t>熔炼用</w:t>
                  </w:r>
                  <w:r>
                    <w:rPr>
                      <w:rFonts w:hint="eastAsia" w:cs="Times New Roman"/>
                      <w:b w:val="0"/>
                      <w:bCs w:val="0"/>
                      <w:color w:val="auto"/>
                      <w:sz w:val="21"/>
                      <w:szCs w:val="21"/>
                      <w:lang w:val="en-US" w:eastAsia="zh-CN"/>
                    </w:rPr>
                    <w:t>废铁</w:t>
                  </w:r>
                  <w:r>
                    <w:rPr>
                      <w:rFonts w:hint="eastAsia"/>
                      <w:b w:val="0"/>
                      <w:bCs w:val="0"/>
                      <w:color w:val="auto"/>
                      <w:sz w:val="21"/>
                      <w:szCs w:val="21"/>
                      <w:shd w:val="clear" w:color="auto" w:fill="FFFFFF"/>
                      <w:vertAlign w:val="baseline"/>
                      <w:lang w:val="en-US" w:eastAsia="zh-CN"/>
                    </w:rPr>
                    <w:t>相关要求</w:t>
                  </w:r>
                </w:p>
              </w:tc>
              <w:tc>
                <w:tcPr>
                  <w:tcW w:w="508" w:type="pct"/>
                  <w:vAlign w:val="center"/>
                </w:tcPr>
                <w:p w14:paraId="3D1EC1A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eastAsia="宋体"/>
                      <w:color w:val="auto"/>
                      <w:sz w:val="21"/>
                      <w:szCs w:val="21"/>
                      <w:shd w:val="clear" w:color="auto" w:fill="FFFFFF"/>
                      <w:vertAlign w:val="baseline"/>
                      <w:lang w:val="en-US" w:eastAsia="zh-CN"/>
                    </w:rPr>
                  </w:pPr>
                  <w:r>
                    <w:rPr>
                      <w:rFonts w:hint="eastAsia"/>
                      <w:color w:val="auto"/>
                      <w:sz w:val="21"/>
                      <w:szCs w:val="21"/>
                      <w:shd w:val="clear" w:color="auto" w:fill="FFFFFF"/>
                      <w:vertAlign w:val="baseline"/>
                      <w:lang w:val="en-US" w:eastAsia="zh-CN"/>
                    </w:rPr>
                    <w:t>符合</w:t>
                  </w:r>
                </w:p>
              </w:tc>
            </w:tr>
          </w:tbl>
          <w:p w14:paraId="03AC505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color w:val="auto"/>
                <w:sz w:val="24"/>
              </w:rPr>
            </w:pPr>
            <w:r>
              <w:rPr>
                <w:rFonts w:hint="eastAsia"/>
                <w:color w:val="auto"/>
                <w:sz w:val="24"/>
                <w:lang w:val="en-US" w:eastAsia="zh-CN"/>
              </w:rPr>
              <w:t>根据</w:t>
            </w:r>
            <w:r>
              <w:rPr>
                <w:rFonts w:hint="default"/>
                <w:color w:val="auto"/>
                <w:sz w:val="24"/>
              </w:rPr>
              <w:t>《废钢铁》</w:t>
            </w:r>
            <w:r>
              <w:rPr>
                <w:rFonts w:hint="eastAsia"/>
                <w:color w:val="auto"/>
                <w:sz w:val="24"/>
                <w:lang w:eastAsia="zh-CN"/>
              </w:rPr>
              <w:t>（</w:t>
            </w:r>
            <w:r>
              <w:rPr>
                <w:rFonts w:hint="default"/>
                <w:color w:val="auto"/>
                <w:sz w:val="24"/>
              </w:rPr>
              <w:t>GB/T4223-2017</w:t>
            </w:r>
            <w:r>
              <w:rPr>
                <w:rFonts w:hint="eastAsia"/>
                <w:color w:val="auto"/>
                <w:sz w:val="24"/>
                <w:lang w:eastAsia="zh-CN"/>
              </w:rPr>
              <w:t>），</w:t>
            </w:r>
            <w:r>
              <w:rPr>
                <w:rFonts w:hint="eastAsia"/>
                <w:color w:val="auto"/>
                <w:sz w:val="24"/>
                <w:lang w:val="en-US" w:eastAsia="zh-CN"/>
              </w:rPr>
              <w:t>本项目执行熔炼用废钢分类中重型</w:t>
            </w:r>
            <w:r>
              <w:rPr>
                <w:rFonts w:hint="eastAsia" w:ascii="宋体" w:hAnsi="宋体" w:eastAsia="宋体" w:cs="宋体"/>
                <w:color w:val="auto"/>
                <w:sz w:val="24"/>
                <w:lang w:val="en-US" w:eastAsia="zh-CN"/>
              </w:rPr>
              <w:t>Ⅱ</w:t>
            </w:r>
            <w:r>
              <w:rPr>
                <w:rFonts w:hint="eastAsia"/>
                <w:color w:val="auto"/>
                <w:sz w:val="24"/>
                <w:lang w:val="en-US" w:eastAsia="zh-CN"/>
              </w:rPr>
              <w:t>类废钢和熔炼用废铁分类中高炉添加料标准。</w:t>
            </w:r>
          </w:p>
          <w:p w14:paraId="787483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 xml:space="preserve">表1-5  </w:t>
            </w:r>
            <w:r>
              <w:rPr>
                <w:rFonts w:hint="default" w:ascii="Times New Roman" w:hAnsi="Times New Roman" w:eastAsia="宋体" w:cs="Times New Roman"/>
                <w:b/>
                <w:bCs/>
                <w:color w:val="auto"/>
                <w:sz w:val="21"/>
                <w:szCs w:val="21"/>
                <w:highlight w:val="none"/>
              </w:rPr>
              <w:t>熔炼用废</w:t>
            </w:r>
            <w:r>
              <w:rPr>
                <w:rFonts w:hint="eastAsia" w:cs="Times New Roman"/>
                <w:b/>
                <w:bCs/>
                <w:color w:val="auto"/>
                <w:sz w:val="21"/>
                <w:szCs w:val="21"/>
                <w:highlight w:val="none"/>
                <w:lang w:val="en-US" w:eastAsia="zh-CN"/>
              </w:rPr>
              <w:t>钢分类</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2661"/>
              <w:gridCol w:w="1231"/>
              <w:gridCol w:w="3791"/>
            </w:tblGrid>
            <w:tr w14:paraId="0743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8" w:type="pct"/>
                  <w:tcBorders>
                    <w:tl2br w:val="nil"/>
                    <w:tr2bl w:val="nil"/>
                  </w:tcBorders>
                  <w:noWrap w:val="0"/>
                  <w:vAlign w:val="center"/>
                </w:tcPr>
                <w:p w14:paraId="02236F9C">
                  <w:pPr>
                    <w:keepNext w:val="0"/>
                    <w:keepLines w:val="0"/>
                    <w:suppressLineNumbers w:val="0"/>
                    <w:spacing w:before="0" w:beforeAutospacing="0" w:after="0" w:afterAutospacing="0"/>
                    <w:ind w:left="0" w:right="0"/>
                    <w:jc w:val="center"/>
                    <w:rPr>
                      <w:rFonts w:hint="default"/>
                      <w:b/>
                      <w:bCs/>
                      <w:color w:val="auto"/>
                      <w:highlight w:val="none"/>
                      <w:lang w:val="zh-CN"/>
                    </w:rPr>
                  </w:pPr>
                  <w:r>
                    <w:rPr>
                      <w:rFonts w:hint="default"/>
                      <w:b/>
                      <w:bCs/>
                      <w:color w:val="auto"/>
                      <w:highlight w:val="none"/>
                      <w:lang w:val="zh-CN"/>
                    </w:rPr>
                    <w:t>型号</w:t>
                  </w:r>
                </w:p>
              </w:tc>
              <w:tc>
                <w:tcPr>
                  <w:tcW w:w="1517" w:type="pct"/>
                  <w:tcBorders>
                    <w:tl2br w:val="nil"/>
                    <w:tr2bl w:val="nil"/>
                  </w:tcBorders>
                  <w:noWrap w:val="0"/>
                  <w:vAlign w:val="center"/>
                </w:tcPr>
                <w:p w14:paraId="28331DB8">
                  <w:pPr>
                    <w:keepNext w:val="0"/>
                    <w:keepLines w:val="0"/>
                    <w:suppressLineNumbers w:val="0"/>
                    <w:spacing w:before="0" w:beforeAutospacing="0" w:after="0" w:afterAutospacing="0"/>
                    <w:ind w:left="0" w:right="0"/>
                    <w:jc w:val="center"/>
                    <w:rPr>
                      <w:rFonts w:hint="default"/>
                      <w:b/>
                      <w:bCs/>
                      <w:color w:val="auto"/>
                      <w:highlight w:val="none"/>
                      <w:lang w:val="zh-CN"/>
                    </w:rPr>
                  </w:pPr>
                  <w:r>
                    <w:rPr>
                      <w:rFonts w:hint="default"/>
                      <w:b/>
                      <w:bCs/>
                      <w:color w:val="auto"/>
                      <w:highlight w:val="none"/>
                      <w:lang w:val="zh-CN"/>
                    </w:rPr>
                    <w:t>外形尺寸及重量要求</w:t>
                  </w:r>
                </w:p>
              </w:tc>
              <w:tc>
                <w:tcPr>
                  <w:tcW w:w="702" w:type="pct"/>
                  <w:tcBorders>
                    <w:tl2br w:val="nil"/>
                    <w:tr2bl w:val="nil"/>
                  </w:tcBorders>
                  <w:noWrap w:val="0"/>
                  <w:vAlign w:val="center"/>
                </w:tcPr>
                <w:p w14:paraId="3EB8A502">
                  <w:pPr>
                    <w:keepNext w:val="0"/>
                    <w:keepLines w:val="0"/>
                    <w:suppressLineNumbers w:val="0"/>
                    <w:spacing w:before="0" w:beforeAutospacing="0" w:after="0" w:afterAutospacing="0"/>
                    <w:ind w:left="0" w:right="0"/>
                    <w:jc w:val="center"/>
                    <w:rPr>
                      <w:rFonts w:hint="default"/>
                      <w:b/>
                      <w:bCs/>
                      <w:color w:val="auto"/>
                      <w:szCs w:val="21"/>
                      <w:highlight w:val="none"/>
                      <w:lang w:val="zh-CN"/>
                    </w:rPr>
                  </w:pPr>
                  <w:r>
                    <w:rPr>
                      <w:rFonts w:hint="default"/>
                      <w:b/>
                      <w:bCs/>
                      <w:color w:val="auto"/>
                      <w:szCs w:val="21"/>
                      <w:highlight w:val="none"/>
                      <w:lang w:val="zh-CN"/>
                    </w:rPr>
                    <w:t>供应形状</w:t>
                  </w:r>
                </w:p>
              </w:tc>
              <w:tc>
                <w:tcPr>
                  <w:tcW w:w="2161" w:type="pct"/>
                  <w:tcBorders>
                    <w:tl2br w:val="nil"/>
                    <w:tr2bl w:val="nil"/>
                  </w:tcBorders>
                  <w:noWrap w:val="0"/>
                  <w:vAlign w:val="center"/>
                </w:tcPr>
                <w:p w14:paraId="3CBBEB93">
                  <w:pPr>
                    <w:keepNext w:val="0"/>
                    <w:keepLines w:val="0"/>
                    <w:suppressLineNumbers w:val="0"/>
                    <w:spacing w:before="0" w:beforeAutospacing="0" w:after="0" w:afterAutospacing="0"/>
                    <w:ind w:left="0" w:right="0"/>
                    <w:jc w:val="center"/>
                    <w:rPr>
                      <w:rFonts w:hint="default"/>
                      <w:b/>
                      <w:bCs/>
                      <w:color w:val="auto"/>
                      <w:szCs w:val="21"/>
                      <w:highlight w:val="none"/>
                      <w:lang w:val="zh-CN"/>
                    </w:rPr>
                  </w:pPr>
                  <w:r>
                    <w:rPr>
                      <w:rFonts w:hint="default"/>
                      <w:b/>
                      <w:bCs/>
                      <w:color w:val="auto"/>
                      <w:szCs w:val="21"/>
                      <w:highlight w:val="none"/>
                      <w:lang w:val="zh-CN"/>
                    </w:rPr>
                    <w:t>典型举例</w:t>
                  </w:r>
                </w:p>
              </w:tc>
            </w:tr>
            <w:tr w14:paraId="61C9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8" w:type="pct"/>
                  <w:tcBorders>
                    <w:tl2br w:val="nil"/>
                    <w:tr2bl w:val="nil"/>
                  </w:tcBorders>
                  <w:noWrap w:val="0"/>
                  <w:vAlign w:val="center"/>
                </w:tcPr>
                <w:p w14:paraId="150A221D">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重型废钢</w:t>
                  </w:r>
                  <w:r>
                    <w:rPr>
                      <w:rFonts w:hint="default" w:ascii="Times New Roman" w:hAnsi="Times New Roman" w:cs="Times New Roman"/>
                      <w:color w:val="auto"/>
                      <w:highlight w:val="none"/>
                      <w:lang w:val="en-US" w:eastAsia="zh-CN"/>
                    </w:rPr>
                    <w:t>Ⅱ</w:t>
                  </w:r>
                  <w:r>
                    <w:rPr>
                      <w:rFonts w:hint="eastAsia"/>
                      <w:color w:val="auto"/>
                      <w:highlight w:val="none"/>
                      <w:lang w:val="en-US" w:eastAsia="zh-CN"/>
                    </w:rPr>
                    <w:t>类</w:t>
                  </w:r>
                </w:p>
              </w:tc>
              <w:tc>
                <w:tcPr>
                  <w:tcW w:w="1517" w:type="pct"/>
                  <w:tcBorders>
                    <w:tl2br w:val="nil"/>
                    <w:tr2bl w:val="nil"/>
                  </w:tcBorders>
                  <w:noWrap w:val="0"/>
                  <w:vAlign w:val="center"/>
                </w:tcPr>
                <w:p w14:paraId="362338BA">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800mm×400mm以下，厚度≥6mm，单重≥3kg</w:t>
                  </w:r>
                </w:p>
              </w:tc>
              <w:tc>
                <w:tcPr>
                  <w:tcW w:w="702" w:type="pct"/>
                  <w:tcBorders>
                    <w:tl2br w:val="nil"/>
                    <w:tr2bl w:val="nil"/>
                  </w:tcBorders>
                  <w:noWrap w:val="0"/>
                  <w:vAlign w:val="center"/>
                </w:tcPr>
                <w:p w14:paraId="2FAA969D">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default"/>
                      <w:color w:val="auto"/>
                      <w:szCs w:val="21"/>
                      <w:highlight w:val="none"/>
                    </w:rPr>
                    <w:t>块</w:t>
                  </w:r>
                </w:p>
              </w:tc>
              <w:tc>
                <w:tcPr>
                  <w:tcW w:w="2161" w:type="pct"/>
                  <w:tcBorders>
                    <w:tl2br w:val="nil"/>
                    <w:tr2bl w:val="nil"/>
                  </w:tcBorders>
                  <w:noWrap w:val="0"/>
                  <w:vAlign w:val="center"/>
                </w:tcPr>
                <w:p w14:paraId="6775C367">
                  <w:pPr>
                    <w:keepNext w:val="0"/>
                    <w:keepLines w:val="0"/>
                    <w:suppressLineNumbers w:val="0"/>
                    <w:spacing w:before="0" w:beforeAutospacing="0" w:after="0" w:afterAutospacing="0"/>
                    <w:ind w:left="0" w:right="0"/>
                    <w:jc w:val="both"/>
                    <w:rPr>
                      <w:rFonts w:hint="default"/>
                      <w:color w:val="auto"/>
                      <w:szCs w:val="21"/>
                      <w:highlight w:val="none"/>
                    </w:rPr>
                  </w:pPr>
                  <w:r>
                    <w:rPr>
                      <w:rFonts w:hint="eastAsia"/>
                      <w:color w:val="auto"/>
                      <w:szCs w:val="21"/>
                      <w:highlight w:val="none"/>
                    </w:rPr>
                    <w:t>圆钢、型钢、角钢、槽钢、板材等工业用料、螺纹钢余料、纯工业用料边角料、满足厚度单重要求的批量废钢</w:t>
                  </w:r>
                </w:p>
              </w:tc>
            </w:tr>
          </w:tbl>
          <w:p w14:paraId="7270E8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 xml:space="preserve">表1-6  </w:t>
            </w:r>
            <w:r>
              <w:rPr>
                <w:rFonts w:hint="default" w:ascii="Times New Roman" w:hAnsi="Times New Roman" w:eastAsia="宋体" w:cs="Times New Roman"/>
                <w:b/>
                <w:bCs/>
                <w:color w:val="auto"/>
                <w:sz w:val="21"/>
                <w:szCs w:val="21"/>
                <w:highlight w:val="none"/>
              </w:rPr>
              <w:t>熔炼用废</w:t>
            </w:r>
            <w:r>
              <w:rPr>
                <w:rFonts w:hint="eastAsia" w:cs="Times New Roman"/>
                <w:b/>
                <w:bCs/>
                <w:color w:val="auto"/>
                <w:sz w:val="21"/>
                <w:szCs w:val="21"/>
                <w:highlight w:val="none"/>
                <w:lang w:val="en-US" w:eastAsia="zh-CN"/>
              </w:rPr>
              <w:t>铁分类</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6096"/>
              <w:gridCol w:w="1320"/>
            </w:tblGrid>
            <w:tr w14:paraId="743F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pct"/>
                  <w:tcBorders>
                    <w:tl2br w:val="nil"/>
                    <w:tr2bl w:val="nil"/>
                  </w:tcBorders>
                  <w:noWrap w:val="0"/>
                  <w:vAlign w:val="center"/>
                </w:tcPr>
                <w:p w14:paraId="43E6D3AB">
                  <w:pPr>
                    <w:keepNext w:val="0"/>
                    <w:keepLines w:val="0"/>
                    <w:suppressLineNumbers w:val="0"/>
                    <w:spacing w:before="0" w:beforeAutospacing="0" w:after="0" w:afterAutospacing="0"/>
                    <w:ind w:left="0" w:right="0"/>
                    <w:jc w:val="center"/>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品种</w:t>
                  </w:r>
                </w:p>
              </w:tc>
              <w:tc>
                <w:tcPr>
                  <w:tcW w:w="3478" w:type="pct"/>
                  <w:tcBorders>
                    <w:tl2br w:val="nil"/>
                    <w:tr2bl w:val="nil"/>
                  </w:tcBorders>
                  <w:noWrap w:val="0"/>
                  <w:vAlign w:val="center"/>
                </w:tcPr>
                <w:p w14:paraId="5738DBEF">
                  <w:pPr>
                    <w:keepNext w:val="0"/>
                    <w:keepLines w:val="0"/>
                    <w:suppressLineNumbers w:val="0"/>
                    <w:spacing w:before="0" w:beforeAutospacing="0" w:after="0" w:afterAutospacing="0"/>
                    <w:ind w:left="0" w:right="0"/>
                    <w:jc w:val="center"/>
                    <w:rPr>
                      <w:rFonts w:hint="eastAsia" w:eastAsia="宋体"/>
                      <w:b/>
                      <w:bCs/>
                      <w:color w:val="auto"/>
                      <w:sz w:val="21"/>
                      <w:szCs w:val="21"/>
                      <w:highlight w:val="none"/>
                      <w:lang w:val="zh-CN" w:eastAsia="zh-CN"/>
                    </w:rPr>
                  </w:pPr>
                  <w:r>
                    <w:rPr>
                      <w:rFonts w:hint="eastAsia"/>
                      <w:b/>
                      <w:bCs/>
                      <w:color w:val="auto"/>
                      <w:sz w:val="21"/>
                      <w:szCs w:val="21"/>
                      <w:highlight w:val="none"/>
                      <w:lang w:val="en-US" w:eastAsia="zh-CN"/>
                    </w:rPr>
                    <w:t>类别</w:t>
                  </w:r>
                </w:p>
              </w:tc>
              <w:tc>
                <w:tcPr>
                  <w:tcW w:w="753" w:type="pct"/>
                  <w:tcBorders>
                    <w:tl2br w:val="nil"/>
                    <w:tr2bl w:val="nil"/>
                  </w:tcBorders>
                  <w:noWrap w:val="0"/>
                  <w:vAlign w:val="center"/>
                </w:tcPr>
                <w:p w14:paraId="6431A0A9">
                  <w:pPr>
                    <w:keepNext w:val="0"/>
                    <w:keepLines w:val="0"/>
                    <w:suppressLineNumbers w:val="0"/>
                    <w:spacing w:before="0" w:beforeAutospacing="0" w:after="0" w:afterAutospacing="0"/>
                    <w:ind w:left="0" w:right="0"/>
                    <w:jc w:val="center"/>
                    <w:rPr>
                      <w:rFonts w:hint="default"/>
                      <w:b/>
                      <w:bCs/>
                      <w:color w:val="auto"/>
                      <w:sz w:val="21"/>
                      <w:szCs w:val="21"/>
                      <w:highlight w:val="none"/>
                      <w:lang w:val="zh-CN"/>
                    </w:rPr>
                  </w:pPr>
                  <w:r>
                    <w:rPr>
                      <w:rFonts w:hint="default"/>
                      <w:b/>
                      <w:bCs/>
                      <w:color w:val="auto"/>
                      <w:sz w:val="21"/>
                      <w:szCs w:val="21"/>
                      <w:highlight w:val="none"/>
                      <w:lang w:val="zh-CN"/>
                    </w:rPr>
                    <w:t>典型举例</w:t>
                  </w:r>
                </w:p>
              </w:tc>
            </w:tr>
            <w:tr w14:paraId="207C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8" w:type="pct"/>
                  <w:tcBorders>
                    <w:tl2br w:val="nil"/>
                    <w:tr2bl w:val="nil"/>
                  </w:tcBorders>
                  <w:noWrap w:val="0"/>
                  <w:vAlign w:val="center"/>
                </w:tcPr>
                <w:p w14:paraId="6E209436">
                  <w:pPr>
                    <w:keepNext w:val="0"/>
                    <w:keepLines w:val="0"/>
                    <w:suppressLineNumbers w:val="0"/>
                    <w:spacing w:before="0" w:beforeAutospacing="0" w:after="0" w:afterAutospacing="0"/>
                    <w:ind w:left="0" w:right="0"/>
                    <w:jc w:val="center"/>
                    <w:rPr>
                      <w:rFonts w:hint="default" w:eastAsia="宋体"/>
                      <w:color w:val="auto"/>
                      <w:sz w:val="21"/>
                      <w:szCs w:val="21"/>
                      <w:highlight w:val="none"/>
                      <w:lang w:val="en-US" w:eastAsia="zh-CN"/>
                    </w:rPr>
                  </w:pPr>
                  <w:r>
                    <w:rPr>
                      <w:rFonts w:hint="eastAsia"/>
                      <w:color w:val="auto"/>
                      <w:sz w:val="21"/>
                      <w:szCs w:val="21"/>
                      <w:lang w:val="en-US" w:eastAsia="zh-CN"/>
                    </w:rPr>
                    <w:t>高炉添加料</w:t>
                  </w:r>
                </w:p>
              </w:tc>
              <w:tc>
                <w:tcPr>
                  <w:tcW w:w="3478" w:type="pct"/>
                  <w:tcBorders>
                    <w:tl2br w:val="nil"/>
                    <w:tr2bl w:val="nil"/>
                  </w:tcBorders>
                  <w:noWrap w:val="0"/>
                  <w:vAlign w:val="center"/>
                </w:tcPr>
                <w:p w14:paraId="11EAF0D8">
                  <w:pPr>
                    <w:keepNext w:val="0"/>
                    <w:keepLines w:val="0"/>
                    <w:suppressLineNumbers w:val="0"/>
                    <w:spacing w:before="0" w:beforeAutospacing="0" w:after="0" w:afterAutospacing="0"/>
                    <w:ind w:left="0" w:right="0"/>
                    <w:jc w:val="center"/>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10mm×10mm×10mm</w:t>
                  </w:r>
                  <w:r>
                    <w:rPr>
                      <w:rFonts w:hint="eastAsia" w:ascii="宋体" w:hAnsi="宋体" w:eastAsia="宋体" w:cs="宋体"/>
                      <w:color w:val="auto"/>
                      <w:sz w:val="21"/>
                      <w:szCs w:val="21"/>
                      <w:highlight w:val="none"/>
                      <w:lang w:val="en-US" w:eastAsia="zh-CN"/>
                    </w:rPr>
                    <w:t>≤</w:t>
                  </w:r>
                  <w:r>
                    <w:rPr>
                      <w:rFonts w:hint="default" w:eastAsia="宋体"/>
                      <w:color w:val="auto"/>
                      <w:sz w:val="21"/>
                      <w:szCs w:val="21"/>
                      <w:highlight w:val="none"/>
                      <w:lang w:val="en-US" w:eastAsia="zh-CN"/>
                    </w:rPr>
                    <w:t>外形尺寸</w:t>
                  </w:r>
                  <w:r>
                    <w:rPr>
                      <w:rFonts w:hint="eastAsia" w:ascii="宋体" w:hAnsi="宋体" w:eastAsia="宋体" w:cs="宋体"/>
                      <w:color w:val="auto"/>
                      <w:sz w:val="21"/>
                      <w:szCs w:val="21"/>
                      <w:highlight w:val="none"/>
                      <w:lang w:val="en-US" w:eastAsia="zh-CN"/>
                    </w:rPr>
                    <w:t>≤</w:t>
                  </w:r>
                  <w:r>
                    <w:rPr>
                      <w:rFonts w:hint="default" w:eastAsia="宋体"/>
                      <w:color w:val="auto"/>
                      <w:sz w:val="21"/>
                      <w:szCs w:val="21"/>
                      <w:highlight w:val="none"/>
                      <w:lang w:val="en-US" w:eastAsia="zh-CN"/>
                    </w:rPr>
                    <w:t>200mm×200mm×200mm以下，单件重量</w:t>
                  </w:r>
                  <w:r>
                    <w:rPr>
                      <w:rFonts w:hint="default" w:ascii="宋体" w:hAnsi="宋体" w:eastAsia="宋体" w:cs="宋体"/>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5</w:t>
                  </w:r>
                  <w:r>
                    <w:rPr>
                      <w:rFonts w:hint="default" w:eastAsia="宋体"/>
                      <w:color w:val="auto"/>
                      <w:sz w:val="21"/>
                      <w:szCs w:val="21"/>
                      <w:highlight w:val="none"/>
                      <w:lang w:val="en-US" w:eastAsia="zh-CN"/>
                    </w:rPr>
                    <w:t>kg</w:t>
                  </w:r>
                </w:p>
              </w:tc>
              <w:tc>
                <w:tcPr>
                  <w:tcW w:w="753" w:type="pct"/>
                  <w:tcBorders>
                    <w:tl2br w:val="nil"/>
                    <w:tr2bl w:val="nil"/>
                  </w:tcBorders>
                  <w:noWrap w:val="0"/>
                  <w:vAlign w:val="center"/>
                </w:tcPr>
                <w:p w14:paraId="18FF23E6">
                  <w:pPr>
                    <w:keepNext w:val="0"/>
                    <w:keepLines w:val="0"/>
                    <w:suppressLineNumbers w:val="0"/>
                    <w:spacing w:before="0" w:beforeAutospacing="0" w:after="0" w:afterAutospacing="0"/>
                    <w:ind w:left="0" w:right="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加工压块</w:t>
                  </w:r>
                </w:p>
              </w:tc>
            </w:tr>
          </w:tbl>
          <w:p w14:paraId="3632674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eastAsia" w:eastAsia="宋体" w:cs="Times New Roman"/>
                <w:b/>
                <w:bCs/>
                <w:color w:val="auto"/>
                <w:kern w:val="0"/>
                <w:sz w:val="24"/>
                <w:szCs w:val="24"/>
                <w:highlight w:val="none"/>
                <w:lang w:val="en-US" w:eastAsia="zh-CN"/>
              </w:rPr>
            </w:pPr>
            <w:r>
              <w:rPr>
                <w:rFonts w:hint="default"/>
                <w:color w:val="auto"/>
                <w:sz w:val="24"/>
                <w:shd w:val="clear" w:color="auto" w:fill="FFFFFF"/>
              </w:rPr>
              <w:t>本项目以废钢铁</w:t>
            </w:r>
            <w:r>
              <w:rPr>
                <w:rFonts w:hint="eastAsia"/>
                <w:color w:val="auto"/>
                <w:sz w:val="24"/>
                <w:shd w:val="clear" w:color="auto" w:fill="FFFFFF"/>
                <w:lang w:val="en-US" w:eastAsia="zh-CN"/>
              </w:rPr>
              <w:t>碎块</w:t>
            </w:r>
            <w:r>
              <w:rPr>
                <w:rFonts w:hint="default"/>
                <w:color w:val="auto"/>
                <w:sz w:val="24"/>
                <w:shd w:val="clear" w:color="auto" w:fill="FFFFFF"/>
              </w:rPr>
              <w:t>为原料，经</w:t>
            </w:r>
            <w:r>
              <w:rPr>
                <w:rFonts w:hint="eastAsia"/>
                <w:color w:val="auto"/>
                <w:sz w:val="24"/>
                <w:shd w:val="clear" w:color="auto" w:fill="FFFFFF"/>
                <w:lang w:val="en-US" w:eastAsia="zh-CN"/>
              </w:rPr>
              <w:t>回转窑</w:t>
            </w:r>
            <w:r>
              <w:rPr>
                <w:rFonts w:hint="default"/>
                <w:color w:val="auto"/>
                <w:sz w:val="24"/>
                <w:shd w:val="clear" w:color="auto" w:fill="FFFFFF"/>
              </w:rPr>
              <w:t>加热软化后，</w:t>
            </w:r>
            <w:r>
              <w:rPr>
                <w:rFonts w:hint="default"/>
                <w:color w:val="auto"/>
                <w:sz w:val="24"/>
              </w:rPr>
              <w:t>压制成块状</w:t>
            </w:r>
            <w:r>
              <w:rPr>
                <w:rFonts w:hint="default"/>
                <w:color w:val="auto"/>
                <w:sz w:val="24"/>
                <w:shd w:val="clear" w:color="auto" w:fill="FFFFFF"/>
              </w:rPr>
              <w:t>，</w:t>
            </w:r>
            <w:r>
              <w:rPr>
                <w:rFonts w:hint="default"/>
                <w:bCs/>
                <w:color w:val="auto"/>
                <w:sz w:val="24"/>
              </w:rPr>
              <w:t>供当地钢铁厂使用。加热设备</w:t>
            </w:r>
            <w:r>
              <w:rPr>
                <w:rFonts w:hint="default"/>
                <w:color w:val="auto"/>
                <w:sz w:val="24"/>
                <w:shd w:val="clear" w:color="auto" w:fill="FFFFFF"/>
              </w:rPr>
              <w:t>采用</w:t>
            </w:r>
            <w:r>
              <w:rPr>
                <w:rFonts w:hint="eastAsia"/>
                <w:color w:val="auto"/>
                <w:sz w:val="24"/>
                <w:shd w:val="clear" w:color="auto" w:fill="FFFFFF"/>
                <w:lang w:val="en-US" w:eastAsia="zh-CN"/>
              </w:rPr>
              <w:t>回转窑</w:t>
            </w:r>
            <w:r>
              <w:rPr>
                <w:rFonts w:hint="default"/>
                <w:color w:val="auto"/>
                <w:sz w:val="24"/>
                <w:shd w:val="clear" w:color="auto" w:fill="FFFFFF"/>
              </w:rPr>
              <w:t>，</w:t>
            </w:r>
            <w:r>
              <w:rPr>
                <w:rFonts w:hint="default" w:ascii="Times New Roman" w:hAnsi="Times New Roman" w:eastAsia="宋体" w:cs="Times New Roman"/>
                <w:color w:val="auto"/>
                <w:sz w:val="24"/>
                <w:shd w:val="clear" w:color="auto" w:fill="FFFFFF"/>
              </w:rPr>
              <w:t>以天然气为热源，不属于采用感应炉生产地条钢。同时本项目</w:t>
            </w:r>
            <w:r>
              <w:rPr>
                <w:rFonts w:hint="default" w:ascii="Times New Roman" w:hAnsi="Times New Roman" w:eastAsia="宋体" w:cs="Times New Roman"/>
                <w:color w:val="auto"/>
                <w:sz w:val="24"/>
                <w:shd w:val="clear" w:color="auto" w:fill="FFFFFF"/>
                <w:lang w:val="en-US" w:eastAsia="zh-CN"/>
              </w:rPr>
              <w:t>产品热压铁饼</w:t>
            </w:r>
            <w:r>
              <w:rPr>
                <w:rFonts w:hint="default" w:ascii="Times New Roman" w:hAnsi="Times New Roman" w:eastAsia="宋体" w:cs="Times New Roman"/>
                <w:color w:val="auto"/>
                <w:sz w:val="24"/>
                <w:shd w:val="clear" w:color="auto" w:fill="FFFFFF"/>
              </w:rPr>
              <w:t>外形尺寸</w:t>
            </w:r>
            <w:r>
              <w:rPr>
                <w:rFonts w:hint="default" w:ascii="Times New Roman" w:hAnsi="Times New Roman" w:eastAsia="宋体" w:cs="Times New Roman"/>
                <w:color w:val="auto"/>
                <w:sz w:val="24"/>
                <w:shd w:val="clear" w:color="auto" w:fill="FFFFFF"/>
                <w:lang w:val="en-US" w:eastAsia="zh-CN"/>
              </w:rPr>
              <w:t>直径Φ220mm</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 w:val="24"/>
                <w:shd w:val="clear" w:color="auto" w:fill="FFFFFF"/>
                <w:lang w:val="en-US" w:eastAsia="zh-CN"/>
              </w:rPr>
              <w:t>高230-250mm，</w:t>
            </w:r>
            <w:r>
              <w:rPr>
                <w:rFonts w:hint="default"/>
                <w:bCs/>
                <w:color w:val="auto"/>
                <w:sz w:val="24"/>
              </w:rPr>
              <w:t>单件重量</w:t>
            </w:r>
            <w:r>
              <w:rPr>
                <w:rFonts w:hint="eastAsia"/>
                <w:bCs/>
                <w:color w:val="auto"/>
                <w:sz w:val="24"/>
                <w:lang w:val="en-US" w:eastAsia="zh-CN"/>
              </w:rPr>
              <w:t>约</w:t>
            </w:r>
            <w:r>
              <w:rPr>
                <w:rFonts w:hint="default"/>
                <w:bCs/>
                <w:color w:val="auto"/>
                <w:sz w:val="24"/>
              </w:rPr>
              <w:t>4</w:t>
            </w:r>
            <w:r>
              <w:rPr>
                <w:rFonts w:hint="eastAsia"/>
                <w:bCs/>
                <w:color w:val="auto"/>
                <w:sz w:val="24"/>
                <w:lang w:val="en-US" w:eastAsia="zh-CN"/>
              </w:rPr>
              <w:t>5</w:t>
            </w:r>
            <w:r>
              <w:rPr>
                <w:rFonts w:hint="default"/>
                <w:bCs/>
                <w:color w:val="auto"/>
                <w:sz w:val="24"/>
              </w:rPr>
              <w:t>kg</w:t>
            </w:r>
            <w:r>
              <w:rPr>
                <w:rFonts w:hint="eastAsia"/>
                <w:bCs/>
                <w:color w:val="auto"/>
                <w:sz w:val="24"/>
                <w:lang w:eastAsia="zh-CN"/>
              </w:rPr>
              <w:t>；</w:t>
            </w:r>
            <w:r>
              <w:rPr>
                <w:rFonts w:hint="default" w:ascii="Times New Roman" w:hAnsi="Times New Roman" w:eastAsia="宋体" w:cs="Times New Roman"/>
                <w:color w:val="auto"/>
                <w:sz w:val="24"/>
                <w:shd w:val="clear" w:color="auto" w:fill="FFFFFF"/>
                <w:lang w:val="en-US" w:eastAsia="zh-CN"/>
              </w:rPr>
              <w:t>产品对辊压块</w:t>
            </w:r>
            <w:r>
              <w:rPr>
                <w:rFonts w:hint="default" w:ascii="Times New Roman" w:hAnsi="Times New Roman" w:eastAsia="宋体" w:cs="Times New Roman"/>
                <w:color w:val="auto"/>
                <w:sz w:val="24"/>
                <w:shd w:val="clear" w:color="auto" w:fill="FFFFFF"/>
              </w:rPr>
              <w:t>外形尺寸</w:t>
            </w:r>
            <w:r>
              <w:rPr>
                <w:rFonts w:hint="eastAsia" w:ascii="Times New Roman" w:hAnsi="Times New Roman" w:eastAsia="宋体" w:cs="Times New Roman"/>
                <w:color w:val="auto"/>
                <w:sz w:val="24"/>
                <w:lang w:val="en-US" w:eastAsia="zh-CN"/>
              </w:rPr>
              <w:t>55</w:t>
            </w:r>
            <w:r>
              <w:rPr>
                <w:rFonts w:hint="default" w:ascii="Times New Roman" w:hAnsi="Times New Roman" w:eastAsia="宋体" w:cs="Times New Roman"/>
                <w:color w:val="auto"/>
                <w:sz w:val="24"/>
              </w:rPr>
              <w:t>mm×5</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rPr>
              <w:t>mm×</w:t>
            </w: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5mm</w:t>
            </w:r>
            <w:r>
              <w:rPr>
                <w:rFonts w:hint="default" w:ascii="Times New Roman" w:hAnsi="Times New Roman" w:eastAsia="宋体" w:cs="Times New Roman"/>
                <w:bCs/>
                <w:color w:val="auto"/>
                <w:sz w:val="24"/>
              </w:rPr>
              <w:t>，</w:t>
            </w:r>
            <w:r>
              <w:rPr>
                <w:rFonts w:hint="default"/>
                <w:bCs/>
                <w:color w:val="auto"/>
                <w:sz w:val="24"/>
              </w:rPr>
              <w:t>单件重量为</w:t>
            </w:r>
            <w:r>
              <w:rPr>
                <w:rFonts w:hint="eastAsia"/>
                <w:bCs/>
                <w:color w:val="auto"/>
                <w:sz w:val="24"/>
                <w:lang w:val="en-US" w:eastAsia="zh-CN"/>
              </w:rPr>
              <w:t>0.4</w:t>
            </w:r>
            <w:r>
              <w:rPr>
                <w:rFonts w:hint="default"/>
                <w:bCs/>
                <w:color w:val="auto"/>
                <w:sz w:val="24"/>
              </w:rPr>
              <w:t>kg，</w:t>
            </w:r>
            <w:r>
              <w:rPr>
                <w:rFonts w:hint="eastAsia"/>
                <w:bCs/>
                <w:color w:val="auto"/>
                <w:sz w:val="24"/>
                <w:lang w:val="en-US" w:eastAsia="zh-CN"/>
              </w:rPr>
              <w:t>成品</w:t>
            </w:r>
            <w:r>
              <w:rPr>
                <w:rFonts w:hint="default"/>
                <w:bCs/>
                <w:color w:val="auto"/>
                <w:sz w:val="24"/>
              </w:rPr>
              <w:t>密度</w:t>
            </w:r>
            <w:r>
              <w:rPr>
                <w:rFonts w:hint="eastAsia"/>
                <w:bCs/>
                <w:color w:val="auto"/>
                <w:sz w:val="24"/>
                <w:lang w:val="en-US" w:eastAsia="zh-CN"/>
              </w:rPr>
              <w:t>约</w:t>
            </w:r>
            <w:r>
              <w:rPr>
                <w:rFonts w:hint="default"/>
                <w:bCs/>
                <w:color w:val="auto"/>
                <w:sz w:val="24"/>
              </w:rPr>
              <w:t>为</w:t>
            </w:r>
            <w:r>
              <w:rPr>
                <w:rFonts w:hint="eastAsia"/>
                <w:bCs/>
                <w:color w:val="auto"/>
                <w:sz w:val="24"/>
                <w:lang w:val="en-US" w:eastAsia="zh-CN"/>
              </w:rPr>
              <w:t>5t</w:t>
            </w:r>
            <w:r>
              <w:rPr>
                <w:rFonts w:hint="default"/>
                <w:color w:val="auto"/>
                <w:sz w:val="24"/>
              </w:rPr>
              <w:t>/m</w:t>
            </w:r>
            <w:r>
              <w:rPr>
                <w:rFonts w:hint="default"/>
                <w:color w:val="auto"/>
                <w:sz w:val="24"/>
                <w:vertAlign w:val="superscript"/>
              </w:rPr>
              <w:t>3</w:t>
            </w:r>
            <w:r>
              <w:rPr>
                <w:rFonts w:hint="default"/>
                <w:bCs/>
                <w:color w:val="auto"/>
                <w:sz w:val="24"/>
              </w:rPr>
              <w:t>，符合</w:t>
            </w:r>
            <w:r>
              <w:rPr>
                <w:rFonts w:hint="default"/>
                <w:color w:val="auto"/>
                <w:sz w:val="24"/>
              </w:rPr>
              <w:t>熔炼用废钢废铁种类</w:t>
            </w:r>
            <w:r>
              <w:rPr>
                <w:rFonts w:hint="eastAsia"/>
                <w:color w:val="auto"/>
                <w:sz w:val="24"/>
                <w:lang w:eastAsia="zh-CN"/>
              </w:rPr>
              <w:t>。</w:t>
            </w:r>
          </w:p>
          <w:p w14:paraId="7175057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default"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7、与废物资源综合利用相关政策符合性分析</w:t>
            </w:r>
          </w:p>
          <w:p w14:paraId="17C2BB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表1-</w:t>
            </w:r>
            <w:r>
              <w:rPr>
                <w:rFonts w:hint="eastAsia" w:cs="Times New Roman"/>
                <w:b/>
                <w:bCs/>
                <w:color w:val="auto"/>
                <w:sz w:val="21"/>
                <w:szCs w:val="21"/>
                <w:lang w:val="en-US" w:eastAsia="zh-CN"/>
              </w:rPr>
              <w:t>7</w:t>
            </w:r>
            <w:r>
              <w:rPr>
                <w:rFonts w:hint="eastAsia" w:ascii="Times New Roman" w:hAnsi="Times New Roman" w:eastAsia="宋体" w:cs="Times New Roman"/>
                <w:b/>
                <w:bCs/>
                <w:color w:val="auto"/>
                <w:sz w:val="21"/>
                <w:szCs w:val="21"/>
                <w:lang w:val="en-US" w:eastAsia="zh-CN"/>
              </w:rPr>
              <w:t xml:space="preserve">  本项目与废物资源综合利用相关政策符合性分析</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4535"/>
              <w:gridCol w:w="1410"/>
              <w:gridCol w:w="1030"/>
            </w:tblGrid>
            <w:tr w14:paraId="5ACC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2" w:type="pct"/>
                  <w:tcBorders>
                    <w:tl2br w:val="nil"/>
                    <w:tr2bl w:val="nil"/>
                  </w:tcBorders>
                  <w:noWrap w:val="0"/>
                  <w:vAlign w:val="center"/>
                </w:tcPr>
                <w:p w14:paraId="14D2F743">
                  <w:pPr>
                    <w:keepNext w:val="0"/>
                    <w:keepLines w:val="0"/>
                    <w:suppressLineNumbers w:val="0"/>
                    <w:spacing w:before="0" w:beforeAutospacing="0" w:after="0" w:afterAutospacing="0"/>
                    <w:ind w:left="0" w:right="0"/>
                    <w:jc w:val="center"/>
                    <w:rPr>
                      <w:rFonts w:hint="default" w:eastAsia="宋体"/>
                      <w:b/>
                      <w:bCs/>
                      <w:color w:val="auto"/>
                      <w:lang w:val="en-US" w:eastAsia="zh-CN"/>
                    </w:rPr>
                  </w:pPr>
                  <w:r>
                    <w:rPr>
                      <w:rFonts w:hint="eastAsia"/>
                      <w:b/>
                      <w:bCs/>
                      <w:color w:val="auto"/>
                      <w:lang w:val="en-US" w:eastAsia="zh-CN"/>
                    </w:rPr>
                    <w:t>文件名称</w:t>
                  </w:r>
                </w:p>
              </w:tc>
              <w:tc>
                <w:tcPr>
                  <w:tcW w:w="2585" w:type="pct"/>
                  <w:tcBorders>
                    <w:tl2br w:val="nil"/>
                    <w:tr2bl w:val="nil"/>
                  </w:tcBorders>
                  <w:noWrap w:val="0"/>
                  <w:vAlign w:val="center"/>
                </w:tcPr>
                <w:p w14:paraId="4AB29B3F">
                  <w:pPr>
                    <w:keepNext w:val="0"/>
                    <w:keepLines w:val="0"/>
                    <w:suppressLineNumbers w:val="0"/>
                    <w:spacing w:before="0" w:beforeAutospacing="0" w:after="0" w:afterAutospacing="0"/>
                    <w:ind w:left="0" w:right="0"/>
                    <w:jc w:val="center"/>
                    <w:rPr>
                      <w:rFonts w:hint="eastAsia" w:eastAsia="宋体"/>
                      <w:b/>
                      <w:bCs/>
                      <w:color w:val="auto"/>
                      <w:lang w:val="en-US" w:eastAsia="zh-CN"/>
                    </w:rPr>
                  </w:pPr>
                  <w:r>
                    <w:rPr>
                      <w:rFonts w:hint="eastAsia"/>
                      <w:b/>
                      <w:bCs/>
                      <w:color w:val="auto"/>
                      <w:lang w:val="en-US" w:eastAsia="zh-CN"/>
                    </w:rPr>
                    <w:t>要求</w:t>
                  </w:r>
                </w:p>
              </w:tc>
              <w:tc>
                <w:tcPr>
                  <w:tcW w:w="804" w:type="pct"/>
                  <w:tcBorders>
                    <w:tl2br w:val="nil"/>
                    <w:tr2bl w:val="nil"/>
                  </w:tcBorders>
                  <w:noWrap w:val="0"/>
                  <w:vAlign w:val="center"/>
                </w:tcPr>
                <w:p w14:paraId="15F634EF">
                  <w:pPr>
                    <w:keepNext w:val="0"/>
                    <w:keepLines w:val="0"/>
                    <w:suppressLineNumbers w:val="0"/>
                    <w:spacing w:before="0" w:beforeAutospacing="0" w:after="0" w:afterAutospacing="0"/>
                    <w:ind w:left="0" w:right="0"/>
                    <w:jc w:val="center"/>
                    <w:rPr>
                      <w:rFonts w:hint="default" w:eastAsia="宋体"/>
                      <w:b/>
                      <w:bCs/>
                      <w:color w:val="auto"/>
                      <w:szCs w:val="21"/>
                      <w:lang w:val="en-US" w:eastAsia="zh-CN"/>
                    </w:rPr>
                  </w:pPr>
                  <w:r>
                    <w:rPr>
                      <w:rFonts w:hint="eastAsia"/>
                      <w:b/>
                      <w:bCs/>
                      <w:color w:val="auto"/>
                      <w:szCs w:val="21"/>
                      <w:lang w:val="en-US" w:eastAsia="zh-CN"/>
                    </w:rPr>
                    <w:t>本项目情况</w:t>
                  </w:r>
                </w:p>
              </w:tc>
              <w:tc>
                <w:tcPr>
                  <w:tcW w:w="587" w:type="pct"/>
                  <w:tcBorders>
                    <w:tl2br w:val="nil"/>
                    <w:tr2bl w:val="nil"/>
                  </w:tcBorders>
                  <w:noWrap w:val="0"/>
                  <w:vAlign w:val="center"/>
                </w:tcPr>
                <w:p w14:paraId="7904E54F">
                  <w:pPr>
                    <w:keepNext w:val="0"/>
                    <w:keepLines w:val="0"/>
                    <w:suppressLineNumbers w:val="0"/>
                    <w:spacing w:before="0" w:beforeAutospacing="0" w:after="0" w:afterAutospacing="0"/>
                    <w:ind w:left="0" w:right="0"/>
                    <w:jc w:val="center"/>
                    <w:rPr>
                      <w:rFonts w:hint="eastAsia" w:eastAsia="宋体"/>
                      <w:b/>
                      <w:bCs/>
                      <w:color w:val="auto"/>
                      <w:szCs w:val="21"/>
                      <w:lang w:val="en-US" w:eastAsia="zh-CN"/>
                    </w:rPr>
                  </w:pPr>
                  <w:r>
                    <w:rPr>
                      <w:rFonts w:hint="eastAsia"/>
                      <w:b/>
                      <w:bCs/>
                      <w:color w:val="auto"/>
                      <w:szCs w:val="21"/>
                      <w:lang w:val="en-US" w:eastAsia="zh-CN"/>
                    </w:rPr>
                    <w:t>符合性</w:t>
                  </w:r>
                </w:p>
              </w:tc>
            </w:tr>
            <w:tr w14:paraId="7510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2" w:type="pct"/>
                  <w:vMerge w:val="restart"/>
                  <w:tcBorders>
                    <w:tl2br w:val="nil"/>
                    <w:tr2bl w:val="nil"/>
                  </w:tcBorders>
                  <w:noWrap w:val="0"/>
                  <w:vAlign w:val="center"/>
                </w:tcPr>
                <w:p w14:paraId="7EA84219">
                  <w:pPr>
                    <w:keepNext w:val="0"/>
                    <w:keepLines w:val="0"/>
                    <w:suppressLineNumbers w:val="0"/>
                    <w:spacing w:before="0" w:beforeAutospacing="0" w:after="0" w:afterAutospacing="0"/>
                    <w:ind w:left="0" w:right="0"/>
                    <w:jc w:val="center"/>
                    <w:rPr>
                      <w:rFonts w:hint="default" w:eastAsia="宋体"/>
                      <w:color w:val="auto"/>
                      <w:lang w:val="en-US" w:eastAsia="zh-CN"/>
                    </w:rPr>
                  </w:pPr>
                  <w:r>
                    <w:rPr>
                      <w:rFonts w:hint="eastAsia" w:eastAsia="宋体"/>
                      <w:color w:val="auto"/>
                      <w:lang w:val="en-US" w:eastAsia="zh-CN"/>
                    </w:rPr>
                    <w:t>《废钢铁产业“十四五”发展规划》</w:t>
                  </w:r>
                </w:p>
              </w:tc>
              <w:tc>
                <w:tcPr>
                  <w:tcW w:w="2585" w:type="pct"/>
                  <w:tcBorders>
                    <w:tl2br w:val="nil"/>
                    <w:tr2bl w:val="nil"/>
                  </w:tcBorders>
                  <w:noWrap w:val="0"/>
                  <w:vAlign w:val="center"/>
                </w:tcPr>
                <w:p w14:paraId="7576B1F6">
                  <w:pPr>
                    <w:keepNext w:val="0"/>
                    <w:keepLines w:val="0"/>
                    <w:suppressLineNumbers w:val="0"/>
                    <w:spacing w:before="0" w:beforeAutospacing="0" w:after="0" w:afterAutospacing="0"/>
                    <w:ind w:left="0" w:right="0"/>
                    <w:jc w:val="both"/>
                    <w:rPr>
                      <w:rFonts w:hint="default" w:eastAsia="宋体"/>
                      <w:color w:val="auto"/>
                      <w:szCs w:val="21"/>
                      <w:lang w:val="en-US" w:eastAsia="zh-CN"/>
                    </w:rPr>
                  </w:pPr>
                  <w:r>
                    <w:rPr>
                      <w:rFonts w:hint="default" w:eastAsia="宋体"/>
                      <w:color w:val="auto"/>
                      <w:szCs w:val="21"/>
                      <w:lang w:val="en-US" w:eastAsia="zh-CN"/>
                    </w:rPr>
                    <w:t>废钢铁产业要把握“两个一百年”发展机遇，充分利用好国内国外两个市场，构建以国内大循环为主体、国内国际双循环相互促进的新发展格局，推动废钢加工行业和钢渣综合利用行业的产业升级和高质量发展</w:t>
                  </w:r>
                </w:p>
              </w:tc>
              <w:tc>
                <w:tcPr>
                  <w:tcW w:w="804" w:type="pct"/>
                  <w:vMerge w:val="restart"/>
                  <w:tcBorders>
                    <w:tl2br w:val="nil"/>
                    <w:tr2bl w:val="nil"/>
                  </w:tcBorders>
                  <w:noWrap w:val="0"/>
                  <w:vAlign w:val="center"/>
                </w:tcPr>
                <w:p w14:paraId="287B435F">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default" w:eastAsia="宋体"/>
                      <w:color w:val="auto"/>
                      <w:szCs w:val="21"/>
                      <w:lang w:val="en-US" w:eastAsia="zh-CN"/>
                    </w:rPr>
                    <w:t>属于废钢铁加工行业</w:t>
                  </w:r>
                </w:p>
              </w:tc>
              <w:tc>
                <w:tcPr>
                  <w:tcW w:w="587" w:type="pct"/>
                  <w:vMerge w:val="restart"/>
                  <w:tcBorders>
                    <w:tl2br w:val="nil"/>
                    <w:tr2bl w:val="nil"/>
                  </w:tcBorders>
                  <w:noWrap w:val="0"/>
                  <w:vAlign w:val="center"/>
                </w:tcPr>
                <w:p w14:paraId="55ABA313">
                  <w:pPr>
                    <w:keepNext w:val="0"/>
                    <w:keepLines w:val="0"/>
                    <w:suppressLineNumbers w:val="0"/>
                    <w:spacing w:before="0" w:beforeAutospacing="0" w:after="0" w:afterAutospacing="0"/>
                    <w:ind w:left="0" w:right="0"/>
                    <w:jc w:val="center"/>
                    <w:rPr>
                      <w:rFonts w:hint="eastAsia" w:eastAsia="宋体"/>
                      <w:color w:val="auto"/>
                      <w:szCs w:val="21"/>
                      <w:lang w:val="en-US" w:eastAsia="zh-CN"/>
                    </w:rPr>
                  </w:pPr>
                  <w:r>
                    <w:rPr>
                      <w:rFonts w:hint="eastAsia"/>
                      <w:color w:val="auto"/>
                      <w:szCs w:val="21"/>
                      <w:lang w:val="en-US" w:eastAsia="zh-CN"/>
                    </w:rPr>
                    <w:t>符合</w:t>
                  </w:r>
                </w:p>
              </w:tc>
            </w:tr>
            <w:tr w14:paraId="6B4F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2" w:type="pct"/>
                  <w:vMerge w:val="continue"/>
                  <w:tcBorders>
                    <w:tl2br w:val="nil"/>
                    <w:tr2bl w:val="nil"/>
                  </w:tcBorders>
                  <w:noWrap w:val="0"/>
                  <w:vAlign w:val="center"/>
                </w:tcPr>
                <w:p w14:paraId="24539B32">
                  <w:pPr>
                    <w:keepNext w:val="0"/>
                    <w:keepLines w:val="0"/>
                    <w:suppressLineNumbers w:val="0"/>
                    <w:spacing w:before="0" w:beforeAutospacing="0" w:after="0" w:afterAutospacing="0"/>
                    <w:ind w:left="0" w:right="0"/>
                    <w:jc w:val="center"/>
                    <w:rPr>
                      <w:rFonts w:hint="default" w:eastAsia="宋体"/>
                      <w:color w:val="auto"/>
                      <w:lang w:val="en-US" w:eastAsia="zh-CN"/>
                    </w:rPr>
                  </w:pPr>
                </w:p>
              </w:tc>
              <w:tc>
                <w:tcPr>
                  <w:tcW w:w="2585" w:type="pct"/>
                  <w:tcBorders>
                    <w:tl2br w:val="nil"/>
                    <w:tr2bl w:val="nil"/>
                  </w:tcBorders>
                  <w:noWrap w:val="0"/>
                  <w:vAlign w:val="center"/>
                </w:tcPr>
                <w:p w14:paraId="720B2C7D">
                  <w:pPr>
                    <w:keepNext w:val="0"/>
                    <w:keepLines w:val="0"/>
                    <w:suppressLineNumbers w:val="0"/>
                    <w:spacing w:before="0" w:beforeAutospacing="0" w:after="0" w:afterAutospacing="0"/>
                    <w:ind w:left="0" w:right="0"/>
                    <w:jc w:val="both"/>
                    <w:rPr>
                      <w:rFonts w:hint="default" w:eastAsia="宋体"/>
                      <w:color w:val="auto"/>
                      <w:szCs w:val="21"/>
                      <w:lang w:val="en-US" w:eastAsia="zh-CN"/>
                    </w:rPr>
                  </w:pPr>
                  <w:r>
                    <w:rPr>
                      <w:rFonts w:hint="default" w:eastAsia="宋体"/>
                      <w:color w:val="auto"/>
                      <w:szCs w:val="21"/>
                      <w:lang w:val="en-US" w:eastAsia="zh-CN"/>
                    </w:rPr>
                    <w:t>不断提高废钢铁应用比例，到“十四五”末全国炼钢综合废钢比要达到30%</w:t>
                  </w:r>
                  <w:r>
                    <w:rPr>
                      <w:rFonts w:hint="eastAsia" w:eastAsia="宋体"/>
                      <w:color w:val="auto"/>
                      <w:szCs w:val="21"/>
                      <w:lang w:val="en-US" w:eastAsia="zh-CN"/>
                    </w:rPr>
                    <w:t>；</w:t>
                  </w:r>
                  <w:r>
                    <w:rPr>
                      <w:rFonts w:hint="default" w:eastAsia="宋体"/>
                      <w:color w:val="auto"/>
                      <w:szCs w:val="21"/>
                      <w:lang w:val="en-US" w:eastAsia="zh-CN"/>
                    </w:rPr>
                    <w:t>提高规范企业废钢铁加工配送能力，废钢铁加工准入企业总的年加工能力达到2亿吨</w:t>
                  </w:r>
                </w:p>
              </w:tc>
              <w:tc>
                <w:tcPr>
                  <w:tcW w:w="804" w:type="pct"/>
                  <w:vMerge w:val="continue"/>
                  <w:tcBorders>
                    <w:tl2br w:val="nil"/>
                    <w:tr2bl w:val="nil"/>
                  </w:tcBorders>
                  <w:noWrap w:val="0"/>
                  <w:vAlign w:val="center"/>
                </w:tcPr>
                <w:p w14:paraId="72F89D19">
                  <w:pPr>
                    <w:keepNext w:val="0"/>
                    <w:keepLines w:val="0"/>
                    <w:suppressLineNumbers w:val="0"/>
                    <w:spacing w:before="0" w:beforeAutospacing="0" w:after="0" w:afterAutospacing="0"/>
                    <w:ind w:left="0" w:right="0"/>
                    <w:jc w:val="center"/>
                    <w:rPr>
                      <w:rFonts w:hint="default" w:eastAsia="宋体"/>
                      <w:color w:val="auto"/>
                      <w:szCs w:val="21"/>
                      <w:lang w:val="en-US" w:eastAsia="zh-CN"/>
                    </w:rPr>
                  </w:pPr>
                </w:p>
              </w:tc>
              <w:tc>
                <w:tcPr>
                  <w:tcW w:w="587" w:type="pct"/>
                  <w:vMerge w:val="continue"/>
                  <w:tcBorders>
                    <w:tl2br w:val="nil"/>
                    <w:tr2bl w:val="nil"/>
                  </w:tcBorders>
                  <w:noWrap w:val="0"/>
                  <w:vAlign w:val="center"/>
                </w:tcPr>
                <w:p w14:paraId="4D8B973D">
                  <w:pPr>
                    <w:keepNext w:val="0"/>
                    <w:keepLines w:val="0"/>
                    <w:suppressLineNumbers w:val="0"/>
                    <w:spacing w:before="0" w:beforeAutospacing="0" w:after="0" w:afterAutospacing="0"/>
                    <w:ind w:left="0" w:right="0"/>
                    <w:jc w:val="center"/>
                    <w:rPr>
                      <w:rFonts w:hint="default"/>
                      <w:color w:val="auto"/>
                      <w:szCs w:val="21"/>
                    </w:rPr>
                  </w:pPr>
                </w:p>
              </w:tc>
            </w:tr>
            <w:tr w14:paraId="78A7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2" w:type="pct"/>
                  <w:tcBorders>
                    <w:tl2br w:val="nil"/>
                    <w:tr2bl w:val="nil"/>
                  </w:tcBorders>
                  <w:noWrap w:val="0"/>
                  <w:vAlign w:val="center"/>
                </w:tcPr>
                <w:p w14:paraId="3A05112D">
                  <w:pPr>
                    <w:keepNext w:val="0"/>
                    <w:keepLines w:val="0"/>
                    <w:suppressLineNumbers w:val="0"/>
                    <w:spacing w:before="0" w:beforeAutospacing="0" w:after="0" w:afterAutospacing="0"/>
                    <w:ind w:left="0" w:right="0"/>
                    <w:jc w:val="center"/>
                    <w:rPr>
                      <w:rFonts w:hint="default" w:eastAsia="宋体"/>
                      <w:color w:val="auto"/>
                      <w:lang w:val="en-US" w:eastAsia="zh-CN"/>
                    </w:rPr>
                  </w:pPr>
                  <w:r>
                    <w:rPr>
                      <w:rFonts w:hint="default" w:eastAsia="宋体"/>
                      <w:color w:val="auto"/>
                      <w:lang w:val="en-US" w:eastAsia="zh-CN"/>
                    </w:rPr>
                    <w:t>《国务院办公厅关于加快构建废弃物循环利用体系的意见》</w:t>
                  </w:r>
                  <w:r>
                    <w:rPr>
                      <w:rFonts w:hint="eastAsia" w:eastAsia="宋体"/>
                      <w:color w:val="auto"/>
                      <w:lang w:val="en-US" w:eastAsia="zh-CN"/>
                    </w:rPr>
                    <w:t>（</w:t>
                  </w:r>
                  <w:r>
                    <w:rPr>
                      <w:rFonts w:hint="default" w:eastAsia="宋体"/>
                      <w:color w:val="auto"/>
                      <w:lang w:val="en-US" w:eastAsia="zh-CN"/>
                    </w:rPr>
                    <w:t>国办发</w:t>
                  </w:r>
                  <w:r>
                    <w:rPr>
                      <w:rFonts w:hint="eastAsia" w:eastAsia="宋体"/>
                      <w:color w:val="auto"/>
                      <w:lang w:val="en-US" w:eastAsia="zh-CN"/>
                    </w:rPr>
                    <w:t>[</w:t>
                  </w:r>
                  <w:r>
                    <w:rPr>
                      <w:rFonts w:hint="default" w:eastAsia="宋体"/>
                      <w:color w:val="auto"/>
                      <w:lang w:val="en-US" w:eastAsia="zh-CN"/>
                    </w:rPr>
                    <w:t>2024</w:t>
                  </w:r>
                  <w:r>
                    <w:rPr>
                      <w:rFonts w:hint="eastAsia" w:eastAsia="宋体"/>
                      <w:color w:val="auto"/>
                      <w:lang w:val="en-US" w:eastAsia="zh-CN"/>
                    </w:rPr>
                    <w:t>]</w:t>
                  </w:r>
                  <w:r>
                    <w:rPr>
                      <w:rFonts w:hint="default" w:eastAsia="宋体"/>
                      <w:color w:val="auto"/>
                      <w:lang w:val="en-US" w:eastAsia="zh-CN"/>
                    </w:rPr>
                    <w:t>7号</w:t>
                  </w:r>
                  <w:r>
                    <w:rPr>
                      <w:rFonts w:hint="eastAsia" w:eastAsia="宋体"/>
                      <w:color w:val="auto"/>
                      <w:lang w:val="en-US" w:eastAsia="zh-CN"/>
                    </w:rPr>
                    <w:t>）</w:t>
                  </w:r>
                </w:p>
              </w:tc>
              <w:tc>
                <w:tcPr>
                  <w:tcW w:w="2585" w:type="pct"/>
                  <w:tcBorders>
                    <w:tl2br w:val="nil"/>
                    <w:tr2bl w:val="nil"/>
                  </w:tcBorders>
                  <w:noWrap w:val="0"/>
                  <w:vAlign w:val="center"/>
                </w:tcPr>
                <w:p w14:paraId="062D5F5D">
                  <w:pPr>
                    <w:keepNext w:val="0"/>
                    <w:keepLines w:val="0"/>
                    <w:suppressLineNumbers w:val="0"/>
                    <w:spacing w:before="0" w:beforeAutospacing="0" w:after="0" w:afterAutospacing="0"/>
                    <w:ind w:left="0" w:right="0"/>
                    <w:jc w:val="both"/>
                    <w:rPr>
                      <w:rFonts w:hint="default" w:eastAsia="宋体"/>
                      <w:color w:val="auto"/>
                      <w:szCs w:val="21"/>
                      <w:lang w:val="en-US" w:eastAsia="zh-CN"/>
                    </w:rPr>
                  </w:pPr>
                  <w:r>
                    <w:rPr>
                      <w:rFonts w:hint="default" w:eastAsia="宋体"/>
                      <w:color w:val="auto"/>
                      <w:szCs w:val="21"/>
                      <w:lang w:val="en-US" w:eastAsia="zh-CN"/>
                    </w:rPr>
                    <w:t>加强再生资源高效利用。鼓励废钢铁、废有色金属、废纸、废塑料等再生资源精深加工产业链合理延伸。支持现有再生资源加工利用项目绿色化、机械化、智能化提质改造</w:t>
                  </w:r>
                </w:p>
              </w:tc>
              <w:tc>
                <w:tcPr>
                  <w:tcW w:w="804" w:type="pct"/>
                  <w:tcBorders>
                    <w:tl2br w:val="nil"/>
                    <w:tr2bl w:val="nil"/>
                  </w:tcBorders>
                  <w:noWrap w:val="0"/>
                  <w:vAlign w:val="center"/>
                </w:tcPr>
                <w:p w14:paraId="070A2BCC">
                  <w:pPr>
                    <w:keepNext w:val="0"/>
                    <w:keepLines w:val="0"/>
                    <w:suppressLineNumbers w:val="0"/>
                    <w:spacing w:before="0" w:beforeAutospacing="0" w:after="0" w:afterAutospacing="0"/>
                    <w:ind w:left="0" w:right="0"/>
                    <w:jc w:val="center"/>
                    <w:rPr>
                      <w:rFonts w:hint="default" w:eastAsia="宋体"/>
                      <w:color w:val="auto"/>
                      <w:szCs w:val="21"/>
                      <w:lang w:val="en-US" w:eastAsia="zh-CN"/>
                    </w:rPr>
                  </w:pPr>
                  <w:r>
                    <w:rPr>
                      <w:rFonts w:hint="default" w:eastAsia="宋体"/>
                      <w:color w:val="auto"/>
                      <w:szCs w:val="21"/>
                      <w:lang w:val="en-US" w:eastAsia="zh-CN"/>
                    </w:rPr>
                    <w:t>属于废钢铁加工行业</w:t>
                  </w:r>
                </w:p>
              </w:tc>
              <w:tc>
                <w:tcPr>
                  <w:tcW w:w="587" w:type="pct"/>
                  <w:tcBorders>
                    <w:tl2br w:val="nil"/>
                    <w:tr2bl w:val="nil"/>
                  </w:tcBorders>
                  <w:noWrap w:val="0"/>
                  <w:vAlign w:val="center"/>
                </w:tcPr>
                <w:p w14:paraId="72928850">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lang w:val="en-US" w:eastAsia="zh-CN"/>
                    </w:rPr>
                    <w:t>符合</w:t>
                  </w:r>
                </w:p>
              </w:tc>
            </w:tr>
          </w:tbl>
          <w:p w14:paraId="2A2257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eastAsia"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8、与《山西省工业炉窑大气污染物综合治理实施方案》（晋环大气[2019]164号）符合性分析</w:t>
            </w:r>
          </w:p>
          <w:p w14:paraId="3C85ADE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0" w:firstLineChars="0"/>
              <w:jc w:val="center"/>
              <w:textAlignment w:val="auto"/>
              <w:rPr>
                <w:rFonts w:hint="default" w:cs="Times New Roman"/>
                <w:b/>
                <w:bCs/>
                <w:color w:val="auto"/>
                <w:kern w:val="0"/>
                <w:sz w:val="24"/>
                <w:szCs w:val="24"/>
                <w:highlight w:val="none"/>
                <w:lang w:val="en-US" w:eastAsia="zh-CN"/>
              </w:rPr>
            </w:pPr>
            <w:r>
              <w:rPr>
                <w:rFonts w:hint="eastAsia" w:ascii="Times New Roman" w:hAnsi="Times New Roman" w:eastAsia="宋体" w:cs="Times New Roman"/>
                <w:b/>
                <w:bCs/>
                <w:color w:val="auto"/>
                <w:sz w:val="21"/>
                <w:szCs w:val="21"/>
                <w:lang w:val="en-US" w:eastAsia="zh-CN"/>
              </w:rPr>
              <w:t>表1-</w:t>
            </w:r>
            <w:r>
              <w:rPr>
                <w:rFonts w:hint="eastAsia" w:cs="Times New Roman"/>
                <w:b/>
                <w:bCs/>
                <w:color w:val="auto"/>
                <w:sz w:val="21"/>
                <w:szCs w:val="21"/>
                <w:lang w:val="en-US" w:eastAsia="zh-CN"/>
              </w:rPr>
              <w:t>8</w:t>
            </w:r>
            <w:r>
              <w:rPr>
                <w:rFonts w:hint="eastAsia" w:ascii="Times New Roman" w:hAnsi="Times New Roman" w:eastAsia="宋体" w:cs="Times New Roman"/>
                <w:b/>
                <w:bCs/>
                <w:color w:val="auto"/>
                <w:sz w:val="21"/>
                <w:szCs w:val="21"/>
                <w:lang w:val="en-US" w:eastAsia="zh-CN"/>
              </w:rPr>
              <w:t xml:space="preserve">  本项目与晋环大气</w:t>
            </w:r>
            <w:r>
              <w:rPr>
                <w:rFonts w:hint="eastAsia" w:cs="Times New Roman"/>
                <w:b/>
                <w:bCs/>
                <w:color w:val="auto"/>
                <w:sz w:val="21"/>
                <w:szCs w:val="21"/>
                <w:lang w:val="en-US" w:eastAsia="zh-CN"/>
              </w:rPr>
              <w:t>[</w:t>
            </w:r>
            <w:r>
              <w:rPr>
                <w:rFonts w:hint="eastAsia" w:ascii="Times New Roman" w:hAnsi="Times New Roman" w:eastAsia="宋体" w:cs="Times New Roman"/>
                <w:b/>
                <w:bCs/>
                <w:color w:val="auto"/>
                <w:sz w:val="21"/>
                <w:szCs w:val="21"/>
                <w:lang w:val="en-US" w:eastAsia="zh-CN"/>
              </w:rPr>
              <w:t>2019</w:t>
            </w:r>
            <w:r>
              <w:rPr>
                <w:rFonts w:hint="eastAsia" w:cs="Times New Roman"/>
                <w:b/>
                <w:bCs/>
                <w:color w:val="auto"/>
                <w:sz w:val="21"/>
                <w:szCs w:val="21"/>
                <w:lang w:val="en-US" w:eastAsia="zh-CN"/>
              </w:rPr>
              <w:t>]</w:t>
            </w:r>
            <w:r>
              <w:rPr>
                <w:rFonts w:hint="eastAsia" w:ascii="Times New Roman" w:hAnsi="Times New Roman" w:eastAsia="宋体" w:cs="Times New Roman"/>
                <w:b/>
                <w:bCs/>
                <w:color w:val="auto"/>
                <w:sz w:val="21"/>
                <w:szCs w:val="21"/>
                <w:lang w:val="en-US" w:eastAsia="zh-CN"/>
              </w:rPr>
              <w:t>164号符合性分析</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4849"/>
              <w:gridCol w:w="2235"/>
              <w:gridCol w:w="894"/>
            </w:tblGrid>
            <w:tr w14:paraId="71B5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3" w:type="pct"/>
                  <w:gridSpan w:val="2"/>
                  <w:tcBorders>
                    <w:tl2br w:val="nil"/>
                    <w:tr2bl w:val="nil"/>
                  </w:tcBorders>
                  <w:noWrap w:val="0"/>
                  <w:vAlign w:val="center"/>
                </w:tcPr>
                <w:p w14:paraId="4802E7AC">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color w:val="auto"/>
                      <w:sz w:val="21"/>
                      <w:szCs w:val="21"/>
                      <w:highlight w:val="none"/>
                    </w:rPr>
                    <w:t>文件要求</w:t>
                  </w:r>
                </w:p>
              </w:tc>
              <w:tc>
                <w:tcPr>
                  <w:tcW w:w="1275" w:type="pct"/>
                  <w:tcBorders>
                    <w:tl2br w:val="nil"/>
                    <w:tr2bl w:val="nil"/>
                  </w:tcBorders>
                  <w:noWrap w:val="0"/>
                  <w:vAlign w:val="center"/>
                </w:tcPr>
                <w:p w14:paraId="435E2176">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b/>
                      <w:color w:val="auto"/>
                      <w:sz w:val="21"/>
                      <w:szCs w:val="21"/>
                      <w:highlight w:val="none"/>
                      <w:lang w:val="en-US" w:eastAsia="zh-CN"/>
                    </w:rPr>
                  </w:pPr>
                  <w:r>
                    <w:rPr>
                      <w:rFonts w:hint="eastAsia" w:ascii="Times New Roman" w:hAnsi="Times New Roman" w:cs="Times New Roman"/>
                      <w:b/>
                      <w:color w:val="auto"/>
                      <w:sz w:val="21"/>
                      <w:szCs w:val="21"/>
                      <w:highlight w:val="none"/>
                      <w:lang w:val="en-US" w:eastAsia="zh-CN"/>
                    </w:rPr>
                    <w:t>本项目情况</w:t>
                  </w:r>
                </w:p>
              </w:tc>
              <w:tc>
                <w:tcPr>
                  <w:tcW w:w="510" w:type="pct"/>
                  <w:tcBorders>
                    <w:tl2br w:val="nil"/>
                    <w:tr2bl w:val="nil"/>
                  </w:tcBorders>
                  <w:noWrap w:val="0"/>
                  <w:vAlign w:val="center"/>
                </w:tcPr>
                <w:p w14:paraId="392D0A9B">
                  <w:pPr>
                    <w:pStyle w:val="1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cs="Times New Roman"/>
                      <w:b/>
                      <w:color w:val="auto"/>
                      <w:sz w:val="21"/>
                      <w:szCs w:val="21"/>
                      <w:highlight w:val="none"/>
                    </w:rPr>
                  </w:pPr>
                  <w:r>
                    <w:rPr>
                      <w:rFonts w:hint="default" w:ascii="Times New Roman" w:hAnsi="Times New Roman" w:eastAsia="宋体" w:cs="Times New Roman"/>
                      <w:b/>
                      <w:color w:val="auto"/>
                      <w:kern w:val="0"/>
                      <w:sz w:val="21"/>
                      <w:szCs w:val="24"/>
                      <w:highlight w:val="none"/>
                    </w:rPr>
                    <w:t>符合性</w:t>
                  </w:r>
                </w:p>
              </w:tc>
            </w:tr>
            <w:tr w14:paraId="1F0B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7" w:type="pct"/>
                  <w:tcBorders>
                    <w:tl2br w:val="nil"/>
                    <w:tr2bl w:val="nil"/>
                  </w:tcBorders>
                  <w:noWrap w:val="0"/>
                  <w:vAlign w:val="center"/>
                </w:tcPr>
                <w:p w14:paraId="42CD3372">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严格建设项目环境准入</w:t>
                  </w:r>
                </w:p>
              </w:tc>
              <w:tc>
                <w:tcPr>
                  <w:tcW w:w="2766" w:type="pct"/>
                  <w:tcBorders>
                    <w:tl2br w:val="nil"/>
                    <w:tr2bl w:val="nil"/>
                  </w:tcBorders>
                  <w:noWrap w:val="0"/>
                  <w:vAlign w:val="center"/>
                </w:tcPr>
                <w:p w14:paraId="3ECE1D61">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both"/>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新建涉工业炉窑的建设项目，原则上要入园区，并符合园区规划环境影响评价要求，配套建设高效环保治理设施。落实国家和我省相关产业政策及产能置换办法。重点区域严格控制涉工业炉窑建设项目，严禁新增钢铁、焦化、铸造、水泥、平板玻璃等产能。全省禁止新建燃料类煤气发生炉（园区现有企业统一建设的清洁煤制气中心除外）</w:t>
                  </w:r>
                </w:p>
              </w:tc>
              <w:tc>
                <w:tcPr>
                  <w:tcW w:w="1275" w:type="pct"/>
                  <w:tcBorders>
                    <w:tl2br w:val="nil"/>
                    <w:tr2bl w:val="nil"/>
                  </w:tcBorders>
                  <w:noWrap w:val="0"/>
                  <w:vAlign w:val="center"/>
                </w:tcPr>
                <w:p w14:paraId="51916FDB">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Times New Roman" w:cs="Times New Roman"/>
                      <w:color w:val="auto"/>
                      <w:sz w:val="21"/>
                      <w:szCs w:val="21"/>
                      <w:highlight w:val="none"/>
                    </w:rPr>
                  </w:pPr>
                  <w:r>
                    <w:rPr>
                      <w:rFonts w:hint="default"/>
                      <w:color w:val="auto"/>
                      <w:szCs w:val="21"/>
                    </w:rPr>
                    <w:t>本项目建设1座</w:t>
                  </w:r>
                  <w:r>
                    <w:rPr>
                      <w:rFonts w:hint="eastAsia"/>
                      <w:color w:val="auto"/>
                      <w:szCs w:val="21"/>
                      <w:lang w:val="en-US" w:eastAsia="zh-CN"/>
                    </w:rPr>
                    <w:t>回转窑</w:t>
                  </w:r>
                  <w:r>
                    <w:rPr>
                      <w:rFonts w:hint="default"/>
                      <w:color w:val="auto"/>
                      <w:szCs w:val="21"/>
                    </w:rPr>
                    <w:t>，燃用天然气，属于新建工业炉窑，位于屯留经济开发区，符合园区规划环境影响评价要求，配套了高效环保治理设施。不新增钢铁、焦化、铸造、水泥、平板玻璃等产能</w:t>
                  </w:r>
                </w:p>
              </w:tc>
              <w:tc>
                <w:tcPr>
                  <w:tcW w:w="510" w:type="pct"/>
                  <w:tcBorders>
                    <w:tl2br w:val="nil"/>
                    <w:tr2bl w:val="nil"/>
                  </w:tcBorders>
                  <w:noWrap w:val="0"/>
                  <w:vAlign w:val="center"/>
                </w:tcPr>
                <w:p w14:paraId="1D488418">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453A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7" w:type="pct"/>
                  <w:tcBorders>
                    <w:tl2br w:val="nil"/>
                    <w:tr2bl w:val="nil"/>
                  </w:tcBorders>
                  <w:noWrap w:val="0"/>
                  <w:vAlign w:val="center"/>
                </w:tcPr>
                <w:p w14:paraId="3A75CB0F">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加大过剩产能和不达标工业炉窑淘汰力度</w:t>
                  </w:r>
                </w:p>
              </w:tc>
              <w:tc>
                <w:tcPr>
                  <w:tcW w:w="2766" w:type="pct"/>
                  <w:tcBorders>
                    <w:tl2br w:val="nil"/>
                    <w:tr2bl w:val="nil"/>
                  </w:tcBorders>
                  <w:noWrap w:val="0"/>
                  <w:vAlign w:val="center"/>
                </w:tcPr>
                <w:p w14:paraId="379BEAB0">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both"/>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全面清理《产业结构调整指导目录》淘汰类工业炉窑，加快推进限制类工业炉窑升级改造。落实《山西省焦化行业压减过剩产能打好污染防治攻坚行动方案》，加快炭化室高度4.3米及以下且运行寿命超过10年的焦炉淘汰步伐。对热效率低下、敞开未封闭，装备简易落后、自动化程度低，无组织排放突出，以及无治理设施或治理设施工艺落后等严重污染环境的工业炉窑，依法责令停业关闭</w:t>
                  </w:r>
                </w:p>
              </w:tc>
              <w:tc>
                <w:tcPr>
                  <w:tcW w:w="1275" w:type="pct"/>
                  <w:tcBorders>
                    <w:tl2br w:val="nil"/>
                    <w:tr2bl w:val="nil"/>
                  </w:tcBorders>
                  <w:noWrap w:val="0"/>
                  <w:vAlign w:val="center"/>
                </w:tcPr>
                <w:p w14:paraId="6F546D53">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highlight w:val="none"/>
                      <w:lang w:val="en-US" w:eastAsia="zh-CN"/>
                    </w:rPr>
                  </w:pPr>
                  <w:r>
                    <w:rPr>
                      <w:rFonts w:hint="default"/>
                      <w:color w:val="auto"/>
                      <w:szCs w:val="21"/>
                    </w:rPr>
                    <w:t>本项目配置的</w:t>
                  </w:r>
                  <w:r>
                    <w:rPr>
                      <w:rFonts w:hint="eastAsia"/>
                      <w:color w:val="auto"/>
                      <w:szCs w:val="21"/>
                      <w:lang w:val="en-US" w:eastAsia="zh-CN"/>
                    </w:rPr>
                    <w:t>回转窑</w:t>
                  </w:r>
                  <w:r>
                    <w:rPr>
                      <w:rFonts w:hint="default"/>
                      <w:color w:val="auto"/>
                      <w:szCs w:val="21"/>
                    </w:rPr>
                    <w:t>不属于《产业结构调整指导目录（20</w:t>
                  </w:r>
                  <w:r>
                    <w:rPr>
                      <w:rFonts w:hint="eastAsia"/>
                      <w:color w:val="auto"/>
                      <w:szCs w:val="21"/>
                      <w:lang w:val="en-US" w:eastAsia="zh-CN"/>
                    </w:rPr>
                    <w:t>24</w:t>
                  </w:r>
                  <w:r>
                    <w:rPr>
                      <w:rFonts w:hint="default"/>
                      <w:color w:val="auto"/>
                      <w:szCs w:val="21"/>
                    </w:rPr>
                    <w:t>年本）》中需淘汰的落后工艺装备</w:t>
                  </w:r>
                </w:p>
              </w:tc>
              <w:tc>
                <w:tcPr>
                  <w:tcW w:w="510" w:type="pct"/>
                  <w:tcBorders>
                    <w:tl2br w:val="nil"/>
                    <w:tr2bl w:val="nil"/>
                  </w:tcBorders>
                  <w:noWrap w:val="0"/>
                  <w:vAlign w:val="center"/>
                </w:tcPr>
                <w:p w14:paraId="29AE20F5">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C54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7" w:type="pct"/>
                  <w:tcBorders>
                    <w:tl2br w:val="nil"/>
                    <w:tr2bl w:val="nil"/>
                  </w:tcBorders>
                  <w:noWrap w:val="0"/>
                  <w:vAlign w:val="center"/>
                </w:tcPr>
                <w:p w14:paraId="77C784D9">
                  <w:pPr>
                    <w:pStyle w:val="105"/>
                    <w:keepNext w:val="0"/>
                    <w:keepLines w:val="0"/>
                    <w:pageBreakBefore w:val="0"/>
                    <w:widowControl w:val="0"/>
                    <w:suppressLineNumbers w:val="0"/>
                    <w:kinsoku/>
                    <w:wordWrap/>
                    <w:overflowPunct/>
                    <w:topLinePunct w:val="0"/>
                    <w:bidi w:val="0"/>
                    <w:adjustRightInd/>
                    <w:snapToGrid/>
                    <w:spacing w:before="0" w:beforeLines="0" w:beforeAutospacing="0" w:after="0" w:afterLines="0" w:afterAutospacing="0" w:line="240" w:lineRule="auto"/>
                    <w:ind w:left="0" w:leftChars="0" w:righ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加快燃料清洁低碳化替代</w:t>
                  </w:r>
                </w:p>
              </w:tc>
              <w:tc>
                <w:tcPr>
                  <w:tcW w:w="2766" w:type="pct"/>
                  <w:tcBorders>
                    <w:tl2br w:val="nil"/>
                    <w:tr2bl w:val="nil"/>
                  </w:tcBorders>
                  <w:noWrap w:val="0"/>
                  <w:vAlign w:val="center"/>
                </w:tcPr>
                <w:p w14:paraId="374121A1">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both"/>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rPr>
                    <w:t>2020</w:t>
                  </w:r>
                  <w:r>
                    <w:rPr>
                      <w:rFonts w:hint="default" w:ascii="Times New Roman" w:hAnsi="Times New Roman" w:cs="Times New Roman"/>
                      <w:color w:val="auto"/>
                      <w:sz w:val="21"/>
                      <w:szCs w:val="21"/>
                      <w:highlight w:val="none"/>
                    </w:rPr>
                    <w:t>年6月底前，现有以煤、石油焦、渣油、重油等为燃料的工业炉窑完成清洁低碳燃料、技术和装备替代改造，全省铸造（</w:t>
                  </w:r>
                  <w:r>
                    <w:rPr>
                      <w:rFonts w:hint="default" w:ascii="Times New Roman" w:hAnsi="Times New Roman" w:eastAsia="Times New Roman" w:cs="Times New Roman"/>
                      <w:color w:val="auto"/>
                      <w:sz w:val="21"/>
                      <w:szCs w:val="21"/>
                      <w:highlight w:val="none"/>
                    </w:rPr>
                    <w:t>10</w:t>
                  </w:r>
                  <w:r>
                    <w:rPr>
                      <w:rFonts w:hint="default" w:ascii="Times New Roman" w:hAnsi="Times New Roman" w:cs="Times New Roman"/>
                      <w:color w:val="auto"/>
                      <w:sz w:val="21"/>
                      <w:szCs w:val="21"/>
                      <w:highlight w:val="none"/>
                    </w:rPr>
                    <w:t>吨</w:t>
                  </w:r>
                  <w:r>
                    <w:rPr>
                      <w:rFonts w:hint="default" w:ascii="Times New Roman" w:hAnsi="Times New Roman" w:eastAsia="Times New Roman" w:cs="Times New Roman"/>
                      <w:color w:val="auto"/>
                      <w:sz w:val="21"/>
                      <w:szCs w:val="21"/>
                      <w:highlight w:val="none"/>
                    </w:rPr>
                    <w:t>/</w:t>
                  </w:r>
                  <w:r>
                    <w:rPr>
                      <w:rFonts w:hint="default" w:ascii="Times New Roman" w:hAnsi="Times New Roman" w:cs="Times New Roman"/>
                      <w:color w:val="auto"/>
                      <w:sz w:val="21"/>
                      <w:szCs w:val="21"/>
                      <w:highlight w:val="none"/>
                    </w:rPr>
                    <w:t>小时及以下）、岩棉等行业冲天炉改为电炉。禁止掺烧高硫石油焦（硫含量大于3%），玻璃行业全面禁止掺烧高硫石油焦。加大煤气发生炉淘汰力度，</w:t>
                  </w:r>
                  <w:r>
                    <w:rPr>
                      <w:rFonts w:hint="default" w:ascii="Times New Roman" w:hAnsi="Times New Roman" w:eastAsia="Times New Roman" w:cs="Times New Roman"/>
                      <w:color w:val="auto"/>
                      <w:sz w:val="21"/>
                      <w:szCs w:val="21"/>
                      <w:highlight w:val="none"/>
                    </w:rPr>
                    <w:t>2019</w:t>
                  </w:r>
                  <w:r>
                    <w:rPr>
                      <w:rFonts w:hint="default" w:ascii="Times New Roman" w:hAnsi="Times New Roman" w:cs="Times New Roman"/>
                      <w:color w:val="auto"/>
                      <w:sz w:val="21"/>
                      <w:szCs w:val="21"/>
                      <w:highlight w:val="none"/>
                    </w:rPr>
                    <w:t>年底前全省基本淘汰炉膛直径3米以下燃料类煤气发生炉；集中使用煤气发生炉的工业园区，暂不具备改用天然气条件的，以及化肥行业固定床间歇式煤气化炉集中区域，2019年底前启动建设统一的清洁煤制气中心，取缔覆盖范围内的分散煤气发生炉，逐步淘汰化肥行业固定床间歇式煤气化炉，加快淘汰燃煤工业炉窑，重点区域2019年底取缔燃煤热风炉，基本淘汰热电联产供热管网覆盖范围内的燃煤加热、烘干炉（窑）</w:t>
                  </w:r>
                </w:p>
              </w:tc>
              <w:tc>
                <w:tcPr>
                  <w:tcW w:w="1275" w:type="pct"/>
                  <w:tcBorders>
                    <w:tl2br w:val="nil"/>
                    <w:tr2bl w:val="nil"/>
                  </w:tcBorders>
                  <w:noWrap w:val="0"/>
                  <w:vAlign w:val="center"/>
                </w:tcPr>
                <w:p w14:paraId="5E6429D1">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本项目燃料为天然气</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不属于以煤、石油焦、渣油、重油等为燃料的工业炉窑</w:t>
                  </w:r>
                </w:p>
              </w:tc>
              <w:tc>
                <w:tcPr>
                  <w:tcW w:w="510" w:type="pct"/>
                  <w:tcBorders>
                    <w:tl2br w:val="nil"/>
                    <w:tr2bl w:val="nil"/>
                  </w:tcBorders>
                  <w:noWrap w:val="0"/>
                  <w:vAlign w:val="center"/>
                </w:tcPr>
                <w:p w14:paraId="7DC3ADB6">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3CA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7" w:type="pct"/>
                  <w:tcBorders>
                    <w:tl2br w:val="nil"/>
                    <w:tr2bl w:val="nil"/>
                  </w:tcBorders>
                  <w:noWrap w:val="0"/>
                  <w:vAlign w:val="center"/>
                </w:tcPr>
                <w:p w14:paraId="366C646D">
                  <w:pPr>
                    <w:pStyle w:val="105"/>
                    <w:keepNext w:val="0"/>
                    <w:keepLines w:val="0"/>
                    <w:pageBreakBefore w:val="0"/>
                    <w:widowControl w:val="0"/>
                    <w:suppressLineNumbers w:val="0"/>
                    <w:kinsoku/>
                    <w:wordWrap/>
                    <w:overflowPunct/>
                    <w:topLinePunct w:val="0"/>
                    <w:bidi w:val="0"/>
                    <w:adjustRightInd/>
                    <w:snapToGrid/>
                    <w:spacing w:before="0" w:beforeLines="0" w:beforeAutospacing="0" w:after="0" w:afterLines="0" w:afterAutospacing="0" w:line="240" w:lineRule="auto"/>
                    <w:ind w:left="0" w:leftChars="0" w:righ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实施污染深度治理</w:t>
                  </w:r>
                </w:p>
              </w:tc>
              <w:tc>
                <w:tcPr>
                  <w:tcW w:w="2766" w:type="pct"/>
                  <w:tcBorders>
                    <w:tl2br w:val="nil"/>
                    <w:tr2bl w:val="nil"/>
                  </w:tcBorders>
                  <w:noWrap w:val="0"/>
                  <w:vAlign w:val="center"/>
                </w:tcPr>
                <w:p w14:paraId="6CCDFBD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both"/>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推进工业炉窑全面达标排放。加大工业炉窑治理力度，配套建设高效脱硫脱硝除尘设施。已有行业排放标准的工业炉窑，严格执行行业排放标准特别排放限值及相关规定。暂未制订行业排放标准的工业炉窑，按照颗粒物、二氧化硫、氮氧化物排放限值分别不高于30、200、300毫克</w:t>
                  </w:r>
                  <w:r>
                    <w:rPr>
                      <w:rFonts w:hint="default" w:ascii="Times New Roman" w:hAnsi="Times New Roman" w:eastAsia="Times New Roman" w:cs="Times New Roman"/>
                      <w:color w:val="auto"/>
                      <w:sz w:val="21"/>
                      <w:szCs w:val="21"/>
                      <w:highlight w:val="none"/>
                    </w:rPr>
                    <w:t>/</w:t>
                  </w:r>
                  <w:r>
                    <w:rPr>
                      <w:rFonts w:hint="default" w:ascii="Times New Roman" w:hAnsi="Times New Roman" w:cs="Times New Roman"/>
                      <w:color w:val="auto"/>
                      <w:sz w:val="21"/>
                      <w:szCs w:val="21"/>
                      <w:highlight w:val="none"/>
                    </w:rPr>
                    <w:t>立方米考核评价，其中，日用玻璃、玻璃棉氮氧化物排放限值不高于400毫克</w:t>
                  </w:r>
                  <w:r>
                    <w:rPr>
                      <w:rFonts w:hint="default" w:ascii="Times New Roman" w:hAnsi="Times New Roman" w:eastAsia="Times New Roman" w:cs="Times New Roman"/>
                      <w:color w:val="auto"/>
                      <w:sz w:val="21"/>
                      <w:szCs w:val="21"/>
                      <w:highlight w:val="none"/>
                    </w:rPr>
                    <w:t>/</w:t>
                  </w:r>
                  <w:r>
                    <w:rPr>
                      <w:rFonts w:hint="default" w:ascii="Times New Roman" w:hAnsi="Times New Roman" w:cs="Times New Roman"/>
                      <w:color w:val="auto"/>
                      <w:sz w:val="21"/>
                      <w:szCs w:val="21"/>
                      <w:highlight w:val="none"/>
                    </w:rPr>
                    <w:t>立方米。各地有更严格管控要求的从严执行</w:t>
                  </w:r>
                </w:p>
              </w:tc>
              <w:tc>
                <w:tcPr>
                  <w:tcW w:w="1275" w:type="pct"/>
                  <w:tcBorders>
                    <w:tl2br w:val="nil"/>
                    <w:tr2bl w:val="nil"/>
                  </w:tcBorders>
                  <w:noWrap w:val="0"/>
                  <w:vAlign w:val="center"/>
                </w:tcPr>
                <w:p w14:paraId="739C6238">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both"/>
                    <w:textAlignment w:val="auto"/>
                    <w:rPr>
                      <w:rFonts w:hint="eastAsia" w:ascii="Times New Roman" w:hAnsi="Times New Roman" w:eastAsia="宋体" w:cs="Times New Roman"/>
                      <w:color w:val="auto"/>
                      <w:sz w:val="21"/>
                      <w:szCs w:val="21"/>
                      <w:highlight w:val="none"/>
                      <w:lang w:val="en-US" w:eastAsia="zh-CN"/>
                    </w:rPr>
                  </w:pPr>
                  <w:r>
                    <w:rPr>
                      <w:rFonts w:hint="default"/>
                      <w:color w:val="auto"/>
                      <w:szCs w:val="21"/>
                    </w:rPr>
                    <w:t>本项目</w:t>
                  </w:r>
                  <w:r>
                    <w:rPr>
                      <w:rFonts w:hint="eastAsia"/>
                      <w:color w:val="auto"/>
                      <w:szCs w:val="21"/>
                      <w:lang w:val="en-US" w:eastAsia="zh-CN"/>
                    </w:rPr>
                    <w:t>回转窑</w:t>
                  </w:r>
                  <w:r>
                    <w:rPr>
                      <w:rFonts w:hint="default"/>
                      <w:color w:val="auto"/>
                      <w:szCs w:val="21"/>
                    </w:rPr>
                    <w:t>燃用天然气，设置</w:t>
                  </w:r>
                  <w:r>
                    <w:rPr>
                      <w:rFonts w:hint="eastAsia"/>
                      <w:color w:val="auto"/>
                      <w:szCs w:val="21"/>
                      <w:lang w:val="en-US" w:eastAsia="zh-CN"/>
                    </w:rPr>
                    <w:t>低氮燃烧器</w:t>
                  </w:r>
                  <w:r>
                    <w:rPr>
                      <w:rFonts w:hint="default"/>
                      <w:color w:val="auto"/>
                      <w:szCs w:val="21"/>
                    </w:rPr>
                    <w:t>，</w:t>
                  </w:r>
                  <w:r>
                    <w:rPr>
                      <w:rFonts w:hint="eastAsia"/>
                      <w:color w:val="auto"/>
                      <w:szCs w:val="21"/>
                      <w:lang w:val="en-US" w:eastAsia="zh-CN"/>
                    </w:rPr>
                    <w:t>回转窑</w:t>
                  </w:r>
                  <w:r>
                    <w:rPr>
                      <w:rFonts w:hint="default"/>
                      <w:color w:val="auto"/>
                      <w:szCs w:val="21"/>
                      <w:lang w:val="zh-CN"/>
                    </w:rPr>
                    <w:t>污染物</w:t>
                  </w:r>
                  <w:r>
                    <w:rPr>
                      <w:rFonts w:hint="eastAsia"/>
                      <w:color w:val="auto"/>
                      <w:szCs w:val="21"/>
                      <w:lang w:val="en-US" w:eastAsia="zh-CN"/>
                    </w:rPr>
                    <w:t>颗粒物、SO</w:t>
                  </w:r>
                  <w:r>
                    <w:rPr>
                      <w:rFonts w:hint="eastAsia"/>
                      <w:color w:val="auto"/>
                      <w:szCs w:val="21"/>
                      <w:vertAlign w:val="subscript"/>
                      <w:lang w:val="en-US" w:eastAsia="zh-CN"/>
                    </w:rPr>
                    <w:t>2</w:t>
                  </w:r>
                  <w:r>
                    <w:rPr>
                      <w:rFonts w:hint="eastAsia"/>
                      <w:color w:val="auto"/>
                      <w:szCs w:val="21"/>
                      <w:lang w:val="en-US" w:eastAsia="zh-CN"/>
                    </w:rPr>
                    <w:t>、NOx</w:t>
                  </w:r>
                  <w:r>
                    <w:rPr>
                      <w:rFonts w:hint="default"/>
                      <w:color w:val="auto"/>
                      <w:szCs w:val="21"/>
                      <w:lang w:val="zh-CN"/>
                    </w:rPr>
                    <w:t>有组织排放浓度参照执行《长治市人民政府办公室关于印发长治市大气和水污染物排放管控要求的通知》（长政办规〔2023〕1号）</w:t>
                  </w:r>
                  <w:r>
                    <w:rPr>
                      <w:rFonts w:hint="eastAsia"/>
                      <w:color w:val="auto"/>
                      <w:szCs w:val="21"/>
                      <w:lang w:val="en-US" w:eastAsia="zh-CN"/>
                    </w:rPr>
                    <w:t>钢铁</w:t>
                  </w:r>
                  <w:r>
                    <w:rPr>
                      <w:rFonts w:hint="default"/>
                      <w:color w:val="auto"/>
                      <w:szCs w:val="21"/>
                      <w:lang w:val="zh-CN"/>
                    </w:rPr>
                    <w:t>行业管控要求</w:t>
                  </w:r>
                  <w:r>
                    <w:rPr>
                      <w:rFonts w:hint="eastAsia"/>
                      <w:color w:val="auto"/>
                      <w:szCs w:val="21"/>
                      <w:lang w:val="en-US" w:eastAsia="zh-CN"/>
                    </w:rPr>
                    <w:t>加热炉</w:t>
                  </w:r>
                  <w:r>
                    <w:rPr>
                      <w:rFonts w:hint="default"/>
                      <w:color w:val="auto"/>
                      <w:szCs w:val="21"/>
                      <w:lang w:val="zh-CN"/>
                    </w:rPr>
                    <w:t>限值要求</w:t>
                  </w:r>
                </w:p>
              </w:tc>
              <w:tc>
                <w:tcPr>
                  <w:tcW w:w="510" w:type="pct"/>
                  <w:tcBorders>
                    <w:tl2br w:val="nil"/>
                    <w:tr2bl w:val="nil"/>
                  </w:tcBorders>
                  <w:noWrap w:val="0"/>
                  <w:vAlign w:val="center"/>
                </w:tcPr>
                <w:p w14:paraId="6153AB48">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DF4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7" w:type="pct"/>
                  <w:tcBorders>
                    <w:tl2br w:val="nil"/>
                    <w:tr2bl w:val="nil"/>
                  </w:tcBorders>
                  <w:noWrap w:val="0"/>
                  <w:vAlign w:val="center"/>
                </w:tcPr>
                <w:p w14:paraId="03DA6505">
                  <w:pPr>
                    <w:pStyle w:val="105"/>
                    <w:keepNext w:val="0"/>
                    <w:keepLines w:val="0"/>
                    <w:pageBreakBefore w:val="0"/>
                    <w:widowControl w:val="0"/>
                    <w:suppressLineNumbers w:val="0"/>
                    <w:kinsoku/>
                    <w:wordWrap/>
                    <w:overflowPunct/>
                    <w:topLinePunct w:val="0"/>
                    <w:bidi w:val="0"/>
                    <w:adjustRightInd/>
                    <w:snapToGrid/>
                    <w:spacing w:before="0" w:beforeLines="0" w:beforeAutospacing="0" w:after="0" w:afterLines="0" w:afterAutospacing="0" w:line="240" w:lineRule="auto"/>
                    <w:ind w:left="0" w:leftChars="0" w:right="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全面加强颗粒物无组织排放管理</w:t>
                  </w:r>
                </w:p>
              </w:tc>
              <w:tc>
                <w:tcPr>
                  <w:tcW w:w="2766" w:type="pct"/>
                  <w:tcBorders>
                    <w:tl2br w:val="nil"/>
                    <w:tr2bl w:val="nil"/>
                  </w:tcBorders>
                  <w:noWrap w:val="0"/>
                  <w:vAlign w:val="center"/>
                </w:tcPr>
                <w:p w14:paraId="6ADF66A1">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both"/>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在保障生产安全的前提下，工业炉窑生产工艺过程及相关物料储存、输送等无组织排放环节采取密闭、封闭等有效措施，有效提高废气收集率，产尘点及车间不得有可见烟粉尘外逸。生产工艺产尘点（装置）应采取密闭、封闭或设置集气罩等措施。煤粉、粉煤灰、石灰、收尘灰、脱硫灰等粉状物料应密闭或封闭储存，采用密闭皮带、封闭通廊、管状带式输送机或密闭车厢、真空罐车、气力输送等方式输送。粒状、块状物料应采用入棚入仓或建设防风抑尘网等方式进行储存，粒状物料应采用密闭、封闭等方式输送。物料输送过程中产尘点应采取有效抑尘措施</w:t>
                  </w:r>
                </w:p>
              </w:tc>
              <w:tc>
                <w:tcPr>
                  <w:tcW w:w="1275" w:type="pct"/>
                  <w:tcBorders>
                    <w:tl2br w:val="nil"/>
                    <w:tr2bl w:val="nil"/>
                  </w:tcBorders>
                  <w:noWrap w:val="0"/>
                  <w:vAlign w:val="center"/>
                </w:tcPr>
                <w:p w14:paraId="277E83DF">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Times New Roman" w:cs="Times New Roman"/>
                      <w:color w:val="auto"/>
                      <w:sz w:val="21"/>
                      <w:szCs w:val="21"/>
                      <w:highlight w:val="none"/>
                    </w:rPr>
                  </w:pPr>
                  <w:r>
                    <w:rPr>
                      <w:rFonts w:hint="default"/>
                      <w:color w:val="auto"/>
                      <w:szCs w:val="21"/>
                    </w:rPr>
                    <w:t>本项目原料为</w:t>
                  </w:r>
                  <w:r>
                    <w:rPr>
                      <w:rFonts w:hint="eastAsia"/>
                      <w:color w:val="auto"/>
                      <w:szCs w:val="21"/>
                      <w:lang w:eastAsia="zh-CN"/>
                    </w:rPr>
                    <w:t>废钢铁碎料</w:t>
                  </w:r>
                  <w:r>
                    <w:rPr>
                      <w:rFonts w:hint="default"/>
                      <w:color w:val="auto"/>
                      <w:szCs w:val="21"/>
                    </w:rPr>
                    <w:t>，储存过程不易起尘，且储存于全封闭原料库内</w:t>
                  </w:r>
                </w:p>
              </w:tc>
              <w:tc>
                <w:tcPr>
                  <w:tcW w:w="510" w:type="pct"/>
                  <w:tcBorders>
                    <w:tl2br w:val="nil"/>
                    <w:tr2bl w:val="nil"/>
                  </w:tcBorders>
                  <w:noWrap w:val="0"/>
                  <w:vAlign w:val="center"/>
                </w:tcPr>
                <w:p w14:paraId="2CD5EC22">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FF5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7" w:type="pct"/>
                  <w:tcBorders>
                    <w:tl2br w:val="nil"/>
                    <w:tr2bl w:val="nil"/>
                  </w:tcBorders>
                  <w:noWrap w:val="0"/>
                  <w:vAlign w:val="center"/>
                </w:tcPr>
                <w:p w14:paraId="50C74BBD">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hAnsi="Times New Roman" w:eastAsia="Times New Roman" w:cs="Times New Roman"/>
                      <w:color w:val="auto"/>
                      <w:sz w:val="21"/>
                      <w:szCs w:val="21"/>
                      <w:highlight w:val="none"/>
                    </w:rPr>
                  </w:pPr>
                  <w:r>
                    <w:rPr>
                      <w:rFonts w:hint="default"/>
                      <w:color w:val="auto"/>
                      <w:szCs w:val="21"/>
                    </w:rPr>
                    <w:t>建立健全监测监控体系</w:t>
                  </w:r>
                </w:p>
              </w:tc>
              <w:tc>
                <w:tcPr>
                  <w:tcW w:w="2766" w:type="pct"/>
                  <w:tcBorders>
                    <w:tl2br w:val="nil"/>
                    <w:tr2bl w:val="nil"/>
                  </w:tcBorders>
                  <w:noWrap w:val="0"/>
                  <w:vAlign w:val="center"/>
                </w:tcPr>
                <w:p w14:paraId="2BB0F08A">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eastAsia="Times New Roman" w:cs="Times New Roman"/>
                      <w:color w:val="auto"/>
                      <w:sz w:val="21"/>
                      <w:szCs w:val="21"/>
                      <w:highlight w:val="none"/>
                    </w:rPr>
                  </w:pPr>
                  <w:r>
                    <w:rPr>
                      <w:rFonts w:hint="default"/>
                      <w:color w:val="auto"/>
                      <w:szCs w:val="21"/>
                    </w:rPr>
                    <w:t>排气口高度超过45米的高架源，钢铁、焦化、水泥、平板玻璃、陶瓷、氮肥、有色金属冶炼、再生有色金属等行业，严格按照排污许可管理规定安装和运行自动监控设施。加快其他行业工业炉窑大气污染物排放自动监控设施建设，冲天炉、玻璃熔窑、以煤和煤矸石为燃料的砖瓦烧结窑、耐火材料焙烧窑（电窑除外）、碳素焙（锻）烧炉（窑）、石灰窑、铬盐焙烧窑、磷化工焙烧窑、铁合金矿热炉和精炼炉等，应纳入重点排污单位名录，安装自动监控设施。具备条件的企业，应通过分布式控制系统（DCS）等，自动连续记录工业炉窑环保设施运行及相关生产过程主要参数。重点行业厂区布设空气质量监测微站、安装高清视屏监控设施。重点运输单位建设门禁系统和视屏监控系统，监控运输车辆近处情况，门禁系统、CEMS、DCS等数据保存一年以上，视屏监控数据保存三个月以上。强化监测数据质量控制，自动架空设施应与生态环境主管部门联网，数据传输有效率达到90%</w:t>
                  </w:r>
                </w:p>
              </w:tc>
              <w:tc>
                <w:tcPr>
                  <w:tcW w:w="1275" w:type="pct"/>
                  <w:tcBorders>
                    <w:tl2br w:val="nil"/>
                    <w:tr2bl w:val="nil"/>
                  </w:tcBorders>
                  <w:noWrap w:val="0"/>
                  <w:vAlign w:val="center"/>
                </w:tcPr>
                <w:p w14:paraId="5E799E90">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highlight w:val="none"/>
                      <w:lang w:eastAsia="zh-CN"/>
                    </w:rPr>
                  </w:pPr>
                  <w:r>
                    <w:rPr>
                      <w:rFonts w:hint="default"/>
                      <w:color w:val="auto"/>
                      <w:szCs w:val="21"/>
                    </w:rPr>
                    <w:t>不属于重点排污单位</w:t>
                  </w:r>
                </w:p>
              </w:tc>
              <w:tc>
                <w:tcPr>
                  <w:tcW w:w="510" w:type="pct"/>
                  <w:tcBorders>
                    <w:tl2br w:val="nil"/>
                    <w:tr2bl w:val="nil"/>
                  </w:tcBorders>
                  <w:noWrap w:val="0"/>
                  <w:vAlign w:val="center"/>
                </w:tcPr>
                <w:p w14:paraId="111CBF24">
                  <w:pPr>
                    <w:pStyle w:val="15"/>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14:paraId="07927B38">
            <w:pPr>
              <w:keepNext w:val="0"/>
              <w:keepLines w:val="0"/>
              <w:suppressLineNumbers w:val="0"/>
              <w:spacing w:before="0" w:beforeAutospacing="0" w:after="0" w:afterAutospacing="0"/>
              <w:ind w:left="0" w:right="0"/>
              <w:rPr>
                <w:rFonts w:hint="default"/>
                <w:b w:val="0"/>
                <w:bCs w:val="0"/>
                <w:color w:val="auto"/>
                <w:lang w:val="en-US" w:eastAsia="zh-CN"/>
              </w:rPr>
            </w:pPr>
          </w:p>
          <w:p w14:paraId="3E5FCB83">
            <w:pPr>
              <w:keepNext w:val="0"/>
              <w:keepLines w:val="0"/>
              <w:suppressLineNumbers w:val="0"/>
              <w:spacing w:before="0" w:beforeAutospacing="0" w:after="0" w:afterAutospacing="0"/>
              <w:ind w:left="0" w:right="0"/>
              <w:rPr>
                <w:rFonts w:hint="default"/>
                <w:b w:val="0"/>
                <w:bCs w:val="0"/>
                <w:color w:val="auto"/>
                <w:lang w:val="en-US" w:eastAsia="zh-CN"/>
              </w:rPr>
            </w:pPr>
          </w:p>
          <w:p w14:paraId="504CF12E">
            <w:pPr>
              <w:keepNext w:val="0"/>
              <w:keepLines w:val="0"/>
              <w:suppressLineNumbers w:val="0"/>
              <w:spacing w:before="0" w:beforeAutospacing="0" w:after="0" w:afterAutospacing="0"/>
              <w:ind w:left="0" w:right="0"/>
              <w:rPr>
                <w:rFonts w:hint="default"/>
                <w:b w:val="0"/>
                <w:bCs w:val="0"/>
                <w:color w:val="auto"/>
                <w:lang w:val="en-US" w:eastAsia="zh-CN"/>
              </w:rPr>
            </w:pPr>
          </w:p>
          <w:p w14:paraId="77000A9C">
            <w:pPr>
              <w:keepNext w:val="0"/>
              <w:keepLines w:val="0"/>
              <w:suppressLineNumbers w:val="0"/>
              <w:spacing w:before="0" w:beforeAutospacing="0" w:after="0" w:afterAutospacing="0"/>
              <w:ind w:left="0" w:right="0"/>
              <w:rPr>
                <w:rFonts w:hint="default"/>
                <w:b w:val="0"/>
                <w:bCs w:val="0"/>
                <w:color w:val="auto"/>
                <w:lang w:val="en-US" w:eastAsia="zh-CN"/>
              </w:rPr>
            </w:pPr>
          </w:p>
          <w:p w14:paraId="2ADAA377">
            <w:pPr>
              <w:keepNext w:val="0"/>
              <w:keepLines w:val="0"/>
              <w:suppressLineNumbers w:val="0"/>
              <w:spacing w:before="0" w:beforeAutospacing="0" w:after="0" w:afterAutospacing="0"/>
              <w:ind w:left="0" w:right="0"/>
              <w:rPr>
                <w:rFonts w:hint="default"/>
                <w:b w:val="0"/>
                <w:bCs w:val="0"/>
                <w:color w:val="auto"/>
                <w:lang w:val="en-US" w:eastAsia="zh-CN"/>
              </w:rPr>
            </w:pPr>
          </w:p>
          <w:p w14:paraId="5B449C48">
            <w:pPr>
              <w:keepNext w:val="0"/>
              <w:keepLines w:val="0"/>
              <w:suppressLineNumbers w:val="0"/>
              <w:spacing w:before="0" w:beforeAutospacing="0" w:after="0" w:afterAutospacing="0"/>
              <w:ind w:left="0" w:right="0"/>
              <w:rPr>
                <w:rFonts w:hint="default"/>
                <w:b w:val="0"/>
                <w:bCs w:val="0"/>
                <w:color w:val="auto"/>
                <w:lang w:val="en-US" w:eastAsia="zh-CN"/>
              </w:rPr>
            </w:pPr>
          </w:p>
          <w:p w14:paraId="2D9003A3">
            <w:pPr>
              <w:keepNext w:val="0"/>
              <w:keepLines w:val="0"/>
              <w:suppressLineNumbers w:val="0"/>
              <w:spacing w:before="0" w:beforeAutospacing="0" w:after="0" w:afterAutospacing="0"/>
              <w:ind w:left="0" w:right="0"/>
              <w:rPr>
                <w:rFonts w:hint="default"/>
                <w:b w:val="0"/>
                <w:bCs w:val="0"/>
                <w:color w:val="auto"/>
                <w:lang w:val="en-US" w:eastAsia="zh-CN"/>
              </w:rPr>
            </w:pPr>
          </w:p>
          <w:p w14:paraId="774314DC">
            <w:pPr>
              <w:keepNext w:val="0"/>
              <w:keepLines w:val="0"/>
              <w:suppressLineNumbers w:val="0"/>
              <w:spacing w:before="0" w:beforeAutospacing="0" w:after="0" w:afterAutospacing="0"/>
              <w:ind w:left="0" w:right="0"/>
              <w:rPr>
                <w:rFonts w:hint="default"/>
                <w:b w:val="0"/>
                <w:bCs w:val="0"/>
                <w:color w:val="auto"/>
                <w:lang w:val="en-US" w:eastAsia="zh-CN"/>
              </w:rPr>
            </w:pPr>
          </w:p>
          <w:p w14:paraId="1157CC59">
            <w:pPr>
              <w:keepNext w:val="0"/>
              <w:keepLines w:val="0"/>
              <w:suppressLineNumbers w:val="0"/>
              <w:spacing w:before="0" w:beforeAutospacing="0" w:after="0" w:afterAutospacing="0"/>
              <w:ind w:left="0" w:right="0"/>
              <w:rPr>
                <w:rFonts w:hint="default"/>
                <w:b w:val="0"/>
                <w:bCs w:val="0"/>
                <w:color w:val="auto"/>
                <w:lang w:val="en-US" w:eastAsia="zh-CN"/>
              </w:rPr>
            </w:pPr>
          </w:p>
          <w:p w14:paraId="68B3E654">
            <w:pPr>
              <w:keepNext w:val="0"/>
              <w:keepLines w:val="0"/>
              <w:suppressLineNumbers w:val="0"/>
              <w:spacing w:before="0" w:beforeAutospacing="0" w:after="0" w:afterAutospacing="0"/>
              <w:ind w:left="0" w:right="0"/>
              <w:rPr>
                <w:rFonts w:hint="default"/>
                <w:b w:val="0"/>
                <w:bCs w:val="0"/>
                <w:color w:val="auto"/>
                <w:lang w:val="en-US" w:eastAsia="zh-CN"/>
              </w:rPr>
            </w:pPr>
          </w:p>
        </w:tc>
      </w:tr>
    </w:tbl>
    <w:p w14:paraId="38CA6AE1">
      <w:pPr>
        <w:rPr>
          <w:color w:val="FF0000"/>
          <w:highlight w:val="none"/>
        </w:rPr>
        <w:sectPr>
          <w:headerReference r:id="rId4" w:type="default"/>
          <w:footerReference r:id="rId5" w:type="default"/>
          <w:pgSz w:w="11906" w:h="16838"/>
          <w:pgMar w:top="1440" w:right="1080" w:bottom="1440" w:left="1080" w:header="851" w:footer="850" w:gutter="0"/>
          <w:pgBorders>
            <w:top w:val="none" w:sz="0" w:space="0"/>
            <w:left w:val="none" w:sz="0" w:space="0"/>
            <w:bottom w:val="none" w:sz="0" w:space="0"/>
            <w:right w:val="none" w:sz="0" w:space="0"/>
          </w:pgBorders>
          <w:pgNumType w:fmt="decimal" w:start="1"/>
          <w:cols w:space="720" w:num="1"/>
          <w:docGrid w:linePitch="312" w:charSpace="0"/>
        </w:sectPr>
      </w:pPr>
    </w:p>
    <w:p w14:paraId="4D2546A2">
      <w:pPr>
        <w:pStyle w:val="27"/>
        <w:jc w:val="center"/>
        <w:outlineLvl w:val="0"/>
        <w:rPr>
          <w:rFonts w:hint="default" w:ascii="Times New Roman" w:hAnsi="Times New Roman" w:eastAsia="黑体" w:cs="Times New Roman"/>
          <w:snapToGrid w:val="0"/>
          <w:color w:val="FF0000"/>
          <w:sz w:val="30"/>
          <w:szCs w:val="30"/>
          <w:highlight w:val="none"/>
        </w:rPr>
      </w:pPr>
      <w:bookmarkStart w:id="6" w:name="_Toc21071"/>
      <w:r>
        <w:rPr>
          <w:rFonts w:hint="default" w:ascii="Times New Roman" w:hAnsi="Times New Roman" w:eastAsia="黑体" w:cs="Times New Roman"/>
          <w:snapToGrid w:val="0"/>
          <w:color w:val="auto"/>
          <w:sz w:val="30"/>
          <w:szCs w:val="30"/>
          <w:highlight w:val="none"/>
        </w:rPr>
        <w:t>二、建设项目工程分析</w:t>
      </w:r>
      <w:bookmarkEnd w:id="6"/>
    </w:p>
    <w:tbl>
      <w:tblPr>
        <w:tblStyle w:val="31"/>
        <w:tblW w:w="49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7"/>
        <w:gridCol w:w="9282"/>
      </w:tblGrid>
      <w:tr w14:paraId="47B6BF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326" w:type="pct"/>
            <w:vAlign w:val="center"/>
          </w:tcPr>
          <w:p w14:paraId="2FC525E8">
            <w:pPr>
              <w:pStyle w:val="27"/>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pacing w:val="0"/>
                <w:sz w:val="24"/>
                <w:szCs w:val="24"/>
                <w:highlight w:val="none"/>
              </w:rPr>
            </w:pPr>
            <w:r>
              <w:rPr>
                <w:rFonts w:hint="default" w:ascii="Times New Roman" w:hAnsi="Times New Roman" w:cs="Times New Roman"/>
                <w:b w:val="0"/>
                <w:bCs w:val="0"/>
                <w:color w:val="auto"/>
                <w:spacing w:val="0"/>
                <w:sz w:val="21"/>
                <w:szCs w:val="21"/>
                <w:highlight w:val="none"/>
              </w:rPr>
              <w:t>建设内容</w:t>
            </w:r>
          </w:p>
        </w:tc>
        <w:tc>
          <w:tcPr>
            <w:tcW w:w="4673" w:type="pct"/>
          </w:tcPr>
          <w:p w14:paraId="0FC481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cs="Times New Roman"/>
                <w:b/>
                <w:bCs w:val="0"/>
                <w:color w:val="auto"/>
                <w:spacing w:val="0"/>
                <w:sz w:val="24"/>
                <w:szCs w:val="24"/>
                <w:highlight w:val="none"/>
                <w:lang w:val="en-US" w:eastAsia="zh-CN"/>
              </w:rPr>
            </w:pPr>
            <w:r>
              <w:rPr>
                <w:rFonts w:hint="eastAsia" w:cs="Times New Roman"/>
                <w:b/>
                <w:bCs w:val="0"/>
                <w:color w:val="auto"/>
                <w:spacing w:val="0"/>
                <w:sz w:val="24"/>
                <w:szCs w:val="24"/>
                <w:highlight w:val="none"/>
                <w:lang w:val="en-US" w:eastAsia="zh-CN"/>
              </w:rPr>
              <w:t>1、</w:t>
            </w:r>
            <w:r>
              <w:rPr>
                <w:rFonts w:hint="default" w:cs="Times New Roman"/>
                <w:b/>
                <w:bCs w:val="0"/>
                <w:color w:val="auto"/>
                <w:spacing w:val="0"/>
                <w:sz w:val="24"/>
                <w:szCs w:val="24"/>
                <w:highlight w:val="none"/>
                <w:lang w:val="en-US" w:eastAsia="zh-CN"/>
              </w:rPr>
              <w:t>工程组成</w:t>
            </w:r>
          </w:p>
          <w:p w14:paraId="54A2FFB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根据现场踏勘，现有厂区内</w:t>
            </w:r>
            <w:r>
              <w:rPr>
                <w:rFonts w:hint="eastAsia" w:eastAsia="宋体" w:cs="Times New Roman"/>
                <w:color w:val="auto"/>
                <w:sz w:val="24"/>
                <w:szCs w:val="24"/>
                <w:highlight w:val="none"/>
                <w:lang w:val="en-US" w:eastAsia="zh-CN"/>
              </w:rPr>
              <w:t>山西瑞赛格废弃资源综合利用有限公司建设有</w:t>
            </w:r>
            <w:r>
              <w:rPr>
                <w:rFonts w:hint="eastAsia" w:cs="Times New Roman"/>
                <w:color w:val="auto"/>
                <w:spacing w:val="0"/>
                <w:sz w:val="24"/>
                <w:szCs w:val="20"/>
                <w:highlight w:val="none"/>
                <w:lang w:val="en-US" w:eastAsia="zh-CN"/>
              </w:rPr>
              <w:t>3个项目，分别为“</w:t>
            </w:r>
            <w:r>
              <w:rPr>
                <w:rFonts w:hint="eastAsia" w:eastAsia="宋体" w:cs="Times New Roman"/>
                <w:color w:val="auto"/>
                <w:sz w:val="24"/>
                <w:szCs w:val="24"/>
                <w:highlight w:val="none"/>
                <w:lang w:val="en-US" w:eastAsia="zh-CN"/>
              </w:rPr>
              <w:t>山西瑞赛格废弃资源综合利用有限公司</w:t>
            </w:r>
            <w:r>
              <w:rPr>
                <w:rFonts w:hint="eastAsia" w:cs="Times New Roman"/>
                <w:color w:val="auto"/>
                <w:sz w:val="24"/>
                <w:szCs w:val="24"/>
                <w:highlight w:val="none"/>
                <w:lang w:val="en-US" w:eastAsia="zh-CN"/>
              </w:rPr>
              <w:t>建设再生资源循环利用园区（基地）项目（一期）</w:t>
            </w:r>
            <w:r>
              <w:rPr>
                <w:rFonts w:hint="eastAsia" w:cs="Times New Roman"/>
                <w:color w:val="auto"/>
                <w:spacing w:val="0"/>
                <w:sz w:val="24"/>
                <w:szCs w:val="20"/>
                <w:highlight w:val="none"/>
                <w:lang w:val="en-US" w:eastAsia="zh-CN"/>
              </w:rPr>
              <w:t>”、“山西瑞赛格废弃资源综合利用有限公司</w:t>
            </w:r>
            <w:bookmarkStart w:id="7" w:name="OLE_LINK5"/>
            <w:bookmarkStart w:id="8" w:name="OLE_LINK4"/>
            <w:r>
              <w:rPr>
                <w:rFonts w:hint="eastAsia" w:cs="Times New Roman"/>
                <w:color w:val="auto"/>
                <w:spacing w:val="0"/>
                <w:sz w:val="24"/>
                <w:szCs w:val="20"/>
                <w:highlight w:val="none"/>
                <w:lang w:val="en-US" w:eastAsia="zh-CN"/>
              </w:rPr>
              <w:t>报废汽车回收拆解项目</w:t>
            </w:r>
            <w:bookmarkEnd w:id="7"/>
            <w:bookmarkEnd w:id="8"/>
            <w:r>
              <w:rPr>
                <w:rFonts w:hint="eastAsia" w:cs="Times New Roman"/>
                <w:color w:val="auto"/>
                <w:spacing w:val="0"/>
                <w:sz w:val="24"/>
                <w:szCs w:val="20"/>
                <w:highlight w:val="none"/>
                <w:lang w:val="en-US" w:eastAsia="zh-CN"/>
              </w:rPr>
              <w:t>”和“山西瑞赛格废弃资源综合利用有限公司新能源汽车回收拆解项目”，均取得了合法手续。</w:t>
            </w:r>
          </w:p>
          <w:p w14:paraId="08002C77">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（1）现有工程概述</w:t>
            </w:r>
          </w:p>
          <w:p w14:paraId="27BC28B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宋体"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①</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p>
          <w:p w14:paraId="4DA6AF79">
            <w:pPr>
              <w:keepNext w:val="0"/>
              <w:keepLines w:val="0"/>
              <w:suppressLineNumbers w:val="0"/>
              <w:spacing w:before="0" w:beforeAutospacing="0" w:after="0" w:afterAutospacing="0" w:line="480" w:lineRule="exact"/>
              <w:ind w:left="0" w:right="0" w:firstLine="480" w:firstLineChars="200"/>
              <w:rPr>
                <w:rFonts w:hint="eastAsia"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2017年8月，</w:t>
            </w:r>
            <w:r>
              <w:rPr>
                <w:rFonts w:hint="eastAsia" w:eastAsia="宋体" w:cs="Times New Roman"/>
                <w:color w:val="auto"/>
                <w:sz w:val="24"/>
                <w:szCs w:val="24"/>
                <w:highlight w:val="none"/>
                <w:lang w:val="en-US" w:eastAsia="zh-CN"/>
              </w:rPr>
              <w:t>山西瑞赛格废弃资源综合利用有限公司</w:t>
            </w:r>
            <w:r>
              <w:rPr>
                <w:rFonts w:hint="eastAsia" w:cs="Times New Roman"/>
                <w:color w:val="auto"/>
                <w:sz w:val="24"/>
                <w:szCs w:val="24"/>
                <w:highlight w:val="none"/>
                <w:lang w:val="en-US" w:eastAsia="zh-CN"/>
              </w:rPr>
              <w:t>委托山西清泽阳光环保科技有限公司编制完成了《</w:t>
            </w:r>
            <w:r>
              <w:rPr>
                <w:rFonts w:hint="eastAsia" w:eastAsia="宋体" w:cs="Times New Roman"/>
                <w:color w:val="auto"/>
                <w:sz w:val="24"/>
                <w:szCs w:val="24"/>
                <w:highlight w:val="none"/>
                <w:lang w:val="en-US" w:eastAsia="zh-CN"/>
              </w:rPr>
              <w:t>山西瑞赛格废弃资源综合利用有限公司</w:t>
            </w:r>
            <w:r>
              <w:rPr>
                <w:rFonts w:hint="eastAsia" w:cs="Times New Roman"/>
                <w:color w:val="auto"/>
                <w:sz w:val="24"/>
                <w:szCs w:val="24"/>
                <w:highlight w:val="none"/>
                <w:lang w:val="en-US" w:eastAsia="zh-CN"/>
              </w:rPr>
              <w:t>建设再生资源循环利用园区（基地）项目（一期）环境影响报告表》。</w:t>
            </w:r>
            <w:r>
              <w:rPr>
                <w:rFonts w:hint="eastAsia" w:cs="Times New Roman"/>
                <w:color w:val="auto"/>
                <w:sz w:val="24"/>
                <w:szCs w:val="22"/>
                <w:highlight w:val="none"/>
                <w:lang w:val="en-US" w:eastAsia="zh-CN"/>
              </w:rPr>
              <w:t>2017年8月30日，原屯留县环境保护局以“屯环函[2017]114号”</w:t>
            </w:r>
            <w:r>
              <w:rPr>
                <w:rFonts w:hint="eastAsia" w:ascii="Times New Roman" w:hAnsi="Times New Roman" w:eastAsia="宋体" w:cs="Times New Roman"/>
                <w:color w:val="auto"/>
                <w:sz w:val="24"/>
                <w:szCs w:val="22"/>
                <w:highlight w:val="none"/>
                <w:lang w:val="en-US" w:eastAsia="zh-CN"/>
              </w:rPr>
              <w:t>文出具了“关于山西瑞赛格废弃资源综合利用有限公司再生资源循环利用园区项目</w:t>
            </w:r>
            <w:r>
              <w:rPr>
                <w:rFonts w:hint="eastAsia"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一期工程</w:t>
            </w:r>
            <w:r>
              <w:rPr>
                <w:rFonts w:hint="eastAsia"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污染物排放总量控制指标的核定意见”</w:t>
            </w:r>
            <w:r>
              <w:rPr>
                <w:rFonts w:hint="eastAsia" w:cs="Times New Roman"/>
                <w:color w:val="auto"/>
                <w:sz w:val="24"/>
                <w:szCs w:val="22"/>
                <w:highlight w:val="none"/>
                <w:lang w:val="en-US" w:eastAsia="zh-CN"/>
              </w:rPr>
              <w:t>（见附件），粉尘</w:t>
            </w:r>
            <w:r>
              <w:rPr>
                <w:rFonts w:hint="eastAsia" w:ascii="Times New Roman" w:hAnsi="Times New Roman" w:eastAsia="宋体" w:cs="Times New Roman"/>
                <w:color w:val="auto"/>
                <w:sz w:val="24"/>
                <w:szCs w:val="22"/>
                <w:highlight w:val="none"/>
                <w:lang w:val="en-US" w:eastAsia="zh-CN"/>
              </w:rPr>
              <w:t>：</w:t>
            </w:r>
            <w:r>
              <w:rPr>
                <w:rFonts w:hint="eastAsia" w:cs="Times New Roman"/>
                <w:color w:val="auto"/>
                <w:sz w:val="24"/>
                <w:szCs w:val="22"/>
                <w:highlight w:val="none"/>
                <w:lang w:val="en-US" w:eastAsia="zh-CN"/>
              </w:rPr>
              <w:t>2.58</w:t>
            </w:r>
            <w:r>
              <w:rPr>
                <w:rFonts w:hint="eastAsia" w:ascii="Times New Roman" w:hAnsi="Times New Roman" w:eastAsia="宋体" w:cs="Times New Roman"/>
                <w:color w:val="auto"/>
                <w:sz w:val="24"/>
                <w:szCs w:val="22"/>
                <w:highlight w:val="none"/>
                <w:lang w:val="en-US" w:eastAsia="zh-CN"/>
              </w:rPr>
              <w:t>t/a。</w:t>
            </w:r>
            <w:r>
              <w:rPr>
                <w:rFonts w:hint="eastAsia" w:eastAsia="宋体" w:cs="Times New Roman"/>
                <w:color w:val="auto"/>
                <w:sz w:val="24"/>
                <w:szCs w:val="24"/>
                <w:highlight w:val="none"/>
                <w:lang w:val="en-US" w:eastAsia="zh-CN"/>
              </w:rPr>
              <w:t>2017年10月9日，原屯留县环境保护局以“屯环函[2017]128号”文予以环评批复。</w:t>
            </w:r>
          </w:p>
          <w:p w14:paraId="0BBA2BD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宋体" w:cs="Times New Roman"/>
                <w:color w:val="auto"/>
                <w:sz w:val="24"/>
                <w:szCs w:val="24"/>
                <w:highlight w:val="none"/>
                <w:lang w:val="en-US" w:eastAsia="zh-CN"/>
              </w:rPr>
            </w:pPr>
            <w:r>
              <w:rPr>
                <w:rFonts w:hint="eastAsia" w:eastAsia="宋体" w:cs="Times New Roman"/>
                <w:color w:val="auto"/>
                <w:sz w:val="24"/>
                <w:szCs w:val="24"/>
                <w:highlight w:val="none"/>
                <w:lang w:val="en-US" w:eastAsia="zh-CN"/>
              </w:rPr>
              <w:t>2018年3月28日，山西瑞赛格废弃资源综合利用有限公司组织召开并通过了“山西瑞赛格废弃资源综合利用有限公司建设再生资源循环利用园区基地项目（一期）”竣工环境保护验收会。</w:t>
            </w:r>
          </w:p>
          <w:p w14:paraId="4C5007F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②报废汽车回收拆解项目</w:t>
            </w:r>
          </w:p>
          <w:p w14:paraId="0E6569C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2018年11月，</w:t>
            </w:r>
            <w:r>
              <w:rPr>
                <w:rFonts w:hint="eastAsia" w:eastAsia="宋体" w:cs="Times New Roman"/>
                <w:color w:val="auto"/>
                <w:sz w:val="24"/>
                <w:szCs w:val="24"/>
                <w:highlight w:val="none"/>
                <w:lang w:val="en-US" w:eastAsia="zh-CN"/>
              </w:rPr>
              <w:t>山西瑞赛格废弃资源综合利用有限公司</w:t>
            </w:r>
            <w:r>
              <w:rPr>
                <w:rFonts w:hint="eastAsia" w:cs="Times New Roman"/>
                <w:color w:val="auto"/>
                <w:sz w:val="24"/>
                <w:szCs w:val="24"/>
                <w:highlight w:val="none"/>
                <w:lang w:val="en-US" w:eastAsia="zh-CN"/>
              </w:rPr>
              <w:t>委托山西清泽阳光环保科技有限公司编制完成了《</w:t>
            </w:r>
            <w:r>
              <w:rPr>
                <w:rFonts w:hint="eastAsia" w:cs="Times New Roman"/>
                <w:color w:val="auto"/>
                <w:spacing w:val="0"/>
                <w:sz w:val="24"/>
                <w:szCs w:val="20"/>
                <w:highlight w:val="none"/>
                <w:lang w:val="en-US" w:eastAsia="zh-CN"/>
              </w:rPr>
              <w:t>山西瑞赛格废弃资源综合利用有限公司报废汽车回收拆解项目环境影响报告书</w:t>
            </w:r>
            <w:r>
              <w:rPr>
                <w:rFonts w:hint="eastAsia" w:cs="Times New Roman"/>
                <w:color w:val="auto"/>
                <w:sz w:val="24"/>
                <w:szCs w:val="24"/>
                <w:highlight w:val="none"/>
                <w:lang w:val="en-US" w:eastAsia="zh-CN"/>
              </w:rPr>
              <w:t>》。2018年12月20日，原长治市屯留区环境保护局以“屯环函(2018]134号”</w:t>
            </w:r>
            <w:r>
              <w:rPr>
                <w:rFonts w:hint="eastAsia" w:eastAsia="宋体" w:cs="Times New Roman"/>
                <w:color w:val="auto"/>
                <w:sz w:val="24"/>
                <w:szCs w:val="24"/>
                <w:highlight w:val="none"/>
                <w:lang w:val="en-US" w:eastAsia="zh-CN"/>
              </w:rPr>
              <w:t>文予以环评批复。</w:t>
            </w:r>
          </w:p>
          <w:p w14:paraId="3A88F6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Cs/>
                <w:color w:val="auto"/>
                <w:sz w:val="24"/>
                <w:highlight w:val="none"/>
              </w:rPr>
            </w:pPr>
            <w:r>
              <w:rPr>
                <w:rFonts w:hint="default"/>
                <w:bCs/>
                <w:color w:val="auto"/>
                <w:sz w:val="24"/>
                <w:highlight w:val="none"/>
              </w:rPr>
              <w:t>该项目2019年12月建成后，于2019年12月4日取得了排污许可证，排污许可证编号为91140424MAOHEAD68L001U，并于2022年10月18日换发了新的排污许可证。2020年1月20日对该项目进行了竣工环境保护验收。</w:t>
            </w:r>
          </w:p>
          <w:p w14:paraId="3663B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bCs/>
                <w:color w:val="auto"/>
                <w:sz w:val="24"/>
                <w:highlight w:val="none"/>
                <w:lang w:val="en-US" w:eastAsia="zh-CN"/>
              </w:rPr>
            </w:pPr>
            <w:r>
              <w:rPr>
                <w:rFonts w:hint="eastAsia"/>
                <w:bCs/>
                <w:color w:val="auto"/>
                <w:sz w:val="24"/>
                <w:highlight w:val="none"/>
                <w:lang w:val="en-US" w:eastAsia="zh-CN"/>
              </w:rPr>
              <w:t>③新能源汽车回收拆解项目</w:t>
            </w:r>
          </w:p>
          <w:p w14:paraId="53740F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eastAsia="宋体" w:cs="Times New Roman"/>
                <w:color w:val="auto"/>
                <w:sz w:val="24"/>
                <w:szCs w:val="24"/>
                <w:highlight w:val="none"/>
                <w:lang w:val="en-US" w:eastAsia="zh-CN"/>
              </w:rPr>
            </w:pPr>
            <w:r>
              <w:rPr>
                <w:rFonts w:hint="eastAsia"/>
                <w:bCs/>
                <w:color w:val="auto"/>
                <w:sz w:val="24"/>
                <w:highlight w:val="none"/>
                <w:lang w:val="en-US" w:eastAsia="zh-CN"/>
              </w:rPr>
              <w:t>2024年7月，</w:t>
            </w:r>
            <w:r>
              <w:rPr>
                <w:rFonts w:hint="eastAsia" w:eastAsia="宋体" w:cs="Times New Roman"/>
                <w:color w:val="auto"/>
                <w:sz w:val="24"/>
                <w:szCs w:val="24"/>
                <w:highlight w:val="none"/>
                <w:lang w:val="en-US" w:eastAsia="zh-CN"/>
              </w:rPr>
              <w:t>山西瑞赛格废弃资源综合利用有限公司</w:t>
            </w:r>
            <w:r>
              <w:rPr>
                <w:rFonts w:hint="eastAsia" w:cs="Times New Roman"/>
                <w:color w:val="auto"/>
                <w:sz w:val="24"/>
                <w:szCs w:val="24"/>
                <w:highlight w:val="none"/>
                <w:lang w:val="en-US" w:eastAsia="zh-CN"/>
              </w:rPr>
              <w:t>委托</w:t>
            </w:r>
            <w:r>
              <w:rPr>
                <w:rFonts w:hint="eastAsia"/>
                <w:bCs/>
                <w:color w:val="auto"/>
                <w:sz w:val="24"/>
                <w:highlight w:val="none"/>
                <w:lang w:val="en-US" w:eastAsia="zh-CN"/>
              </w:rPr>
              <w:t>山西景顺通环境工程有限公司编制完成了《山西瑞赛格废弃资源综合利用有限公司新能源汽车回收拆解项目</w:t>
            </w:r>
            <w:r>
              <w:rPr>
                <w:rFonts w:hint="eastAsia" w:cs="Times New Roman"/>
                <w:color w:val="auto"/>
                <w:spacing w:val="0"/>
                <w:sz w:val="24"/>
                <w:szCs w:val="20"/>
                <w:highlight w:val="none"/>
                <w:lang w:val="en-US" w:eastAsia="zh-CN"/>
              </w:rPr>
              <w:t>环境影响报告表</w:t>
            </w:r>
            <w:r>
              <w:rPr>
                <w:rFonts w:hint="eastAsia"/>
                <w:bCs/>
                <w:color w:val="auto"/>
                <w:sz w:val="24"/>
                <w:highlight w:val="none"/>
                <w:lang w:val="en-US" w:eastAsia="zh-CN"/>
              </w:rPr>
              <w:t>》。长治市生态环境局屯留分局以屯环函[2024]41号核定本项目总量控制指标为：非甲烷总烃0.283t/a。2024年7月30日，长治市屯留区行政审批服务管理局以“屯审管建函[2024]48号”</w:t>
            </w:r>
            <w:r>
              <w:rPr>
                <w:rFonts w:hint="eastAsia" w:eastAsia="宋体" w:cs="Times New Roman"/>
                <w:color w:val="auto"/>
                <w:sz w:val="24"/>
                <w:szCs w:val="24"/>
                <w:highlight w:val="none"/>
                <w:lang w:val="en-US" w:eastAsia="zh-CN"/>
              </w:rPr>
              <w:t>文予以环评批复。</w:t>
            </w:r>
          </w:p>
          <w:p w14:paraId="76E54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s="Times New Roman"/>
                <w:color w:val="auto"/>
                <w:sz w:val="24"/>
                <w:szCs w:val="24"/>
                <w:highlight w:val="none"/>
                <w:lang w:val="en-US" w:eastAsia="zh-CN"/>
              </w:rPr>
            </w:pPr>
            <w:r>
              <w:rPr>
                <w:rFonts w:hint="eastAsia" w:eastAsia="宋体" w:cs="Times New Roman"/>
                <w:color w:val="auto"/>
                <w:sz w:val="24"/>
                <w:szCs w:val="24"/>
                <w:highlight w:val="none"/>
                <w:lang w:val="en-US" w:eastAsia="zh-CN"/>
              </w:rPr>
              <w:t>2025年2月</w:t>
            </w:r>
            <w:r>
              <w:rPr>
                <w:rFonts w:hint="default"/>
                <w:bCs/>
                <w:color w:val="auto"/>
                <w:sz w:val="24"/>
                <w:highlight w:val="none"/>
              </w:rPr>
              <w:t>对该项目进行了竣工环境保护验收。</w:t>
            </w:r>
          </w:p>
          <w:p w14:paraId="56CD331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本项目占地位于现有1#厂房北侧，1#厂房为钢混结构，占地面积约51840m</w:t>
            </w:r>
            <w:r>
              <w:rPr>
                <w:rFonts w:hint="eastAsia" w:cs="Times New Roman"/>
                <w:color w:val="auto"/>
                <w:spacing w:val="0"/>
                <w:sz w:val="24"/>
                <w:szCs w:val="20"/>
                <w:highlight w:val="none"/>
                <w:vertAlign w:val="superscript"/>
                <w:lang w:val="en-US" w:eastAsia="zh-CN"/>
              </w:rPr>
              <w:t>2</w:t>
            </w:r>
            <w:r>
              <w:rPr>
                <w:rFonts w:hint="eastAsia" w:cs="Times New Roman"/>
                <w:color w:val="auto"/>
                <w:spacing w:val="0"/>
                <w:sz w:val="24"/>
                <w:szCs w:val="20"/>
                <w:highlight w:val="none"/>
                <w:vertAlign w:val="baseline"/>
                <w:lang w:val="en-US" w:eastAsia="zh-CN"/>
              </w:rPr>
              <w:t>。厂房</w:t>
            </w:r>
            <w:r>
              <w:rPr>
                <w:rFonts w:hint="eastAsia" w:eastAsia="新宋体" w:cs="Times New Roman"/>
                <w:color w:val="auto"/>
                <w:sz w:val="24"/>
                <w:szCs w:val="24"/>
                <w:highlight w:val="none"/>
                <w:lang w:val="en-US" w:eastAsia="zh-CN"/>
              </w:rPr>
              <w:t>内现</w:t>
            </w:r>
            <w:r>
              <w:rPr>
                <w:rFonts w:hint="default" w:ascii="Times New Roman" w:hAnsi="Times New Roman" w:eastAsia="新宋体" w:cs="Times New Roman"/>
                <w:color w:val="auto"/>
                <w:sz w:val="24"/>
                <w:szCs w:val="24"/>
                <w:highlight w:val="none"/>
              </w:rPr>
              <w:t>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r>
              <w:rPr>
                <w:rFonts w:hint="eastAsia" w:cs="Times New Roman"/>
                <w:color w:val="auto"/>
                <w:spacing w:val="0"/>
                <w:sz w:val="24"/>
                <w:szCs w:val="20"/>
                <w:highlight w:val="none"/>
                <w:vertAlign w:val="baseline"/>
                <w:lang w:val="en-US" w:eastAsia="zh-CN"/>
              </w:rPr>
              <w:t>车间内设有原料储存区、剪切区、破碎区和成品堆放区</w:t>
            </w:r>
            <w:r>
              <w:rPr>
                <w:rFonts w:hint="eastAsia" w:eastAsia="宋体" w:cs="Times New Roman"/>
                <w:color w:val="auto"/>
                <w:sz w:val="24"/>
                <w:szCs w:val="24"/>
                <w:highlight w:val="none"/>
                <w:lang w:eastAsia="zh-CN"/>
              </w:rPr>
              <w:t>。</w:t>
            </w:r>
            <w:r>
              <w:rPr>
                <w:rFonts w:hint="eastAsia" w:cs="Times New Roman"/>
                <w:color w:val="auto"/>
                <w:spacing w:val="0"/>
                <w:sz w:val="24"/>
                <w:szCs w:val="20"/>
                <w:highlight w:val="none"/>
                <w:lang w:val="en-US" w:eastAsia="zh-CN"/>
              </w:rPr>
              <w:t>本项目拟在现有1#厂房北侧占地进行建设，不新增占地，占地类型为工业用地。项目占地原为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r>
              <w:rPr>
                <w:rFonts w:hint="eastAsia" w:eastAsia="新宋体" w:cs="Times New Roman"/>
                <w:color w:val="auto"/>
                <w:sz w:val="24"/>
                <w:szCs w:val="24"/>
                <w:highlight w:val="none"/>
                <w:lang w:val="en-US" w:eastAsia="zh-CN"/>
              </w:rPr>
              <w:t>的</w:t>
            </w:r>
            <w:r>
              <w:rPr>
                <w:rFonts w:hint="eastAsia" w:cs="Times New Roman"/>
                <w:color w:val="auto"/>
                <w:spacing w:val="0"/>
                <w:sz w:val="24"/>
                <w:szCs w:val="20"/>
                <w:highlight w:val="none"/>
                <w:lang w:val="en-US" w:eastAsia="zh-CN"/>
              </w:rPr>
              <w:t>产品堆放区，根据现场踏勘，车间内地面已做硬化处理。</w:t>
            </w:r>
          </w:p>
          <w:p w14:paraId="27CDB57C">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本</w:t>
            </w:r>
            <w:r>
              <w:rPr>
                <w:rFonts w:hint="default" w:ascii="Times New Roman" w:hAnsi="Times New Roman" w:eastAsia="宋体" w:cs="Times New Roman"/>
                <w:color w:val="auto"/>
                <w:spacing w:val="0"/>
                <w:sz w:val="24"/>
                <w:szCs w:val="20"/>
                <w:highlight w:val="none"/>
                <w:lang w:val="en-US" w:eastAsia="zh-CN"/>
              </w:rPr>
              <w:t>项目组成</w:t>
            </w:r>
            <w:r>
              <w:rPr>
                <w:rFonts w:hint="default" w:ascii="Times New Roman" w:hAnsi="Times New Roman" w:eastAsia="宋体" w:cs="Times New Roman"/>
                <w:color w:val="auto"/>
                <w:spacing w:val="0"/>
                <w:sz w:val="24"/>
                <w:szCs w:val="20"/>
                <w:highlight w:val="none"/>
              </w:rPr>
              <w:t>内容见表</w:t>
            </w:r>
            <w:r>
              <w:rPr>
                <w:rFonts w:hint="default" w:ascii="Times New Roman" w:hAnsi="Times New Roman" w:eastAsia="宋体" w:cs="Times New Roman"/>
                <w:color w:val="auto"/>
                <w:spacing w:val="0"/>
                <w:sz w:val="24"/>
                <w:szCs w:val="20"/>
                <w:highlight w:val="none"/>
                <w:lang w:val="en-US" w:eastAsia="zh-CN"/>
              </w:rPr>
              <w:t>2</w:t>
            </w:r>
            <w:r>
              <w:rPr>
                <w:rFonts w:hint="default" w:ascii="Times New Roman" w:hAnsi="Times New Roman" w:eastAsia="宋体" w:cs="Times New Roman"/>
                <w:color w:val="auto"/>
                <w:spacing w:val="0"/>
                <w:sz w:val="24"/>
                <w:szCs w:val="20"/>
                <w:highlight w:val="none"/>
              </w:rPr>
              <w:t>-1</w:t>
            </w:r>
            <w:r>
              <w:rPr>
                <w:rFonts w:hint="eastAsia" w:cs="Times New Roman"/>
                <w:color w:val="auto"/>
                <w:spacing w:val="0"/>
                <w:sz w:val="24"/>
                <w:szCs w:val="20"/>
                <w:highlight w:val="none"/>
                <w:lang w:eastAsia="zh-CN"/>
              </w:rPr>
              <w:t>，</w:t>
            </w:r>
            <w:r>
              <w:rPr>
                <w:rFonts w:hint="eastAsia" w:cs="Times New Roman"/>
                <w:color w:val="auto"/>
                <w:spacing w:val="0"/>
                <w:sz w:val="24"/>
                <w:szCs w:val="20"/>
                <w:highlight w:val="none"/>
                <w:lang w:val="en-US" w:eastAsia="zh-CN"/>
              </w:rPr>
              <w:t>依托工程见表2-2。</w:t>
            </w:r>
          </w:p>
          <w:p w14:paraId="1F49F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baseline"/>
              <w:rPr>
                <w:rFonts w:hint="default" w:ascii="Times New Roman" w:hAnsi="Times New Roman" w:eastAsia="黑体" w:cs="Times New Roman"/>
                <w:iCs/>
                <w:snapToGrid w:val="0"/>
                <w:color w:val="auto"/>
                <w:spacing w:val="0"/>
                <w:kern w:val="0"/>
                <w:sz w:val="21"/>
                <w:szCs w:val="20"/>
                <w:highlight w:val="none"/>
                <w:lang w:val="en-US" w:eastAsia="zh-CN" w:bidi="ar-SA"/>
              </w:rPr>
            </w:pPr>
            <w:r>
              <w:rPr>
                <w:rFonts w:hint="default" w:ascii="Times New Roman" w:hAnsi="Times New Roman" w:eastAsia="宋体" w:cs="Times New Roman"/>
                <w:b/>
                <w:bCs/>
                <w:iCs/>
                <w:snapToGrid w:val="0"/>
                <w:color w:val="auto"/>
                <w:spacing w:val="0"/>
                <w:kern w:val="0"/>
                <w:sz w:val="21"/>
                <w:szCs w:val="21"/>
                <w:highlight w:val="none"/>
                <w:lang w:val="en-US" w:eastAsia="zh-CN" w:bidi="ar-SA"/>
              </w:rPr>
              <w:t>表2-1  工程主要建设内容一览表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2"/>
              <w:gridCol w:w="391"/>
              <w:gridCol w:w="1236"/>
              <w:gridCol w:w="6090"/>
              <w:gridCol w:w="962"/>
            </w:tblGrid>
            <w:tr w14:paraId="22CA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tcBorders>
                    <w:tl2br w:val="nil"/>
                    <w:tr2bl w:val="nil"/>
                  </w:tcBorders>
                  <w:vAlign w:val="center"/>
                </w:tcPr>
                <w:p w14:paraId="3E1D53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类别</w:t>
                  </w:r>
                </w:p>
              </w:tc>
              <w:tc>
                <w:tcPr>
                  <w:tcW w:w="682" w:type="pct"/>
                  <w:tcBorders>
                    <w:tl2br w:val="nil"/>
                    <w:tr2bl w:val="nil"/>
                  </w:tcBorders>
                  <w:vAlign w:val="center"/>
                </w:tcPr>
                <w:p w14:paraId="498ACA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项目</w:t>
                  </w:r>
                </w:p>
              </w:tc>
              <w:tc>
                <w:tcPr>
                  <w:tcW w:w="3364" w:type="pct"/>
                  <w:tcBorders>
                    <w:tl2br w:val="nil"/>
                    <w:tr2bl w:val="nil"/>
                  </w:tcBorders>
                  <w:vAlign w:val="center"/>
                </w:tcPr>
                <w:p w14:paraId="4311BA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建设内容</w:t>
                  </w:r>
                </w:p>
              </w:tc>
              <w:tc>
                <w:tcPr>
                  <w:tcW w:w="531" w:type="pct"/>
                  <w:tcBorders>
                    <w:tl2br w:val="nil"/>
                    <w:tr2bl w:val="nil"/>
                  </w:tcBorders>
                  <w:vAlign w:val="center"/>
                </w:tcPr>
                <w:p w14:paraId="5DBDCB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备注</w:t>
                  </w:r>
                </w:p>
              </w:tc>
            </w:tr>
            <w:tr w14:paraId="33BA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tcBorders>
                    <w:tl2br w:val="nil"/>
                    <w:tr2bl w:val="nil"/>
                  </w:tcBorders>
                  <w:vAlign w:val="center"/>
                </w:tcPr>
                <w:p w14:paraId="7E68DB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主体</w:t>
                  </w:r>
                </w:p>
                <w:p w14:paraId="21DCEB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工程</w:t>
                  </w:r>
                </w:p>
              </w:tc>
              <w:tc>
                <w:tcPr>
                  <w:tcW w:w="682" w:type="pct"/>
                  <w:tcBorders>
                    <w:tl2br w:val="nil"/>
                    <w:tr2bl w:val="nil"/>
                  </w:tcBorders>
                  <w:vAlign w:val="center"/>
                </w:tcPr>
                <w:p w14:paraId="26A3C4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rPr>
                    <w:t>生产</w:t>
                  </w:r>
                  <w:r>
                    <w:rPr>
                      <w:rFonts w:hint="eastAsia" w:cs="Times New Roman"/>
                      <w:color w:val="auto"/>
                      <w:spacing w:val="0"/>
                      <w:sz w:val="21"/>
                      <w:szCs w:val="21"/>
                      <w:highlight w:val="none"/>
                      <w:lang w:val="en-US" w:eastAsia="zh-CN"/>
                    </w:rPr>
                    <w:t>区</w:t>
                  </w:r>
                </w:p>
              </w:tc>
              <w:tc>
                <w:tcPr>
                  <w:tcW w:w="3364" w:type="pct"/>
                  <w:tcBorders>
                    <w:tl2br w:val="nil"/>
                    <w:tr2bl w:val="nil"/>
                  </w:tcBorders>
                  <w:vAlign w:val="center"/>
                </w:tcPr>
                <w:p w14:paraId="30932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位于厂区现有1#厂房内北侧，占地面积约8355</w:t>
                  </w:r>
                  <w:r>
                    <w:rPr>
                      <w:rFonts w:hint="default" w:ascii="Times New Roman" w:hAnsi="Times New Roman" w:cs="Times New Roman"/>
                      <w:color w:val="auto"/>
                      <w:spacing w:val="0"/>
                      <w:szCs w:val="21"/>
                      <w:highlight w:val="none"/>
                    </w:rPr>
                    <w:t>m</w:t>
                  </w:r>
                  <w:r>
                    <w:rPr>
                      <w:rFonts w:hint="default" w:ascii="Times New Roman" w:hAnsi="Times New Roman" w:cs="Times New Roman"/>
                      <w:color w:val="auto"/>
                      <w:spacing w:val="0"/>
                      <w:szCs w:val="21"/>
                      <w:highlight w:val="none"/>
                      <w:vertAlign w:val="superscript"/>
                    </w:rPr>
                    <w:t>2</w:t>
                  </w:r>
                  <w:r>
                    <w:rPr>
                      <w:rFonts w:hint="default" w:ascii="Times New Roman" w:hAnsi="Times New Roman" w:cs="Times New Roman"/>
                      <w:color w:val="auto"/>
                      <w:spacing w:val="0"/>
                      <w:kern w:val="0"/>
                      <w:szCs w:val="21"/>
                      <w:highlight w:val="none"/>
                    </w:rPr>
                    <w:t>，</w:t>
                  </w:r>
                  <w:r>
                    <w:rPr>
                      <w:rFonts w:hint="eastAsia"/>
                      <w:color w:val="auto"/>
                      <w:kern w:val="0"/>
                      <w:sz w:val="21"/>
                      <w:szCs w:val="21"/>
                      <w:highlight w:val="none"/>
                      <w:lang w:val="en-US" w:eastAsia="zh-CN"/>
                    </w:rPr>
                    <w:t>全封闭</w:t>
                  </w:r>
                  <w:r>
                    <w:rPr>
                      <w:rFonts w:hint="default"/>
                      <w:color w:val="auto"/>
                      <w:kern w:val="0"/>
                      <w:sz w:val="21"/>
                      <w:szCs w:val="21"/>
                      <w:highlight w:val="none"/>
                    </w:rPr>
                    <w:t>钢</w:t>
                  </w:r>
                  <w:r>
                    <w:rPr>
                      <w:rFonts w:hint="eastAsia"/>
                      <w:color w:val="auto"/>
                      <w:kern w:val="0"/>
                      <w:sz w:val="21"/>
                      <w:szCs w:val="21"/>
                      <w:highlight w:val="none"/>
                      <w:lang w:val="en-US" w:eastAsia="zh-CN"/>
                    </w:rPr>
                    <w:t>混</w:t>
                  </w:r>
                  <w:r>
                    <w:rPr>
                      <w:rFonts w:hint="default"/>
                      <w:color w:val="auto"/>
                      <w:kern w:val="0"/>
                      <w:sz w:val="21"/>
                      <w:szCs w:val="21"/>
                      <w:highlight w:val="none"/>
                    </w:rPr>
                    <w:t>结构，</w:t>
                  </w:r>
                  <w:r>
                    <w:rPr>
                      <w:rFonts w:hint="eastAsia"/>
                      <w:color w:val="auto"/>
                      <w:kern w:val="0"/>
                      <w:sz w:val="21"/>
                      <w:szCs w:val="21"/>
                      <w:highlight w:val="none"/>
                      <w:lang w:val="en-US" w:eastAsia="zh-CN"/>
                    </w:rPr>
                    <w:t>厂房内地面已做硬化处理</w:t>
                  </w:r>
                  <w:r>
                    <w:rPr>
                      <w:rFonts w:hint="eastAsia"/>
                      <w:color w:val="auto"/>
                      <w:szCs w:val="21"/>
                      <w:highlight w:val="none"/>
                      <w:lang w:eastAsia="zh-CN"/>
                    </w:rPr>
                    <w:t>。</w:t>
                  </w:r>
                  <w:r>
                    <w:rPr>
                      <w:rFonts w:hint="eastAsia"/>
                      <w:color w:val="auto"/>
                      <w:szCs w:val="21"/>
                      <w:highlight w:val="none"/>
                      <w:lang w:val="en-US" w:eastAsia="zh-CN"/>
                    </w:rPr>
                    <w:t>拟在厂房</w:t>
                  </w:r>
                  <w:r>
                    <w:rPr>
                      <w:rFonts w:hint="eastAsia"/>
                      <w:color w:val="auto"/>
                      <w:kern w:val="0"/>
                      <w:sz w:val="21"/>
                      <w:szCs w:val="21"/>
                      <w:highlight w:val="none"/>
                      <w:lang w:val="en-US" w:eastAsia="zh-CN"/>
                    </w:rPr>
                    <w:t>内建设1条处理能力达30万吨环保热熔压饼生产线，设置1台回转窑</w:t>
                  </w:r>
                  <w:r>
                    <w:rPr>
                      <w:rFonts w:hint="default"/>
                      <w:color w:val="auto"/>
                      <w:kern w:val="0"/>
                      <w:sz w:val="21"/>
                      <w:szCs w:val="21"/>
                      <w:highlight w:val="none"/>
                    </w:rPr>
                    <w:t>、</w:t>
                  </w:r>
                  <w:r>
                    <w:rPr>
                      <w:rFonts w:hint="eastAsia"/>
                      <w:color w:val="auto"/>
                      <w:kern w:val="0"/>
                      <w:sz w:val="21"/>
                      <w:szCs w:val="21"/>
                      <w:highlight w:val="none"/>
                      <w:lang w:val="en-US" w:eastAsia="zh-CN"/>
                    </w:rPr>
                    <w:t>2台热压成型机、1台高温对辊成型机、皮带输送机等设备</w:t>
                  </w:r>
                </w:p>
              </w:tc>
              <w:tc>
                <w:tcPr>
                  <w:tcW w:w="531" w:type="pct"/>
                  <w:tcBorders>
                    <w:tl2br w:val="nil"/>
                    <w:tr2bl w:val="nil"/>
                  </w:tcBorders>
                  <w:vAlign w:val="center"/>
                </w:tcPr>
                <w:p w14:paraId="7397AF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新建</w:t>
                  </w:r>
                </w:p>
                <w:p w14:paraId="2C1270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（构筑物依托现有）</w:t>
                  </w:r>
                </w:p>
              </w:tc>
            </w:tr>
            <w:tr w14:paraId="68DE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restart"/>
                  <w:tcBorders>
                    <w:tl2br w:val="nil"/>
                    <w:tr2bl w:val="nil"/>
                  </w:tcBorders>
                  <w:vAlign w:val="center"/>
                </w:tcPr>
                <w:p w14:paraId="555575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储运</w:t>
                  </w:r>
                </w:p>
                <w:p w14:paraId="0573C4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工程</w:t>
                  </w:r>
                </w:p>
              </w:tc>
              <w:tc>
                <w:tcPr>
                  <w:tcW w:w="682" w:type="pct"/>
                  <w:tcBorders>
                    <w:tl2br w:val="nil"/>
                    <w:tr2bl w:val="nil"/>
                  </w:tcBorders>
                  <w:vAlign w:val="center"/>
                </w:tcPr>
                <w:p w14:paraId="14D478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原料堆放区</w:t>
                  </w:r>
                </w:p>
              </w:tc>
              <w:tc>
                <w:tcPr>
                  <w:tcW w:w="3364" w:type="pct"/>
                  <w:tcBorders>
                    <w:tl2br w:val="nil"/>
                    <w:tr2bl w:val="nil"/>
                  </w:tcBorders>
                  <w:vAlign w:val="center"/>
                </w:tcPr>
                <w:p w14:paraId="71264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pacing w:val="0"/>
                      <w:sz w:val="21"/>
                      <w:szCs w:val="21"/>
                      <w:highlight w:val="none"/>
                      <w:vertAlign w:val="baseline"/>
                      <w:lang w:val="en-US" w:eastAsia="zh-CN"/>
                    </w:rPr>
                  </w:pPr>
                  <w:r>
                    <w:rPr>
                      <w:rFonts w:hint="eastAsia" w:cs="Times New Roman"/>
                      <w:color w:val="auto"/>
                      <w:spacing w:val="0"/>
                      <w:sz w:val="21"/>
                      <w:szCs w:val="21"/>
                      <w:highlight w:val="none"/>
                      <w:lang w:val="en-US" w:eastAsia="zh-CN"/>
                    </w:rPr>
                    <w:t>位于生产区西侧，占地面积约2000</w:t>
                  </w:r>
                  <w:r>
                    <w:rPr>
                      <w:rFonts w:hint="default" w:ascii="Times New Roman" w:hAnsi="Times New Roman" w:cs="Times New Roman"/>
                      <w:color w:val="auto"/>
                      <w:spacing w:val="0"/>
                      <w:szCs w:val="21"/>
                      <w:highlight w:val="none"/>
                    </w:rPr>
                    <w:t>m</w:t>
                  </w:r>
                  <w:r>
                    <w:rPr>
                      <w:rFonts w:hint="default" w:ascii="Times New Roman" w:hAnsi="Times New Roman" w:cs="Times New Roman"/>
                      <w:color w:val="auto"/>
                      <w:spacing w:val="0"/>
                      <w:szCs w:val="21"/>
                      <w:highlight w:val="none"/>
                      <w:vertAlign w:val="superscript"/>
                    </w:rPr>
                    <w:t>2</w:t>
                  </w:r>
                  <w:r>
                    <w:rPr>
                      <w:rFonts w:hint="default" w:ascii="Times New Roman" w:hAnsi="Times New Roman" w:cs="Times New Roman"/>
                      <w:color w:val="auto"/>
                      <w:spacing w:val="0"/>
                      <w:kern w:val="0"/>
                      <w:szCs w:val="21"/>
                      <w:highlight w:val="none"/>
                    </w:rPr>
                    <w:t>，</w:t>
                  </w:r>
                  <w:r>
                    <w:rPr>
                      <w:rFonts w:hint="eastAsia" w:cs="Times New Roman"/>
                      <w:color w:val="auto"/>
                      <w:spacing w:val="0"/>
                      <w:kern w:val="0"/>
                      <w:szCs w:val="21"/>
                      <w:highlight w:val="none"/>
                      <w:lang w:val="en-US" w:eastAsia="zh-CN"/>
                    </w:rPr>
                    <w:t>用于堆放原料</w:t>
                  </w:r>
                </w:p>
              </w:tc>
              <w:tc>
                <w:tcPr>
                  <w:tcW w:w="531" w:type="pct"/>
                  <w:tcBorders>
                    <w:tl2br w:val="nil"/>
                    <w:tr2bl w:val="nil"/>
                  </w:tcBorders>
                  <w:vAlign w:val="center"/>
                </w:tcPr>
                <w:p w14:paraId="37A442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新建</w:t>
                  </w:r>
                </w:p>
                <w:p w14:paraId="01F355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kern w:val="2"/>
                      <w:sz w:val="21"/>
                      <w:szCs w:val="21"/>
                      <w:highlight w:val="none"/>
                      <w:lang w:val="en-US" w:eastAsia="zh-CN" w:bidi="ar-SA"/>
                    </w:rPr>
                    <w:t>（构筑物依托现有）</w:t>
                  </w:r>
                </w:p>
              </w:tc>
            </w:tr>
            <w:tr w14:paraId="5BE6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continue"/>
                  <w:tcBorders>
                    <w:tl2br w:val="nil"/>
                    <w:tr2bl w:val="nil"/>
                  </w:tcBorders>
                  <w:vAlign w:val="center"/>
                </w:tcPr>
                <w:p w14:paraId="2DD1BC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682" w:type="pct"/>
                  <w:tcBorders>
                    <w:tl2br w:val="nil"/>
                    <w:tr2bl w:val="nil"/>
                  </w:tcBorders>
                  <w:vAlign w:val="center"/>
                </w:tcPr>
                <w:p w14:paraId="5B164C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成品堆放区</w:t>
                  </w:r>
                </w:p>
              </w:tc>
              <w:tc>
                <w:tcPr>
                  <w:tcW w:w="3364" w:type="pct"/>
                  <w:tcBorders>
                    <w:tl2br w:val="nil"/>
                    <w:tr2bl w:val="nil"/>
                  </w:tcBorders>
                  <w:vAlign w:val="center"/>
                </w:tcPr>
                <w:p w14:paraId="1ED315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位于生产区东侧，占地面积约2000</w:t>
                  </w:r>
                  <w:r>
                    <w:rPr>
                      <w:rFonts w:hint="default" w:ascii="Times New Roman" w:hAnsi="Times New Roman" w:cs="Times New Roman"/>
                      <w:color w:val="auto"/>
                      <w:spacing w:val="0"/>
                      <w:szCs w:val="21"/>
                      <w:highlight w:val="none"/>
                    </w:rPr>
                    <w:t>m</w:t>
                  </w:r>
                  <w:r>
                    <w:rPr>
                      <w:rFonts w:hint="default" w:ascii="Times New Roman" w:hAnsi="Times New Roman" w:cs="Times New Roman"/>
                      <w:color w:val="auto"/>
                      <w:spacing w:val="0"/>
                      <w:szCs w:val="21"/>
                      <w:highlight w:val="none"/>
                      <w:vertAlign w:val="superscript"/>
                    </w:rPr>
                    <w:t>2</w:t>
                  </w:r>
                  <w:r>
                    <w:rPr>
                      <w:rFonts w:hint="default" w:ascii="Times New Roman" w:hAnsi="Times New Roman" w:cs="Times New Roman"/>
                      <w:color w:val="auto"/>
                      <w:spacing w:val="0"/>
                      <w:kern w:val="0"/>
                      <w:szCs w:val="21"/>
                      <w:highlight w:val="none"/>
                    </w:rPr>
                    <w:t>，</w:t>
                  </w:r>
                  <w:r>
                    <w:rPr>
                      <w:rFonts w:hint="eastAsia" w:cs="Times New Roman"/>
                      <w:color w:val="auto"/>
                      <w:spacing w:val="0"/>
                      <w:kern w:val="0"/>
                      <w:szCs w:val="21"/>
                      <w:highlight w:val="none"/>
                      <w:lang w:val="en-US" w:eastAsia="zh-CN"/>
                    </w:rPr>
                    <w:t>用于堆放成品</w:t>
                  </w:r>
                </w:p>
              </w:tc>
              <w:tc>
                <w:tcPr>
                  <w:tcW w:w="531" w:type="pct"/>
                  <w:tcBorders>
                    <w:tl2br w:val="nil"/>
                    <w:tr2bl w:val="nil"/>
                  </w:tcBorders>
                  <w:vAlign w:val="center"/>
                </w:tcPr>
                <w:p w14:paraId="65AD53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新建</w:t>
                  </w:r>
                </w:p>
                <w:p w14:paraId="629FAC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kern w:val="2"/>
                      <w:sz w:val="21"/>
                      <w:szCs w:val="21"/>
                      <w:highlight w:val="none"/>
                      <w:lang w:val="en-US" w:eastAsia="zh-CN" w:bidi="ar-SA"/>
                    </w:rPr>
                    <w:t>（构筑物依托现有）</w:t>
                  </w:r>
                </w:p>
              </w:tc>
            </w:tr>
            <w:tr w14:paraId="4423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restart"/>
                  <w:tcBorders>
                    <w:tl2br w:val="nil"/>
                    <w:tr2bl w:val="nil"/>
                  </w:tcBorders>
                  <w:vAlign w:val="center"/>
                </w:tcPr>
                <w:p w14:paraId="656B4B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辅助</w:t>
                  </w:r>
                </w:p>
                <w:p w14:paraId="25993A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工程</w:t>
                  </w:r>
                </w:p>
              </w:tc>
              <w:tc>
                <w:tcPr>
                  <w:tcW w:w="682" w:type="pct"/>
                  <w:tcBorders>
                    <w:tl2br w:val="nil"/>
                    <w:tr2bl w:val="nil"/>
                  </w:tcBorders>
                  <w:vAlign w:val="center"/>
                </w:tcPr>
                <w:p w14:paraId="4787CE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办公生活区</w:t>
                  </w:r>
                </w:p>
              </w:tc>
              <w:tc>
                <w:tcPr>
                  <w:tcW w:w="3364" w:type="pct"/>
                  <w:tcBorders>
                    <w:tl2br w:val="nil"/>
                    <w:tr2bl w:val="nil"/>
                  </w:tcBorders>
                  <w:vAlign w:val="center"/>
                </w:tcPr>
                <w:p w14:paraId="7FCFF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利用现有厂区东侧的办公楼，</w:t>
                  </w:r>
                  <w:r>
                    <w:rPr>
                      <w:rFonts w:hint="eastAsia"/>
                      <w:color w:val="auto"/>
                      <w:szCs w:val="21"/>
                      <w:highlight w:val="none"/>
                      <w:lang w:val="en-US" w:eastAsia="zh-CN"/>
                    </w:rPr>
                    <w:t>5</w:t>
                  </w:r>
                  <w:r>
                    <w:rPr>
                      <w:rFonts w:hint="default"/>
                      <w:color w:val="auto"/>
                      <w:szCs w:val="21"/>
                      <w:highlight w:val="none"/>
                    </w:rPr>
                    <w:t>层砖混结构</w:t>
                  </w:r>
                </w:p>
              </w:tc>
              <w:tc>
                <w:tcPr>
                  <w:tcW w:w="531" w:type="pct"/>
                  <w:tcBorders>
                    <w:tl2br w:val="nil"/>
                    <w:tr2bl w:val="nil"/>
                  </w:tcBorders>
                  <w:vAlign w:val="center"/>
                </w:tcPr>
                <w:p w14:paraId="600EE7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依托现有</w:t>
                  </w:r>
                </w:p>
              </w:tc>
            </w:tr>
            <w:tr w14:paraId="5520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continue"/>
                  <w:tcBorders>
                    <w:tl2br w:val="nil"/>
                    <w:tr2bl w:val="nil"/>
                  </w:tcBorders>
                  <w:vAlign w:val="center"/>
                </w:tcPr>
                <w:p w14:paraId="0CE9F2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p>
              </w:tc>
              <w:tc>
                <w:tcPr>
                  <w:tcW w:w="682" w:type="pct"/>
                  <w:tcBorders>
                    <w:tl2br w:val="nil"/>
                    <w:tr2bl w:val="nil"/>
                  </w:tcBorders>
                  <w:vAlign w:val="center"/>
                </w:tcPr>
                <w:p w14:paraId="2DA4D6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地磅</w:t>
                  </w:r>
                </w:p>
              </w:tc>
              <w:tc>
                <w:tcPr>
                  <w:tcW w:w="3364" w:type="pct"/>
                  <w:tcBorders>
                    <w:tl2br w:val="nil"/>
                    <w:tr2bl w:val="nil"/>
                  </w:tcBorders>
                  <w:vAlign w:val="center"/>
                </w:tcPr>
                <w:p w14:paraId="173041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利用厂区现有地磅</w:t>
                  </w:r>
                </w:p>
              </w:tc>
              <w:tc>
                <w:tcPr>
                  <w:tcW w:w="531" w:type="pct"/>
                  <w:tcBorders>
                    <w:tl2br w:val="nil"/>
                    <w:tr2bl w:val="nil"/>
                  </w:tcBorders>
                  <w:vAlign w:val="center"/>
                </w:tcPr>
                <w:p w14:paraId="29B347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依托现有</w:t>
                  </w:r>
                </w:p>
              </w:tc>
            </w:tr>
            <w:tr w14:paraId="009C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restart"/>
                  <w:tcBorders>
                    <w:tl2br w:val="nil"/>
                    <w:tr2bl w:val="nil"/>
                  </w:tcBorders>
                  <w:vAlign w:val="center"/>
                </w:tcPr>
                <w:p w14:paraId="78CCDC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公用</w:t>
                  </w:r>
                </w:p>
                <w:p w14:paraId="7C13EC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工程</w:t>
                  </w:r>
                </w:p>
              </w:tc>
              <w:tc>
                <w:tcPr>
                  <w:tcW w:w="682" w:type="pct"/>
                  <w:tcBorders>
                    <w:tl2br w:val="nil"/>
                    <w:tr2bl w:val="nil"/>
                  </w:tcBorders>
                  <w:vAlign w:val="center"/>
                </w:tcPr>
                <w:p w14:paraId="0EA7E3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供水</w:t>
                  </w:r>
                </w:p>
              </w:tc>
              <w:tc>
                <w:tcPr>
                  <w:tcW w:w="3364" w:type="pct"/>
                  <w:tcBorders>
                    <w:tl2br w:val="nil"/>
                    <w:tr2bl w:val="nil"/>
                  </w:tcBorders>
                  <w:vAlign w:val="center"/>
                </w:tcPr>
                <w:p w14:paraId="5E0AE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color w:val="auto"/>
                      <w:kern w:val="0"/>
                      <w:szCs w:val="21"/>
                      <w:highlight w:val="none"/>
                    </w:rPr>
                    <w:t>由工业园区集中供水系统供给</w:t>
                  </w:r>
                </w:p>
              </w:tc>
              <w:tc>
                <w:tcPr>
                  <w:tcW w:w="531" w:type="pct"/>
                  <w:vMerge w:val="restart"/>
                  <w:tcBorders>
                    <w:tl2br w:val="nil"/>
                    <w:tr2bl w:val="nil"/>
                  </w:tcBorders>
                  <w:vAlign w:val="center"/>
                </w:tcPr>
                <w:p w14:paraId="758882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color w:val="auto"/>
                      <w:szCs w:val="21"/>
                      <w:highlight w:val="none"/>
                    </w:rPr>
                    <w:t>利用厂区现有公用工程系统</w:t>
                  </w:r>
                </w:p>
              </w:tc>
            </w:tr>
            <w:tr w14:paraId="3DBE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continue"/>
                  <w:tcBorders>
                    <w:tl2br w:val="nil"/>
                    <w:tr2bl w:val="nil"/>
                  </w:tcBorders>
                  <w:vAlign w:val="center"/>
                </w:tcPr>
                <w:p w14:paraId="03AF06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82" w:type="pct"/>
                  <w:tcBorders>
                    <w:tl2br w:val="nil"/>
                    <w:tr2bl w:val="nil"/>
                  </w:tcBorders>
                  <w:vAlign w:val="center"/>
                </w:tcPr>
                <w:p w14:paraId="5E8D7D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供电</w:t>
                  </w:r>
                </w:p>
              </w:tc>
              <w:tc>
                <w:tcPr>
                  <w:tcW w:w="3364" w:type="pct"/>
                  <w:tcBorders>
                    <w:tl2br w:val="nil"/>
                    <w:tr2bl w:val="nil"/>
                  </w:tcBorders>
                  <w:vAlign w:val="center"/>
                </w:tcPr>
                <w:p w14:paraId="2EC80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color w:val="auto"/>
                      <w:szCs w:val="21"/>
                      <w:highlight w:val="none"/>
                    </w:rPr>
                    <w:t>由工业园区供电系统接入</w:t>
                  </w:r>
                </w:p>
              </w:tc>
              <w:tc>
                <w:tcPr>
                  <w:tcW w:w="531" w:type="pct"/>
                  <w:vMerge w:val="continue"/>
                  <w:tcBorders>
                    <w:tl2br w:val="nil"/>
                    <w:tr2bl w:val="nil"/>
                  </w:tcBorders>
                  <w:vAlign w:val="center"/>
                </w:tcPr>
                <w:p w14:paraId="16306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5FB6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continue"/>
                  <w:tcBorders>
                    <w:tl2br w:val="nil"/>
                    <w:tr2bl w:val="nil"/>
                  </w:tcBorders>
                  <w:vAlign w:val="center"/>
                </w:tcPr>
                <w:p w14:paraId="3E1547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82" w:type="pct"/>
                  <w:tcBorders>
                    <w:tl2br w:val="nil"/>
                    <w:tr2bl w:val="nil"/>
                  </w:tcBorders>
                  <w:vAlign w:val="center"/>
                </w:tcPr>
                <w:p w14:paraId="5AC3BB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供</w:t>
                  </w:r>
                  <w:r>
                    <w:rPr>
                      <w:rFonts w:hint="eastAsia" w:cs="Times New Roman"/>
                      <w:color w:val="auto"/>
                      <w:spacing w:val="0"/>
                      <w:sz w:val="21"/>
                      <w:szCs w:val="21"/>
                      <w:highlight w:val="none"/>
                      <w:lang w:val="en-US" w:eastAsia="zh-CN"/>
                    </w:rPr>
                    <w:t>暖</w:t>
                  </w:r>
                </w:p>
              </w:tc>
              <w:tc>
                <w:tcPr>
                  <w:tcW w:w="3364" w:type="pct"/>
                  <w:tcBorders>
                    <w:tl2br w:val="nil"/>
                    <w:tr2bl w:val="nil"/>
                  </w:tcBorders>
                  <w:vAlign w:val="center"/>
                </w:tcPr>
                <w:p w14:paraId="3C996A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bCs/>
                      <w:color w:val="auto"/>
                      <w:szCs w:val="21"/>
                      <w:highlight w:val="none"/>
                    </w:rPr>
                    <w:t>由园区集中供热管网接入</w:t>
                  </w:r>
                </w:p>
              </w:tc>
              <w:tc>
                <w:tcPr>
                  <w:tcW w:w="531" w:type="pct"/>
                  <w:vMerge w:val="continue"/>
                  <w:tcBorders>
                    <w:tl2br w:val="nil"/>
                    <w:tr2bl w:val="nil"/>
                  </w:tcBorders>
                  <w:vAlign w:val="center"/>
                </w:tcPr>
                <w:p w14:paraId="299469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5EA8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421" w:type="pct"/>
                  <w:gridSpan w:val="2"/>
                  <w:vMerge w:val="continue"/>
                  <w:tcBorders>
                    <w:tl2br w:val="nil"/>
                    <w:tr2bl w:val="nil"/>
                  </w:tcBorders>
                  <w:vAlign w:val="center"/>
                </w:tcPr>
                <w:p w14:paraId="01041E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82" w:type="pct"/>
                  <w:tcBorders>
                    <w:tl2br w:val="nil"/>
                    <w:tr2bl w:val="nil"/>
                  </w:tcBorders>
                  <w:vAlign w:val="center"/>
                </w:tcPr>
                <w:p w14:paraId="7288B5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供气</w:t>
                  </w:r>
                </w:p>
              </w:tc>
              <w:tc>
                <w:tcPr>
                  <w:tcW w:w="3364" w:type="pct"/>
                  <w:tcBorders>
                    <w:tl2br w:val="nil"/>
                    <w:tr2bl w:val="nil"/>
                  </w:tcBorders>
                  <w:vAlign w:val="center"/>
                </w:tcPr>
                <w:p w14:paraId="3680F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bCs/>
                      <w:color w:val="auto"/>
                      <w:szCs w:val="21"/>
                      <w:highlight w:val="none"/>
                      <w:lang w:val="en-US" w:eastAsia="zh-CN"/>
                    </w:rPr>
                  </w:pPr>
                  <w:r>
                    <w:rPr>
                      <w:rFonts w:hint="eastAsia"/>
                      <w:bCs/>
                      <w:color w:val="auto"/>
                      <w:szCs w:val="21"/>
                      <w:highlight w:val="none"/>
                      <w:lang w:val="en-US" w:eastAsia="zh-CN"/>
                    </w:rPr>
                    <w:t>由园区供气管道接入</w:t>
                  </w:r>
                </w:p>
              </w:tc>
              <w:tc>
                <w:tcPr>
                  <w:tcW w:w="531" w:type="pct"/>
                  <w:vMerge w:val="continue"/>
                  <w:tcBorders>
                    <w:tl2br w:val="nil"/>
                    <w:tr2bl w:val="nil"/>
                  </w:tcBorders>
                  <w:vAlign w:val="center"/>
                </w:tcPr>
                <w:p w14:paraId="2CE537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6B8A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restart"/>
                  <w:tcBorders>
                    <w:tl2br w:val="nil"/>
                    <w:tr2bl w:val="nil"/>
                  </w:tcBorders>
                  <w:vAlign w:val="center"/>
                </w:tcPr>
                <w:p w14:paraId="314AED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环保</w:t>
                  </w:r>
                </w:p>
                <w:p w14:paraId="27799C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工程</w:t>
                  </w:r>
                </w:p>
              </w:tc>
              <w:tc>
                <w:tcPr>
                  <w:tcW w:w="215" w:type="pct"/>
                  <w:vMerge w:val="restart"/>
                  <w:tcBorders>
                    <w:tl2br w:val="nil"/>
                    <w:tr2bl w:val="nil"/>
                  </w:tcBorders>
                  <w:vAlign w:val="center"/>
                </w:tcPr>
                <w:p w14:paraId="1623C4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废气</w:t>
                  </w:r>
                </w:p>
              </w:tc>
              <w:tc>
                <w:tcPr>
                  <w:tcW w:w="682" w:type="pct"/>
                  <w:tcBorders>
                    <w:tl2br w:val="nil"/>
                    <w:tr2bl w:val="nil"/>
                  </w:tcBorders>
                  <w:shd w:val="clear" w:color="auto" w:fill="auto"/>
                  <w:vAlign w:val="center"/>
                </w:tcPr>
                <w:p w14:paraId="6F5662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2"/>
                      <w:sz w:val="21"/>
                      <w:szCs w:val="21"/>
                      <w:highlight w:val="none"/>
                      <w:vertAlign w:val="baseline"/>
                      <w:lang w:val="en-US" w:eastAsia="zh-CN" w:bidi="ar-SA"/>
                    </w:rPr>
                  </w:pPr>
                  <w:r>
                    <w:rPr>
                      <w:rFonts w:hint="default"/>
                      <w:color w:val="auto"/>
                      <w:sz w:val="21"/>
                      <w:szCs w:val="21"/>
                      <w:highlight w:val="none"/>
                    </w:rPr>
                    <w:t>运输</w:t>
                  </w:r>
                  <w:r>
                    <w:rPr>
                      <w:rFonts w:hint="eastAsia"/>
                      <w:color w:val="auto"/>
                      <w:sz w:val="21"/>
                      <w:szCs w:val="21"/>
                      <w:highlight w:val="none"/>
                      <w:lang w:val="en-US" w:eastAsia="zh-CN"/>
                    </w:rPr>
                    <w:t>废气</w:t>
                  </w:r>
                </w:p>
              </w:tc>
              <w:tc>
                <w:tcPr>
                  <w:tcW w:w="3364" w:type="pct"/>
                  <w:tcBorders>
                    <w:tl2br w:val="nil"/>
                    <w:tr2bl w:val="nil"/>
                  </w:tcBorders>
                  <w:shd w:val="clear" w:color="auto" w:fill="auto"/>
                  <w:vAlign w:val="center"/>
                </w:tcPr>
                <w:p w14:paraId="1A71AD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default"/>
                      <w:bCs/>
                      <w:color w:val="auto"/>
                      <w:szCs w:val="21"/>
                      <w:highlight w:val="none"/>
                    </w:rPr>
                    <w:t>采用厢式车运输或加盖篷布、限速行驶，定期对道路进行抑尘洒水</w:t>
                  </w:r>
                </w:p>
              </w:tc>
              <w:tc>
                <w:tcPr>
                  <w:tcW w:w="531" w:type="pct"/>
                  <w:tcBorders>
                    <w:tl2br w:val="nil"/>
                    <w:tr2bl w:val="nil"/>
                  </w:tcBorders>
                  <w:vAlign w:val="center"/>
                </w:tcPr>
                <w:p w14:paraId="55DA7F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2436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3A6306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4C7A8B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shd w:val="clear" w:color="auto" w:fill="auto"/>
                  <w:vAlign w:val="center"/>
                </w:tcPr>
                <w:p w14:paraId="32D1BC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上料废气</w:t>
                  </w:r>
                </w:p>
              </w:tc>
              <w:tc>
                <w:tcPr>
                  <w:tcW w:w="3364" w:type="pct"/>
                  <w:tcBorders>
                    <w:tl2br w:val="nil"/>
                    <w:tr2bl w:val="nil"/>
                  </w:tcBorders>
                  <w:shd w:val="clear" w:color="auto" w:fill="auto"/>
                  <w:vAlign w:val="center"/>
                </w:tcPr>
                <w:p w14:paraId="3FD1CA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bCs/>
                      <w:color w:val="auto"/>
                      <w:szCs w:val="21"/>
                      <w:highlight w:val="none"/>
                    </w:rPr>
                  </w:pPr>
                  <w:r>
                    <w:rPr>
                      <w:rFonts w:hint="eastAsia" w:ascii="Times New Roman" w:hAnsi="Times New Roman" w:eastAsia="宋体" w:cs="Times New Roman"/>
                      <w:color w:val="auto"/>
                      <w:spacing w:val="0"/>
                      <w:kern w:val="2"/>
                      <w:sz w:val="21"/>
                      <w:szCs w:val="21"/>
                      <w:highlight w:val="none"/>
                      <w:lang w:val="en-US" w:eastAsia="zh-CN" w:bidi="ar-SA"/>
                    </w:rPr>
                    <w:t>每个料仓上方设置1个集气罩（共3个），上料废气经集气罩收集后引入布袋除尘器（TA001）处理后，由1根20m高排气筒（DA008）排放</w:t>
                  </w:r>
                </w:p>
              </w:tc>
              <w:tc>
                <w:tcPr>
                  <w:tcW w:w="531" w:type="pct"/>
                  <w:tcBorders>
                    <w:tl2br w:val="nil"/>
                    <w:tr2bl w:val="nil"/>
                  </w:tcBorders>
                  <w:vAlign w:val="center"/>
                </w:tcPr>
                <w:p w14:paraId="0FDFCA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76F2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20FE04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078316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shd w:val="clear" w:color="auto" w:fill="auto"/>
                  <w:vAlign w:val="center"/>
                </w:tcPr>
                <w:p w14:paraId="20AAA10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color w:val="auto"/>
                      <w:sz w:val="21"/>
                      <w:szCs w:val="21"/>
                      <w:highlight w:val="none"/>
                    </w:rPr>
                  </w:pPr>
                  <w:r>
                    <w:rPr>
                      <w:rFonts w:hint="eastAsia"/>
                      <w:bCs/>
                      <w:color w:val="auto"/>
                      <w:sz w:val="21"/>
                      <w:szCs w:val="21"/>
                      <w:highlight w:val="none"/>
                      <w:lang w:val="en-US" w:eastAsia="zh-CN"/>
                    </w:rPr>
                    <w:t>回转窑</w:t>
                  </w:r>
                  <w:r>
                    <w:rPr>
                      <w:rFonts w:hint="default"/>
                      <w:bCs/>
                      <w:color w:val="auto"/>
                      <w:sz w:val="21"/>
                      <w:szCs w:val="21"/>
                      <w:highlight w:val="none"/>
                    </w:rPr>
                    <w:t>烟气</w:t>
                  </w:r>
                </w:p>
              </w:tc>
              <w:tc>
                <w:tcPr>
                  <w:tcW w:w="3364" w:type="pct"/>
                  <w:tcBorders>
                    <w:tl2br w:val="nil"/>
                    <w:tr2bl w:val="nil"/>
                  </w:tcBorders>
                  <w:shd w:val="clear" w:color="auto" w:fill="auto"/>
                  <w:vAlign w:val="center"/>
                </w:tcPr>
                <w:p w14:paraId="6F9F8F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default"/>
                      <w:bCs/>
                      <w:color w:val="auto"/>
                      <w:szCs w:val="21"/>
                      <w:highlight w:val="none"/>
                    </w:rPr>
                  </w:pPr>
                  <w:r>
                    <w:rPr>
                      <w:rFonts w:hint="eastAsia" w:cs="Times New Roman"/>
                      <w:b w:val="0"/>
                      <w:bCs/>
                      <w:color w:val="auto"/>
                      <w:sz w:val="21"/>
                      <w:szCs w:val="21"/>
                      <w:highlight w:val="none"/>
                      <w:lang w:val="en-US" w:eastAsia="zh-CN"/>
                    </w:rPr>
                    <w:t>回转窑</w:t>
                  </w:r>
                  <w:r>
                    <w:rPr>
                      <w:rFonts w:hint="eastAsia" w:ascii="Times New Roman" w:hAnsi="Times New Roman" w:eastAsia="宋体" w:cs="Times New Roman"/>
                      <w:b w:val="0"/>
                      <w:bCs/>
                      <w:color w:val="auto"/>
                      <w:sz w:val="21"/>
                      <w:szCs w:val="21"/>
                      <w:highlight w:val="none"/>
                      <w:lang w:val="en-US" w:eastAsia="zh-CN"/>
                    </w:rPr>
                    <w:t>设置低氮燃烧器，</w:t>
                  </w:r>
                  <w:r>
                    <w:rPr>
                      <w:rFonts w:hint="eastAsia" w:cs="Times New Roman"/>
                      <w:b w:val="0"/>
                      <w:bCs/>
                      <w:color w:val="auto"/>
                      <w:sz w:val="21"/>
                      <w:szCs w:val="21"/>
                      <w:highlight w:val="none"/>
                      <w:lang w:val="en-US" w:eastAsia="zh-CN"/>
                    </w:rPr>
                    <w:t>加热产生的</w:t>
                  </w:r>
                  <w:r>
                    <w:rPr>
                      <w:rFonts w:hint="eastAsia" w:ascii="Times New Roman" w:hAnsi="Times New Roman" w:eastAsia="宋体" w:cs="Times New Roman"/>
                      <w:b w:val="0"/>
                      <w:bCs/>
                      <w:color w:val="auto"/>
                      <w:sz w:val="21"/>
                      <w:szCs w:val="21"/>
                      <w:highlight w:val="none"/>
                      <w:lang w:val="en-US" w:eastAsia="zh-CN"/>
                    </w:rPr>
                    <w:t>烟气采用1台</w:t>
                  </w:r>
                  <w:r>
                    <w:rPr>
                      <w:rFonts w:hint="eastAsia" w:cs="Times New Roman"/>
                      <w:b w:val="0"/>
                      <w:bCs/>
                      <w:color w:val="auto"/>
                      <w:sz w:val="21"/>
                      <w:szCs w:val="21"/>
                      <w:highlight w:val="none"/>
                      <w:lang w:val="en-US" w:eastAsia="zh-CN"/>
                    </w:rPr>
                    <w:t>旋风除尘器+1台脉冲式</w:t>
                  </w:r>
                  <w:r>
                    <w:rPr>
                      <w:rFonts w:hint="eastAsia" w:ascii="Times New Roman" w:hAnsi="Times New Roman" w:eastAsia="宋体" w:cs="Times New Roman"/>
                      <w:b w:val="0"/>
                      <w:bCs/>
                      <w:color w:val="auto"/>
                      <w:sz w:val="21"/>
                      <w:szCs w:val="21"/>
                      <w:highlight w:val="none"/>
                      <w:lang w:val="en-US" w:eastAsia="zh-CN"/>
                    </w:rPr>
                    <w:t>布袋除尘器</w:t>
                  </w:r>
                  <w:r>
                    <w:rPr>
                      <w:rFonts w:hint="eastAsia" w:cs="Times New Roman"/>
                      <w:b w:val="0"/>
                      <w:bCs/>
                      <w:color w:val="auto"/>
                      <w:sz w:val="21"/>
                      <w:szCs w:val="21"/>
                      <w:highlight w:val="none"/>
                      <w:lang w:val="en-US" w:eastAsia="zh-CN"/>
                    </w:rPr>
                    <w:t>（TA002）</w:t>
                  </w:r>
                  <w:r>
                    <w:rPr>
                      <w:rFonts w:hint="eastAsia" w:ascii="Times New Roman" w:hAnsi="Times New Roman" w:eastAsia="宋体" w:cs="Times New Roman"/>
                      <w:b w:val="0"/>
                      <w:bCs/>
                      <w:color w:val="auto"/>
                      <w:sz w:val="21"/>
                      <w:szCs w:val="21"/>
                      <w:highlight w:val="none"/>
                      <w:lang w:val="en-US" w:eastAsia="zh-CN"/>
                    </w:rPr>
                    <w:t>处理后经20m高排气筒（DA00</w:t>
                  </w:r>
                  <w:r>
                    <w:rPr>
                      <w:rFonts w:hint="eastAsia" w:cs="Times New Roman"/>
                      <w:b w:val="0"/>
                      <w:bCs/>
                      <w:color w:val="auto"/>
                      <w:sz w:val="21"/>
                      <w:szCs w:val="21"/>
                      <w:highlight w:val="none"/>
                      <w:lang w:val="en-US" w:eastAsia="zh-CN"/>
                    </w:rPr>
                    <w:t>9</w:t>
                  </w:r>
                  <w:r>
                    <w:rPr>
                      <w:rFonts w:hint="eastAsia" w:ascii="Times New Roman" w:hAnsi="Times New Roman" w:eastAsia="宋体" w:cs="Times New Roman"/>
                      <w:b w:val="0"/>
                      <w:bCs/>
                      <w:color w:val="auto"/>
                      <w:sz w:val="21"/>
                      <w:szCs w:val="21"/>
                      <w:highlight w:val="none"/>
                      <w:lang w:val="en-US" w:eastAsia="zh-CN"/>
                    </w:rPr>
                    <w:t>）排放</w:t>
                  </w:r>
                </w:p>
              </w:tc>
              <w:tc>
                <w:tcPr>
                  <w:tcW w:w="531" w:type="pct"/>
                  <w:tcBorders>
                    <w:tl2br w:val="nil"/>
                    <w:tr2bl w:val="nil"/>
                  </w:tcBorders>
                  <w:vAlign w:val="center"/>
                </w:tcPr>
                <w:p w14:paraId="08835A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52C1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4DB19B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28722E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shd w:val="clear" w:color="auto" w:fill="auto"/>
                  <w:vAlign w:val="center"/>
                </w:tcPr>
                <w:p w14:paraId="00DECC2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eastAsia="宋体"/>
                      <w:color w:val="auto"/>
                      <w:sz w:val="21"/>
                      <w:szCs w:val="21"/>
                      <w:highlight w:val="none"/>
                      <w:lang w:val="en-US" w:eastAsia="zh-CN"/>
                    </w:rPr>
                  </w:pPr>
                  <w:r>
                    <w:rPr>
                      <w:rFonts w:hint="eastAsia"/>
                      <w:bCs/>
                      <w:color w:val="auto"/>
                      <w:sz w:val="21"/>
                      <w:szCs w:val="21"/>
                      <w:highlight w:val="none"/>
                      <w:lang w:val="en-US" w:eastAsia="zh-CN"/>
                    </w:rPr>
                    <w:t>热压成型废气</w:t>
                  </w:r>
                </w:p>
              </w:tc>
              <w:tc>
                <w:tcPr>
                  <w:tcW w:w="3364" w:type="pct"/>
                  <w:tcBorders>
                    <w:tl2br w:val="nil"/>
                    <w:tr2bl w:val="nil"/>
                  </w:tcBorders>
                  <w:shd w:val="clear" w:color="auto" w:fill="auto"/>
                  <w:vAlign w:val="center"/>
                </w:tcPr>
                <w:p w14:paraId="39417D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default"/>
                      <w:bCs/>
                      <w:color w:val="auto"/>
                      <w:szCs w:val="21"/>
                      <w:highlight w:val="none"/>
                    </w:rPr>
                  </w:pPr>
                  <w:r>
                    <w:rPr>
                      <w:rFonts w:hint="eastAsia" w:cs="Times New Roman"/>
                      <w:b w:val="0"/>
                      <w:bCs/>
                      <w:color w:val="auto"/>
                      <w:sz w:val="21"/>
                      <w:szCs w:val="21"/>
                      <w:highlight w:val="none"/>
                      <w:lang w:val="en-US" w:eastAsia="zh-CN"/>
                    </w:rPr>
                    <w:t>每台热压成型机上方分别设置1个集气罩（共2个），对辊成型机上方设置集气管道，废气经收集引入布袋除尘器（TA003）处理后，由1根20m高排气筒（DA010）排放；</w:t>
                  </w:r>
                </w:p>
              </w:tc>
              <w:tc>
                <w:tcPr>
                  <w:tcW w:w="531" w:type="pct"/>
                  <w:tcBorders>
                    <w:tl2br w:val="nil"/>
                    <w:tr2bl w:val="nil"/>
                  </w:tcBorders>
                  <w:vAlign w:val="center"/>
                </w:tcPr>
                <w:p w14:paraId="187747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1D24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17A565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c>
                <w:tcPr>
                  <w:tcW w:w="215" w:type="pct"/>
                  <w:vMerge w:val="continue"/>
                  <w:tcBorders>
                    <w:tl2br w:val="nil"/>
                    <w:tr2bl w:val="nil"/>
                  </w:tcBorders>
                  <w:vAlign w:val="center"/>
                </w:tcPr>
                <w:p w14:paraId="7C2297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shd w:val="clear" w:color="auto" w:fill="auto"/>
                  <w:vAlign w:val="center"/>
                </w:tcPr>
                <w:p w14:paraId="5E222FD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eastAsia"/>
                      <w:bCs/>
                      <w:color w:val="auto"/>
                      <w:sz w:val="21"/>
                      <w:szCs w:val="21"/>
                      <w:highlight w:val="none"/>
                      <w:lang w:val="en-US" w:eastAsia="zh-CN"/>
                    </w:rPr>
                    <w:t>出料废气</w:t>
                  </w:r>
                </w:p>
              </w:tc>
              <w:tc>
                <w:tcPr>
                  <w:tcW w:w="3364" w:type="pct"/>
                  <w:tcBorders>
                    <w:tl2br w:val="nil"/>
                    <w:tr2bl w:val="nil"/>
                  </w:tcBorders>
                  <w:shd w:val="clear" w:color="auto" w:fill="auto"/>
                  <w:vAlign w:val="center"/>
                </w:tcPr>
                <w:p w14:paraId="0B78D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both"/>
                    <w:textAlignment w:val="auto"/>
                    <w:rPr>
                      <w:rFonts w:hint="eastAsia" w:ascii="Times New Roman" w:hAnsi="Times New Roman" w:eastAsia="宋体" w:cs="Times New Roman"/>
                      <w:color w:val="auto"/>
                      <w:spacing w:val="0"/>
                      <w:kern w:val="2"/>
                      <w:sz w:val="21"/>
                      <w:szCs w:val="21"/>
                      <w:highlight w:val="none"/>
                      <w:vertAlign w:val="baseline"/>
                      <w:lang w:val="en-US" w:eastAsia="zh-CN" w:bidi="ar-SA"/>
                    </w:rPr>
                  </w:pPr>
                  <w:r>
                    <w:rPr>
                      <w:rFonts w:hint="eastAsia" w:cs="Times New Roman"/>
                      <w:b w:val="0"/>
                      <w:bCs/>
                      <w:color w:val="auto"/>
                      <w:sz w:val="21"/>
                      <w:szCs w:val="21"/>
                      <w:highlight w:val="none"/>
                      <w:lang w:val="en-US" w:eastAsia="zh-CN"/>
                    </w:rPr>
                    <w:t>成品出料池上方各设置1个集气罩（共2个），废气经收集后引入1台布袋除尘器（TA004）处理后，由1根20m高排气筒（DA011）排放</w:t>
                  </w:r>
                </w:p>
              </w:tc>
              <w:tc>
                <w:tcPr>
                  <w:tcW w:w="531" w:type="pct"/>
                  <w:tcBorders>
                    <w:tl2br w:val="nil"/>
                    <w:tr2bl w:val="nil"/>
                  </w:tcBorders>
                  <w:vAlign w:val="center"/>
                </w:tcPr>
                <w:p w14:paraId="222561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eastAsia="zh-CN"/>
                    </w:rPr>
                  </w:pPr>
                  <w:r>
                    <w:rPr>
                      <w:rFonts w:hint="eastAsia" w:cs="Times New Roman"/>
                      <w:bCs/>
                      <w:color w:val="auto"/>
                      <w:spacing w:val="0"/>
                      <w:sz w:val="21"/>
                      <w:szCs w:val="21"/>
                      <w:highlight w:val="none"/>
                      <w:lang w:val="en-US" w:eastAsia="zh-CN"/>
                    </w:rPr>
                    <w:t>新建</w:t>
                  </w:r>
                </w:p>
              </w:tc>
            </w:tr>
            <w:tr w14:paraId="08BD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46B337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restart"/>
                  <w:tcBorders>
                    <w:tl2br w:val="nil"/>
                    <w:tr2bl w:val="nil"/>
                  </w:tcBorders>
                  <w:vAlign w:val="center"/>
                </w:tcPr>
                <w:p w14:paraId="7AD30A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废水</w:t>
                  </w:r>
                </w:p>
              </w:tc>
              <w:tc>
                <w:tcPr>
                  <w:tcW w:w="682" w:type="pct"/>
                  <w:tcBorders>
                    <w:tl2br w:val="nil"/>
                    <w:tr2bl w:val="nil"/>
                  </w:tcBorders>
                  <w:vAlign w:val="center"/>
                </w:tcPr>
                <w:p w14:paraId="22D803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生活污水</w:t>
                  </w:r>
                </w:p>
              </w:tc>
              <w:tc>
                <w:tcPr>
                  <w:tcW w:w="3364" w:type="pct"/>
                  <w:tcBorders>
                    <w:tl2br w:val="nil"/>
                    <w:tr2bl w:val="nil"/>
                  </w:tcBorders>
                  <w:vAlign w:val="center"/>
                </w:tcPr>
                <w:p w14:paraId="53E79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p>
              </w:tc>
              <w:tc>
                <w:tcPr>
                  <w:tcW w:w="531" w:type="pct"/>
                  <w:tcBorders>
                    <w:tl2br w:val="nil"/>
                    <w:tr2bl w:val="nil"/>
                  </w:tcBorders>
                  <w:vAlign w:val="center"/>
                </w:tcPr>
                <w:p w14:paraId="468DB3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w:t>
                  </w:r>
                </w:p>
              </w:tc>
            </w:tr>
            <w:tr w14:paraId="174C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354F91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796B86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vAlign w:val="center"/>
                </w:tcPr>
                <w:p w14:paraId="593953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循环冷却</w:t>
                  </w:r>
                </w:p>
                <w:p w14:paraId="0517FA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排污水</w:t>
                  </w:r>
                </w:p>
              </w:tc>
              <w:tc>
                <w:tcPr>
                  <w:tcW w:w="3364" w:type="pct"/>
                  <w:tcBorders>
                    <w:tl2br w:val="nil"/>
                    <w:tr2bl w:val="nil"/>
                  </w:tcBorders>
                  <w:vAlign w:val="center"/>
                </w:tcPr>
                <w:p w14:paraId="54171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zCs w:val="21"/>
                      <w:highlight w:val="none"/>
                    </w:rPr>
                  </w:pP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p>
              </w:tc>
              <w:tc>
                <w:tcPr>
                  <w:tcW w:w="531" w:type="pct"/>
                  <w:tcBorders>
                    <w:tl2br w:val="nil"/>
                    <w:tr2bl w:val="nil"/>
                  </w:tcBorders>
                  <w:vAlign w:val="center"/>
                </w:tcPr>
                <w:p w14:paraId="6A5857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w:t>
                  </w:r>
                </w:p>
              </w:tc>
            </w:tr>
            <w:tr w14:paraId="621E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5DB8CB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0A992E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82" w:type="pct"/>
                  <w:tcBorders>
                    <w:tl2br w:val="nil"/>
                    <w:tr2bl w:val="nil"/>
                  </w:tcBorders>
                  <w:vAlign w:val="center"/>
                </w:tcPr>
                <w:p w14:paraId="61FA74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初期雨水</w:t>
                  </w:r>
                </w:p>
              </w:tc>
              <w:tc>
                <w:tcPr>
                  <w:tcW w:w="3364" w:type="pct"/>
                  <w:tcBorders>
                    <w:tl2br w:val="nil"/>
                    <w:tr2bl w:val="nil"/>
                  </w:tcBorders>
                  <w:vAlign w:val="center"/>
                </w:tcPr>
                <w:p w14:paraId="7176F6B8">
                  <w:pPr>
                    <w:pStyle w:val="7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现有厂区东南角设置1座初期雨水收集池，容积为300m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，用于收集厂区前15min的初期雨水，后期雨水排入园区雨水管网</w:t>
                  </w:r>
                </w:p>
              </w:tc>
              <w:tc>
                <w:tcPr>
                  <w:tcW w:w="531" w:type="pct"/>
                  <w:tcBorders>
                    <w:tl2br w:val="nil"/>
                    <w:tr2bl w:val="nil"/>
                  </w:tcBorders>
                  <w:vAlign w:val="center"/>
                </w:tcPr>
                <w:p w14:paraId="621F5E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w:t>
                  </w:r>
                </w:p>
              </w:tc>
            </w:tr>
            <w:tr w14:paraId="608E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6A35D6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restart"/>
                  <w:tcBorders>
                    <w:tl2br w:val="nil"/>
                    <w:tr2bl w:val="nil"/>
                  </w:tcBorders>
                  <w:vAlign w:val="center"/>
                </w:tcPr>
                <w:p w14:paraId="21534E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固废</w:t>
                  </w:r>
                </w:p>
              </w:tc>
              <w:tc>
                <w:tcPr>
                  <w:tcW w:w="682" w:type="pct"/>
                  <w:tcBorders>
                    <w:tl2br w:val="nil"/>
                    <w:tr2bl w:val="nil"/>
                  </w:tcBorders>
                  <w:vAlign w:val="center"/>
                </w:tcPr>
                <w:p w14:paraId="43742E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除尘灰</w:t>
                  </w:r>
                </w:p>
              </w:tc>
              <w:tc>
                <w:tcPr>
                  <w:tcW w:w="3364" w:type="pct"/>
                  <w:tcBorders>
                    <w:tl2br w:val="nil"/>
                    <w:tr2bl w:val="nil"/>
                  </w:tcBorders>
                  <w:vAlign w:val="center"/>
                </w:tcPr>
                <w:p w14:paraId="1AC40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color w:val="auto"/>
                      <w:kern w:val="0"/>
                      <w:highlight w:val="none"/>
                    </w:rPr>
                    <w:t>暂存在生产车间内，定期外售废品收购站</w:t>
                  </w:r>
                </w:p>
              </w:tc>
              <w:tc>
                <w:tcPr>
                  <w:tcW w:w="531" w:type="pct"/>
                  <w:tcBorders>
                    <w:tl2br w:val="nil"/>
                    <w:tr2bl w:val="nil"/>
                  </w:tcBorders>
                  <w:vAlign w:val="center"/>
                </w:tcPr>
                <w:p w14:paraId="1FE7D0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2637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0BFE36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530BC9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vAlign w:val="center"/>
                </w:tcPr>
                <w:p w14:paraId="64AC11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废布袋</w:t>
                  </w:r>
                </w:p>
              </w:tc>
              <w:tc>
                <w:tcPr>
                  <w:tcW w:w="3364" w:type="pct"/>
                  <w:tcBorders>
                    <w:tl2br w:val="nil"/>
                    <w:tr2bl w:val="nil"/>
                  </w:tcBorders>
                  <w:vAlign w:val="center"/>
                </w:tcPr>
                <w:p w14:paraId="4A469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kern w:val="0"/>
                      <w:highlight w:val="none"/>
                    </w:rPr>
                  </w:pPr>
                  <w:r>
                    <w:rPr>
                      <w:rFonts w:hint="eastAsia"/>
                      <w:color w:val="auto"/>
                      <w:kern w:val="0"/>
                      <w:highlight w:val="none"/>
                      <w:lang w:val="en-US" w:eastAsia="zh-CN"/>
                    </w:rPr>
                    <w:t>每2年更换一次，由厂家回收处理</w:t>
                  </w:r>
                </w:p>
              </w:tc>
              <w:tc>
                <w:tcPr>
                  <w:tcW w:w="531" w:type="pct"/>
                  <w:tcBorders>
                    <w:tl2br w:val="nil"/>
                    <w:tr2bl w:val="nil"/>
                  </w:tcBorders>
                  <w:vAlign w:val="center"/>
                </w:tcPr>
                <w:p w14:paraId="54E9D1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05D1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517EE6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2608CF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82" w:type="pct"/>
                  <w:tcBorders>
                    <w:tl2br w:val="nil"/>
                    <w:tr2bl w:val="nil"/>
                  </w:tcBorders>
                  <w:vAlign w:val="center"/>
                </w:tcPr>
                <w:p w14:paraId="151DA4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废边角料</w:t>
                  </w:r>
                </w:p>
              </w:tc>
              <w:tc>
                <w:tcPr>
                  <w:tcW w:w="3364" w:type="pct"/>
                  <w:tcBorders>
                    <w:tl2br w:val="nil"/>
                    <w:tr2bl w:val="nil"/>
                  </w:tcBorders>
                  <w:vAlign w:val="center"/>
                </w:tcPr>
                <w:p w14:paraId="5C79A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olor w:val="auto"/>
                      <w:kern w:val="0"/>
                      <w:highlight w:val="none"/>
                      <w:lang w:val="en-US" w:eastAsia="zh-CN"/>
                    </w:rPr>
                  </w:pPr>
                  <w:r>
                    <w:rPr>
                      <w:rFonts w:hint="default"/>
                      <w:color w:val="auto"/>
                      <w:kern w:val="0"/>
                      <w:highlight w:val="none"/>
                    </w:rPr>
                    <w:t>暂存在生产车间内，</w:t>
                  </w:r>
                  <w:r>
                    <w:rPr>
                      <w:rFonts w:hint="eastAsia"/>
                      <w:color w:val="auto"/>
                      <w:kern w:val="0"/>
                      <w:highlight w:val="none"/>
                      <w:lang w:val="en-US" w:eastAsia="zh-CN"/>
                    </w:rPr>
                    <w:t>收集后外售</w:t>
                  </w:r>
                  <w:r>
                    <w:rPr>
                      <w:rFonts w:hint="default"/>
                      <w:color w:val="auto"/>
                      <w:kern w:val="0"/>
                      <w:highlight w:val="none"/>
                    </w:rPr>
                    <w:t>品收购站</w:t>
                  </w:r>
                </w:p>
              </w:tc>
              <w:tc>
                <w:tcPr>
                  <w:tcW w:w="531" w:type="pct"/>
                  <w:tcBorders>
                    <w:tl2br w:val="nil"/>
                    <w:tr2bl w:val="nil"/>
                  </w:tcBorders>
                  <w:vAlign w:val="center"/>
                </w:tcPr>
                <w:p w14:paraId="059D19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1D22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28A216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7AA313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82" w:type="pct"/>
                  <w:tcBorders>
                    <w:tl2br w:val="nil"/>
                    <w:tr2bl w:val="nil"/>
                  </w:tcBorders>
                  <w:vAlign w:val="center"/>
                </w:tcPr>
                <w:p w14:paraId="5119B8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生活垃圾</w:t>
                  </w:r>
                </w:p>
              </w:tc>
              <w:tc>
                <w:tcPr>
                  <w:tcW w:w="3364" w:type="pct"/>
                  <w:tcBorders>
                    <w:tl2br w:val="nil"/>
                    <w:tr2bl w:val="nil"/>
                  </w:tcBorders>
                  <w:vAlign w:val="center"/>
                </w:tcPr>
                <w:p w14:paraId="4B336F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厂区内设置分类垃圾桶，定期送至当地环卫部门指定地点处置</w:t>
                  </w:r>
                </w:p>
              </w:tc>
              <w:tc>
                <w:tcPr>
                  <w:tcW w:w="531" w:type="pct"/>
                  <w:tcBorders>
                    <w:tl2br w:val="nil"/>
                    <w:tr2bl w:val="nil"/>
                  </w:tcBorders>
                  <w:vAlign w:val="center"/>
                </w:tcPr>
                <w:p w14:paraId="375AE7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r w14:paraId="34F0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3E4D4D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vMerge w:val="continue"/>
                  <w:tcBorders>
                    <w:tl2br w:val="nil"/>
                    <w:tr2bl w:val="nil"/>
                  </w:tcBorders>
                  <w:vAlign w:val="center"/>
                </w:tcPr>
                <w:p w14:paraId="05338F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82" w:type="pct"/>
                  <w:tcBorders>
                    <w:tl2br w:val="nil"/>
                    <w:tr2bl w:val="nil"/>
                  </w:tcBorders>
                  <w:vAlign w:val="center"/>
                </w:tcPr>
                <w:p w14:paraId="5F151D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rPr>
                  </w:pPr>
                  <w:r>
                    <w:rPr>
                      <w:rFonts w:hint="default" w:ascii="Times New Roman" w:hAnsi="Times New Roman" w:eastAsia="宋体" w:cs="Times New Roman"/>
                      <w:color w:val="auto"/>
                      <w:sz w:val="21"/>
                      <w:szCs w:val="21"/>
                      <w:highlight w:val="none"/>
                      <w:lang w:val="en-US" w:eastAsia="zh-CN"/>
                    </w:rPr>
                    <w:t>废矿物油</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pacing w:val="0"/>
                      <w:kern w:val="2"/>
                      <w:sz w:val="21"/>
                      <w:szCs w:val="21"/>
                      <w:highlight w:val="none"/>
                      <w:lang w:val="en-US" w:eastAsia="zh-CN" w:bidi="ar-SA"/>
                    </w:rPr>
                    <w:t>废液压油、废润滑油、</w:t>
                  </w:r>
                  <w:r>
                    <w:rPr>
                      <w:rFonts w:hint="eastAsia" w:ascii="Times New Roman" w:hAnsi="Times New Roman" w:eastAsia="宋体" w:cs="Times New Roman"/>
                      <w:color w:val="auto"/>
                      <w:sz w:val="21"/>
                      <w:szCs w:val="21"/>
                      <w:highlight w:val="none"/>
                      <w:lang w:val="en-US" w:eastAsia="zh-CN"/>
                    </w:rPr>
                    <w:t>废油桶</w:t>
                  </w:r>
                </w:p>
              </w:tc>
              <w:tc>
                <w:tcPr>
                  <w:tcW w:w="3364" w:type="pct"/>
                  <w:tcBorders>
                    <w:tl2br w:val="nil"/>
                    <w:tr2bl w:val="nil"/>
                  </w:tcBorders>
                  <w:vAlign w:val="center"/>
                </w:tcPr>
                <w:p w14:paraId="377F9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spacing w:val="0"/>
                      <w:sz w:val="21"/>
                      <w:szCs w:val="21"/>
                      <w:highlight w:val="none"/>
                      <w:lang w:val="en-US" w:eastAsia="zh-CN"/>
                    </w:rPr>
                  </w:pPr>
                  <w:r>
                    <w:rPr>
                      <w:rFonts w:hint="eastAsia"/>
                      <w:color w:val="auto"/>
                      <w:szCs w:val="21"/>
                      <w:highlight w:val="none"/>
                      <w:lang w:val="en-US" w:eastAsia="zh-CN"/>
                    </w:rPr>
                    <w:t>依托</w:t>
                  </w:r>
                  <w:r>
                    <w:rPr>
                      <w:rFonts w:hint="default"/>
                      <w:color w:val="auto"/>
                      <w:szCs w:val="21"/>
                      <w:highlight w:val="none"/>
                    </w:rPr>
                    <w:t>厂区东南</w:t>
                  </w:r>
                  <w:r>
                    <w:rPr>
                      <w:rFonts w:hint="eastAsia"/>
                      <w:color w:val="auto"/>
                      <w:szCs w:val="21"/>
                      <w:highlight w:val="none"/>
                      <w:lang w:val="en-US" w:eastAsia="zh-CN"/>
                    </w:rPr>
                    <w:t>现有1座占地面积约500m</w:t>
                  </w:r>
                  <w:r>
                    <w:rPr>
                      <w:rFonts w:hint="eastAsia"/>
                      <w:color w:val="auto"/>
                      <w:szCs w:val="21"/>
                      <w:highlight w:val="none"/>
                      <w:vertAlign w:val="superscript"/>
                      <w:lang w:val="en-US" w:eastAsia="zh-CN"/>
                    </w:rPr>
                    <w:t>2</w:t>
                  </w:r>
                  <w:r>
                    <w:rPr>
                      <w:rFonts w:hint="default"/>
                      <w:color w:val="auto"/>
                      <w:szCs w:val="21"/>
                      <w:highlight w:val="none"/>
                    </w:rPr>
                    <w:t>危废</w:t>
                  </w:r>
                  <w:r>
                    <w:rPr>
                      <w:rFonts w:hint="eastAsia"/>
                      <w:color w:val="auto"/>
                      <w:szCs w:val="21"/>
                      <w:highlight w:val="none"/>
                      <w:lang w:val="en-US" w:eastAsia="zh-CN"/>
                    </w:rPr>
                    <w:t>贮存库</w:t>
                  </w:r>
                  <w:r>
                    <w:rPr>
                      <w:rFonts w:hint="eastAsia" w:cs="Times New Roman"/>
                      <w:color w:val="auto"/>
                      <w:spacing w:val="0"/>
                      <w:sz w:val="21"/>
                      <w:szCs w:val="21"/>
                      <w:highlight w:val="none"/>
                      <w:vertAlign w:val="baseline"/>
                      <w:lang w:val="en-US" w:eastAsia="zh-CN"/>
                    </w:rPr>
                    <w:t>，入口设置20mm围堰，库内地面已做硬化及防渗处理，</w:t>
                  </w:r>
                  <w:r>
                    <w:rPr>
                      <w:rFonts w:hint="default"/>
                      <w:color w:val="auto"/>
                      <w:szCs w:val="21"/>
                      <w:highlight w:val="none"/>
                    </w:rPr>
                    <w:t>设置导流槽、集液池，</w:t>
                  </w:r>
                  <w:r>
                    <w:rPr>
                      <w:rFonts w:hint="default"/>
                      <w:color w:val="auto"/>
                      <w:kern w:val="0"/>
                      <w:szCs w:val="21"/>
                      <w:highlight w:val="none"/>
                    </w:rPr>
                    <w:t>各类危废进行分区存放</w:t>
                  </w:r>
                  <w:r>
                    <w:rPr>
                      <w:rFonts w:hint="default" w:ascii="Times New Roman" w:hAnsi="Times New Roman" w:eastAsia="宋体" w:cs="Times New Roman"/>
                      <w:color w:val="auto"/>
                      <w:spacing w:val="0"/>
                      <w:sz w:val="21"/>
                      <w:szCs w:val="21"/>
                      <w:highlight w:val="none"/>
                      <w:lang w:val="en-US" w:eastAsia="zh-CN"/>
                    </w:rPr>
                    <w:t>，在废油液贮存区上方设置集气罩，废气由引风管引入一套活性炭吸附装置进行净化处理后经15m高排气筒排放</w:t>
                  </w:r>
                  <w:r>
                    <w:rPr>
                      <w:rFonts w:hint="eastAsia" w:cs="Times New Roman"/>
                      <w:color w:val="auto"/>
                      <w:spacing w:val="0"/>
                      <w:sz w:val="21"/>
                      <w:szCs w:val="21"/>
                      <w:highlight w:val="none"/>
                      <w:lang w:val="en-US" w:eastAsia="zh-CN"/>
                    </w:rPr>
                    <w:t>。本项目产生的</w:t>
                  </w:r>
                  <w:r>
                    <w:rPr>
                      <w:rFonts w:hint="eastAsia" w:cs="Times New Roman"/>
                      <w:color w:val="auto"/>
                      <w:spacing w:val="0"/>
                      <w:sz w:val="21"/>
                      <w:szCs w:val="21"/>
                      <w:highlight w:val="none"/>
                      <w:vertAlign w:val="baseline"/>
                      <w:lang w:val="en-US" w:eastAsia="zh-CN"/>
                    </w:rPr>
                    <w:t>废矿物油、</w:t>
                  </w:r>
                  <w:r>
                    <w:rPr>
                      <w:rFonts w:hint="eastAsia" w:cs="Times New Roman"/>
                      <w:color w:val="auto"/>
                      <w:spacing w:val="0"/>
                      <w:kern w:val="2"/>
                      <w:sz w:val="21"/>
                      <w:szCs w:val="21"/>
                      <w:highlight w:val="none"/>
                      <w:lang w:val="en-US" w:eastAsia="zh-CN" w:bidi="ar-SA"/>
                    </w:rPr>
                    <w:t>废液压油、废润滑油、</w:t>
                  </w:r>
                  <w:r>
                    <w:rPr>
                      <w:rFonts w:hint="eastAsia" w:ascii="Times New Roman" w:hAnsi="Times New Roman" w:eastAsia="宋体" w:cs="Times New Roman"/>
                      <w:color w:val="auto"/>
                      <w:sz w:val="21"/>
                      <w:szCs w:val="21"/>
                      <w:highlight w:val="none"/>
                      <w:lang w:val="en-US" w:eastAsia="zh-CN"/>
                    </w:rPr>
                    <w:t>废油桶</w:t>
                  </w:r>
                  <w:r>
                    <w:rPr>
                      <w:rFonts w:hint="eastAsia" w:cs="Times New Roman"/>
                      <w:color w:val="auto"/>
                      <w:spacing w:val="0"/>
                      <w:sz w:val="21"/>
                      <w:szCs w:val="21"/>
                      <w:highlight w:val="none"/>
                      <w:vertAlign w:val="baseline"/>
                      <w:lang w:val="en-US" w:eastAsia="zh-CN"/>
                    </w:rPr>
                    <w:t>分区</w:t>
                  </w:r>
                  <w:r>
                    <w:rPr>
                      <w:rFonts w:hint="default" w:ascii="Times New Roman" w:hAnsi="Times New Roman" w:eastAsia="宋体" w:cs="Times New Roman"/>
                      <w:color w:val="auto"/>
                      <w:spacing w:val="0"/>
                      <w:sz w:val="21"/>
                      <w:szCs w:val="21"/>
                      <w:highlight w:val="none"/>
                      <w:lang w:val="en-US" w:eastAsia="zh-CN"/>
                    </w:rPr>
                    <w:t>暂存于</w:t>
                  </w:r>
                  <w:r>
                    <w:rPr>
                      <w:rFonts w:hint="eastAsia" w:ascii="Times New Roman" w:hAnsi="Times New Roman" w:eastAsia="宋体" w:cs="Times New Roman"/>
                      <w:color w:val="auto"/>
                      <w:spacing w:val="0"/>
                      <w:sz w:val="21"/>
                      <w:szCs w:val="21"/>
                      <w:highlight w:val="none"/>
                      <w:lang w:val="en-US" w:eastAsia="zh-CN"/>
                    </w:rPr>
                    <w:t>危废贮存</w:t>
                  </w:r>
                  <w:r>
                    <w:rPr>
                      <w:rFonts w:hint="eastAsia" w:cs="Times New Roman"/>
                      <w:color w:val="auto"/>
                      <w:spacing w:val="0"/>
                      <w:sz w:val="21"/>
                      <w:szCs w:val="21"/>
                      <w:highlight w:val="none"/>
                      <w:vertAlign w:val="baseline"/>
                      <w:lang w:val="en-US" w:eastAsia="zh-CN"/>
                    </w:rPr>
                    <w:t>库内</w:t>
                  </w:r>
                  <w:r>
                    <w:rPr>
                      <w:rFonts w:hint="default"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定期委托有资质单位处置</w:t>
                  </w:r>
                </w:p>
              </w:tc>
              <w:tc>
                <w:tcPr>
                  <w:tcW w:w="531" w:type="pct"/>
                  <w:tcBorders>
                    <w:tl2br w:val="nil"/>
                    <w:tr2bl w:val="nil"/>
                  </w:tcBorders>
                  <w:shd w:val="clear" w:color="auto" w:fill="auto"/>
                  <w:vAlign w:val="center"/>
                </w:tcPr>
                <w:p w14:paraId="3329D1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新建</w:t>
                  </w:r>
                </w:p>
                <w:p w14:paraId="7430B0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（构筑物依托现有）</w:t>
                  </w:r>
                </w:p>
              </w:tc>
            </w:tr>
            <w:tr w14:paraId="611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205" w:type="pct"/>
                  <w:vMerge w:val="continue"/>
                  <w:tcBorders>
                    <w:tl2br w:val="nil"/>
                    <w:tr2bl w:val="nil"/>
                  </w:tcBorders>
                  <w:vAlign w:val="center"/>
                </w:tcPr>
                <w:p w14:paraId="5C898D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15" w:type="pct"/>
                  <w:tcBorders>
                    <w:tl2br w:val="nil"/>
                    <w:tr2bl w:val="nil"/>
                  </w:tcBorders>
                  <w:vAlign w:val="center"/>
                </w:tcPr>
                <w:p w14:paraId="69A08E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噪声</w:t>
                  </w:r>
                </w:p>
              </w:tc>
              <w:tc>
                <w:tcPr>
                  <w:tcW w:w="682" w:type="pct"/>
                  <w:tcBorders>
                    <w:tl2br w:val="nil"/>
                    <w:tr2bl w:val="nil"/>
                  </w:tcBorders>
                  <w:vAlign w:val="center"/>
                </w:tcPr>
                <w:p w14:paraId="5FE119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rPr>
                    <w:t>生产设备</w:t>
                  </w:r>
                </w:p>
              </w:tc>
              <w:tc>
                <w:tcPr>
                  <w:tcW w:w="3364" w:type="pct"/>
                  <w:tcBorders>
                    <w:tl2br w:val="nil"/>
                    <w:tr2bl w:val="nil"/>
                  </w:tcBorders>
                  <w:vAlign w:val="center"/>
                </w:tcPr>
                <w:p w14:paraId="25308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spacing w:val="0"/>
                      <w:kern w:val="2"/>
                      <w:sz w:val="21"/>
                      <w:szCs w:val="21"/>
                      <w:highlight w:val="none"/>
                      <w:lang w:val="en-US" w:eastAsia="zh-CN" w:bidi="ar-SA"/>
                    </w:rPr>
                  </w:pPr>
                  <w:r>
                    <w:rPr>
                      <w:rFonts w:hint="default" w:ascii="Times New Roman" w:hAnsi="Times New Roman" w:cs="Times New Roman"/>
                      <w:bCs/>
                      <w:color w:val="auto"/>
                      <w:spacing w:val="0"/>
                      <w:sz w:val="21"/>
                      <w:szCs w:val="21"/>
                      <w:highlight w:val="none"/>
                    </w:rPr>
                    <w:t>选用低噪声设备，高噪音设备做基础减振、柔性连接，厂房隔声等，保持设备运行良好；车辆限速行驶，减少鸣笛</w:t>
                  </w:r>
                </w:p>
              </w:tc>
              <w:tc>
                <w:tcPr>
                  <w:tcW w:w="531" w:type="pct"/>
                  <w:tcBorders>
                    <w:tl2br w:val="nil"/>
                    <w:tr2bl w:val="nil"/>
                  </w:tcBorders>
                  <w:vAlign w:val="center"/>
                </w:tcPr>
                <w:p w14:paraId="0063FE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新建</w:t>
                  </w:r>
                </w:p>
              </w:tc>
            </w:tr>
          </w:tbl>
          <w:p w14:paraId="13D611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iCs/>
                <w:snapToGrid w:val="0"/>
                <w:color w:val="auto"/>
                <w:spacing w:val="0"/>
                <w:kern w:val="0"/>
                <w:sz w:val="21"/>
                <w:szCs w:val="21"/>
                <w:highlight w:val="none"/>
                <w:lang w:val="en-US" w:eastAsia="zh-CN" w:bidi="ar-SA"/>
              </w:rPr>
            </w:pPr>
            <w:r>
              <w:rPr>
                <w:rFonts w:hint="default" w:ascii="Times New Roman" w:hAnsi="Times New Roman" w:eastAsia="宋体" w:cs="Times New Roman"/>
                <w:b/>
                <w:bCs/>
                <w:iCs/>
                <w:snapToGrid w:val="0"/>
                <w:color w:val="auto"/>
                <w:spacing w:val="0"/>
                <w:kern w:val="0"/>
                <w:sz w:val="21"/>
                <w:szCs w:val="21"/>
                <w:highlight w:val="none"/>
                <w:lang w:val="en-US" w:eastAsia="zh-CN" w:bidi="ar-SA"/>
              </w:rPr>
              <w:t>表2-</w:t>
            </w:r>
            <w:r>
              <w:rPr>
                <w:rFonts w:hint="eastAsia" w:ascii="Times New Roman" w:hAnsi="Times New Roman" w:eastAsia="宋体" w:cs="Times New Roman"/>
                <w:b/>
                <w:bCs/>
                <w:iCs/>
                <w:snapToGrid w:val="0"/>
                <w:color w:val="auto"/>
                <w:spacing w:val="0"/>
                <w:kern w:val="0"/>
                <w:sz w:val="21"/>
                <w:szCs w:val="21"/>
                <w:highlight w:val="none"/>
                <w:lang w:val="en-US" w:eastAsia="zh-CN" w:bidi="ar-SA"/>
              </w:rPr>
              <w:t>2</w:t>
            </w:r>
            <w:r>
              <w:rPr>
                <w:rFonts w:hint="default" w:ascii="Times New Roman" w:hAnsi="Times New Roman" w:eastAsia="宋体" w:cs="Times New Roman"/>
                <w:b/>
                <w:bCs/>
                <w:iCs/>
                <w:snapToGrid w:val="0"/>
                <w:color w:val="auto"/>
                <w:spacing w:val="0"/>
                <w:kern w:val="0"/>
                <w:sz w:val="21"/>
                <w:szCs w:val="21"/>
                <w:highlight w:val="none"/>
                <w:lang w:val="en-US" w:eastAsia="zh-CN" w:bidi="ar-SA"/>
              </w:rPr>
              <w:t xml:space="preserve">  </w:t>
            </w:r>
            <w:r>
              <w:rPr>
                <w:rFonts w:hint="eastAsia" w:ascii="Times New Roman" w:hAnsi="Times New Roman" w:eastAsia="宋体" w:cs="Times New Roman"/>
                <w:b/>
                <w:bCs/>
                <w:iCs/>
                <w:snapToGrid w:val="0"/>
                <w:color w:val="auto"/>
                <w:spacing w:val="0"/>
                <w:kern w:val="0"/>
                <w:sz w:val="21"/>
                <w:szCs w:val="21"/>
                <w:highlight w:val="none"/>
                <w:lang w:val="en-US" w:eastAsia="zh-CN" w:bidi="ar-SA"/>
              </w:rPr>
              <w:t>依托工程</w:t>
            </w:r>
            <w:r>
              <w:rPr>
                <w:rFonts w:hint="default" w:ascii="Times New Roman" w:hAnsi="Times New Roman" w:eastAsia="宋体" w:cs="Times New Roman"/>
                <w:b/>
                <w:bCs/>
                <w:iCs/>
                <w:snapToGrid w:val="0"/>
                <w:color w:val="auto"/>
                <w:spacing w:val="0"/>
                <w:kern w:val="0"/>
                <w:sz w:val="21"/>
                <w:szCs w:val="21"/>
                <w:highlight w:val="none"/>
                <w:lang w:val="en-US" w:eastAsia="zh-CN" w:bidi="ar-SA"/>
              </w:rPr>
              <w:t>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0"/>
              <w:gridCol w:w="453"/>
              <w:gridCol w:w="1195"/>
              <w:gridCol w:w="6015"/>
              <w:gridCol w:w="938"/>
            </w:tblGrid>
            <w:tr w14:paraId="765C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tcBorders>
                    <w:tl2br w:val="nil"/>
                    <w:tr2bl w:val="nil"/>
                  </w:tcBorders>
                  <w:vAlign w:val="center"/>
                </w:tcPr>
                <w:p w14:paraId="2D391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类别</w:t>
                  </w:r>
                </w:p>
              </w:tc>
              <w:tc>
                <w:tcPr>
                  <w:tcW w:w="660" w:type="pct"/>
                  <w:tcBorders>
                    <w:tl2br w:val="nil"/>
                    <w:tr2bl w:val="nil"/>
                  </w:tcBorders>
                  <w:vAlign w:val="center"/>
                </w:tcPr>
                <w:p w14:paraId="2E5FC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项目</w:t>
                  </w:r>
                </w:p>
              </w:tc>
              <w:tc>
                <w:tcPr>
                  <w:tcW w:w="3322" w:type="pct"/>
                  <w:tcBorders>
                    <w:tl2br w:val="nil"/>
                    <w:tr2bl w:val="nil"/>
                  </w:tcBorders>
                  <w:vAlign w:val="center"/>
                </w:tcPr>
                <w:p w14:paraId="28DE40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内容</w:t>
                  </w:r>
                </w:p>
              </w:tc>
              <w:tc>
                <w:tcPr>
                  <w:tcW w:w="518" w:type="pct"/>
                  <w:tcBorders>
                    <w:tl2br w:val="nil"/>
                    <w:tr2bl w:val="nil"/>
                  </w:tcBorders>
                  <w:vAlign w:val="center"/>
                </w:tcPr>
                <w:p w14:paraId="0F6107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备注</w:t>
                  </w:r>
                </w:p>
              </w:tc>
            </w:tr>
            <w:tr w14:paraId="18B1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tcBorders>
                    <w:tl2br w:val="nil"/>
                    <w:tr2bl w:val="nil"/>
                  </w:tcBorders>
                  <w:vAlign w:val="center"/>
                </w:tcPr>
                <w:p w14:paraId="4AECC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主体</w:t>
                  </w:r>
                </w:p>
                <w:p w14:paraId="21EB2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color w:val="auto"/>
                      <w:spacing w:val="0"/>
                      <w:sz w:val="21"/>
                      <w:szCs w:val="21"/>
                      <w:highlight w:val="none"/>
                    </w:rPr>
                    <w:t>工程</w:t>
                  </w:r>
                </w:p>
              </w:tc>
              <w:tc>
                <w:tcPr>
                  <w:tcW w:w="660" w:type="pct"/>
                  <w:tcBorders>
                    <w:tl2br w:val="nil"/>
                    <w:tr2bl w:val="nil"/>
                  </w:tcBorders>
                  <w:vAlign w:val="center"/>
                </w:tcPr>
                <w:p w14:paraId="7052E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生产</w:t>
                  </w:r>
                  <w:r>
                    <w:rPr>
                      <w:rFonts w:hint="eastAsia" w:cs="Times New Roman"/>
                      <w:color w:val="auto"/>
                      <w:spacing w:val="0"/>
                      <w:sz w:val="21"/>
                      <w:szCs w:val="21"/>
                      <w:highlight w:val="none"/>
                      <w:lang w:val="en-US" w:eastAsia="zh-CN"/>
                    </w:rPr>
                    <w:t>区</w:t>
                  </w:r>
                </w:p>
              </w:tc>
              <w:tc>
                <w:tcPr>
                  <w:tcW w:w="3322" w:type="pct"/>
                  <w:tcBorders>
                    <w:tl2br w:val="nil"/>
                    <w:tr2bl w:val="nil"/>
                  </w:tcBorders>
                  <w:vAlign w:val="center"/>
                </w:tcPr>
                <w:p w14:paraId="01A93A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bCs/>
                      <w:color w:val="auto"/>
                      <w:spacing w:val="0"/>
                      <w:sz w:val="21"/>
                      <w:szCs w:val="21"/>
                      <w:highlight w:val="none"/>
                    </w:rPr>
                  </w:pPr>
                  <w:r>
                    <w:rPr>
                      <w:rFonts w:hint="eastAsia" w:cs="Times New Roman"/>
                      <w:color w:val="auto"/>
                      <w:spacing w:val="0"/>
                      <w:sz w:val="21"/>
                      <w:szCs w:val="21"/>
                      <w:highlight w:val="none"/>
                      <w:lang w:val="en-US" w:eastAsia="zh-CN"/>
                    </w:rPr>
                    <w:t>位于厂区现有1#厂房内北侧，占地面积约8355</w:t>
                  </w:r>
                  <w:r>
                    <w:rPr>
                      <w:rFonts w:hint="default" w:ascii="Times New Roman" w:hAnsi="Times New Roman" w:cs="Times New Roman"/>
                      <w:color w:val="auto"/>
                      <w:spacing w:val="0"/>
                      <w:szCs w:val="21"/>
                      <w:highlight w:val="none"/>
                    </w:rPr>
                    <w:t>m</w:t>
                  </w:r>
                  <w:r>
                    <w:rPr>
                      <w:rFonts w:hint="default" w:ascii="Times New Roman" w:hAnsi="Times New Roman" w:cs="Times New Roman"/>
                      <w:color w:val="auto"/>
                      <w:spacing w:val="0"/>
                      <w:szCs w:val="21"/>
                      <w:highlight w:val="none"/>
                      <w:vertAlign w:val="superscript"/>
                    </w:rPr>
                    <w:t>2</w:t>
                  </w:r>
                  <w:r>
                    <w:rPr>
                      <w:rFonts w:hint="default" w:ascii="Times New Roman" w:hAnsi="Times New Roman" w:cs="Times New Roman"/>
                      <w:color w:val="auto"/>
                      <w:spacing w:val="0"/>
                      <w:kern w:val="0"/>
                      <w:szCs w:val="21"/>
                      <w:highlight w:val="none"/>
                    </w:rPr>
                    <w:t>，</w:t>
                  </w:r>
                  <w:r>
                    <w:rPr>
                      <w:rFonts w:hint="eastAsia"/>
                      <w:color w:val="auto"/>
                      <w:kern w:val="0"/>
                      <w:sz w:val="21"/>
                      <w:szCs w:val="21"/>
                      <w:highlight w:val="none"/>
                      <w:lang w:val="en-US" w:eastAsia="zh-CN"/>
                    </w:rPr>
                    <w:t>全封闭</w:t>
                  </w:r>
                  <w:r>
                    <w:rPr>
                      <w:rFonts w:hint="default"/>
                      <w:color w:val="auto"/>
                      <w:kern w:val="0"/>
                      <w:sz w:val="21"/>
                      <w:szCs w:val="21"/>
                      <w:highlight w:val="none"/>
                    </w:rPr>
                    <w:t>钢</w:t>
                  </w:r>
                  <w:r>
                    <w:rPr>
                      <w:rFonts w:hint="eastAsia"/>
                      <w:color w:val="auto"/>
                      <w:kern w:val="0"/>
                      <w:sz w:val="21"/>
                      <w:szCs w:val="21"/>
                      <w:highlight w:val="none"/>
                      <w:lang w:val="en-US" w:eastAsia="zh-CN"/>
                    </w:rPr>
                    <w:t>混</w:t>
                  </w:r>
                  <w:r>
                    <w:rPr>
                      <w:rFonts w:hint="default"/>
                      <w:color w:val="auto"/>
                      <w:kern w:val="0"/>
                      <w:sz w:val="21"/>
                      <w:szCs w:val="21"/>
                      <w:highlight w:val="none"/>
                    </w:rPr>
                    <w:t>结构，</w:t>
                  </w:r>
                  <w:r>
                    <w:rPr>
                      <w:rFonts w:hint="eastAsia"/>
                      <w:color w:val="auto"/>
                      <w:kern w:val="0"/>
                      <w:sz w:val="21"/>
                      <w:szCs w:val="21"/>
                      <w:highlight w:val="none"/>
                      <w:lang w:val="en-US" w:eastAsia="zh-CN"/>
                    </w:rPr>
                    <w:t>厂房内地面已做硬化处理</w:t>
                  </w:r>
                  <w:r>
                    <w:rPr>
                      <w:rFonts w:hint="eastAsia"/>
                      <w:color w:val="auto"/>
                      <w:szCs w:val="21"/>
                      <w:highlight w:val="none"/>
                      <w:lang w:eastAsia="zh-CN"/>
                    </w:rPr>
                    <w:t>。</w:t>
                  </w:r>
                  <w:r>
                    <w:rPr>
                      <w:rFonts w:hint="eastAsia"/>
                      <w:color w:val="auto"/>
                      <w:szCs w:val="21"/>
                      <w:highlight w:val="none"/>
                      <w:lang w:val="en-US" w:eastAsia="zh-CN"/>
                    </w:rPr>
                    <w:t>拟在厂房</w:t>
                  </w:r>
                  <w:r>
                    <w:rPr>
                      <w:rFonts w:hint="eastAsia"/>
                      <w:color w:val="auto"/>
                      <w:kern w:val="0"/>
                      <w:sz w:val="21"/>
                      <w:szCs w:val="21"/>
                      <w:highlight w:val="none"/>
                      <w:lang w:val="en-US" w:eastAsia="zh-CN"/>
                    </w:rPr>
                    <w:t>内建设1条处理能力达30万吨环保热熔压饼生产线，配套设置1台回转窑</w:t>
                  </w:r>
                  <w:r>
                    <w:rPr>
                      <w:rFonts w:hint="default"/>
                      <w:color w:val="auto"/>
                      <w:kern w:val="0"/>
                      <w:sz w:val="21"/>
                      <w:szCs w:val="21"/>
                      <w:highlight w:val="none"/>
                    </w:rPr>
                    <w:t>、</w:t>
                  </w:r>
                  <w:r>
                    <w:rPr>
                      <w:rFonts w:hint="eastAsia"/>
                      <w:color w:val="auto"/>
                      <w:kern w:val="0"/>
                      <w:sz w:val="21"/>
                      <w:szCs w:val="21"/>
                      <w:highlight w:val="none"/>
                      <w:lang w:val="en-US" w:eastAsia="zh-CN"/>
                    </w:rPr>
                    <w:t>2台热压成型机、1台高温对辊成型机、皮带输送机等设备</w:t>
                  </w:r>
                </w:p>
              </w:tc>
              <w:tc>
                <w:tcPr>
                  <w:tcW w:w="518" w:type="pct"/>
                  <w:tcBorders>
                    <w:tl2br w:val="nil"/>
                    <w:tr2bl w:val="nil"/>
                  </w:tcBorders>
                  <w:vAlign w:val="center"/>
                </w:tcPr>
                <w:p w14:paraId="2BBCA2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eastAsia" w:cs="Times New Roman"/>
                      <w:color w:val="auto"/>
                      <w:spacing w:val="0"/>
                      <w:kern w:val="2"/>
                      <w:sz w:val="21"/>
                      <w:szCs w:val="21"/>
                      <w:highlight w:val="none"/>
                      <w:lang w:val="en-US" w:eastAsia="zh-CN" w:bidi="ar-SA"/>
                    </w:rPr>
                    <w:t>构筑物依托现有</w:t>
                  </w:r>
                </w:p>
              </w:tc>
            </w:tr>
            <w:tr w14:paraId="2E4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restart"/>
                  <w:tcBorders>
                    <w:tl2br w:val="nil"/>
                    <w:tr2bl w:val="nil"/>
                  </w:tcBorders>
                  <w:vAlign w:val="center"/>
                </w:tcPr>
                <w:p w14:paraId="14BF55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储运</w:t>
                  </w:r>
                </w:p>
                <w:p w14:paraId="4509EF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工程</w:t>
                  </w:r>
                </w:p>
              </w:tc>
              <w:tc>
                <w:tcPr>
                  <w:tcW w:w="660" w:type="pct"/>
                  <w:tcBorders>
                    <w:tl2br w:val="nil"/>
                    <w:tr2bl w:val="nil"/>
                  </w:tcBorders>
                  <w:vAlign w:val="center"/>
                </w:tcPr>
                <w:p w14:paraId="5D5A4A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原料堆放区</w:t>
                  </w:r>
                </w:p>
              </w:tc>
              <w:tc>
                <w:tcPr>
                  <w:tcW w:w="3322" w:type="pct"/>
                  <w:tcBorders>
                    <w:tl2br w:val="nil"/>
                    <w:tr2bl w:val="nil"/>
                  </w:tcBorders>
                  <w:vAlign w:val="center"/>
                </w:tcPr>
                <w:p w14:paraId="56F1F1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位于生产区西侧，占地面积约2000</w:t>
                  </w:r>
                  <w:r>
                    <w:rPr>
                      <w:rFonts w:hint="default" w:ascii="Times New Roman" w:hAnsi="Times New Roman" w:cs="Times New Roman"/>
                      <w:color w:val="auto"/>
                      <w:spacing w:val="0"/>
                      <w:szCs w:val="21"/>
                      <w:highlight w:val="none"/>
                    </w:rPr>
                    <w:t>m</w:t>
                  </w:r>
                  <w:r>
                    <w:rPr>
                      <w:rFonts w:hint="default" w:ascii="Times New Roman" w:hAnsi="Times New Roman" w:cs="Times New Roman"/>
                      <w:color w:val="auto"/>
                      <w:spacing w:val="0"/>
                      <w:szCs w:val="21"/>
                      <w:highlight w:val="none"/>
                      <w:vertAlign w:val="superscript"/>
                    </w:rPr>
                    <w:t>2</w:t>
                  </w:r>
                  <w:r>
                    <w:rPr>
                      <w:rFonts w:hint="default" w:ascii="Times New Roman" w:hAnsi="Times New Roman" w:cs="Times New Roman"/>
                      <w:color w:val="auto"/>
                      <w:spacing w:val="0"/>
                      <w:kern w:val="0"/>
                      <w:szCs w:val="21"/>
                      <w:highlight w:val="none"/>
                    </w:rPr>
                    <w:t>，</w:t>
                  </w:r>
                  <w:r>
                    <w:rPr>
                      <w:rFonts w:hint="eastAsia" w:cs="Times New Roman"/>
                      <w:color w:val="auto"/>
                      <w:spacing w:val="0"/>
                      <w:kern w:val="0"/>
                      <w:szCs w:val="21"/>
                      <w:highlight w:val="none"/>
                      <w:lang w:val="en-US" w:eastAsia="zh-CN"/>
                    </w:rPr>
                    <w:t>用于堆放原料</w:t>
                  </w:r>
                </w:p>
              </w:tc>
              <w:tc>
                <w:tcPr>
                  <w:tcW w:w="518" w:type="pct"/>
                  <w:tcBorders>
                    <w:tl2br w:val="nil"/>
                    <w:tr2bl w:val="nil"/>
                  </w:tcBorders>
                  <w:vAlign w:val="center"/>
                </w:tcPr>
                <w:p w14:paraId="7DFAD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构筑物依托现有</w:t>
                  </w:r>
                </w:p>
              </w:tc>
            </w:tr>
            <w:tr w14:paraId="2368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continue"/>
                  <w:tcBorders>
                    <w:tl2br w:val="nil"/>
                    <w:tr2bl w:val="nil"/>
                  </w:tcBorders>
                  <w:vAlign w:val="center"/>
                </w:tcPr>
                <w:p w14:paraId="0FFB0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60" w:type="pct"/>
                  <w:tcBorders>
                    <w:tl2br w:val="nil"/>
                    <w:tr2bl w:val="nil"/>
                  </w:tcBorders>
                  <w:vAlign w:val="center"/>
                </w:tcPr>
                <w:p w14:paraId="17710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成品堆放区</w:t>
                  </w:r>
                </w:p>
              </w:tc>
              <w:tc>
                <w:tcPr>
                  <w:tcW w:w="3322" w:type="pct"/>
                  <w:tcBorders>
                    <w:tl2br w:val="nil"/>
                    <w:tr2bl w:val="nil"/>
                  </w:tcBorders>
                  <w:vAlign w:val="center"/>
                </w:tcPr>
                <w:p w14:paraId="21F58E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位于生产区东侧，占地面积约2000</w:t>
                  </w:r>
                  <w:r>
                    <w:rPr>
                      <w:rFonts w:hint="default" w:ascii="Times New Roman" w:hAnsi="Times New Roman" w:cs="Times New Roman"/>
                      <w:color w:val="auto"/>
                      <w:spacing w:val="0"/>
                      <w:szCs w:val="21"/>
                      <w:highlight w:val="none"/>
                    </w:rPr>
                    <w:t>m</w:t>
                  </w:r>
                  <w:r>
                    <w:rPr>
                      <w:rFonts w:hint="default" w:ascii="Times New Roman" w:hAnsi="Times New Roman" w:cs="Times New Roman"/>
                      <w:color w:val="auto"/>
                      <w:spacing w:val="0"/>
                      <w:szCs w:val="21"/>
                      <w:highlight w:val="none"/>
                      <w:vertAlign w:val="superscript"/>
                    </w:rPr>
                    <w:t>2</w:t>
                  </w:r>
                  <w:r>
                    <w:rPr>
                      <w:rFonts w:hint="default" w:ascii="Times New Roman" w:hAnsi="Times New Roman" w:cs="Times New Roman"/>
                      <w:color w:val="auto"/>
                      <w:spacing w:val="0"/>
                      <w:kern w:val="0"/>
                      <w:szCs w:val="21"/>
                      <w:highlight w:val="none"/>
                    </w:rPr>
                    <w:t>，</w:t>
                  </w:r>
                  <w:r>
                    <w:rPr>
                      <w:rFonts w:hint="eastAsia" w:cs="Times New Roman"/>
                      <w:color w:val="auto"/>
                      <w:spacing w:val="0"/>
                      <w:kern w:val="0"/>
                      <w:szCs w:val="21"/>
                      <w:highlight w:val="none"/>
                      <w:lang w:val="en-US" w:eastAsia="zh-CN"/>
                    </w:rPr>
                    <w:t>用于堆放成品</w:t>
                  </w:r>
                </w:p>
              </w:tc>
              <w:tc>
                <w:tcPr>
                  <w:tcW w:w="518" w:type="pct"/>
                  <w:tcBorders>
                    <w:tl2br w:val="nil"/>
                    <w:tr2bl w:val="nil"/>
                  </w:tcBorders>
                  <w:vAlign w:val="center"/>
                </w:tcPr>
                <w:p w14:paraId="4AA3B3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构筑物依托现有</w:t>
                  </w:r>
                </w:p>
              </w:tc>
            </w:tr>
            <w:tr w14:paraId="3388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restart"/>
                  <w:tcBorders>
                    <w:tl2br w:val="nil"/>
                    <w:tr2bl w:val="nil"/>
                  </w:tcBorders>
                  <w:vAlign w:val="center"/>
                </w:tcPr>
                <w:p w14:paraId="63FBA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辅助</w:t>
                  </w:r>
                </w:p>
                <w:p w14:paraId="48AC94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工程</w:t>
                  </w:r>
                </w:p>
              </w:tc>
              <w:tc>
                <w:tcPr>
                  <w:tcW w:w="660" w:type="pct"/>
                  <w:tcBorders>
                    <w:tl2br w:val="nil"/>
                    <w:tr2bl w:val="nil"/>
                  </w:tcBorders>
                  <w:vAlign w:val="center"/>
                </w:tcPr>
                <w:p w14:paraId="4E82A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办公生活区</w:t>
                  </w:r>
                </w:p>
              </w:tc>
              <w:tc>
                <w:tcPr>
                  <w:tcW w:w="3322" w:type="pct"/>
                  <w:tcBorders>
                    <w:tl2br w:val="nil"/>
                    <w:tr2bl w:val="nil"/>
                  </w:tcBorders>
                  <w:vAlign w:val="center"/>
                </w:tcPr>
                <w:p w14:paraId="3DC5B4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利用现有厂区东侧的办公楼，</w:t>
                  </w:r>
                  <w:r>
                    <w:rPr>
                      <w:rFonts w:hint="eastAsia"/>
                      <w:color w:val="auto"/>
                      <w:szCs w:val="21"/>
                      <w:highlight w:val="none"/>
                      <w:lang w:val="en-US" w:eastAsia="zh-CN"/>
                    </w:rPr>
                    <w:t>5</w:t>
                  </w:r>
                  <w:r>
                    <w:rPr>
                      <w:rFonts w:hint="default"/>
                      <w:color w:val="auto"/>
                      <w:szCs w:val="21"/>
                      <w:highlight w:val="none"/>
                    </w:rPr>
                    <w:t>层砖混结构</w:t>
                  </w:r>
                </w:p>
              </w:tc>
              <w:tc>
                <w:tcPr>
                  <w:tcW w:w="518" w:type="pct"/>
                  <w:tcBorders>
                    <w:tl2br w:val="nil"/>
                    <w:tr2bl w:val="nil"/>
                  </w:tcBorders>
                  <w:vAlign w:val="center"/>
                </w:tcPr>
                <w:p w14:paraId="2901D4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依托现有</w:t>
                  </w:r>
                </w:p>
              </w:tc>
            </w:tr>
            <w:tr w14:paraId="765F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continue"/>
                  <w:tcBorders>
                    <w:tl2br w:val="nil"/>
                    <w:tr2bl w:val="nil"/>
                  </w:tcBorders>
                  <w:vAlign w:val="center"/>
                </w:tcPr>
                <w:p w14:paraId="1BBFF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p>
              </w:tc>
              <w:tc>
                <w:tcPr>
                  <w:tcW w:w="660" w:type="pct"/>
                  <w:tcBorders>
                    <w:tl2br w:val="nil"/>
                    <w:tr2bl w:val="nil"/>
                  </w:tcBorders>
                  <w:vAlign w:val="center"/>
                </w:tcPr>
                <w:p w14:paraId="64FAA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地磅</w:t>
                  </w:r>
                </w:p>
              </w:tc>
              <w:tc>
                <w:tcPr>
                  <w:tcW w:w="3322" w:type="pct"/>
                  <w:tcBorders>
                    <w:tl2br w:val="nil"/>
                    <w:tr2bl w:val="nil"/>
                  </w:tcBorders>
                  <w:vAlign w:val="center"/>
                </w:tcPr>
                <w:p w14:paraId="38677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利用厂区现有地磅</w:t>
                  </w:r>
                </w:p>
              </w:tc>
              <w:tc>
                <w:tcPr>
                  <w:tcW w:w="518" w:type="pct"/>
                  <w:tcBorders>
                    <w:tl2br w:val="nil"/>
                    <w:tr2bl w:val="nil"/>
                  </w:tcBorders>
                  <w:vAlign w:val="center"/>
                </w:tcPr>
                <w:p w14:paraId="6BB9C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依托现有</w:t>
                  </w:r>
                </w:p>
              </w:tc>
            </w:tr>
            <w:tr w14:paraId="5EC9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restart"/>
                  <w:tcBorders>
                    <w:tl2br w:val="nil"/>
                    <w:tr2bl w:val="nil"/>
                  </w:tcBorders>
                  <w:vAlign w:val="center"/>
                </w:tcPr>
                <w:p w14:paraId="59095E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公用</w:t>
                  </w:r>
                </w:p>
                <w:p w14:paraId="689CF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工程</w:t>
                  </w:r>
                </w:p>
              </w:tc>
              <w:tc>
                <w:tcPr>
                  <w:tcW w:w="660" w:type="pct"/>
                  <w:tcBorders>
                    <w:tl2br w:val="nil"/>
                    <w:tr2bl w:val="nil"/>
                  </w:tcBorders>
                  <w:vAlign w:val="center"/>
                </w:tcPr>
                <w:p w14:paraId="5F339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供水</w:t>
                  </w:r>
                </w:p>
              </w:tc>
              <w:tc>
                <w:tcPr>
                  <w:tcW w:w="3322" w:type="pct"/>
                  <w:tcBorders>
                    <w:tl2br w:val="nil"/>
                    <w:tr2bl w:val="nil"/>
                  </w:tcBorders>
                  <w:vAlign w:val="center"/>
                </w:tcPr>
                <w:p w14:paraId="2169DC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color w:val="auto"/>
                      <w:kern w:val="0"/>
                      <w:szCs w:val="21"/>
                      <w:highlight w:val="none"/>
                    </w:rPr>
                    <w:t>由工业园区集中供水系统供给</w:t>
                  </w:r>
                </w:p>
              </w:tc>
              <w:tc>
                <w:tcPr>
                  <w:tcW w:w="518" w:type="pct"/>
                  <w:vMerge w:val="restart"/>
                  <w:tcBorders>
                    <w:tl2br w:val="nil"/>
                    <w:tr2bl w:val="nil"/>
                  </w:tcBorders>
                  <w:vAlign w:val="center"/>
                </w:tcPr>
                <w:p w14:paraId="41A2B6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color w:val="auto"/>
                      <w:szCs w:val="21"/>
                      <w:highlight w:val="none"/>
                    </w:rPr>
                    <w:t>利用厂区现有公用工程系统</w:t>
                  </w:r>
                </w:p>
              </w:tc>
            </w:tr>
            <w:tr w14:paraId="360B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continue"/>
                  <w:tcBorders>
                    <w:tl2br w:val="nil"/>
                    <w:tr2bl w:val="nil"/>
                  </w:tcBorders>
                  <w:vAlign w:val="center"/>
                </w:tcPr>
                <w:p w14:paraId="4952EF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60" w:type="pct"/>
                  <w:tcBorders>
                    <w:tl2br w:val="nil"/>
                    <w:tr2bl w:val="nil"/>
                  </w:tcBorders>
                  <w:vAlign w:val="center"/>
                </w:tcPr>
                <w:p w14:paraId="650DF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供电</w:t>
                  </w:r>
                </w:p>
              </w:tc>
              <w:tc>
                <w:tcPr>
                  <w:tcW w:w="3322" w:type="pct"/>
                  <w:tcBorders>
                    <w:tl2br w:val="nil"/>
                    <w:tr2bl w:val="nil"/>
                  </w:tcBorders>
                  <w:vAlign w:val="center"/>
                </w:tcPr>
                <w:p w14:paraId="4611F5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sz w:val="21"/>
                      <w:szCs w:val="21"/>
                      <w:highlight w:val="none"/>
                      <w:lang w:val="en-US" w:eastAsia="zh-CN"/>
                    </w:rPr>
                  </w:pPr>
                  <w:r>
                    <w:rPr>
                      <w:rFonts w:hint="default"/>
                      <w:color w:val="auto"/>
                      <w:szCs w:val="21"/>
                      <w:highlight w:val="none"/>
                    </w:rPr>
                    <w:t>由工业园区供电系统接入</w:t>
                  </w:r>
                </w:p>
              </w:tc>
              <w:tc>
                <w:tcPr>
                  <w:tcW w:w="518" w:type="pct"/>
                  <w:vMerge w:val="continue"/>
                  <w:tcBorders>
                    <w:tl2br w:val="nil"/>
                    <w:tr2bl w:val="nil"/>
                  </w:tcBorders>
                  <w:vAlign w:val="center"/>
                </w:tcPr>
                <w:p w14:paraId="6EAB6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sz w:val="21"/>
                      <w:szCs w:val="21"/>
                      <w:highlight w:val="none"/>
                      <w:lang w:val="en-US" w:eastAsia="zh-CN"/>
                    </w:rPr>
                  </w:pPr>
                </w:p>
              </w:tc>
            </w:tr>
            <w:tr w14:paraId="5BF9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continue"/>
                  <w:tcBorders>
                    <w:tl2br w:val="nil"/>
                    <w:tr2bl w:val="nil"/>
                  </w:tcBorders>
                  <w:vAlign w:val="center"/>
                </w:tcPr>
                <w:p w14:paraId="6239C5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60" w:type="pct"/>
                  <w:tcBorders>
                    <w:tl2br w:val="nil"/>
                    <w:tr2bl w:val="nil"/>
                  </w:tcBorders>
                  <w:vAlign w:val="center"/>
                </w:tcPr>
                <w:p w14:paraId="218738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供</w:t>
                  </w:r>
                  <w:r>
                    <w:rPr>
                      <w:rFonts w:hint="eastAsia" w:cs="Times New Roman"/>
                      <w:color w:val="auto"/>
                      <w:spacing w:val="0"/>
                      <w:sz w:val="21"/>
                      <w:szCs w:val="21"/>
                      <w:highlight w:val="none"/>
                      <w:lang w:val="en-US" w:eastAsia="zh-CN"/>
                    </w:rPr>
                    <w:t>暖</w:t>
                  </w:r>
                </w:p>
              </w:tc>
              <w:tc>
                <w:tcPr>
                  <w:tcW w:w="3322" w:type="pct"/>
                  <w:tcBorders>
                    <w:tl2br w:val="nil"/>
                    <w:tr2bl w:val="nil"/>
                  </w:tcBorders>
                  <w:vAlign w:val="center"/>
                </w:tcPr>
                <w:p w14:paraId="23127E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bCs/>
                      <w:color w:val="auto"/>
                      <w:szCs w:val="21"/>
                      <w:highlight w:val="none"/>
                    </w:rPr>
                    <w:t>由园区集中供热管网接入</w:t>
                  </w:r>
                </w:p>
              </w:tc>
              <w:tc>
                <w:tcPr>
                  <w:tcW w:w="518" w:type="pct"/>
                  <w:vMerge w:val="continue"/>
                  <w:tcBorders>
                    <w:tl2br w:val="nil"/>
                    <w:tr2bl w:val="nil"/>
                  </w:tcBorders>
                  <w:vAlign w:val="center"/>
                </w:tcPr>
                <w:p w14:paraId="414CB5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58C5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8" w:type="pct"/>
                  <w:gridSpan w:val="2"/>
                  <w:vMerge w:val="continue"/>
                  <w:tcBorders>
                    <w:tl2br w:val="nil"/>
                    <w:tr2bl w:val="nil"/>
                  </w:tcBorders>
                  <w:vAlign w:val="center"/>
                </w:tcPr>
                <w:p w14:paraId="4CDAD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60" w:type="pct"/>
                  <w:tcBorders>
                    <w:tl2br w:val="nil"/>
                    <w:tr2bl w:val="nil"/>
                  </w:tcBorders>
                  <w:vAlign w:val="center"/>
                </w:tcPr>
                <w:p w14:paraId="30A1AD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供气</w:t>
                  </w:r>
                </w:p>
              </w:tc>
              <w:tc>
                <w:tcPr>
                  <w:tcW w:w="3322" w:type="pct"/>
                  <w:tcBorders>
                    <w:tl2br w:val="nil"/>
                    <w:tr2bl w:val="nil"/>
                  </w:tcBorders>
                  <w:vAlign w:val="center"/>
                </w:tcPr>
                <w:p w14:paraId="695865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Cs/>
                      <w:color w:val="auto"/>
                      <w:szCs w:val="21"/>
                      <w:highlight w:val="none"/>
                    </w:rPr>
                  </w:pPr>
                  <w:r>
                    <w:rPr>
                      <w:rFonts w:hint="eastAsia"/>
                      <w:bCs/>
                      <w:color w:val="auto"/>
                      <w:szCs w:val="21"/>
                      <w:highlight w:val="none"/>
                      <w:lang w:val="en-US" w:eastAsia="zh-CN"/>
                    </w:rPr>
                    <w:t>由园区供气管道接入</w:t>
                  </w:r>
                </w:p>
              </w:tc>
              <w:tc>
                <w:tcPr>
                  <w:tcW w:w="518" w:type="pct"/>
                  <w:vMerge w:val="continue"/>
                  <w:tcBorders>
                    <w:tl2br w:val="nil"/>
                    <w:tr2bl w:val="nil"/>
                  </w:tcBorders>
                  <w:vAlign w:val="center"/>
                </w:tcPr>
                <w:p w14:paraId="242B2A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r>
            <w:tr w14:paraId="2259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8" w:type="pct"/>
                  <w:vMerge w:val="restart"/>
                  <w:tcBorders>
                    <w:tl2br w:val="nil"/>
                    <w:tr2bl w:val="nil"/>
                  </w:tcBorders>
                  <w:vAlign w:val="center"/>
                </w:tcPr>
                <w:p w14:paraId="1C3421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环保</w:t>
                  </w:r>
                </w:p>
                <w:p w14:paraId="1B81D8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工程</w:t>
                  </w:r>
                </w:p>
              </w:tc>
              <w:tc>
                <w:tcPr>
                  <w:tcW w:w="250" w:type="pct"/>
                  <w:vMerge w:val="restart"/>
                  <w:tcBorders>
                    <w:tl2br w:val="nil"/>
                    <w:tr2bl w:val="nil"/>
                  </w:tcBorders>
                  <w:vAlign w:val="center"/>
                </w:tcPr>
                <w:p w14:paraId="752E6D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废水</w:t>
                  </w:r>
                </w:p>
              </w:tc>
              <w:tc>
                <w:tcPr>
                  <w:tcW w:w="660" w:type="pct"/>
                  <w:tcBorders>
                    <w:tl2br w:val="nil"/>
                    <w:tr2bl w:val="nil"/>
                  </w:tcBorders>
                  <w:vAlign w:val="center"/>
                </w:tcPr>
                <w:p w14:paraId="042743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生活污水</w:t>
                  </w:r>
                </w:p>
              </w:tc>
              <w:tc>
                <w:tcPr>
                  <w:tcW w:w="3322" w:type="pct"/>
                  <w:tcBorders>
                    <w:tl2br w:val="nil"/>
                    <w:tr2bl w:val="nil"/>
                  </w:tcBorders>
                  <w:vAlign w:val="center"/>
                </w:tcPr>
                <w:p w14:paraId="696A20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p>
              </w:tc>
              <w:tc>
                <w:tcPr>
                  <w:tcW w:w="518" w:type="pct"/>
                  <w:tcBorders>
                    <w:tl2br w:val="nil"/>
                    <w:tr2bl w:val="nil"/>
                  </w:tcBorders>
                  <w:vAlign w:val="center"/>
                </w:tcPr>
                <w:p w14:paraId="7B82EB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w:t>
                  </w:r>
                </w:p>
              </w:tc>
            </w:tr>
            <w:tr w14:paraId="7058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8" w:type="pct"/>
                  <w:vMerge w:val="continue"/>
                  <w:tcBorders>
                    <w:tl2br w:val="nil"/>
                    <w:tr2bl w:val="nil"/>
                  </w:tcBorders>
                  <w:vAlign w:val="center"/>
                </w:tcPr>
                <w:p w14:paraId="1EC98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50" w:type="pct"/>
                  <w:vMerge w:val="continue"/>
                  <w:tcBorders>
                    <w:tl2br w:val="nil"/>
                    <w:tr2bl w:val="nil"/>
                  </w:tcBorders>
                  <w:vAlign w:val="center"/>
                </w:tcPr>
                <w:p w14:paraId="0283E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p>
              </w:tc>
              <w:tc>
                <w:tcPr>
                  <w:tcW w:w="660" w:type="pct"/>
                  <w:tcBorders>
                    <w:tl2br w:val="nil"/>
                    <w:tr2bl w:val="nil"/>
                  </w:tcBorders>
                  <w:vAlign w:val="center"/>
                </w:tcPr>
                <w:p w14:paraId="65A4AF8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循环冷却</w:t>
                  </w:r>
                </w:p>
                <w:p w14:paraId="1EF185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排污水</w:t>
                  </w:r>
                </w:p>
              </w:tc>
              <w:tc>
                <w:tcPr>
                  <w:tcW w:w="3322" w:type="pct"/>
                  <w:tcBorders>
                    <w:tl2br w:val="nil"/>
                    <w:tr2bl w:val="nil"/>
                  </w:tcBorders>
                  <w:vAlign w:val="center"/>
                </w:tcPr>
                <w:p w14:paraId="56DC2A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olor w:val="auto"/>
                      <w:szCs w:val="21"/>
                      <w:highlight w:val="none"/>
                    </w:rPr>
                  </w:pPr>
                  <w:r>
                    <w:rPr>
                      <w:rFonts w:hint="default"/>
                      <w:color w:val="auto"/>
                      <w:kern w:val="0"/>
                      <w:sz w:val="21"/>
                      <w:szCs w:val="21"/>
                      <w:highlight w:val="none"/>
                    </w:rPr>
                    <w:t>经园区污水管网排入</w:t>
                  </w:r>
                  <w:r>
                    <w:rPr>
                      <w:rFonts w:hint="eastAsia"/>
                      <w:color w:val="auto"/>
                      <w:kern w:val="0"/>
                      <w:sz w:val="21"/>
                      <w:szCs w:val="21"/>
                      <w:highlight w:val="none"/>
                      <w:lang w:val="en-US" w:eastAsia="zh-CN"/>
                    </w:rPr>
                    <w:t>屯留区污水处理厂</w:t>
                  </w:r>
                </w:p>
              </w:tc>
              <w:tc>
                <w:tcPr>
                  <w:tcW w:w="518" w:type="pct"/>
                  <w:tcBorders>
                    <w:tl2br w:val="nil"/>
                    <w:tr2bl w:val="nil"/>
                  </w:tcBorders>
                  <w:vAlign w:val="center"/>
                </w:tcPr>
                <w:p w14:paraId="019B96B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w:t>
                  </w:r>
                </w:p>
              </w:tc>
            </w:tr>
            <w:tr w14:paraId="4809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8" w:type="pct"/>
                  <w:vMerge w:val="continue"/>
                  <w:tcBorders>
                    <w:tl2br w:val="nil"/>
                    <w:tr2bl w:val="nil"/>
                  </w:tcBorders>
                  <w:vAlign w:val="center"/>
                </w:tcPr>
                <w:p w14:paraId="5FEB4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50" w:type="pct"/>
                  <w:vMerge w:val="continue"/>
                  <w:tcBorders>
                    <w:tl2br w:val="nil"/>
                    <w:tr2bl w:val="nil"/>
                  </w:tcBorders>
                  <w:vAlign w:val="center"/>
                </w:tcPr>
                <w:p w14:paraId="1FD86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660" w:type="pct"/>
                  <w:tcBorders>
                    <w:tl2br w:val="nil"/>
                    <w:tr2bl w:val="nil"/>
                  </w:tcBorders>
                  <w:vAlign w:val="center"/>
                </w:tcPr>
                <w:p w14:paraId="3AA490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初期雨水</w:t>
                  </w:r>
                </w:p>
              </w:tc>
              <w:tc>
                <w:tcPr>
                  <w:tcW w:w="3322" w:type="pct"/>
                  <w:tcBorders>
                    <w:tl2br w:val="nil"/>
                    <w:tr2bl w:val="nil"/>
                  </w:tcBorders>
                  <w:vAlign w:val="center"/>
                </w:tcPr>
                <w:p w14:paraId="0CE674F0">
                  <w:pPr>
                    <w:pStyle w:val="7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现有厂区东南角设置1座初期雨水收集池，容积为300m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，用于收集厂区前15min的初期雨水，后期雨水排入园区雨水管网</w:t>
                  </w:r>
                </w:p>
              </w:tc>
              <w:tc>
                <w:tcPr>
                  <w:tcW w:w="518" w:type="pct"/>
                  <w:tcBorders>
                    <w:tl2br w:val="nil"/>
                    <w:tr2bl w:val="nil"/>
                  </w:tcBorders>
                  <w:vAlign w:val="center"/>
                </w:tcPr>
                <w:p w14:paraId="4454DD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w:t>
                  </w:r>
                </w:p>
              </w:tc>
            </w:tr>
            <w:tr w14:paraId="3B3B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8" w:type="pct"/>
                  <w:vMerge w:val="continue"/>
                  <w:tcBorders>
                    <w:tl2br w:val="nil"/>
                    <w:tr2bl w:val="nil"/>
                  </w:tcBorders>
                  <w:vAlign w:val="center"/>
                </w:tcPr>
                <w:p w14:paraId="41EF79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250" w:type="pct"/>
                  <w:tcBorders>
                    <w:tl2br w:val="nil"/>
                    <w:tr2bl w:val="nil"/>
                  </w:tcBorders>
                  <w:vAlign w:val="center"/>
                </w:tcPr>
                <w:p w14:paraId="1CC03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固废</w:t>
                  </w:r>
                </w:p>
              </w:tc>
              <w:tc>
                <w:tcPr>
                  <w:tcW w:w="660" w:type="pct"/>
                  <w:tcBorders>
                    <w:tl2br w:val="nil"/>
                    <w:tr2bl w:val="nil"/>
                  </w:tcBorders>
                  <w:vAlign w:val="center"/>
                </w:tcPr>
                <w:p w14:paraId="0932AD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z w:val="21"/>
                      <w:szCs w:val="21"/>
                      <w:highlight w:val="none"/>
                      <w:lang w:val="en-US" w:eastAsia="zh-CN"/>
                    </w:rPr>
                    <w:t>废矿物油</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pacing w:val="0"/>
                      <w:kern w:val="2"/>
                      <w:sz w:val="21"/>
                      <w:szCs w:val="21"/>
                      <w:highlight w:val="none"/>
                      <w:lang w:val="en-US" w:eastAsia="zh-CN" w:bidi="ar-SA"/>
                    </w:rPr>
                    <w:t>废液压油、废润滑油、</w:t>
                  </w:r>
                  <w:r>
                    <w:rPr>
                      <w:rFonts w:hint="eastAsia" w:ascii="Times New Roman" w:hAnsi="Times New Roman" w:eastAsia="宋体" w:cs="Times New Roman"/>
                      <w:color w:val="auto"/>
                      <w:sz w:val="21"/>
                      <w:szCs w:val="21"/>
                      <w:highlight w:val="none"/>
                      <w:lang w:val="en-US" w:eastAsia="zh-CN"/>
                    </w:rPr>
                    <w:t>废油桶</w:t>
                  </w:r>
                </w:p>
              </w:tc>
              <w:tc>
                <w:tcPr>
                  <w:tcW w:w="3322" w:type="pct"/>
                  <w:tcBorders>
                    <w:tl2br w:val="nil"/>
                    <w:tr2bl w:val="nil"/>
                  </w:tcBorders>
                  <w:vAlign w:val="center"/>
                </w:tcPr>
                <w:p w14:paraId="0D4C7D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sz w:val="21"/>
                      <w:szCs w:val="21"/>
                      <w:highlight w:val="none"/>
                      <w:lang w:val="en-US" w:eastAsia="zh-CN"/>
                    </w:rPr>
                  </w:pPr>
                  <w:r>
                    <w:rPr>
                      <w:rFonts w:hint="eastAsia"/>
                      <w:color w:val="auto"/>
                      <w:szCs w:val="21"/>
                      <w:highlight w:val="none"/>
                      <w:lang w:val="en-US" w:eastAsia="zh-CN"/>
                    </w:rPr>
                    <w:t>依托</w:t>
                  </w:r>
                  <w:r>
                    <w:rPr>
                      <w:rFonts w:hint="default"/>
                      <w:color w:val="auto"/>
                      <w:szCs w:val="21"/>
                      <w:highlight w:val="none"/>
                    </w:rPr>
                    <w:t>厂区东南</w:t>
                  </w:r>
                  <w:r>
                    <w:rPr>
                      <w:rFonts w:hint="eastAsia"/>
                      <w:color w:val="auto"/>
                      <w:szCs w:val="21"/>
                      <w:highlight w:val="none"/>
                      <w:lang w:val="en-US" w:eastAsia="zh-CN"/>
                    </w:rPr>
                    <w:t>现有1座占地面积约500m</w:t>
                  </w:r>
                  <w:r>
                    <w:rPr>
                      <w:rFonts w:hint="eastAsia"/>
                      <w:color w:val="auto"/>
                      <w:szCs w:val="21"/>
                      <w:highlight w:val="none"/>
                      <w:vertAlign w:val="superscript"/>
                      <w:lang w:val="en-US" w:eastAsia="zh-CN"/>
                    </w:rPr>
                    <w:t>2</w:t>
                  </w:r>
                  <w:r>
                    <w:rPr>
                      <w:rFonts w:hint="default"/>
                      <w:color w:val="auto"/>
                      <w:szCs w:val="21"/>
                      <w:highlight w:val="none"/>
                    </w:rPr>
                    <w:t>危废</w:t>
                  </w:r>
                  <w:r>
                    <w:rPr>
                      <w:rFonts w:hint="eastAsia"/>
                      <w:color w:val="auto"/>
                      <w:szCs w:val="21"/>
                      <w:highlight w:val="none"/>
                      <w:lang w:val="en-US" w:eastAsia="zh-CN"/>
                    </w:rPr>
                    <w:t>贮存库</w:t>
                  </w:r>
                  <w:r>
                    <w:rPr>
                      <w:rFonts w:hint="eastAsia" w:cs="Times New Roman"/>
                      <w:color w:val="auto"/>
                      <w:spacing w:val="0"/>
                      <w:sz w:val="21"/>
                      <w:szCs w:val="21"/>
                      <w:highlight w:val="none"/>
                      <w:vertAlign w:val="baseline"/>
                      <w:lang w:val="en-US" w:eastAsia="zh-CN"/>
                    </w:rPr>
                    <w:t>，入口设置20mm围堰，库内地面已做硬化及防渗处理，</w:t>
                  </w:r>
                  <w:r>
                    <w:rPr>
                      <w:rFonts w:hint="default"/>
                      <w:color w:val="auto"/>
                      <w:szCs w:val="21"/>
                      <w:highlight w:val="none"/>
                    </w:rPr>
                    <w:t>设置导流槽、集液池，</w:t>
                  </w:r>
                  <w:r>
                    <w:rPr>
                      <w:rFonts w:hint="default"/>
                      <w:color w:val="auto"/>
                      <w:kern w:val="0"/>
                      <w:szCs w:val="21"/>
                      <w:highlight w:val="none"/>
                    </w:rPr>
                    <w:t>各类危废进行分区存放</w:t>
                  </w:r>
                  <w:r>
                    <w:rPr>
                      <w:rFonts w:hint="default" w:ascii="Times New Roman" w:hAnsi="Times New Roman" w:eastAsia="宋体" w:cs="Times New Roman"/>
                      <w:color w:val="auto"/>
                      <w:spacing w:val="0"/>
                      <w:sz w:val="21"/>
                      <w:szCs w:val="21"/>
                      <w:highlight w:val="none"/>
                      <w:lang w:val="en-US" w:eastAsia="zh-CN"/>
                    </w:rPr>
                    <w:t>，在废油液贮存区上方设置集气罩，废气由引风管引入一套活性炭吸附装置进行净化处理后经15m高排气筒排放</w:t>
                  </w:r>
                  <w:r>
                    <w:rPr>
                      <w:rFonts w:hint="eastAsia" w:cs="Times New Roman"/>
                      <w:color w:val="auto"/>
                      <w:spacing w:val="0"/>
                      <w:sz w:val="21"/>
                      <w:szCs w:val="21"/>
                      <w:highlight w:val="none"/>
                      <w:lang w:val="en-US" w:eastAsia="zh-CN"/>
                    </w:rPr>
                    <w:t>。本项目产生的</w:t>
                  </w:r>
                  <w:r>
                    <w:rPr>
                      <w:rFonts w:hint="eastAsia" w:cs="Times New Roman"/>
                      <w:color w:val="auto"/>
                      <w:spacing w:val="0"/>
                      <w:sz w:val="21"/>
                      <w:szCs w:val="21"/>
                      <w:highlight w:val="none"/>
                      <w:vertAlign w:val="baseline"/>
                      <w:lang w:val="en-US" w:eastAsia="zh-CN"/>
                    </w:rPr>
                    <w:t>废矿物油、</w:t>
                  </w:r>
                  <w:r>
                    <w:rPr>
                      <w:rFonts w:hint="eastAsia" w:cs="Times New Roman"/>
                      <w:color w:val="auto"/>
                      <w:spacing w:val="0"/>
                      <w:kern w:val="2"/>
                      <w:sz w:val="21"/>
                      <w:szCs w:val="21"/>
                      <w:highlight w:val="none"/>
                      <w:lang w:val="en-US" w:eastAsia="zh-CN" w:bidi="ar-SA"/>
                    </w:rPr>
                    <w:t>废液压油、废润滑油、</w:t>
                  </w:r>
                  <w:r>
                    <w:rPr>
                      <w:rFonts w:hint="eastAsia" w:ascii="Times New Roman" w:hAnsi="Times New Roman" w:eastAsia="宋体" w:cs="Times New Roman"/>
                      <w:color w:val="auto"/>
                      <w:sz w:val="21"/>
                      <w:szCs w:val="21"/>
                      <w:highlight w:val="none"/>
                      <w:lang w:val="en-US" w:eastAsia="zh-CN"/>
                    </w:rPr>
                    <w:t>废油桶</w:t>
                  </w:r>
                  <w:r>
                    <w:rPr>
                      <w:rFonts w:hint="eastAsia" w:cs="Times New Roman"/>
                      <w:color w:val="auto"/>
                      <w:spacing w:val="0"/>
                      <w:sz w:val="21"/>
                      <w:szCs w:val="21"/>
                      <w:highlight w:val="none"/>
                      <w:vertAlign w:val="baseline"/>
                      <w:lang w:val="en-US" w:eastAsia="zh-CN"/>
                    </w:rPr>
                    <w:t>分区</w:t>
                  </w:r>
                  <w:r>
                    <w:rPr>
                      <w:rFonts w:hint="default" w:ascii="Times New Roman" w:hAnsi="Times New Roman" w:eastAsia="宋体" w:cs="Times New Roman"/>
                      <w:color w:val="auto"/>
                      <w:spacing w:val="0"/>
                      <w:sz w:val="21"/>
                      <w:szCs w:val="21"/>
                      <w:highlight w:val="none"/>
                      <w:lang w:val="en-US" w:eastAsia="zh-CN"/>
                    </w:rPr>
                    <w:t>暂存于</w:t>
                  </w:r>
                  <w:r>
                    <w:rPr>
                      <w:rFonts w:hint="eastAsia" w:ascii="Times New Roman" w:hAnsi="Times New Roman" w:eastAsia="宋体" w:cs="Times New Roman"/>
                      <w:color w:val="auto"/>
                      <w:spacing w:val="0"/>
                      <w:sz w:val="21"/>
                      <w:szCs w:val="21"/>
                      <w:highlight w:val="none"/>
                      <w:lang w:val="en-US" w:eastAsia="zh-CN"/>
                    </w:rPr>
                    <w:t>危废贮存</w:t>
                  </w:r>
                  <w:r>
                    <w:rPr>
                      <w:rFonts w:hint="eastAsia" w:cs="Times New Roman"/>
                      <w:color w:val="auto"/>
                      <w:spacing w:val="0"/>
                      <w:sz w:val="21"/>
                      <w:szCs w:val="21"/>
                      <w:highlight w:val="none"/>
                      <w:vertAlign w:val="baseline"/>
                      <w:lang w:val="en-US" w:eastAsia="zh-CN"/>
                    </w:rPr>
                    <w:t>库内</w:t>
                  </w:r>
                  <w:r>
                    <w:rPr>
                      <w:rFonts w:hint="default"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定期委托有资质单位处置</w:t>
                  </w:r>
                </w:p>
              </w:tc>
              <w:tc>
                <w:tcPr>
                  <w:tcW w:w="518" w:type="pct"/>
                  <w:tcBorders>
                    <w:tl2br w:val="nil"/>
                    <w:tr2bl w:val="nil"/>
                  </w:tcBorders>
                  <w:vAlign w:val="center"/>
                </w:tcPr>
                <w:p w14:paraId="293D3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依托现有构筑物</w:t>
                  </w:r>
                </w:p>
              </w:tc>
            </w:tr>
          </w:tbl>
          <w:p w14:paraId="42979B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 w:val="0"/>
                <w:bCs w:val="0"/>
                <w:color w:val="auto"/>
                <w:sz w:val="24"/>
                <w:highlight w:val="none"/>
              </w:rPr>
            </w:pPr>
            <w:r>
              <w:rPr>
                <w:rFonts w:hint="eastAsia"/>
                <w:b w:val="0"/>
                <w:bCs w:val="0"/>
                <w:color w:val="auto"/>
                <w:sz w:val="24"/>
                <w:highlight w:val="none"/>
                <w:lang w:eastAsia="zh-CN"/>
              </w:rPr>
              <w:t>（</w:t>
            </w:r>
            <w:r>
              <w:rPr>
                <w:rFonts w:hint="eastAsia"/>
                <w:b w:val="0"/>
                <w:bCs w:val="0"/>
                <w:color w:val="auto"/>
                <w:sz w:val="24"/>
                <w:highlight w:val="none"/>
                <w:lang w:val="en-US" w:eastAsia="zh-CN"/>
              </w:rPr>
              <w:t>2</w:t>
            </w:r>
            <w:r>
              <w:rPr>
                <w:rFonts w:hint="eastAsia"/>
                <w:b w:val="0"/>
                <w:bCs w:val="0"/>
                <w:color w:val="auto"/>
                <w:sz w:val="24"/>
                <w:highlight w:val="none"/>
                <w:lang w:eastAsia="zh-CN"/>
              </w:rPr>
              <w:t>）</w:t>
            </w:r>
            <w:r>
              <w:rPr>
                <w:rFonts w:hint="default"/>
                <w:b w:val="0"/>
                <w:bCs w:val="0"/>
                <w:color w:val="auto"/>
                <w:sz w:val="24"/>
                <w:highlight w:val="none"/>
              </w:rPr>
              <w:t>依托工程可行性分析：</w:t>
            </w:r>
          </w:p>
          <w:p w14:paraId="09D3A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本项目拟在现有1#厂房内北侧建设，不新增占地，占地类型为工业用地。项目占地原为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r>
              <w:rPr>
                <w:rFonts w:hint="eastAsia" w:cs="Times New Roman"/>
                <w:color w:val="auto"/>
                <w:spacing w:val="0"/>
                <w:sz w:val="24"/>
                <w:szCs w:val="20"/>
                <w:highlight w:val="none"/>
                <w:lang w:val="en-US" w:eastAsia="zh-CN"/>
              </w:rPr>
              <w:t>的产品堆放区，厂房内地面已做硬化处理。</w:t>
            </w:r>
          </w:p>
          <w:p w14:paraId="7E0A35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 w:val="0"/>
                <w:bCs w:val="0"/>
                <w:color w:val="auto"/>
                <w:sz w:val="24"/>
                <w:highlight w:val="none"/>
                <w:lang w:val="en-US" w:eastAsia="zh-CN"/>
              </w:rPr>
            </w:pPr>
            <w:r>
              <w:rPr>
                <w:rFonts w:hint="eastAsia"/>
                <w:b w:val="0"/>
                <w:bCs w:val="0"/>
                <w:color w:val="auto"/>
                <w:sz w:val="24"/>
                <w:highlight w:val="none"/>
                <w:lang w:val="en-US" w:eastAsia="zh-CN"/>
              </w:rPr>
              <w:t>本项目在</w:t>
            </w:r>
            <w:r>
              <w:rPr>
                <w:rFonts w:hint="eastAsia" w:cs="Times New Roman"/>
                <w:color w:val="auto"/>
                <w:spacing w:val="0"/>
                <w:sz w:val="24"/>
                <w:szCs w:val="20"/>
                <w:highlight w:val="none"/>
                <w:lang w:val="en-US" w:eastAsia="zh-CN"/>
              </w:rPr>
              <w:t>1#厂房</w:t>
            </w:r>
            <w:r>
              <w:rPr>
                <w:rFonts w:hint="eastAsia"/>
                <w:b w:val="0"/>
                <w:bCs w:val="0"/>
                <w:color w:val="auto"/>
                <w:sz w:val="24"/>
                <w:highlight w:val="none"/>
                <w:lang w:val="en-US" w:eastAsia="zh-CN"/>
              </w:rPr>
              <w:t>内北侧设置1条处理能力达30万吨环保热熔压饼生产线，以及生产配套及环保设施的安装。依托工程主要涉及公用工程、辅助工程等。</w:t>
            </w:r>
          </w:p>
          <w:p w14:paraId="2987A4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 w:val="0"/>
                <w:bCs w:val="0"/>
                <w:color w:val="auto"/>
                <w:sz w:val="24"/>
                <w:highlight w:val="none"/>
                <w:lang w:val="en-US" w:eastAsia="zh-CN"/>
              </w:rPr>
            </w:pPr>
            <w:r>
              <w:rPr>
                <w:rFonts w:hint="eastAsia"/>
                <w:b w:val="0"/>
                <w:bCs w:val="0"/>
                <w:color w:val="auto"/>
                <w:sz w:val="24"/>
                <w:highlight w:val="none"/>
                <w:lang w:val="en-US" w:eastAsia="zh-CN"/>
              </w:rPr>
              <w:t>①磅房、办公生活区</w:t>
            </w:r>
          </w:p>
          <w:p w14:paraId="24EF3F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厂区</w:t>
            </w:r>
            <w:r>
              <w:rPr>
                <w:rFonts w:hint="default" w:ascii="Times New Roman" w:hAnsi="Times New Roman" w:cs="Times New Roman"/>
                <w:color w:val="auto"/>
                <w:sz w:val="24"/>
                <w:highlight w:val="none"/>
                <w:lang w:val="en-US" w:eastAsia="zh-CN"/>
              </w:rPr>
              <w:t>出入口设有</w:t>
            </w:r>
            <w:r>
              <w:rPr>
                <w:rFonts w:hint="eastAsia" w:cs="Times New Roman"/>
                <w:color w:val="auto"/>
                <w:sz w:val="24"/>
                <w:highlight w:val="none"/>
                <w:lang w:val="en-US" w:eastAsia="zh-CN"/>
              </w:rPr>
              <w:t>磅房</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地磅</w:t>
            </w:r>
            <w:r>
              <w:rPr>
                <w:rFonts w:hint="default" w:ascii="Times New Roman" w:hAnsi="Times New Roman" w:cs="Times New Roman"/>
                <w:color w:val="auto"/>
                <w:sz w:val="24"/>
                <w:highlight w:val="none"/>
              </w:rPr>
              <w:t>可以满足</w:t>
            </w:r>
            <w:r>
              <w:rPr>
                <w:rFonts w:hint="eastAsia" w:cs="Times New Roman"/>
                <w:color w:val="auto"/>
                <w:sz w:val="24"/>
                <w:highlight w:val="none"/>
                <w:lang w:val="en-US" w:eastAsia="zh-CN"/>
              </w:rPr>
              <w:t>本项目的</w:t>
            </w:r>
            <w:r>
              <w:rPr>
                <w:rFonts w:hint="default" w:ascii="Times New Roman" w:hAnsi="Times New Roman" w:cs="Times New Roman"/>
                <w:color w:val="auto"/>
                <w:sz w:val="24"/>
                <w:highlight w:val="none"/>
              </w:rPr>
              <w:t>生产需求。</w:t>
            </w:r>
          </w:p>
          <w:p w14:paraId="6F2D6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办公楼位于厂区东侧，5层砖混结构，本项目新增劳动定员30人，现有厂区内办公楼可以满足本项目需求。</w:t>
            </w:r>
          </w:p>
          <w:p w14:paraId="7C4FC9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 w:val="0"/>
                <w:bCs w:val="0"/>
                <w:color w:val="auto"/>
                <w:sz w:val="24"/>
                <w:highlight w:val="none"/>
                <w:lang w:val="en-US" w:eastAsia="zh-CN"/>
              </w:rPr>
            </w:pPr>
            <w:r>
              <w:rPr>
                <w:rFonts w:hint="eastAsia"/>
                <w:b w:val="0"/>
                <w:bCs w:val="0"/>
                <w:color w:val="auto"/>
                <w:sz w:val="24"/>
                <w:highlight w:val="none"/>
                <w:lang w:val="en-US" w:eastAsia="zh-CN"/>
              </w:rPr>
              <w:t>②供电、给排水、供暖、供气</w:t>
            </w:r>
          </w:p>
          <w:p w14:paraId="79BDDB33">
            <w:pPr>
              <w:keepNext w:val="0"/>
              <w:keepLines w:val="0"/>
              <w:suppressLineNumbers w:val="0"/>
              <w:adjustRightInd w:val="0"/>
              <w:snapToGrid w:val="0"/>
              <w:spacing w:before="0" w:beforeAutospacing="0" w:after="0" w:afterAutospacing="0" w:line="480" w:lineRule="exact"/>
              <w:ind w:left="0" w:right="0" w:firstLine="480" w:firstLineChars="200"/>
              <w:rPr>
                <w:rFonts w:hint="eastAsia"/>
                <w:color w:val="auto"/>
                <w:sz w:val="24"/>
                <w:highlight w:val="none"/>
                <w:lang w:val="en-US" w:eastAsia="zh-CN"/>
              </w:rPr>
            </w:pPr>
            <w:r>
              <w:rPr>
                <w:rFonts w:hint="default"/>
                <w:color w:val="auto"/>
                <w:sz w:val="24"/>
                <w:highlight w:val="none"/>
              </w:rPr>
              <w:t>本</w:t>
            </w:r>
            <w:r>
              <w:rPr>
                <w:rFonts w:hint="eastAsia"/>
                <w:color w:val="auto"/>
                <w:sz w:val="24"/>
                <w:highlight w:val="none"/>
                <w:lang w:val="en-US" w:eastAsia="zh-CN"/>
              </w:rPr>
              <w:t>项目循环系统补水和新增劳动定员生活用水由园区集中供水系统供给，循环冷却排污水和生活污水排入园区污水管网进入屯留区污水处理厂；供电由业园区供电系统接入；供暖由园区集中供热管网接入；回转窑加热采用的燃料为天然气，由园区供气管道接入。</w:t>
            </w:r>
            <w:r>
              <w:rPr>
                <w:rFonts w:hint="default" w:ascii="Times New Roman" w:hAnsi="Times New Roman" w:eastAsia="宋体" w:cs="Times New Roman"/>
                <w:bCs/>
                <w:color w:val="auto"/>
                <w:sz w:val="24"/>
                <w:highlight w:val="none"/>
              </w:rPr>
              <w:t>厂区实行雨污分流，现有厂区东南角设置1座初期雨水收集池，容积为300m</w:t>
            </w:r>
            <w:r>
              <w:rPr>
                <w:rFonts w:hint="default" w:ascii="Times New Roman" w:hAnsi="Times New Roman" w:eastAsia="宋体" w:cs="Times New Roman"/>
                <w:bCs/>
                <w:color w:val="auto"/>
                <w:sz w:val="24"/>
                <w:highlight w:val="none"/>
                <w:vertAlign w:val="superscript"/>
              </w:rPr>
              <w:t>3</w:t>
            </w:r>
            <w:r>
              <w:rPr>
                <w:rFonts w:hint="default" w:ascii="Times New Roman" w:hAnsi="Times New Roman" w:eastAsia="宋体" w:cs="Times New Roman"/>
                <w:bCs/>
                <w:color w:val="auto"/>
                <w:sz w:val="24"/>
                <w:highlight w:val="none"/>
              </w:rPr>
              <w:t>，用于收集厂区前15min的初期雨水，后期雨水排入园区雨水管网</w:t>
            </w:r>
            <w:r>
              <w:rPr>
                <w:rFonts w:hint="default"/>
                <w:bCs/>
                <w:color w:val="auto"/>
                <w:sz w:val="24"/>
                <w:highlight w:val="none"/>
              </w:rPr>
              <w:t>。</w:t>
            </w:r>
          </w:p>
          <w:p w14:paraId="1AC845C1">
            <w:pPr>
              <w:keepNext w:val="0"/>
              <w:keepLines w:val="0"/>
              <w:suppressLineNumbers w:val="0"/>
              <w:adjustRightInd w:val="0"/>
              <w:snapToGrid w:val="0"/>
              <w:spacing w:before="0" w:beforeAutospacing="0" w:after="0" w:afterAutospacing="0" w:line="480" w:lineRule="exact"/>
              <w:ind w:left="0" w:right="0" w:firstLine="480" w:firstLineChars="200"/>
              <w:rPr>
                <w:rFonts w:hint="default"/>
                <w:color w:val="auto"/>
                <w:sz w:val="24"/>
                <w:highlight w:val="none"/>
              </w:rPr>
            </w:pPr>
            <w:r>
              <w:rPr>
                <w:rFonts w:hint="eastAsia"/>
                <w:color w:val="auto"/>
                <w:sz w:val="24"/>
                <w:highlight w:val="none"/>
                <w:lang w:val="en-US" w:eastAsia="zh-CN"/>
              </w:rPr>
              <w:t>目前厂区现有公用工程系统、雨排水系统可以满足本项目生活、生产需求。</w:t>
            </w:r>
          </w:p>
          <w:p w14:paraId="4148B8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z w:val="24"/>
                <w:highlight w:val="none"/>
                <w:lang w:val="en-US" w:eastAsia="zh-CN"/>
              </w:rPr>
            </w:pPr>
            <w:r>
              <w:rPr>
                <w:rFonts w:hint="eastAsia"/>
                <w:color w:val="auto"/>
                <w:sz w:val="24"/>
                <w:highlight w:val="none"/>
                <w:lang w:val="en-US" w:eastAsia="zh-CN"/>
              </w:rPr>
              <w:t>③</w:t>
            </w:r>
            <w:r>
              <w:rPr>
                <w:rFonts w:hint="eastAsia" w:cs="Times New Roman"/>
                <w:color w:val="auto"/>
                <w:sz w:val="24"/>
                <w:highlight w:val="none"/>
                <w:lang w:val="en-US" w:eastAsia="zh-CN"/>
              </w:rPr>
              <w:t>危废贮存库</w:t>
            </w:r>
          </w:p>
          <w:p w14:paraId="1812D4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default" w:cs="Times New Roman"/>
                <w:color w:val="auto"/>
                <w:spacing w:val="0"/>
                <w:sz w:val="24"/>
                <w:szCs w:val="20"/>
                <w:highlight w:val="none"/>
                <w:vertAlign w:val="baseline"/>
                <w:lang w:val="en-US" w:eastAsia="zh-CN"/>
              </w:rPr>
            </w:pPr>
            <w:r>
              <w:rPr>
                <w:rFonts w:hint="eastAsia" w:cs="Times New Roman"/>
                <w:color w:val="auto"/>
                <w:sz w:val="24"/>
                <w:highlight w:val="none"/>
                <w:lang w:val="en-US" w:eastAsia="zh-CN"/>
              </w:rPr>
              <w:t>厂区东南侧现有1座危废贮存库，占地面积约500m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szCs w:val="24"/>
                <w:highlight w:val="none"/>
              </w:rPr>
              <w:t>入口设置</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0mm围堰</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highlight w:val="none"/>
                <w:lang w:val="en-US" w:eastAsia="zh-CN"/>
              </w:rPr>
              <w:t>危废贮存库地面已进行硬化及防渗处理，并设置导流槽、集液池，各类危废进行分区存放。危废贮存库内将在废油液贮存区上方设置集气罩，废气由引风管引入一套活性炭吸附装置进行净化处理后经15m高排气筒排放，集气效率取95%，活性炭装置净化效率取70%。本项目产生的危险废物为废矿物油、废液压油、废润滑油及废油桶，产生量较小，因此现有危废贮存库可以满足本项目的生产需求。</w:t>
            </w:r>
          </w:p>
          <w:p w14:paraId="66C67A0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eastAsia="宋体"/>
                <w:b/>
                <w:bCs/>
                <w:color w:val="auto"/>
                <w:sz w:val="24"/>
                <w:highlight w:val="none"/>
                <w:lang w:val="en-US" w:eastAsia="zh-CN"/>
              </w:rPr>
            </w:pPr>
            <w:r>
              <w:rPr>
                <w:rFonts w:hint="default"/>
                <w:color w:val="auto"/>
                <w:sz w:val="24"/>
                <w:highlight w:val="none"/>
              </w:rPr>
              <w:t>综上所述</w:t>
            </w:r>
            <w:r>
              <w:rPr>
                <w:rFonts w:hint="eastAsia"/>
                <w:color w:val="auto"/>
                <w:sz w:val="24"/>
                <w:highlight w:val="none"/>
                <w:lang w:eastAsia="zh-CN"/>
              </w:rPr>
              <w:t>，</w:t>
            </w:r>
            <w:r>
              <w:rPr>
                <w:rFonts w:hint="eastAsia"/>
                <w:color w:val="auto"/>
                <w:sz w:val="24"/>
                <w:highlight w:val="none"/>
                <w:lang w:val="en-US" w:eastAsia="zh-CN"/>
              </w:rPr>
              <w:t>公用工程、辅助工程、危废贮存库等</w:t>
            </w:r>
            <w:r>
              <w:rPr>
                <w:rFonts w:hint="default"/>
                <w:color w:val="auto"/>
                <w:sz w:val="24"/>
                <w:highlight w:val="none"/>
              </w:rPr>
              <w:t>均能满足</w:t>
            </w:r>
            <w:r>
              <w:rPr>
                <w:rFonts w:hint="eastAsia"/>
                <w:color w:val="auto"/>
                <w:sz w:val="24"/>
                <w:highlight w:val="none"/>
                <w:lang w:val="en-US" w:eastAsia="zh-CN"/>
              </w:rPr>
              <w:t>本项目生活、</w:t>
            </w:r>
            <w:r>
              <w:rPr>
                <w:rFonts w:hint="default"/>
                <w:color w:val="auto"/>
                <w:sz w:val="24"/>
                <w:highlight w:val="none"/>
              </w:rPr>
              <w:t>生产需求</w:t>
            </w:r>
            <w:r>
              <w:rPr>
                <w:rFonts w:hint="eastAsia"/>
                <w:color w:val="auto"/>
                <w:sz w:val="24"/>
                <w:highlight w:val="none"/>
                <w:lang w:eastAsia="zh-CN"/>
              </w:rPr>
              <w:t>。</w:t>
            </w:r>
          </w:p>
          <w:p w14:paraId="140E66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val="0"/>
                <w:color w:val="auto"/>
                <w:spacing w:val="0"/>
                <w:sz w:val="24"/>
                <w:szCs w:val="24"/>
                <w:highlight w:val="none"/>
                <w:lang w:val="en-US" w:eastAsia="zh-CN"/>
              </w:rPr>
            </w:pPr>
            <w:r>
              <w:rPr>
                <w:rFonts w:hint="eastAsia" w:cs="Times New Roman"/>
                <w:b/>
                <w:bCs w:val="0"/>
                <w:color w:val="auto"/>
                <w:spacing w:val="0"/>
                <w:sz w:val="24"/>
                <w:szCs w:val="24"/>
                <w:highlight w:val="none"/>
                <w:lang w:val="en-US" w:eastAsia="zh-CN"/>
              </w:rPr>
              <w:t>2、</w:t>
            </w:r>
            <w:r>
              <w:rPr>
                <w:rFonts w:hint="eastAsia" w:ascii="Times New Roman" w:hAnsi="Times New Roman" w:eastAsia="宋体" w:cs="Times New Roman"/>
                <w:b/>
                <w:bCs w:val="0"/>
                <w:color w:val="auto"/>
                <w:spacing w:val="0"/>
                <w:sz w:val="24"/>
                <w:szCs w:val="24"/>
                <w:highlight w:val="none"/>
                <w:lang w:val="en-US" w:eastAsia="zh-CN"/>
              </w:rPr>
              <w:t>主要</w:t>
            </w:r>
            <w:r>
              <w:rPr>
                <w:rFonts w:hint="default" w:ascii="Times New Roman" w:hAnsi="Times New Roman" w:eastAsia="宋体" w:cs="Times New Roman"/>
                <w:b/>
                <w:bCs w:val="0"/>
                <w:color w:val="auto"/>
                <w:spacing w:val="0"/>
                <w:sz w:val="24"/>
                <w:szCs w:val="24"/>
                <w:highlight w:val="none"/>
                <w:lang w:val="en-US" w:eastAsia="zh-CN"/>
              </w:rPr>
              <w:t>产品方案</w:t>
            </w:r>
            <w:r>
              <w:rPr>
                <w:rFonts w:hint="eastAsia" w:ascii="Times New Roman" w:hAnsi="Times New Roman" w:eastAsia="宋体" w:cs="Times New Roman"/>
                <w:b/>
                <w:bCs w:val="0"/>
                <w:color w:val="auto"/>
                <w:spacing w:val="0"/>
                <w:sz w:val="24"/>
                <w:szCs w:val="24"/>
                <w:highlight w:val="none"/>
                <w:lang w:val="en-US" w:eastAsia="zh-CN"/>
              </w:rPr>
              <w:t>及产能</w:t>
            </w:r>
          </w:p>
          <w:p w14:paraId="3277C0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Cs/>
                <w:color w:val="auto"/>
                <w:spacing w:val="0"/>
                <w:sz w:val="24"/>
                <w:szCs w:val="24"/>
                <w:highlight w:val="none"/>
                <w:lang w:val="en-US" w:eastAsia="zh-CN"/>
              </w:rPr>
            </w:pPr>
            <w:r>
              <w:rPr>
                <w:rFonts w:hint="eastAsia" w:ascii="宋体" w:hAnsi="宋体" w:eastAsia="宋体" w:cs="宋体"/>
                <w:color w:val="auto"/>
                <w:sz w:val="24"/>
                <w:szCs w:val="24"/>
                <w:highlight w:val="none"/>
                <w:lang w:val="en-US" w:eastAsia="zh-CN"/>
              </w:rPr>
              <w:t>本项目产品分为两种，</w:t>
            </w:r>
            <w:r>
              <w:rPr>
                <w:rFonts w:hint="eastAsia" w:ascii="宋体" w:hAnsi="宋体" w:eastAsia="宋体" w:cs="宋体"/>
                <w:bCs/>
                <w:color w:val="auto"/>
                <w:kern w:val="40"/>
                <w:sz w:val="24"/>
                <w:szCs w:val="24"/>
                <w:highlight w:val="none"/>
                <w:lang w:val="en-US" w:eastAsia="zh-CN"/>
              </w:rPr>
              <w:t>热压成型机压制的产品规格为圆饼状压块</w:t>
            </w:r>
            <w:r>
              <w:rPr>
                <w:rFonts w:hint="eastAsia" w:ascii="宋体" w:hAnsi="宋体" w:eastAsia="宋体" w:cs="宋体"/>
                <w:color w:val="auto"/>
                <w:spacing w:val="0"/>
                <w:w w:val="100"/>
                <w:kern w:val="0"/>
                <w:sz w:val="24"/>
                <w:szCs w:val="24"/>
                <w:highlight w:val="none"/>
                <w:lang w:val="en-US" w:eastAsia="zh-CN"/>
              </w:rPr>
              <w:t>，高温对辊成型机</w:t>
            </w:r>
            <w:r>
              <w:rPr>
                <w:rFonts w:hint="eastAsia" w:ascii="宋体" w:hAnsi="宋体" w:eastAsia="宋体" w:cs="宋体"/>
                <w:bCs/>
                <w:color w:val="auto"/>
                <w:kern w:val="40"/>
                <w:sz w:val="24"/>
                <w:szCs w:val="24"/>
                <w:highlight w:val="none"/>
                <w:lang w:val="en-US" w:eastAsia="zh-CN"/>
              </w:rPr>
              <w:t>压制的产品规格为菱形颗粒状压块。</w:t>
            </w:r>
            <w:bookmarkStart w:id="9" w:name="_Toc16022_WPSOffice_Level2"/>
            <w:r>
              <w:rPr>
                <w:rFonts w:hint="eastAsia" w:ascii="宋体" w:hAnsi="宋体" w:eastAsia="宋体" w:cs="宋体"/>
                <w:bCs/>
                <w:color w:val="auto"/>
                <w:kern w:val="40"/>
                <w:sz w:val="24"/>
                <w:szCs w:val="24"/>
                <w:highlight w:val="none"/>
                <w:lang w:val="en-US" w:eastAsia="zh-CN"/>
              </w:rPr>
              <w:t>成品密度</w:t>
            </w:r>
            <w:r>
              <w:rPr>
                <w:rFonts w:hint="default" w:ascii="Times New Roman" w:hAnsi="Times New Roman" w:eastAsia="宋体" w:cs="Times New Roman"/>
                <w:bCs/>
                <w:color w:val="auto"/>
                <w:kern w:val="40"/>
                <w:sz w:val="24"/>
                <w:szCs w:val="24"/>
                <w:highlight w:val="none"/>
                <w:lang w:val="en-US" w:eastAsia="zh-CN"/>
              </w:rPr>
              <w:t>：约5t/m</w:t>
            </w:r>
            <w:bookmarkEnd w:id="9"/>
            <w:r>
              <w:rPr>
                <w:rFonts w:hint="eastAsia" w:ascii="Times New Roman" w:hAnsi="Times New Roman" w:eastAsia="宋体" w:cs="Times New Roman"/>
                <w:bCs/>
                <w:color w:val="auto"/>
                <w:kern w:val="40"/>
                <w:sz w:val="24"/>
                <w:szCs w:val="24"/>
                <w:highlight w:val="none"/>
                <w:vertAlign w:val="superscript"/>
                <w:lang w:val="en-US" w:eastAsia="zh-CN"/>
              </w:rPr>
              <w:t>3</w:t>
            </w:r>
            <w:r>
              <w:rPr>
                <w:rFonts w:hint="eastAsia" w:ascii="Times New Roman" w:hAnsi="Times New Roman" w:eastAsia="宋体" w:cs="Times New Roman"/>
                <w:bCs/>
                <w:color w:val="auto"/>
                <w:kern w:val="40"/>
                <w:sz w:val="24"/>
                <w:szCs w:val="24"/>
                <w:highlight w:val="none"/>
                <w:vertAlign w:val="baseline"/>
                <w:lang w:val="en-US" w:eastAsia="zh-CN"/>
              </w:rPr>
              <w:t>。</w:t>
            </w:r>
            <w:r>
              <w:rPr>
                <w:rFonts w:hint="eastAsia"/>
                <w:color w:val="auto"/>
                <w:sz w:val="24"/>
                <w:highlight w:val="none"/>
                <w:lang w:val="en-US" w:eastAsia="zh-CN"/>
              </w:rPr>
              <w:t>产品均无塑料、木材、橡胶等杂质。</w:t>
            </w:r>
            <w:r>
              <w:rPr>
                <w:rFonts w:hint="default" w:ascii="Times New Roman" w:hAnsi="Times New Roman" w:eastAsia="宋体" w:cs="Times New Roman"/>
                <w:bCs/>
                <w:color w:val="auto"/>
                <w:spacing w:val="0"/>
                <w:sz w:val="24"/>
                <w:szCs w:val="24"/>
                <w:highlight w:val="none"/>
                <w:lang w:val="en-US" w:eastAsia="zh-CN"/>
              </w:rPr>
              <w:t>本项目</w:t>
            </w:r>
            <w:r>
              <w:rPr>
                <w:rFonts w:hint="eastAsia" w:ascii="Times New Roman" w:hAnsi="Times New Roman" w:eastAsia="宋体" w:cs="Times New Roman"/>
                <w:bCs/>
                <w:color w:val="auto"/>
                <w:spacing w:val="0"/>
                <w:sz w:val="24"/>
                <w:szCs w:val="24"/>
                <w:highlight w:val="none"/>
                <w:lang w:val="en-US" w:eastAsia="zh-CN"/>
              </w:rPr>
              <w:t>产品方案见表2</w:t>
            </w:r>
            <w:r>
              <w:rPr>
                <w:rFonts w:hint="eastAsia" w:cs="Times New Roman"/>
                <w:bCs/>
                <w:color w:val="auto"/>
                <w:spacing w:val="0"/>
                <w:sz w:val="24"/>
                <w:szCs w:val="24"/>
                <w:highlight w:val="none"/>
                <w:lang w:val="en-US" w:eastAsia="zh-CN"/>
              </w:rPr>
              <w:t>-3</w:t>
            </w:r>
            <w:r>
              <w:rPr>
                <w:rFonts w:hint="eastAsia" w:ascii="Times New Roman" w:hAnsi="Times New Roman" w:eastAsia="宋体" w:cs="Times New Roman"/>
                <w:bCs/>
                <w:color w:val="auto"/>
                <w:spacing w:val="0"/>
                <w:sz w:val="24"/>
                <w:szCs w:val="24"/>
                <w:highlight w:val="none"/>
                <w:lang w:val="en-US" w:eastAsia="zh-CN"/>
              </w:rPr>
              <w:t>。</w:t>
            </w:r>
          </w:p>
          <w:p w14:paraId="2CAACE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baseline"/>
              <w:rPr>
                <w:rFonts w:hint="default" w:ascii="Times New Roman" w:hAnsi="Times New Roman" w:eastAsia="宋体" w:cs="Times New Roman"/>
                <w:b/>
                <w:bCs/>
                <w:iCs/>
                <w:snapToGrid w:val="0"/>
                <w:color w:val="auto"/>
                <w:spacing w:val="0"/>
                <w:kern w:val="0"/>
                <w:sz w:val="21"/>
                <w:szCs w:val="20"/>
                <w:highlight w:val="none"/>
                <w:lang w:val="en-US" w:eastAsia="zh-CN" w:bidi="ar-SA"/>
              </w:rPr>
            </w:pPr>
          </w:p>
          <w:p w14:paraId="50134F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baseline"/>
              <w:rPr>
                <w:rFonts w:hint="default" w:ascii="Times New Roman" w:hAnsi="Times New Roman" w:eastAsia="宋体" w:cs="Times New Roman"/>
                <w:b/>
                <w:bCs/>
                <w:iCs/>
                <w:snapToGrid w:val="0"/>
                <w:color w:val="auto"/>
                <w:spacing w:val="0"/>
                <w:kern w:val="0"/>
                <w:sz w:val="21"/>
                <w:szCs w:val="20"/>
                <w:highlight w:val="none"/>
                <w:lang w:val="en-US" w:eastAsia="zh-CN" w:bidi="ar-SA"/>
              </w:rPr>
            </w:pPr>
            <w:r>
              <w:rPr>
                <w:rFonts w:hint="default" w:ascii="Times New Roman" w:hAnsi="Times New Roman" w:eastAsia="宋体" w:cs="Times New Roman"/>
                <w:b/>
                <w:bCs/>
                <w:iCs/>
                <w:snapToGrid w:val="0"/>
                <w:color w:val="auto"/>
                <w:spacing w:val="0"/>
                <w:kern w:val="0"/>
                <w:sz w:val="21"/>
                <w:szCs w:val="20"/>
                <w:highlight w:val="none"/>
                <w:lang w:val="en-US" w:eastAsia="zh-CN" w:bidi="ar-SA"/>
              </w:rPr>
              <w:t>表2</w:t>
            </w:r>
            <w:r>
              <w:rPr>
                <w:rFonts w:hint="eastAsia" w:cs="Times New Roman"/>
                <w:b/>
                <w:bCs/>
                <w:iCs/>
                <w:snapToGrid w:val="0"/>
                <w:color w:val="auto"/>
                <w:spacing w:val="0"/>
                <w:kern w:val="0"/>
                <w:sz w:val="21"/>
                <w:szCs w:val="20"/>
                <w:highlight w:val="none"/>
                <w:lang w:val="en-US" w:eastAsia="zh-CN" w:bidi="ar-SA"/>
              </w:rPr>
              <w:t>-3</w:t>
            </w:r>
            <w:r>
              <w:rPr>
                <w:rFonts w:hint="default" w:ascii="Times New Roman" w:hAnsi="Times New Roman" w:eastAsia="宋体" w:cs="Times New Roman"/>
                <w:b/>
                <w:bCs/>
                <w:iCs/>
                <w:snapToGrid w:val="0"/>
                <w:color w:val="auto"/>
                <w:spacing w:val="0"/>
                <w:kern w:val="0"/>
                <w:sz w:val="21"/>
                <w:szCs w:val="20"/>
                <w:highlight w:val="none"/>
                <w:lang w:val="en-US" w:eastAsia="zh-CN" w:bidi="ar-SA"/>
              </w:rPr>
              <w:t xml:space="preserve">  产品方案表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06"/>
              <w:gridCol w:w="1346"/>
              <w:gridCol w:w="1393"/>
              <w:gridCol w:w="4477"/>
              <w:gridCol w:w="1029"/>
            </w:tblGrid>
            <w:tr w14:paraId="457C25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 w:type="pct"/>
                  <w:vAlign w:val="center"/>
                </w:tcPr>
                <w:p w14:paraId="01C8F8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eastAsia="宋体" w:cs="Times New Roman"/>
                      <w:b/>
                      <w:bCs/>
                      <w:color w:val="auto"/>
                      <w:spacing w:val="0"/>
                      <w:w w:val="100"/>
                      <w:kern w:val="0"/>
                      <w:sz w:val="21"/>
                      <w:szCs w:val="21"/>
                      <w:highlight w:val="none"/>
                    </w:rPr>
                    <w:t>序号</w:t>
                  </w:r>
                </w:p>
              </w:tc>
              <w:tc>
                <w:tcPr>
                  <w:tcW w:w="743" w:type="pct"/>
                  <w:vAlign w:val="center"/>
                </w:tcPr>
                <w:p w14:paraId="0AB3FF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bCs/>
                      <w:color w:val="auto"/>
                      <w:spacing w:val="0"/>
                      <w:w w:val="100"/>
                      <w:kern w:val="0"/>
                      <w:sz w:val="21"/>
                      <w:szCs w:val="21"/>
                      <w:highlight w:val="none"/>
                      <w:lang w:val="en-US" w:eastAsia="zh-CN"/>
                    </w:rPr>
                  </w:pPr>
                  <w:r>
                    <w:rPr>
                      <w:rFonts w:hint="eastAsia" w:ascii="Times New Roman" w:hAnsi="Times New Roman" w:eastAsia="宋体" w:cs="Times New Roman"/>
                      <w:b/>
                      <w:bCs/>
                      <w:color w:val="auto"/>
                      <w:spacing w:val="0"/>
                      <w:w w:val="100"/>
                      <w:kern w:val="0"/>
                      <w:sz w:val="21"/>
                      <w:szCs w:val="21"/>
                      <w:highlight w:val="none"/>
                      <w:lang w:val="en-US" w:eastAsia="zh-CN"/>
                    </w:rPr>
                    <w:t>产品</w:t>
                  </w:r>
                  <w:r>
                    <w:rPr>
                      <w:rFonts w:hint="default" w:ascii="Times New Roman" w:hAnsi="Times New Roman" w:eastAsia="宋体" w:cs="Times New Roman"/>
                      <w:b/>
                      <w:bCs/>
                      <w:color w:val="auto"/>
                      <w:spacing w:val="0"/>
                      <w:w w:val="100"/>
                      <w:kern w:val="0"/>
                      <w:sz w:val="21"/>
                      <w:szCs w:val="21"/>
                      <w:highlight w:val="none"/>
                    </w:rPr>
                    <w:t>名称</w:t>
                  </w:r>
                </w:p>
              </w:tc>
              <w:tc>
                <w:tcPr>
                  <w:tcW w:w="769" w:type="pct"/>
                  <w:vAlign w:val="center"/>
                </w:tcPr>
                <w:p w14:paraId="5DDDAC9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bCs/>
                      <w:color w:val="auto"/>
                      <w:spacing w:val="0"/>
                      <w:w w:val="100"/>
                      <w:kern w:val="0"/>
                      <w:sz w:val="21"/>
                      <w:szCs w:val="21"/>
                      <w:highlight w:val="none"/>
                      <w:lang w:val="en-US" w:eastAsia="zh-CN"/>
                    </w:rPr>
                  </w:pPr>
                  <w:r>
                    <w:rPr>
                      <w:rFonts w:hint="eastAsia"/>
                      <w:b/>
                      <w:bCs/>
                      <w:color w:val="auto"/>
                      <w:highlight w:val="none"/>
                      <w:lang w:val="en-US" w:eastAsia="zh-CN"/>
                    </w:rPr>
                    <w:t>年</w:t>
                  </w:r>
                  <w:r>
                    <w:rPr>
                      <w:rFonts w:hint="default"/>
                      <w:b/>
                      <w:bCs/>
                      <w:color w:val="auto"/>
                      <w:highlight w:val="none"/>
                    </w:rPr>
                    <w:t>产量</w:t>
                  </w:r>
                </w:p>
              </w:tc>
              <w:tc>
                <w:tcPr>
                  <w:tcW w:w="2473" w:type="pct"/>
                  <w:vAlign w:val="center"/>
                </w:tcPr>
                <w:p w14:paraId="2CFB7F3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pacing w:val="0"/>
                      <w:w w:val="100"/>
                      <w:kern w:val="0"/>
                      <w:sz w:val="21"/>
                      <w:szCs w:val="21"/>
                      <w:highlight w:val="none"/>
                      <w:lang w:val="en-US" w:eastAsia="zh-CN"/>
                    </w:rPr>
                  </w:pPr>
                  <w:r>
                    <w:rPr>
                      <w:rFonts w:hint="eastAsia" w:cs="Times New Roman"/>
                      <w:b/>
                      <w:bCs/>
                      <w:color w:val="auto"/>
                      <w:spacing w:val="0"/>
                      <w:w w:val="100"/>
                      <w:kern w:val="0"/>
                      <w:sz w:val="21"/>
                      <w:szCs w:val="21"/>
                      <w:highlight w:val="none"/>
                      <w:lang w:val="en-US" w:eastAsia="zh-CN"/>
                    </w:rPr>
                    <w:t>规格参数</w:t>
                  </w:r>
                </w:p>
              </w:tc>
              <w:tc>
                <w:tcPr>
                  <w:tcW w:w="568" w:type="pct"/>
                  <w:vAlign w:val="center"/>
                </w:tcPr>
                <w:p w14:paraId="5610077D">
                  <w:pPr>
                    <w:keepNext w:val="0"/>
                    <w:keepLines w:val="0"/>
                    <w:suppressLineNumbers w:val="0"/>
                    <w:adjustRightInd w:val="0"/>
                    <w:snapToGrid w:val="0"/>
                    <w:spacing w:before="0" w:beforeAutospacing="0" w:after="0" w:afterAutospacing="0" w:line="240" w:lineRule="auto"/>
                    <w:ind w:left="0" w:right="0"/>
                    <w:jc w:val="center"/>
                    <w:rPr>
                      <w:rFonts w:hint="default"/>
                      <w:b/>
                      <w:bCs/>
                      <w:color w:val="auto"/>
                      <w:highlight w:val="none"/>
                      <w:lang w:val="en-US" w:eastAsia="zh-CN"/>
                    </w:rPr>
                  </w:pPr>
                  <w:r>
                    <w:rPr>
                      <w:rFonts w:hint="eastAsia"/>
                      <w:b/>
                      <w:bCs/>
                      <w:color w:val="auto"/>
                      <w:highlight w:val="none"/>
                      <w:lang w:val="en-US" w:eastAsia="zh-CN"/>
                    </w:rPr>
                    <w:t>备注</w:t>
                  </w:r>
                </w:p>
              </w:tc>
            </w:tr>
            <w:tr w14:paraId="79EF02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 w:type="pct"/>
                  <w:vAlign w:val="center"/>
                </w:tcPr>
                <w:p w14:paraId="189034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w w:val="100"/>
                      <w:kern w:val="0"/>
                      <w:sz w:val="21"/>
                      <w:szCs w:val="21"/>
                      <w:highlight w:val="none"/>
                      <w:lang w:val="en-US" w:eastAsia="zh-CN"/>
                    </w:rPr>
                  </w:pPr>
                  <w:r>
                    <w:rPr>
                      <w:rFonts w:hint="eastAsia" w:ascii="Times New Roman" w:hAnsi="Times New Roman" w:eastAsia="宋体" w:cs="Times New Roman"/>
                      <w:color w:val="auto"/>
                      <w:spacing w:val="0"/>
                      <w:w w:val="100"/>
                      <w:kern w:val="0"/>
                      <w:sz w:val="21"/>
                      <w:szCs w:val="21"/>
                      <w:highlight w:val="none"/>
                      <w:lang w:val="en-US" w:eastAsia="zh-CN"/>
                    </w:rPr>
                    <w:t>1</w:t>
                  </w:r>
                </w:p>
              </w:tc>
              <w:tc>
                <w:tcPr>
                  <w:tcW w:w="743" w:type="pct"/>
                  <w:vAlign w:val="center"/>
                </w:tcPr>
                <w:p w14:paraId="53EA8F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rPr>
                  </w:pPr>
                  <w:r>
                    <w:rPr>
                      <w:rFonts w:hint="default" w:ascii="Times New Roman" w:hAnsi="Times New Roman" w:eastAsia="宋体" w:cs="Times New Roman"/>
                      <w:color w:val="auto"/>
                      <w:spacing w:val="0"/>
                      <w:w w:val="100"/>
                      <w:kern w:val="0"/>
                      <w:sz w:val="21"/>
                      <w:szCs w:val="21"/>
                      <w:highlight w:val="none"/>
                      <w:lang w:val="en-US" w:eastAsia="zh-CN"/>
                    </w:rPr>
                    <w:t>热压铁饼</w:t>
                  </w:r>
                </w:p>
              </w:tc>
              <w:tc>
                <w:tcPr>
                  <w:tcW w:w="769" w:type="pct"/>
                  <w:vMerge w:val="restart"/>
                  <w:vAlign w:val="center"/>
                </w:tcPr>
                <w:p w14:paraId="484D16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b w:val="0"/>
                      <w:bCs w:val="0"/>
                      <w:color w:val="auto"/>
                      <w:szCs w:val="21"/>
                      <w:highlight w:val="none"/>
                      <w:lang w:val="en-US" w:eastAsia="zh-CN"/>
                    </w:rPr>
                  </w:pPr>
                  <w:r>
                    <w:rPr>
                      <w:rFonts w:hint="eastAsia" w:cs="Times New Roman"/>
                      <w:color w:val="auto"/>
                      <w:kern w:val="0"/>
                      <w:szCs w:val="21"/>
                      <w:highlight w:val="none"/>
                      <w:lang w:val="en-US" w:eastAsia="zh-CN"/>
                    </w:rPr>
                    <w:t>约29.7万吨</w:t>
                  </w:r>
                </w:p>
              </w:tc>
              <w:tc>
                <w:tcPr>
                  <w:tcW w:w="2473" w:type="pct"/>
                  <w:vAlign w:val="center"/>
                </w:tcPr>
                <w:p w14:paraId="64231D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ascii="Times New Roman" w:hAnsi="Times New Roman" w:eastAsia="宋体" w:cs="Times New Roman"/>
                      <w:color w:val="auto"/>
                      <w:spacing w:val="0"/>
                      <w:w w:val="100"/>
                      <w:kern w:val="0"/>
                      <w:sz w:val="21"/>
                      <w:szCs w:val="21"/>
                      <w:highlight w:val="none"/>
                      <w:lang w:val="en-US" w:eastAsia="zh-CN"/>
                    </w:rPr>
                    <w:t>圆饼状压块，直径</w:t>
                  </w:r>
                  <w:r>
                    <w:rPr>
                      <w:rFonts w:hint="default" w:ascii="Times New Roman" w:hAnsi="Times New Roman" w:eastAsia="宋体" w:cs="Times New Roman"/>
                      <w:color w:val="auto"/>
                      <w:spacing w:val="0"/>
                      <w:w w:val="100"/>
                      <w:kern w:val="0"/>
                      <w:sz w:val="21"/>
                      <w:szCs w:val="21"/>
                      <w:highlight w:val="none"/>
                      <w:lang w:val="en-US" w:eastAsia="zh-CN"/>
                    </w:rPr>
                    <w:t>Φ220mm</w:t>
                  </w:r>
                  <w:r>
                    <w:rPr>
                      <w:rFonts w:hint="eastAsia" w:ascii="Times New Roman" w:hAnsi="Times New Roman" w:eastAsia="宋体" w:cs="Times New Roman"/>
                      <w:color w:val="auto"/>
                      <w:spacing w:val="0"/>
                      <w:w w:val="100"/>
                      <w:kern w:val="0"/>
                      <w:sz w:val="21"/>
                      <w:szCs w:val="21"/>
                      <w:highlight w:val="none"/>
                      <w:lang w:val="en-US" w:eastAsia="zh-CN"/>
                    </w:rPr>
                    <w:t>，高</w:t>
                  </w:r>
                  <w:r>
                    <w:rPr>
                      <w:rFonts w:hint="default" w:ascii="Times New Roman" w:hAnsi="Times New Roman" w:eastAsia="宋体" w:cs="Times New Roman"/>
                      <w:color w:val="auto"/>
                      <w:spacing w:val="0"/>
                      <w:w w:val="100"/>
                      <w:kern w:val="0"/>
                      <w:sz w:val="21"/>
                      <w:szCs w:val="21"/>
                      <w:highlight w:val="none"/>
                      <w:lang w:val="en-US" w:eastAsia="zh-CN"/>
                    </w:rPr>
                    <w:t>230-250mm</w:t>
                  </w:r>
                </w:p>
              </w:tc>
              <w:tc>
                <w:tcPr>
                  <w:tcW w:w="568" w:type="pct"/>
                  <w:vMerge w:val="restart"/>
                  <w:vAlign w:val="center"/>
                </w:tcPr>
                <w:p w14:paraId="1FDFB5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外售钢铁厂</w:t>
                  </w:r>
                </w:p>
              </w:tc>
            </w:tr>
            <w:tr w14:paraId="125D12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45" w:type="pct"/>
                  <w:vAlign w:val="center"/>
                </w:tcPr>
                <w:p w14:paraId="21CA84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rPr>
                  </w:pPr>
                  <w:r>
                    <w:rPr>
                      <w:rFonts w:hint="eastAsia" w:cs="Times New Roman"/>
                      <w:color w:val="auto"/>
                      <w:spacing w:val="0"/>
                      <w:w w:val="100"/>
                      <w:kern w:val="0"/>
                      <w:sz w:val="21"/>
                      <w:szCs w:val="21"/>
                      <w:highlight w:val="none"/>
                      <w:lang w:val="en-US" w:eastAsia="zh-CN"/>
                    </w:rPr>
                    <w:t>2</w:t>
                  </w:r>
                </w:p>
              </w:tc>
              <w:tc>
                <w:tcPr>
                  <w:tcW w:w="743" w:type="pct"/>
                  <w:vAlign w:val="center"/>
                </w:tcPr>
                <w:p w14:paraId="0D07A1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w w:val="100"/>
                      <w:kern w:val="0"/>
                      <w:sz w:val="21"/>
                      <w:szCs w:val="21"/>
                      <w:highlight w:val="none"/>
                      <w:lang w:val="en-US" w:eastAsia="zh-CN"/>
                    </w:rPr>
                  </w:pPr>
                  <w:r>
                    <w:rPr>
                      <w:rFonts w:hint="eastAsia" w:cs="Times New Roman"/>
                      <w:color w:val="auto"/>
                      <w:spacing w:val="0"/>
                      <w:w w:val="100"/>
                      <w:kern w:val="0"/>
                      <w:sz w:val="21"/>
                      <w:szCs w:val="21"/>
                      <w:highlight w:val="none"/>
                      <w:lang w:val="en-US" w:eastAsia="zh-CN"/>
                    </w:rPr>
                    <w:t>对辊压块</w:t>
                  </w:r>
                </w:p>
              </w:tc>
              <w:tc>
                <w:tcPr>
                  <w:tcW w:w="769" w:type="pct"/>
                  <w:vMerge w:val="continue"/>
                  <w:vAlign w:val="center"/>
                </w:tcPr>
                <w:p w14:paraId="341AB0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b w:val="0"/>
                      <w:bCs w:val="0"/>
                      <w:color w:val="auto"/>
                      <w:szCs w:val="21"/>
                      <w:highlight w:val="none"/>
                      <w:lang w:val="en-US" w:eastAsia="zh-CN"/>
                    </w:rPr>
                  </w:pPr>
                </w:p>
              </w:tc>
              <w:tc>
                <w:tcPr>
                  <w:tcW w:w="2473" w:type="pct"/>
                  <w:vAlign w:val="center"/>
                </w:tcPr>
                <w:p w14:paraId="2C8EC5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spacing w:val="0"/>
                      <w:w w:val="100"/>
                      <w:kern w:val="0"/>
                      <w:sz w:val="21"/>
                      <w:szCs w:val="21"/>
                      <w:highlight w:val="none"/>
                      <w:lang w:val="en-US" w:eastAsia="zh-CN"/>
                    </w:rPr>
                    <w:t>菱形颗粒状压块</w:t>
                  </w:r>
                  <w:r>
                    <w:rPr>
                      <w:rFonts w:hint="eastAsia" w:ascii="Times New Roman" w:hAnsi="Times New Roman" w:eastAsia="宋体" w:cs="Times New Roman"/>
                      <w:color w:val="auto"/>
                      <w:spacing w:val="0"/>
                      <w:w w:val="100"/>
                      <w:kern w:val="0"/>
                      <w:sz w:val="21"/>
                      <w:szCs w:val="21"/>
                      <w:highlight w:val="none"/>
                      <w:lang w:val="en-US" w:eastAsia="zh-CN"/>
                    </w:rPr>
                    <w:t>，</w:t>
                  </w:r>
                  <w:r>
                    <w:rPr>
                      <w:rFonts w:hint="default" w:ascii="Times New Roman" w:hAnsi="Times New Roman" w:eastAsia="宋体" w:cs="Times New Roman"/>
                      <w:color w:val="auto"/>
                      <w:spacing w:val="0"/>
                      <w:w w:val="100"/>
                      <w:kern w:val="0"/>
                      <w:sz w:val="21"/>
                      <w:szCs w:val="21"/>
                      <w:highlight w:val="none"/>
                      <w:lang w:val="en-US" w:eastAsia="zh-CN"/>
                    </w:rPr>
                    <w:t>55mm×55mm×45mm</w:t>
                  </w:r>
                </w:p>
              </w:tc>
              <w:tc>
                <w:tcPr>
                  <w:tcW w:w="568" w:type="pct"/>
                  <w:vMerge w:val="continue"/>
                  <w:vAlign w:val="center"/>
                </w:tcPr>
                <w:p w14:paraId="7DAE72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b w:val="0"/>
                      <w:bCs w:val="0"/>
                      <w:color w:val="auto"/>
                      <w:highlight w:val="none"/>
                      <w:lang w:val="en-US" w:eastAsia="zh-CN"/>
                    </w:rPr>
                  </w:pPr>
                </w:p>
              </w:tc>
            </w:tr>
          </w:tbl>
          <w:p w14:paraId="575997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color w:val="auto"/>
                <w:sz w:val="24"/>
                <w:highlight w:val="none"/>
                <w:lang w:val="en-US" w:eastAsia="zh-CN"/>
              </w:rPr>
            </w:pPr>
            <w:r>
              <w:rPr>
                <w:rFonts w:hint="eastAsia" w:ascii="Times New Roman" w:hAnsi="Times New Roman" w:eastAsia="宋体" w:cs="Times New Roman"/>
                <w:bCs/>
                <w:color w:val="auto"/>
                <w:kern w:val="40"/>
                <w:sz w:val="24"/>
                <w:szCs w:val="24"/>
                <w:highlight w:val="none"/>
                <w:vertAlign w:val="baseline"/>
                <w:lang w:val="en-US" w:eastAsia="zh-CN"/>
              </w:rPr>
              <w:t>产品</w:t>
            </w:r>
            <w:r>
              <w:rPr>
                <w:rFonts w:hint="eastAsia" w:cs="Times New Roman"/>
                <w:bCs/>
                <w:color w:val="auto"/>
                <w:kern w:val="40"/>
                <w:sz w:val="24"/>
                <w:szCs w:val="24"/>
                <w:highlight w:val="none"/>
                <w:vertAlign w:val="baseline"/>
                <w:lang w:val="en-US" w:eastAsia="zh-CN"/>
              </w:rPr>
              <w:t>外售钢铁厂炼钢、炼铁，</w:t>
            </w:r>
            <w:r>
              <w:rPr>
                <w:rFonts w:hint="default"/>
                <w:color w:val="auto"/>
                <w:sz w:val="24"/>
                <w:highlight w:val="none"/>
              </w:rPr>
              <w:t>本项目废钢铁来源及加工产品质量需符合《废钢铁》</w:t>
            </w:r>
            <w:r>
              <w:rPr>
                <w:rFonts w:hint="eastAsia"/>
                <w:color w:val="auto"/>
                <w:sz w:val="24"/>
                <w:highlight w:val="none"/>
                <w:lang w:eastAsia="zh-CN"/>
              </w:rPr>
              <w:t>（</w:t>
            </w:r>
            <w:r>
              <w:rPr>
                <w:rFonts w:hint="default"/>
                <w:color w:val="auto"/>
                <w:sz w:val="24"/>
                <w:highlight w:val="none"/>
              </w:rPr>
              <w:t>GB/T4223-2017</w:t>
            </w:r>
            <w:r>
              <w:rPr>
                <w:rFonts w:hint="eastAsia"/>
                <w:color w:val="auto"/>
                <w:sz w:val="24"/>
                <w:highlight w:val="none"/>
                <w:lang w:eastAsia="zh-CN"/>
              </w:rPr>
              <w:t>）</w:t>
            </w:r>
            <w:r>
              <w:rPr>
                <w:rFonts w:hint="eastAsia"/>
                <w:color w:val="auto"/>
                <w:sz w:val="24"/>
                <w:highlight w:val="none"/>
                <w:lang w:val="en-US" w:eastAsia="zh-CN"/>
              </w:rPr>
              <w:t>中</w:t>
            </w:r>
            <w:r>
              <w:rPr>
                <w:rFonts w:hint="default"/>
                <w:color w:val="auto"/>
                <w:sz w:val="24"/>
                <w:highlight w:val="none"/>
              </w:rPr>
              <w:t>相关要求</w:t>
            </w:r>
            <w:r>
              <w:rPr>
                <w:rFonts w:hint="eastAsia"/>
                <w:color w:val="auto"/>
                <w:sz w:val="24"/>
                <w:highlight w:val="none"/>
                <w:lang w:eastAsia="zh-CN"/>
              </w:rPr>
              <w:t>，</w:t>
            </w:r>
            <w:r>
              <w:rPr>
                <w:rFonts w:hint="eastAsia"/>
                <w:color w:val="auto"/>
                <w:sz w:val="24"/>
                <w:highlight w:val="none"/>
                <w:lang w:val="en-US" w:eastAsia="zh-CN"/>
              </w:rPr>
              <w:t>见表2-4中。</w:t>
            </w:r>
          </w:p>
          <w:p w14:paraId="0B41D7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baseline"/>
              <w:rPr>
                <w:rFonts w:hint="default" w:ascii="Times New Roman" w:hAnsi="Times New Roman" w:eastAsia="宋体" w:cs="Times New Roman"/>
                <w:b/>
                <w:bCs/>
                <w:iCs/>
                <w:snapToGrid w:val="0"/>
                <w:color w:val="auto"/>
                <w:spacing w:val="0"/>
                <w:kern w:val="0"/>
                <w:sz w:val="21"/>
                <w:szCs w:val="20"/>
                <w:highlight w:val="none"/>
                <w:lang w:val="en-US" w:eastAsia="zh-CN" w:bidi="ar-SA"/>
              </w:rPr>
            </w:pPr>
            <w:r>
              <w:rPr>
                <w:rFonts w:hint="default" w:ascii="Times New Roman" w:hAnsi="Times New Roman" w:eastAsia="宋体" w:cs="Times New Roman"/>
                <w:b/>
                <w:bCs/>
                <w:iCs/>
                <w:snapToGrid w:val="0"/>
                <w:color w:val="auto"/>
                <w:spacing w:val="0"/>
                <w:kern w:val="0"/>
                <w:sz w:val="21"/>
                <w:szCs w:val="20"/>
                <w:highlight w:val="none"/>
                <w:lang w:val="en-US" w:eastAsia="zh-CN" w:bidi="ar-SA"/>
              </w:rPr>
              <w:t>表2</w:t>
            </w:r>
            <w:r>
              <w:rPr>
                <w:rFonts w:hint="eastAsia" w:cs="Times New Roman"/>
                <w:b/>
                <w:bCs/>
                <w:iCs/>
                <w:snapToGrid w:val="0"/>
                <w:color w:val="auto"/>
                <w:spacing w:val="0"/>
                <w:kern w:val="0"/>
                <w:sz w:val="21"/>
                <w:szCs w:val="20"/>
                <w:highlight w:val="none"/>
                <w:lang w:val="en-US" w:eastAsia="zh-CN" w:bidi="ar-SA"/>
              </w:rPr>
              <w:t>-4</w:t>
            </w:r>
            <w:r>
              <w:rPr>
                <w:rFonts w:hint="default" w:ascii="Times New Roman" w:hAnsi="Times New Roman" w:eastAsia="宋体" w:cs="Times New Roman"/>
                <w:b/>
                <w:bCs/>
                <w:iCs/>
                <w:snapToGrid w:val="0"/>
                <w:color w:val="auto"/>
                <w:spacing w:val="0"/>
                <w:kern w:val="0"/>
                <w:sz w:val="21"/>
                <w:szCs w:val="20"/>
                <w:highlight w:val="none"/>
                <w:lang w:val="en-US" w:eastAsia="zh-CN" w:bidi="ar-SA"/>
              </w:rPr>
              <w:t xml:space="preserve">  废钢铁</w:t>
            </w:r>
            <w:r>
              <w:rPr>
                <w:rFonts w:hint="eastAsia" w:ascii="Times New Roman" w:hAnsi="Times New Roman" w:eastAsia="宋体" w:cs="Times New Roman"/>
                <w:b/>
                <w:bCs/>
                <w:iCs/>
                <w:snapToGrid w:val="0"/>
                <w:color w:val="auto"/>
                <w:spacing w:val="0"/>
                <w:kern w:val="0"/>
                <w:sz w:val="21"/>
                <w:szCs w:val="20"/>
                <w:highlight w:val="none"/>
                <w:lang w:val="en-US" w:eastAsia="zh-CN" w:bidi="ar-SA"/>
              </w:rPr>
              <w:t>的质量指标</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1"/>
              <w:gridCol w:w="1432"/>
              <w:gridCol w:w="1841"/>
              <w:gridCol w:w="1827"/>
              <w:gridCol w:w="2800"/>
            </w:tblGrid>
            <w:tr w14:paraId="103BEA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51" w:type="dxa"/>
                  <w:vAlign w:val="center"/>
                </w:tcPr>
                <w:p w14:paraId="2DF27A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cs="Times New Roman"/>
                      <w:b/>
                      <w:bCs/>
                      <w:color w:val="auto"/>
                      <w:sz w:val="21"/>
                      <w:szCs w:val="21"/>
                      <w:highlight w:val="none"/>
                    </w:rPr>
                    <w:t>类别</w:t>
                  </w:r>
                </w:p>
              </w:tc>
              <w:tc>
                <w:tcPr>
                  <w:tcW w:w="1432" w:type="dxa"/>
                  <w:vAlign w:val="center"/>
                </w:tcPr>
                <w:p w14:paraId="7CA0C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lang w:val="en-US" w:eastAsia="zh-CN"/>
                    </w:rPr>
                  </w:pPr>
                  <w:r>
                    <w:rPr>
                      <w:rFonts w:hint="default" w:ascii="Times New Roman" w:hAnsi="Times New Roman" w:cs="Times New Roman"/>
                      <w:b/>
                      <w:bCs/>
                      <w:color w:val="auto"/>
                      <w:sz w:val="21"/>
                      <w:szCs w:val="21"/>
                      <w:highlight w:val="none"/>
                    </w:rPr>
                    <w:t>碳含量</w:t>
                  </w:r>
                </w:p>
              </w:tc>
              <w:tc>
                <w:tcPr>
                  <w:tcW w:w="1841" w:type="dxa"/>
                  <w:vAlign w:val="center"/>
                </w:tcPr>
                <w:p w14:paraId="28814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lang w:val="en-US" w:eastAsia="zh-CN"/>
                    </w:rPr>
                  </w:pPr>
                  <w:r>
                    <w:rPr>
                      <w:rFonts w:hint="default" w:ascii="Times New Roman" w:hAnsi="Times New Roman" w:cs="Times New Roman"/>
                      <w:b/>
                      <w:bCs/>
                      <w:color w:val="auto"/>
                      <w:sz w:val="21"/>
                      <w:szCs w:val="21"/>
                      <w:highlight w:val="none"/>
                    </w:rPr>
                    <w:t>硫含量</w:t>
                  </w:r>
                </w:p>
              </w:tc>
              <w:tc>
                <w:tcPr>
                  <w:tcW w:w="1827" w:type="dxa"/>
                  <w:vAlign w:val="center"/>
                </w:tcPr>
                <w:p w14:paraId="0187D2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lang w:val="en-US" w:eastAsia="zh-CN"/>
                    </w:rPr>
                  </w:pPr>
                  <w:r>
                    <w:rPr>
                      <w:rFonts w:hint="default" w:ascii="Times New Roman" w:hAnsi="Times New Roman" w:cs="Times New Roman"/>
                      <w:b/>
                      <w:bCs/>
                      <w:color w:val="auto"/>
                      <w:sz w:val="21"/>
                      <w:szCs w:val="21"/>
                      <w:highlight w:val="none"/>
                    </w:rPr>
                    <w:t>磷含量</w:t>
                  </w:r>
                </w:p>
              </w:tc>
              <w:tc>
                <w:tcPr>
                  <w:tcW w:w="2800" w:type="dxa"/>
                  <w:vAlign w:val="center"/>
                </w:tcPr>
                <w:p w14:paraId="1E6F0C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含铁量（高炉添加料）</w:t>
                  </w:r>
                </w:p>
              </w:tc>
            </w:tr>
            <w:tr w14:paraId="226525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51" w:type="dxa"/>
                  <w:vAlign w:val="center"/>
                </w:tcPr>
                <w:p w14:paraId="5B4A3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cs="Times New Roman"/>
                      <w:color w:val="auto"/>
                      <w:sz w:val="21"/>
                      <w:szCs w:val="21"/>
                      <w:highlight w:val="none"/>
                    </w:rPr>
                    <w:t>废铁</w:t>
                  </w:r>
                </w:p>
              </w:tc>
              <w:tc>
                <w:tcPr>
                  <w:tcW w:w="1432" w:type="dxa"/>
                  <w:vAlign w:val="center"/>
                </w:tcPr>
                <w:p w14:paraId="729C41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lang w:val="en-US" w:eastAsia="zh-CN"/>
                    </w:rPr>
                  </w:pPr>
                  <w:r>
                    <w:rPr>
                      <w:rFonts w:hint="default" w:ascii="Times New Roman" w:hAnsi="Times New Roman" w:cs="Times New Roman"/>
                      <w:color w:val="auto"/>
                      <w:sz w:val="21"/>
                      <w:szCs w:val="21"/>
                      <w:highlight w:val="none"/>
                    </w:rPr>
                    <w:t>＞2.0%</w:t>
                  </w:r>
                </w:p>
              </w:tc>
              <w:tc>
                <w:tcPr>
                  <w:tcW w:w="1841" w:type="dxa"/>
                  <w:vAlign w:val="center"/>
                </w:tcPr>
                <w:p w14:paraId="3F3000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highlight w:val="none"/>
                    </w:rPr>
                  </w:pPr>
                  <w:r>
                    <w:rPr>
                      <w:rFonts w:hint="eastAsia" w:ascii="宋体" w:hAnsi="宋体" w:eastAsia="宋体" w:cs="宋体"/>
                      <w:color w:val="auto"/>
                      <w:sz w:val="21"/>
                      <w:szCs w:val="21"/>
                      <w:highlight w:val="none"/>
                    </w:rPr>
                    <w:t>≤</w:t>
                  </w:r>
                  <w:r>
                    <w:rPr>
                      <w:rFonts w:hint="default" w:ascii="Times New Roman" w:hAnsi="Times New Roman" w:cs="Times New Roman"/>
                      <w:color w:val="auto"/>
                      <w:sz w:val="21"/>
                      <w:szCs w:val="21"/>
                      <w:highlight w:val="none"/>
                    </w:rPr>
                    <w:t>0.12%</w:t>
                  </w:r>
                </w:p>
              </w:tc>
              <w:tc>
                <w:tcPr>
                  <w:tcW w:w="1827" w:type="dxa"/>
                  <w:vAlign w:val="center"/>
                </w:tcPr>
                <w:p w14:paraId="296AB7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pacing w:val="0"/>
                      <w:w w:val="100"/>
                      <w:kern w:val="0"/>
                      <w:sz w:val="21"/>
                      <w:szCs w:val="21"/>
                      <w:highlight w:val="none"/>
                      <w:lang w:val="en-US" w:eastAsia="zh-CN"/>
                    </w:rPr>
                  </w:pPr>
                  <w:r>
                    <w:rPr>
                      <w:rFonts w:hint="eastAsia" w:ascii="宋体" w:hAnsi="宋体" w:eastAsia="宋体" w:cs="宋体"/>
                      <w:color w:val="auto"/>
                      <w:sz w:val="21"/>
                      <w:szCs w:val="21"/>
                      <w:highlight w:val="none"/>
                    </w:rPr>
                    <w:t>≤</w:t>
                  </w:r>
                  <w:r>
                    <w:rPr>
                      <w:rFonts w:hint="default" w:ascii="Times New Roman" w:hAnsi="Times New Roman" w:cs="Times New Roman"/>
                      <w:color w:val="auto"/>
                      <w:sz w:val="21"/>
                      <w:szCs w:val="21"/>
                      <w:highlight w:val="none"/>
                    </w:rPr>
                    <w:t>1%</w:t>
                  </w:r>
                </w:p>
              </w:tc>
              <w:tc>
                <w:tcPr>
                  <w:tcW w:w="2800" w:type="dxa"/>
                  <w:vAlign w:val="center"/>
                </w:tcPr>
                <w:p w14:paraId="445B5F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65%</w:t>
                  </w:r>
                </w:p>
              </w:tc>
            </w:tr>
            <w:tr w14:paraId="42200D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1151" w:type="dxa"/>
                  <w:vAlign w:val="center"/>
                </w:tcPr>
                <w:p w14:paraId="123D8E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cs="Times New Roman"/>
                      <w:color w:val="auto"/>
                      <w:sz w:val="21"/>
                      <w:szCs w:val="21"/>
                      <w:highlight w:val="none"/>
                    </w:rPr>
                    <w:t>废钢</w:t>
                  </w:r>
                </w:p>
              </w:tc>
              <w:tc>
                <w:tcPr>
                  <w:tcW w:w="1432" w:type="dxa"/>
                  <w:vAlign w:val="center"/>
                </w:tcPr>
                <w:p w14:paraId="3EBBB9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bCs/>
                      <w:color w:val="auto"/>
                      <w:spacing w:val="0"/>
                      <w:w w:val="100"/>
                      <w:kern w:val="0"/>
                      <w:sz w:val="21"/>
                      <w:szCs w:val="21"/>
                      <w:highlight w:val="none"/>
                      <w:lang w:val="en-US" w:eastAsia="zh-CN"/>
                    </w:rPr>
                  </w:pPr>
                  <w:r>
                    <w:rPr>
                      <w:rFonts w:hint="default" w:ascii="Times New Roman" w:hAnsi="Times New Roman" w:cs="Times New Roman"/>
                      <w:color w:val="auto"/>
                      <w:sz w:val="21"/>
                      <w:szCs w:val="21"/>
                      <w:highlight w:val="none"/>
                    </w:rPr>
                    <w:t>＞2.0%</w:t>
                  </w:r>
                </w:p>
              </w:tc>
              <w:tc>
                <w:tcPr>
                  <w:tcW w:w="1841" w:type="dxa"/>
                  <w:vAlign w:val="center"/>
                </w:tcPr>
                <w:p w14:paraId="54AFE9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highlight w:val="none"/>
                    </w:rPr>
                  </w:pPr>
                  <w:r>
                    <w:rPr>
                      <w:rFonts w:hint="eastAsia" w:ascii="宋体" w:hAnsi="宋体" w:eastAsia="宋体" w:cs="宋体"/>
                      <w:color w:val="auto"/>
                      <w:sz w:val="21"/>
                      <w:szCs w:val="21"/>
                      <w:highlight w:val="none"/>
                    </w:rPr>
                    <w:t>≤</w:t>
                  </w:r>
                  <w:r>
                    <w:rPr>
                      <w:rFonts w:hint="default" w:ascii="Times New Roman" w:hAnsi="Times New Roman" w:cs="Times New Roman"/>
                      <w:color w:val="auto"/>
                      <w:sz w:val="21"/>
                      <w:szCs w:val="21"/>
                      <w:highlight w:val="none"/>
                    </w:rPr>
                    <w:t>0.05%</w:t>
                  </w:r>
                </w:p>
              </w:tc>
              <w:tc>
                <w:tcPr>
                  <w:tcW w:w="1827" w:type="dxa"/>
                  <w:vAlign w:val="center"/>
                </w:tcPr>
                <w:p w14:paraId="79969B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pacing w:val="0"/>
                      <w:w w:val="100"/>
                      <w:kern w:val="0"/>
                      <w:sz w:val="21"/>
                      <w:szCs w:val="21"/>
                      <w:highlight w:val="none"/>
                      <w:lang w:val="en-US" w:eastAsia="zh-CN"/>
                    </w:rPr>
                  </w:pPr>
                  <w:r>
                    <w:rPr>
                      <w:rFonts w:hint="eastAsia" w:ascii="宋体" w:hAnsi="宋体" w:eastAsia="宋体" w:cs="宋体"/>
                      <w:color w:val="auto"/>
                      <w:sz w:val="21"/>
                      <w:szCs w:val="21"/>
                      <w:highlight w:val="none"/>
                    </w:rPr>
                    <w:t>≤</w:t>
                  </w:r>
                  <w:r>
                    <w:rPr>
                      <w:rFonts w:hint="default" w:ascii="Times New Roman" w:hAnsi="Times New Roman" w:cs="Times New Roman"/>
                      <w:color w:val="auto"/>
                      <w:sz w:val="21"/>
                      <w:szCs w:val="21"/>
                      <w:highlight w:val="none"/>
                    </w:rPr>
                    <w:t>0.05%</w:t>
                  </w:r>
                </w:p>
              </w:tc>
              <w:tc>
                <w:tcPr>
                  <w:tcW w:w="2800" w:type="dxa"/>
                  <w:vAlign w:val="center"/>
                </w:tcPr>
                <w:p w14:paraId="2FDFED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color w:val="auto"/>
                      <w:sz w:val="21"/>
                      <w:szCs w:val="21"/>
                      <w:highlight w:val="none"/>
                    </w:rPr>
                    <w:t>/</w:t>
                  </w:r>
                </w:p>
              </w:tc>
            </w:tr>
          </w:tbl>
          <w:p w14:paraId="6445709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val="0"/>
                <w:color w:val="auto"/>
                <w:spacing w:val="0"/>
                <w:sz w:val="24"/>
                <w:szCs w:val="24"/>
                <w:highlight w:val="none"/>
                <w:lang w:val="en-US" w:eastAsia="zh-CN"/>
              </w:rPr>
            </w:pPr>
            <w:r>
              <w:rPr>
                <w:rFonts w:hint="eastAsia" w:cs="Times New Roman"/>
                <w:b/>
                <w:bCs w:val="0"/>
                <w:color w:val="auto"/>
                <w:spacing w:val="0"/>
                <w:sz w:val="24"/>
                <w:szCs w:val="24"/>
                <w:highlight w:val="none"/>
                <w:lang w:val="en-US" w:eastAsia="zh-CN"/>
              </w:rPr>
              <w:t>3、</w:t>
            </w:r>
            <w:r>
              <w:rPr>
                <w:rFonts w:hint="default" w:ascii="Times New Roman" w:hAnsi="Times New Roman" w:eastAsia="宋体" w:cs="Times New Roman"/>
                <w:b/>
                <w:bCs w:val="0"/>
                <w:color w:val="auto"/>
                <w:spacing w:val="0"/>
                <w:sz w:val="24"/>
                <w:szCs w:val="24"/>
                <w:highlight w:val="none"/>
                <w:lang w:val="en-US" w:eastAsia="zh-CN"/>
              </w:rPr>
              <w:t>生产设备</w:t>
            </w:r>
          </w:p>
          <w:p w14:paraId="476AB6F9">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Cs/>
                <w:color w:val="auto"/>
                <w:spacing w:val="0"/>
                <w:sz w:val="24"/>
                <w:szCs w:val="24"/>
                <w:highlight w:val="none"/>
                <w:lang w:val="en-US" w:eastAsia="zh-CN"/>
              </w:rPr>
            </w:pPr>
            <w:r>
              <w:rPr>
                <w:rFonts w:hint="default" w:ascii="Times New Roman" w:hAnsi="Times New Roman" w:eastAsia="宋体" w:cs="Times New Roman"/>
                <w:bCs/>
                <w:color w:val="auto"/>
                <w:spacing w:val="0"/>
                <w:sz w:val="24"/>
                <w:szCs w:val="24"/>
                <w:highlight w:val="none"/>
                <w:lang w:val="en-US" w:eastAsia="zh-CN"/>
              </w:rPr>
              <w:t>本项目主要设备见表2</w:t>
            </w:r>
            <w:r>
              <w:rPr>
                <w:rFonts w:hint="eastAsia" w:cs="Times New Roman"/>
                <w:bCs/>
                <w:color w:val="auto"/>
                <w:spacing w:val="0"/>
                <w:sz w:val="24"/>
                <w:szCs w:val="24"/>
                <w:highlight w:val="none"/>
                <w:lang w:val="en-US" w:eastAsia="zh-CN"/>
              </w:rPr>
              <w:t>-5</w:t>
            </w:r>
            <w:r>
              <w:rPr>
                <w:rFonts w:hint="default" w:ascii="Times New Roman" w:hAnsi="Times New Roman" w:eastAsia="宋体" w:cs="Times New Roman"/>
                <w:bCs/>
                <w:color w:val="auto"/>
                <w:spacing w:val="0"/>
                <w:sz w:val="24"/>
                <w:szCs w:val="24"/>
                <w:highlight w:val="none"/>
                <w:lang w:val="en-US" w:eastAsia="zh-CN"/>
              </w:rPr>
              <w:t>。</w:t>
            </w:r>
          </w:p>
          <w:p w14:paraId="33A257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baseline"/>
              <w:rPr>
                <w:rFonts w:hint="default" w:ascii="Times New Roman" w:hAnsi="Times New Roman" w:eastAsia="宋体" w:cs="Times New Roman"/>
                <w:b/>
                <w:bCs/>
                <w:iCs/>
                <w:snapToGrid w:val="0"/>
                <w:color w:val="auto"/>
                <w:spacing w:val="0"/>
                <w:kern w:val="0"/>
                <w:sz w:val="21"/>
                <w:szCs w:val="20"/>
                <w:highlight w:val="none"/>
                <w:lang w:val="en-US" w:eastAsia="zh-CN" w:bidi="ar-SA"/>
              </w:rPr>
            </w:pPr>
            <w:r>
              <w:rPr>
                <w:rFonts w:hint="default" w:ascii="Times New Roman" w:hAnsi="Times New Roman" w:eastAsia="宋体" w:cs="Times New Roman"/>
                <w:b/>
                <w:bCs/>
                <w:iCs/>
                <w:snapToGrid w:val="0"/>
                <w:color w:val="auto"/>
                <w:spacing w:val="0"/>
                <w:kern w:val="0"/>
                <w:sz w:val="21"/>
                <w:szCs w:val="20"/>
                <w:highlight w:val="none"/>
                <w:lang w:val="en-US" w:eastAsia="zh-CN" w:bidi="ar-SA"/>
              </w:rPr>
              <w:t>表2</w:t>
            </w:r>
            <w:r>
              <w:rPr>
                <w:rFonts w:hint="eastAsia" w:cs="Times New Roman"/>
                <w:b/>
                <w:bCs/>
                <w:iCs/>
                <w:snapToGrid w:val="0"/>
                <w:color w:val="auto"/>
                <w:spacing w:val="0"/>
                <w:kern w:val="0"/>
                <w:sz w:val="21"/>
                <w:szCs w:val="20"/>
                <w:highlight w:val="none"/>
                <w:lang w:val="en-US" w:eastAsia="zh-CN" w:bidi="ar-SA"/>
              </w:rPr>
              <w:t>-5</w:t>
            </w:r>
            <w:r>
              <w:rPr>
                <w:rFonts w:hint="default" w:ascii="Times New Roman" w:hAnsi="Times New Roman" w:eastAsia="宋体" w:cs="Times New Roman"/>
                <w:b/>
                <w:bCs/>
                <w:iCs/>
                <w:snapToGrid w:val="0"/>
                <w:color w:val="auto"/>
                <w:spacing w:val="0"/>
                <w:kern w:val="0"/>
                <w:sz w:val="21"/>
                <w:szCs w:val="20"/>
                <w:highlight w:val="none"/>
                <w:lang w:val="en-US" w:eastAsia="zh-CN" w:bidi="ar-SA"/>
              </w:rPr>
              <w:t xml:space="preserve">  主要设备表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534"/>
              <w:gridCol w:w="1820"/>
              <w:gridCol w:w="1611"/>
              <w:gridCol w:w="1167"/>
              <w:gridCol w:w="1252"/>
            </w:tblGrid>
            <w:tr w14:paraId="075B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060A97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eastAsia="宋体" w:cs="Times New Roman"/>
                      <w:b/>
                      <w:bCs/>
                      <w:color w:val="auto"/>
                      <w:spacing w:val="0"/>
                      <w:w w:val="100"/>
                      <w:kern w:val="0"/>
                      <w:sz w:val="21"/>
                      <w:szCs w:val="21"/>
                      <w:highlight w:val="none"/>
                    </w:rPr>
                    <w:t>序号</w:t>
                  </w:r>
                </w:p>
              </w:tc>
              <w:tc>
                <w:tcPr>
                  <w:tcW w:w="1399" w:type="pct"/>
                  <w:tcBorders>
                    <w:tl2br w:val="nil"/>
                    <w:tr2bl w:val="nil"/>
                  </w:tcBorders>
                  <w:vAlign w:val="center"/>
                </w:tcPr>
                <w:p w14:paraId="1E0CB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eastAsia="宋体" w:cs="Times New Roman"/>
                      <w:b/>
                      <w:bCs/>
                      <w:color w:val="auto"/>
                      <w:spacing w:val="0"/>
                      <w:w w:val="100"/>
                      <w:kern w:val="0"/>
                      <w:sz w:val="21"/>
                      <w:szCs w:val="21"/>
                      <w:highlight w:val="none"/>
                    </w:rPr>
                    <w:t>设备名称</w:t>
                  </w:r>
                </w:p>
              </w:tc>
              <w:tc>
                <w:tcPr>
                  <w:tcW w:w="1005" w:type="pct"/>
                  <w:tcBorders>
                    <w:tl2br w:val="nil"/>
                    <w:tr2bl w:val="nil"/>
                  </w:tcBorders>
                  <w:vAlign w:val="center"/>
                </w:tcPr>
                <w:p w14:paraId="73F91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w w:val="100"/>
                      <w:kern w:val="0"/>
                      <w:sz w:val="21"/>
                      <w:szCs w:val="21"/>
                      <w:highlight w:val="none"/>
                    </w:rPr>
                  </w:pPr>
                  <w:r>
                    <w:rPr>
                      <w:rFonts w:hint="default" w:ascii="Times New Roman" w:hAnsi="Times New Roman" w:eastAsia="宋体" w:cs="Times New Roman"/>
                      <w:b/>
                      <w:bCs/>
                      <w:color w:val="auto"/>
                      <w:spacing w:val="0"/>
                      <w:w w:val="100"/>
                      <w:kern w:val="0"/>
                      <w:sz w:val="21"/>
                      <w:szCs w:val="21"/>
                      <w:highlight w:val="none"/>
                    </w:rPr>
                    <w:t>规格型号</w:t>
                  </w:r>
                </w:p>
              </w:tc>
              <w:tc>
                <w:tcPr>
                  <w:tcW w:w="889" w:type="pct"/>
                  <w:tcBorders>
                    <w:tl2br w:val="nil"/>
                    <w:tr2bl w:val="nil"/>
                  </w:tcBorders>
                  <w:vAlign w:val="center"/>
                </w:tcPr>
                <w:p w14:paraId="265A69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pacing w:val="0"/>
                      <w:w w:val="100"/>
                      <w:kern w:val="0"/>
                      <w:sz w:val="21"/>
                      <w:szCs w:val="21"/>
                      <w:highlight w:val="none"/>
                      <w:lang w:val="en-US" w:eastAsia="zh-CN"/>
                    </w:rPr>
                  </w:pPr>
                  <w:r>
                    <w:rPr>
                      <w:rFonts w:hint="default" w:ascii="Times New Roman" w:hAnsi="Times New Roman" w:eastAsia="宋体" w:cs="Times New Roman"/>
                      <w:b/>
                      <w:bCs/>
                      <w:color w:val="auto"/>
                      <w:spacing w:val="0"/>
                      <w:w w:val="100"/>
                      <w:kern w:val="0"/>
                      <w:sz w:val="21"/>
                      <w:szCs w:val="21"/>
                      <w:highlight w:val="none"/>
                      <w:lang w:eastAsia="zh-CN"/>
                    </w:rPr>
                    <w:t>数量</w:t>
                  </w:r>
                  <w:r>
                    <w:rPr>
                      <w:rFonts w:hint="eastAsia" w:ascii="Times New Roman" w:hAnsi="Times New Roman" w:eastAsia="宋体" w:cs="Times New Roman"/>
                      <w:b/>
                      <w:bCs/>
                      <w:color w:val="auto"/>
                      <w:spacing w:val="0"/>
                      <w:w w:val="100"/>
                      <w:kern w:val="0"/>
                      <w:sz w:val="21"/>
                      <w:szCs w:val="21"/>
                      <w:highlight w:val="none"/>
                      <w:lang w:eastAsia="zh-CN"/>
                    </w:rPr>
                    <w:t>（</w:t>
                  </w:r>
                  <w:r>
                    <w:rPr>
                      <w:rFonts w:hint="eastAsia" w:ascii="Times New Roman" w:hAnsi="Times New Roman" w:eastAsia="宋体" w:cs="Times New Roman"/>
                      <w:b/>
                      <w:bCs/>
                      <w:color w:val="auto"/>
                      <w:spacing w:val="0"/>
                      <w:w w:val="100"/>
                      <w:kern w:val="0"/>
                      <w:sz w:val="21"/>
                      <w:szCs w:val="21"/>
                      <w:highlight w:val="none"/>
                      <w:lang w:val="en-US" w:eastAsia="zh-CN"/>
                    </w:rPr>
                    <w:t>台</w:t>
                  </w:r>
                  <w:r>
                    <w:rPr>
                      <w:rFonts w:hint="eastAsia" w:cs="Times New Roman"/>
                      <w:b/>
                      <w:bCs/>
                      <w:color w:val="auto"/>
                      <w:spacing w:val="0"/>
                      <w:w w:val="100"/>
                      <w:kern w:val="0"/>
                      <w:sz w:val="21"/>
                      <w:szCs w:val="21"/>
                      <w:highlight w:val="none"/>
                      <w:lang w:val="en-US" w:eastAsia="zh-CN"/>
                    </w:rPr>
                    <w:t>/套</w:t>
                  </w:r>
                  <w:r>
                    <w:rPr>
                      <w:rFonts w:hint="eastAsia" w:ascii="Times New Roman" w:hAnsi="Times New Roman" w:eastAsia="宋体" w:cs="Times New Roman"/>
                      <w:b/>
                      <w:bCs/>
                      <w:color w:val="auto"/>
                      <w:spacing w:val="0"/>
                      <w:w w:val="100"/>
                      <w:kern w:val="0"/>
                      <w:sz w:val="21"/>
                      <w:szCs w:val="21"/>
                      <w:highlight w:val="none"/>
                      <w:lang w:eastAsia="zh-CN"/>
                    </w:rPr>
                    <w:t>）</w:t>
                  </w:r>
                </w:p>
              </w:tc>
              <w:tc>
                <w:tcPr>
                  <w:tcW w:w="644" w:type="pct"/>
                  <w:tcBorders>
                    <w:tl2br w:val="nil"/>
                    <w:tr2bl w:val="nil"/>
                  </w:tcBorders>
                  <w:vAlign w:val="center"/>
                </w:tcPr>
                <w:p w14:paraId="3E7F1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pacing w:val="0"/>
                      <w:w w:val="100"/>
                      <w:kern w:val="0"/>
                      <w:sz w:val="21"/>
                      <w:szCs w:val="21"/>
                      <w:highlight w:val="none"/>
                      <w:lang w:val="en-US" w:eastAsia="zh-CN"/>
                    </w:rPr>
                  </w:pPr>
                  <w:r>
                    <w:rPr>
                      <w:rFonts w:hint="eastAsia" w:cs="Times New Roman"/>
                      <w:b/>
                      <w:bCs/>
                      <w:color w:val="auto"/>
                      <w:spacing w:val="0"/>
                      <w:w w:val="100"/>
                      <w:kern w:val="0"/>
                      <w:sz w:val="21"/>
                      <w:szCs w:val="21"/>
                      <w:highlight w:val="none"/>
                      <w:lang w:val="en-US" w:eastAsia="zh-CN"/>
                    </w:rPr>
                    <w:t>备注</w:t>
                  </w:r>
                </w:p>
              </w:tc>
              <w:tc>
                <w:tcPr>
                  <w:tcW w:w="691" w:type="pct"/>
                  <w:tcBorders>
                    <w:tl2br w:val="nil"/>
                    <w:tr2bl w:val="nil"/>
                  </w:tcBorders>
                  <w:vAlign w:val="center"/>
                </w:tcPr>
                <w:p w14:paraId="10BF4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b/>
                      <w:bCs/>
                      <w:color w:val="auto"/>
                      <w:spacing w:val="0"/>
                      <w:w w:val="100"/>
                      <w:kern w:val="0"/>
                      <w:sz w:val="21"/>
                      <w:szCs w:val="21"/>
                      <w:highlight w:val="none"/>
                      <w:lang w:val="en-US" w:eastAsia="zh-CN"/>
                    </w:rPr>
                  </w:pPr>
                  <w:r>
                    <w:rPr>
                      <w:rFonts w:hint="eastAsia" w:cs="Times New Roman"/>
                      <w:b/>
                      <w:bCs/>
                      <w:color w:val="auto"/>
                      <w:spacing w:val="0"/>
                      <w:w w:val="100"/>
                      <w:kern w:val="0"/>
                      <w:sz w:val="21"/>
                      <w:szCs w:val="21"/>
                      <w:highlight w:val="none"/>
                      <w:lang w:val="en-US" w:eastAsia="zh-CN"/>
                    </w:rPr>
                    <w:t>工作制度</w:t>
                  </w:r>
                </w:p>
              </w:tc>
            </w:tr>
            <w:tr w14:paraId="3BC8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6F85A2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default" w:ascii="Times New Roman" w:hAnsi="Times New Roman" w:eastAsia="宋体" w:cs="Times New Roman"/>
                      <w:color w:val="auto"/>
                      <w:spacing w:val="0"/>
                      <w:w w:val="100"/>
                      <w:kern w:val="0"/>
                      <w:sz w:val="21"/>
                      <w:szCs w:val="21"/>
                      <w:highlight w:val="none"/>
                      <w:lang w:val="en-US" w:eastAsia="zh-CN" w:bidi="ar-SA"/>
                    </w:rPr>
                    <w:t>1</w:t>
                  </w:r>
                </w:p>
              </w:tc>
              <w:tc>
                <w:tcPr>
                  <w:tcW w:w="1399" w:type="pct"/>
                  <w:tcBorders>
                    <w:tl2br w:val="nil"/>
                    <w:tr2bl w:val="nil"/>
                  </w:tcBorders>
                  <w:vAlign w:val="center"/>
                </w:tcPr>
                <w:p w14:paraId="769DE91E">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default"/>
                      <w:color w:val="auto"/>
                      <w:spacing w:val="-2"/>
                      <w:highlight w:val="none"/>
                    </w:rPr>
                    <w:t>三仓料仓</w:t>
                  </w:r>
                </w:p>
              </w:tc>
              <w:tc>
                <w:tcPr>
                  <w:tcW w:w="1005" w:type="pct"/>
                  <w:tcBorders>
                    <w:tl2br w:val="nil"/>
                    <w:tr2bl w:val="nil"/>
                  </w:tcBorders>
                  <w:vAlign w:val="center"/>
                </w:tcPr>
                <w:p w14:paraId="7B7B2604">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rightChars="0" w:firstLine="0" w:firstLineChars="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bidi="zh-CN"/>
                    </w:rPr>
                  </w:pPr>
                  <w:r>
                    <w:rPr>
                      <w:rFonts w:hint="eastAsia"/>
                      <w:color w:val="auto"/>
                      <w:spacing w:val="-2"/>
                      <w:highlight w:val="none"/>
                      <w:lang w:val="en-US" w:eastAsia="zh-CN"/>
                    </w:rPr>
                    <w:t>钢结构</w:t>
                  </w:r>
                </w:p>
              </w:tc>
              <w:tc>
                <w:tcPr>
                  <w:tcW w:w="889" w:type="pct"/>
                  <w:tcBorders>
                    <w:tl2br w:val="nil"/>
                    <w:tr2bl w:val="nil"/>
                  </w:tcBorders>
                  <w:vAlign w:val="center"/>
                </w:tcPr>
                <w:p w14:paraId="57F28F73">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3</w:t>
                  </w:r>
                </w:p>
              </w:tc>
              <w:tc>
                <w:tcPr>
                  <w:tcW w:w="644" w:type="pct"/>
                  <w:tcBorders>
                    <w:tl2br w:val="nil"/>
                    <w:tr2bl w:val="nil"/>
                  </w:tcBorders>
                  <w:vAlign w:val="center"/>
                </w:tcPr>
                <w:p w14:paraId="79F59C03">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restart"/>
                  <w:tcBorders>
                    <w:tl2br w:val="nil"/>
                    <w:tr2bl w:val="nil"/>
                  </w:tcBorders>
                  <w:vAlign w:val="center"/>
                </w:tcPr>
                <w:p w14:paraId="4460A3F3">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330d，24h（7920h/a）</w:t>
                  </w:r>
                </w:p>
              </w:tc>
            </w:tr>
            <w:tr w14:paraId="6F83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16C79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ascii="Times New Roman" w:hAnsi="Times New Roman" w:eastAsia="宋体" w:cs="Times New Roman"/>
                      <w:color w:val="auto"/>
                      <w:spacing w:val="0"/>
                      <w:w w:val="100"/>
                      <w:kern w:val="0"/>
                      <w:sz w:val="21"/>
                      <w:szCs w:val="21"/>
                      <w:highlight w:val="none"/>
                      <w:lang w:val="en-US" w:eastAsia="zh-CN" w:bidi="ar-SA"/>
                    </w:rPr>
                    <w:t>2</w:t>
                  </w:r>
                </w:p>
              </w:tc>
              <w:tc>
                <w:tcPr>
                  <w:tcW w:w="1399" w:type="pct"/>
                  <w:tcBorders>
                    <w:tl2br w:val="nil"/>
                    <w:tr2bl w:val="nil"/>
                  </w:tcBorders>
                  <w:vAlign w:val="center"/>
                </w:tcPr>
                <w:p w14:paraId="3B011B1B">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default"/>
                      <w:color w:val="auto"/>
                      <w:spacing w:val="-3"/>
                      <w:highlight w:val="none"/>
                    </w:rPr>
                    <w:t>皮带计量秤</w:t>
                  </w:r>
                </w:p>
              </w:tc>
              <w:tc>
                <w:tcPr>
                  <w:tcW w:w="1005" w:type="pct"/>
                  <w:tcBorders>
                    <w:tl2br w:val="nil"/>
                    <w:tr2bl w:val="nil"/>
                  </w:tcBorders>
                  <w:vAlign w:val="center"/>
                </w:tcPr>
                <w:p w14:paraId="47922776">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bidi="zh-CN"/>
                    </w:rPr>
                  </w:pPr>
                  <w:r>
                    <w:rPr>
                      <w:rFonts w:hint="default"/>
                      <w:color w:val="auto"/>
                      <w:spacing w:val="-1"/>
                      <w:highlight w:val="none"/>
                    </w:rPr>
                    <w:t>TDGB6540</w:t>
                  </w:r>
                </w:p>
              </w:tc>
              <w:tc>
                <w:tcPr>
                  <w:tcW w:w="889" w:type="pct"/>
                  <w:tcBorders>
                    <w:tl2br w:val="nil"/>
                    <w:tr2bl w:val="nil"/>
                  </w:tcBorders>
                  <w:vAlign w:val="center"/>
                </w:tcPr>
                <w:p w14:paraId="3BE50106">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3</w:t>
                  </w:r>
                </w:p>
              </w:tc>
              <w:tc>
                <w:tcPr>
                  <w:tcW w:w="644" w:type="pct"/>
                  <w:tcBorders>
                    <w:tl2br w:val="nil"/>
                    <w:tr2bl w:val="nil"/>
                  </w:tcBorders>
                  <w:vAlign w:val="center"/>
                </w:tcPr>
                <w:p w14:paraId="46FEAB86">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3BDBE559">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r>
            <w:tr w14:paraId="2276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1DFF04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ascii="Times New Roman" w:hAnsi="Times New Roman" w:eastAsia="宋体" w:cs="Times New Roman"/>
                      <w:color w:val="auto"/>
                      <w:spacing w:val="0"/>
                      <w:w w:val="100"/>
                      <w:kern w:val="0"/>
                      <w:sz w:val="21"/>
                      <w:szCs w:val="21"/>
                      <w:highlight w:val="none"/>
                      <w:lang w:val="en-US" w:eastAsia="zh-CN" w:bidi="ar-SA"/>
                    </w:rPr>
                    <w:t>3</w:t>
                  </w:r>
                </w:p>
              </w:tc>
              <w:tc>
                <w:tcPr>
                  <w:tcW w:w="1399" w:type="pct"/>
                  <w:tcBorders>
                    <w:tl2br w:val="nil"/>
                    <w:tr2bl w:val="nil"/>
                  </w:tcBorders>
                  <w:vAlign w:val="center"/>
                </w:tcPr>
                <w:p w14:paraId="6CE655AF">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default" w:ascii="Times New Roman" w:hAnsi="Times New Roman" w:eastAsia="宋体" w:cs="Times New Roman"/>
                      <w:color w:val="auto"/>
                      <w:spacing w:val="0"/>
                      <w:w w:val="100"/>
                      <w:kern w:val="0"/>
                      <w:sz w:val="21"/>
                      <w:szCs w:val="21"/>
                      <w:highlight w:val="none"/>
                      <w:lang w:val="en-US" w:eastAsia="zh-CN" w:bidi="zh-CN"/>
                    </w:rPr>
                    <w:t>皮带输送机</w:t>
                  </w:r>
                </w:p>
              </w:tc>
              <w:tc>
                <w:tcPr>
                  <w:tcW w:w="1005" w:type="pct"/>
                  <w:tcBorders>
                    <w:tl2br w:val="nil"/>
                    <w:tr2bl w:val="nil"/>
                  </w:tcBorders>
                  <w:vAlign w:val="center"/>
                </w:tcPr>
                <w:p w14:paraId="7D5ABBA6">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bidi="zh-CN"/>
                    </w:rPr>
                  </w:pPr>
                  <w:r>
                    <w:rPr>
                      <w:rFonts w:hint="eastAsia" w:cs="Times New Roman"/>
                      <w:b w:val="0"/>
                      <w:bCs w:val="0"/>
                      <w:color w:val="auto"/>
                      <w:spacing w:val="0"/>
                      <w:w w:val="100"/>
                      <w:kern w:val="0"/>
                      <w:sz w:val="21"/>
                      <w:szCs w:val="21"/>
                      <w:highlight w:val="none"/>
                      <w:lang w:val="en-US" w:eastAsia="zh-CN" w:bidi="zh-CN"/>
                    </w:rPr>
                    <w:t>B650</w:t>
                  </w:r>
                  <w:r>
                    <w:rPr>
                      <w:rFonts w:hint="default"/>
                      <w:color w:val="auto"/>
                      <w:spacing w:val="-1"/>
                      <w:highlight w:val="none"/>
                    </w:rPr>
                    <w:t>×</w:t>
                  </w:r>
                  <w:r>
                    <w:rPr>
                      <w:rFonts w:hint="eastAsia"/>
                      <w:color w:val="auto"/>
                      <w:spacing w:val="-1"/>
                      <w:highlight w:val="none"/>
                      <w:lang w:val="en-US" w:eastAsia="zh-CN"/>
                    </w:rPr>
                    <w:t>13m</w:t>
                  </w:r>
                </w:p>
              </w:tc>
              <w:tc>
                <w:tcPr>
                  <w:tcW w:w="889" w:type="pct"/>
                  <w:tcBorders>
                    <w:tl2br w:val="nil"/>
                    <w:tr2bl w:val="nil"/>
                  </w:tcBorders>
                  <w:vAlign w:val="center"/>
                </w:tcPr>
                <w:p w14:paraId="03297FE7">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779FCEDF">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5063AAC2">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p>
              </w:tc>
            </w:tr>
            <w:tr w14:paraId="04C0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68" w:type="pct"/>
                  <w:tcBorders>
                    <w:tl2br w:val="nil"/>
                    <w:tr2bl w:val="nil"/>
                  </w:tcBorders>
                  <w:vAlign w:val="center"/>
                </w:tcPr>
                <w:p w14:paraId="5A7550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ascii="Times New Roman" w:hAnsi="Times New Roman" w:eastAsia="宋体" w:cs="Times New Roman"/>
                      <w:color w:val="auto"/>
                      <w:spacing w:val="0"/>
                      <w:w w:val="100"/>
                      <w:kern w:val="0"/>
                      <w:sz w:val="21"/>
                      <w:szCs w:val="21"/>
                      <w:highlight w:val="none"/>
                      <w:lang w:val="en-US" w:eastAsia="zh-CN" w:bidi="ar-SA"/>
                    </w:rPr>
                    <w:t>4</w:t>
                  </w:r>
                </w:p>
              </w:tc>
              <w:tc>
                <w:tcPr>
                  <w:tcW w:w="1399" w:type="pct"/>
                  <w:tcBorders>
                    <w:tl2br w:val="nil"/>
                    <w:tr2bl w:val="nil"/>
                  </w:tcBorders>
                  <w:vAlign w:val="center"/>
                </w:tcPr>
                <w:p w14:paraId="52740B31">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default"/>
                      <w:color w:val="auto"/>
                      <w:spacing w:val="-2"/>
                      <w:highlight w:val="none"/>
                    </w:rPr>
                    <w:t>大倾角皮带输送机</w:t>
                  </w:r>
                </w:p>
              </w:tc>
              <w:tc>
                <w:tcPr>
                  <w:tcW w:w="1005" w:type="pct"/>
                  <w:tcBorders>
                    <w:tl2br w:val="nil"/>
                    <w:tr2bl w:val="nil"/>
                  </w:tcBorders>
                  <w:vAlign w:val="center"/>
                </w:tcPr>
                <w:p w14:paraId="2B2B9E88">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highlight w:val="none"/>
                      <w:lang w:val="en-US" w:eastAsia="zh-CN"/>
                    </w:rPr>
                  </w:pPr>
                  <w:r>
                    <w:rPr>
                      <w:rFonts w:hint="default"/>
                      <w:color w:val="auto"/>
                      <w:spacing w:val="-1"/>
                      <w:highlight w:val="none"/>
                    </w:rPr>
                    <w:t>DJ800×</w:t>
                  </w:r>
                  <w:r>
                    <w:rPr>
                      <w:rFonts w:hint="eastAsia"/>
                      <w:color w:val="auto"/>
                      <w:spacing w:val="-1"/>
                      <w:highlight w:val="none"/>
                      <w:lang w:val="en-US" w:eastAsia="zh-CN"/>
                    </w:rPr>
                    <w:t>26</w:t>
                  </w:r>
                  <w:r>
                    <w:rPr>
                      <w:rFonts w:hint="default"/>
                      <w:color w:val="auto"/>
                      <w:spacing w:val="-1"/>
                      <w:highlight w:val="none"/>
                    </w:rPr>
                    <w:t>m</w:t>
                  </w:r>
                </w:p>
              </w:tc>
              <w:tc>
                <w:tcPr>
                  <w:tcW w:w="889" w:type="pct"/>
                  <w:tcBorders>
                    <w:tl2br w:val="nil"/>
                    <w:tr2bl w:val="nil"/>
                  </w:tcBorders>
                  <w:vAlign w:val="center"/>
                </w:tcPr>
                <w:p w14:paraId="3DF541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eastAsia"/>
                      <w:bCs/>
                      <w:color w:val="auto"/>
                      <w:sz w:val="21"/>
                      <w:szCs w:val="21"/>
                      <w:highlight w:val="none"/>
                      <w:lang w:val="en-US" w:eastAsia="zh-CN"/>
                    </w:rPr>
                    <w:t>1</w:t>
                  </w:r>
                </w:p>
              </w:tc>
              <w:tc>
                <w:tcPr>
                  <w:tcW w:w="644" w:type="pct"/>
                  <w:tcBorders>
                    <w:tl2br w:val="nil"/>
                    <w:tr2bl w:val="nil"/>
                  </w:tcBorders>
                  <w:vAlign w:val="center"/>
                </w:tcPr>
                <w:p w14:paraId="391F10C6">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5AF2363A">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96A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6915B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ascii="Times New Roman" w:hAnsi="Times New Roman" w:eastAsia="宋体" w:cs="Times New Roman"/>
                      <w:color w:val="auto"/>
                      <w:spacing w:val="0"/>
                      <w:w w:val="100"/>
                      <w:kern w:val="0"/>
                      <w:sz w:val="21"/>
                      <w:szCs w:val="21"/>
                      <w:highlight w:val="none"/>
                      <w:lang w:val="en-US" w:eastAsia="zh-CN" w:bidi="ar-SA"/>
                    </w:rPr>
                    <w:t>5</w:t>
                  </w:r>
                </w:p>
              </w:tc>
              <w:tc>
                <w:tcPr>
                  <w:tcW w:w="1399" w:type="pct"/>
                  <w:tcBorders>
                    <w:tl2br w:val="nil"/>
                    <w:tr2bl w:val="nil"/>
                  </w:tcBorders>
                  <w:vAlign w:val="center"/>
                </w:tcPr>
                <w:p w14:paraId="70157E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w w:val="100"/>
                      <w:kern w:val="0"/>
                      <w:sz w:val="21"/>
                      <w:szCs w:val="21"/>
                      <w:highlight w:val="none"/>
                      <w:lang w:val="en-US" w:eastAsia="zh-CN" w:bidi="zh-CN"/>
                    </w:rPr>
                  </w:pPr>
                  <w:r>
                    <w:rPr>
                      <w:rFonts w:hint="default"/>
                      <w:color w:val="auto"/>
                      <w:spacing w:val="-1"/>
                      <w:highlight w:val="none"/>
                    </w:rPr>
                    <w:t>进料螺旋输送机</w:t>
                  </w:r>
                </w:p>
              </w:tc>
              <w:tc>
                <w:tcPr>
                  <w:tcW w:w="1005" w:type="pct"/>
                  <w:tcBorders>
                    <w:tl2br w:val="nil"/>
                    <w:tr2bl w:val="nil"/>
                  </w:tcBorders>
                  <w:vAlign w:val="center"/>
                </w:tcPr>
                <w:p w14:paraId="39FDE6FE">
                  <w:pPr>
                    <w:pStyle w:val="41"/>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pacing w:val="0"/>
                      <w:w w:val="100"/>
                      <w:kern w:val="0"/>
                      <w:sz w:val="21"/>
                      <w:szCs w:val="21"/>
                      <w:highlight w:val="none"/>
                      <w:lang w:val="en-US" w:eastAsia="zh-CN" w:bidi="zh-CN"/>
                    </w:rPr>
                  </w:pPr>
                  <w:r>
                    <w:rPr>
                      <w:rFonts w:hint="default"/>
                      <w:color w:val="auto"/>
                      <w:spacing w:val="-1"/>
                      <w:highlight w:val="none"/>
                    </w:rPr>
                    <w:t>LS400×3.5m</w:t>
                  </w:r>
                </w:p>
              </w:tc>
              <w:tc>
                <w:tcPr>
                  <w:tcW w:w="889" w:type="pct"/>
                  <w:tcBorders>
                    <w:tl2br w:val="nil"/>
                    <w:tr2bl w:val="nil"/>
                  </w:tcBorders>
                  <w:vAlign w:val="center"/>
                </w:tcPr>
                <w:p w14:paraId="3A094F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0FB680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089294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2EB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5DE7AC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6</w:t>
                  </w:r>
                </w:p>
              </w:tc>
              <w:tc>
                <w:tcPr>
                  <w:tcW w:w="1399" w:type="pct"/>
                  <w:tcBorders>
                    <w:tl2br w:val="nil"/>
                    <w:tr2bl w:val="nil"/>
                  </w:tcBorders>
                  <w:vAlign w:val="center"/>
                </w:tcPr>
                <w:p w14:paraId="002176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回转窑</w:t>
                  </w:r>
                </w:p>
              </w:tc>
              <w:tc>
                <w:tcPr>
                  <w:tcW w:w="1005" w:type="pct"/>
                  <w:tcBorders>
                    <w:tl2br w:val="nil"/>
                    <w:tr2bl w:val="nil"/>
                  </w:tcBorders>
                  <w:vAlign w:val="center"/>
                </w:tcPr>
                <w:p w14:paraId="659908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eastAsia="宋体"/>
                      <w:color w:val="auto"/>
                      <w:sz w:val="21"/>
                      <w:szCs w:val="21"/>
                      <w:highlight w:val="none"/>
                      <w:lang w:val="en-US" w:eastAsia="zh-CN"/>
                    </w:rPr>
                  </w:pPr>
                  <w:r>
                    <w:rPr>
                      <w:rFonts w:hint="default" w:ascii="Times New Roman" w:hAnsi="Times New Roman" w:cs="Times New Roman"/>
                      <w:color w:val="auto"/>
                      <w:spacing w:val="-10"/>
                      <w:highlight w:val="none"/>
                    </w:rPr>
                    <w:t>Φ</w:t>
                  </w:r>
                  <w:r>
                    <w:rPr>
                      <w:rFonts w:hint="eastAsia"/>
                      <w:color w:val="auto"/>
                      <w:spacing w:val="-10"/>
                      <w:highlight w:val="none"/>
                      <w:lang w:val="en-US" w:eastAsia="zh-CN"/>
                    </w:rPr>
                    <w:t>2.8</w:t>
                  </w:r>
                  <w:r>
                    <w:rPr>
                      <w:rFonts w:hint="default"/>
                      <w:color w:val="auto"/>
                      <w:spacing w:val="-10"/>
                      <w:highlight w:val="none"/>
                    </w:rPr>
                    <w:t>×48m</w:t>
                  </w:r>
                </w:p>
              </w:tc>
              <w:tc>
                <w:tcPr>
                  <w:tcW w:w="889" w:type="pct"/>
                  <w:tcBorders>
                    <w:tl2br w:val="nil"/>
                    <w:tr2bl w:val="nil"/>
                  </w:tcBorders>
                  <w:vAlign w:val="center"/>
                </w:tcPr>
                <w:p w14:paraId="086182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3912EA8D">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68F665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AB2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2F3CDA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7</w:t>
                  </w:r>
                </w:p>
              </w:tc>
              <w:tc>
                <w:tcPr>
                  <w:tcW w:w="1399" w:type="pct"/>
                  <w:tcBorders>
                    <w:tl2br w:val="nil"/>
                    <w:tr2bl w:val="nil"/>
                  </w:tcBorders>
                  <w:vAlign w:val="center"/>
                </w:tcPr>
                <w:p w14:paraId="7DF214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eastAsia"/>
                      <w:color w:val="auto"/>
                      <w:spacing w:val="-2"/>
                      <w:highlight w:val="none"/>
                      <w:lang w:val="en-US" w:eastAsia="zh-CN"/>
                    </w:rPr>
                    <w:t>低氮</w:t>
                  </w:r>
                  <w:r>
                    <w:rPr>
                      <w:rFonts w:hint="default"/>
                      <w:color w:val="auto"/>
                      <w:spacing w:val="-2"/>
                      <w:highlight w:val="none"/>
                    </w:rPr>
                    <w:t>燃烧器</w:t>
                  </w:r>
                </w:p>
              </w:tc>
              <w:tc>
                <w:tcPr>
                  <w:tcW w:w="1005" w:type="pct"/>
                  <w:tcBorders>
                    <w:tl2br w:val="nil"/>
                    <w:tr2bl w:val="nil"/>
                  </w:tcBorders>
                  <w:vAlign w:val="center"/>
                </w:tcPr>
                <w:p w14:paraId="4448B2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default"/>
                      <w:color w:val="auto"/>
                      <w:spacing w:val="-2"/>
                      <w:highlight w:val="none"/>
                    </w:rPr>
                    <w:t>ZT1200</w:t>
                  </w:r>
                </w:p>
              </w:tc>
              <w:tc>
                <w:tcPr>
                  <w:tcW w:w="889" w:type="pct"/>
                  <w:tcBorders>
                    <w:tl2br w:val="nil"/>
                    <w:tr2bl w:val="nil"/>
                  </w:tcBorders>
                  <w:vAlign w:val="center"/>
                </w:tcPr>
                <w:p w14:paraId="6A1B9F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235DFFB3">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3B5A8C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69C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72D10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8</w:t>
                  </w:r>
                </w:p>
              </w:tc>
              <w:tc>
                <w:tcPr>
                  <w:tcW w:w="1399" w:type="pct"/>
                  <w:tcBorders>
                    <w:tl2br w:val="nil"/>
                    <w:tr2bl w:val="nil"/>
                  </w:tcBorders>
                  <w:vAlign w:val="center"/>
                </w:tcPr>
                <w:p w14:paraId="74F47C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eastAsia"/>
                      <w:color w:val="auto"/>
                      <w:spacing w:val="-3"/>
                      <w:highlight w:val="none"/>
                      <w:lang w:val="en-US" w:eastAsia="zh-CN"/>
                    </w:rPr>
                    <w:t>热压成型机</w:t>
                  </w:r>
                </w:p>
              </w:tc>
              <w:tc>
                <w:tcPr>
                  <w:tcW w:w="1005" w:type="pct"/>
                  <w:tcBorders>
                    <w:tl2br w:val="nil"/>
                    <w:tr2bl w:val="nil"/>
                  </w:tcBorders>
                  <w:vAlign w:val="center"/>
                </w:tcPr>
                <w:p w14:paraId="60D50C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default"/>
                      <w:color w:val="auto"/>
                      <w:spacing w:val="-2"/>
                      <w:highlight w:val="none"/>
                    </w:rPr>
                    <w:t>Y1600</w:t>
                  </w:r>
                </w:p>
              </w:tc>
              <w:tc>
                <w:tcPr>
                  <w:tcW w:w="889" w:type="pct"/>
                  <w:tcBorders>
                    <w:tl2br w:val="nil"/>
                    <w:tr2bl w:val="nil"/>
                  </w:tcBorders>
                  <w:vAlign w:val="center"/>
                </w:tcPr>
                <w:p w14:paraId="51B62E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2</w:t>
                  </w:r>
                </w:p>
              </w:tc>
              <w:tc>
                <w:tcPr>
                  <w:tcW w:w="644" w:type="pct"/>
                  <w:tcBorders>
                    <w:tl2br w:val="nil"/>
                    <w:tr2bl w:val="nil"/>
                  </w:tcBorders>
                  <w:vAlign w:val="center"/>
                </w:tcPr>
                <w:p w14:paraId="4F312A9F">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006B8B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B78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25852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9</w:t>
                  </w:r>
                </w:p>
              </w:tc>
              <w:tc>
                <w:tcPr>
                  <w:tcW w:w="1399" w:type="pct"/>
                  <w:tcBorders>
                    <w:tl2br w:val="nil"/>
                    <w:tr2bl w:val="nil"/>
                  </w:tcBorders>
                  <w:vAlign w:val="center"/>
                </w:tcPr>
                <w:p w14:paraId="3EB2DA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Cs/>
                      <w:color w:val="auto"/>
                      <w:sz w:val="21"/>
                      <w:szCs w:val="21"/>
                      <w:highlight w:val="none"/>
                      <w:lang w:val="en-US" w:eastAsia="zh-CN"/>
                    </w:rPr>
                  </w:pPr>
                  <w:r>
                    <w:rPr>
                      <w:rFonts w:hint="eastAsia"/>
                      <w:color w:val="auto"/>
                      <w:spacing w:val="-3"/>
                      <w:highlight w:val="none"/>
                      <w:lang w:val="en-US" w:eastAsia="zh-CN"/>
                    </w:rPr>
                    <w:t>热压</w:t>
                  </w:r>
                  <w:r>
                    <w:rPr>
                      <w:rFonts w:hint="default"/>
                      <w:color w:val="auto"/>
                      <w:spacing w:val="-2"/>
                      <w:highlight w:val="none"/>
                    </w:rPr>
                    <w:t>机自动控制系统</w:t>
                  </w:r>
                </w:p>
              </w:tc>
              <w:tc>
                <w:tcPr>
                  <w:tcW w:w="1005" w:type="pct"/>
                  <w:tcBorders>
                    <w:tl2br w:val="nil"/>
                    <w:tr2bl w:val="nil"/>
                  </w:tcBorders>
                  <w:vAlign w:val="center"/>
                </w:tcPr>
                <w:p w14:paraId="25B18A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eastAsia"/>
                      <w:color w:val="auto"/>
                      <w:sz w:val="21"/>
                      <w:szCs w:val="21"/>
                      <w:highlight w:val="none"/>
                      <w:lang w:val="en-US" w:eastAsia="zh-CN"/>
                    </w:rPr>
                    <w:t>配套</w:t>
                  </w:r>
                </w:p>
              </w:tc>
              <w:tc>
                <w:tcPr>
                  <w:tcW w:w="889" w:type="pct"/>
                  <w:tcBorders>
                    <w:tl2br w:val="nil"/>
                    <w:tr2bl w:val="nil"/>
                  </w:tcBorders>
                  <w:vAlign w:val="center"/>
                </w:tcPr>
                <w:p w14:paraId="2FBDCF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2</w:t>
                  </w:r>
                </w:p>
              </w:tc>
              <w:tc>
                <w:tcPr>
                  <w:tcW w:w="644" w:type="pct"/>
                  <w:tcBorders>
                    <w:tl2br w:val="nil"/>
                    <w:tr2bl w:val="nil"/>
                  </w:tcBorders>
                  <w:vAlign w:val="center"/>
                </w:tcPr>
                <w:p w14:paraId="58657C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7C2331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5E41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621632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10</w:t>
                  </w:r>
                </w:p>
              </w:tc>
              <w:tc>
                <w:tcPr>
                  <w:tcW w:w="1399" w:type="pct"/>
                  <w:tcBorders>
                    <w:tl2br w:val="nil"/>
                    <w:tr2bl w:val="nil"/>
                  </w:tcBorders>
                  <w:vAlign w:val="center"/>
                </w:tcPr>
                <w:p w14:paraId="7848DA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eastAsia="宋体"/>
                      <w:color w:val="auto"/>
                      <w:spacing w:val="-3"/>
                      <w:highlight w:val="none"/>
                      <w:lang w:val="en-US" w:eastAsia="zh-CN"/>
                    </w:rPr>
                  </w:pPr>
                  <w:r>
                    <w:rPr>
                      <w:rFonts w:hint="eastAsia"/>
                      <w:color w:val="auto"/>
                      <w:spacing w:val="-3"/>
                      <w:highlight w:val="none"/>
                      <w:lang w:val="en-US" w:eastAsia="zh-CN"/>
                    </w:rPr>
                    <w:t>热压</w:t>
                  </w:r>
                  <w:r>
                    <w:rPr>
                      <w:rFonts w:hint="default"/>
                      <w:color w:val="auto"/>
                      <w:spacing w:val="-2"/>
                      <w:highlight w:val="none"/>
                    </w:rPr>
                    <w:t>机液压系统</w:t>
                  </w:r>
                </w:p>
              </w:tc>
              <w:tc>
                <w:tcPr>
                  <w:tcW w:w="1005" w:type="pct"/>
                  <w:tcBorders>
                    <w:tl2br w:val="nil"/>
                    <w:tr2bl w:val="nil"/>
                  </w:tcBorders>
                  <w:vAlign w:val="center"/>
                </w:tcPr>
                <w:p w14:paraId="5EB701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pacing w:val="-2"/>
                      <w:highlight w:val="none"/>
                    </w:rPr>
                  </w:pPr>
                  <w:r>
                    <w:rPr>
                      <w:rFonts w:hint="eastAsia"/>
                      <w:color w:val="auto"/>
                      <w:sz w:val="21"/>
                      <w:szCs w:val="21"/>
                      <w:highlight w:val="none"/>
                      <w:lang w:val="en-US" w:eastAsia="zh-CN"/>
                    </w:rPr>
                    <w:t>配套</w:t>
                  </w:r>
                </w:p>
              </w:tc>
              <w:tc>
                <w:tcPr>
                  <w:tcW w:w="889" w:type="pct"/>
                  <w:tcBorders>
                    <w:tl2br w:val="nil"/>
                    <w:tr2bl w:val="nil"/>
                  </w:tcBorders>
                  <w:vAlign w:val="center"/>
                </w:tcPr>
                <w:p w14:paraId="7E1FC1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2</w:t>
                  </w:r>
                </w:p>
              </w:tc>
              <w:tc>
                <w:tcPr>
                  <w:tcW w:w="644" w:type="pct"/>
                  <w:tcBorders>
                    <w:tl2br w:val="nil"/>
                    <w:tr2bl w:val="nil"/>
                  </w:tcBorders>
                  <w:vAlign w:val="center"/>
                </w:tcPr>
                <w:p w14:paraId="47865B37">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32FEFA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02E3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4468E7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11</w:t>
                  </w:r>
                </w:p>
              </w:tc>
              <w:tc>
                <w:tcPr>
                  <w:tcW w:w="1399" w:type="pct"/>
                  <w:tcBorders>
                    <w:tl2br w:val="nil"/>
                    <w:tr2bl w:val="nil"/>
                  </w:tcBorders>
                  <w:vAlign w:val="center"/>
                </w:tcPr>
                <w:p w14:paraId="304B6E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eastAsia"/>
                      <w:color w:val="auto"/>
                      <w:spacing w:val="-2"/>
                      <w:highlight w:val="none"/>
                      <w:lang w:val="en-US" w:eastAsia="zh-CN"/>
                    </w:rPr>
                    <w:t>热压</w:t>
                  </w:r>
                  <w:r>
                    <w:rPr>
                      <w:rFonts w:hint="default"/>
                      <w:color w:val="auto"/>
                      <w:spacing w:val="-2"/>
                      <w:highlight w:val="none"/>
                    </w:rPr>
                    <w:t>机设备水冷系统</w:t>
                  </w:r>
                </w:p>
              </w:tc>
              <w:tc>
                <w:tcPr>
                  <w:tcW w:w="1005" w:type="pct"/>
                  <w:tcBorders>
                    <w:tl2br w:val="nil"/>
                    <w:tr2bl w:val="nil"/>
                  </w:tcBorders>
                  <w:vAlign w:val="center"/>
                </w:tcPr>
                <w:p w14:paraId="28F6D7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配套</w:t>
                  </w:r>
                </w:p>
              </w:tc>
              <w:tc>
                <w:tcPr>
                  <w:tcW w:w="889" w:type="pct"/>
                  <w:tcBorders>
                    <w:tl2br w:val="nil"/>
                    <w:tr2bl w:val="nil"/>
                  </w:tcBorders>
                  <w:vAlign w:val="center"/>
                </w:tcPr>
                <w:p w14:paraId="1EB4C9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4AFD65E2">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0CE4A2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753E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17222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12</w:t>
                  </w:r>
                </w:p>
              </w:tc>
              <w:tc>
                <w:tcPr>
                  <w:tcW w:w="1399" w:type="pct"/>
                  <w:tcBorders>
                    <w:tl2br w:val="nil"/>
                    <w:tr2bl w:val="nil"/>
                  </w:tcBorders>
                  <w:vAlign w:val="center"/>
                </w:tcPr>
                <w:p w14:paraId="3841CD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default"/>
                      <w:color w:val="auto"/>
                      <w:spacing w:val="-2"/>
                      <w:highlight w:val="none"/>
                    </w:rPr>
                    <w:t>高温对辊</w:t>
                  </w:r>
                  <w:r>
                    <w:rPr>
                      <w:rFonts w:hint="eastAsia"/>
                      <w:color w:val="auto"/>
                      <w:spacing w:val="-2"/>
                      <w:highlight w:val="none"/>
                      <w:lang w:val="en-US" w:eastAsia="zh-CN"/>
                    </w:rPr>
                    <w:t>成型机</w:t>
                  </w:r>
                </w:p>
              </w:tc>
              <w:tc>
                <w:tcPr>
                  <w:tcW w:w="1005" w:type="pct"/>
                  <w:tcBorders>
                    <w:tl2br w:val="nil"/>
                    <w:tr2bl w:val="nil"/>
                  </w:tcBorders>
                  <w:vAlign w:val="center"/>
                </w:tcPr>
                <w:p w14:paraId="59FE75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eastAsia="宋体"/>
                      <w:color w:val="auto"/>
                      <w:sz w:val="21"/>
                      <w:szCs w:val="21"/>
                      <w:highlight w:val="none"/>
                      <w:lang w:val="en-US" w:eastAsia="zh-CN"/>
                    </w:rPr>
                  </w:pPr>
                  <w:r>
                    <w:rPr>
                      <w:rFonts w:hint="default"/>
                      <w:color w:val="auto"/>
                      <w:sz w:val="21"/>
                      <w:szCs w:val="21"/>
                      <w:highlight w:val="none"/>
                      <w:lang w:val="en-US" w:eastAsia="zh-CN"/>
                    </w:rPr>
                    <w:t>YQ48-5</w:t>
                  </w:r>
                </w:p>
              </w:tc>
              <w:tc>
                <w:tcPr>
                  <w:tcW w:w="889" w:type="pct"/>
                  <w:tcBorders>
                    <w:tl2br w:val="nil"/>
                    <w:tr2bl w:val="nil"/>
                  </w:tcBorders>
                  <w:vAlign w:val="center"/>
                </w:tcPr>
                <w:p w14:paraId="048BAD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5D6DF840">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181B14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5581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3353E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13</w:t>
                  </w:r>
                </w:p>
              </w:tc>
              <w:tc>
                <w:tcPr>
                  <w:tcW w:w="1399" w:type="pct"/>
                  <w:tcBorders>
                    <w:tl2br w:val="nil"/>
                    <w:tr2bl w:val="nil"/>
                  </w:tcBorders>
                  <w:vAlign w:val="center"/>
                </w:tcPr>
                <w:p w14:paraId="3D507E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default"/>
                      <w:color w:val="auto"/>
                      <w:spacing w:val="-2"/>
                      <w:highlight w:val="none"/>
                    </w:rPr>
                    <w:t>链板输送机</w:t>
                  </w:r>
                </w:p>
              </w:tc>
              <w:tc>
                <w:tcPr>
                  <w:tcW w:w="1005" w:type="pct"/>
                  <w:tcBorders>
                    <w:tl2br w:val="nil"/>
                    <w:tr2bl w:val="nil"/>
                  </w:tcBorders>
                  <w:vAlign w:val="center"/>
                </w:tcPr>
                <w:p w14:paraId="284FE3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eastAsia="宋体"/>
                      <w:color w:val="auto"/>
                      <w:sz w:val="21"/>
                      <w:szCs w:val="21"/>
                      <w:highlight w:val="none"/>
                      <w:lang w:val="en-US" w:eastAsia="zh-CN"/>
                    </w:rPr>
                  </w:pPr>
                  <w:r>
                    <w:rPr>
                      <w:rFonts w:hint="default"/>
                      <w:color w:val="auto"/>
                      <w:spacing w:val="-1"/>
                      <w:highlight w:val="none"/>
                    </w:rPr>
                    <w:t>BL</w:t>
                  </w:r>
                  <w:r>
                    <w:rPr>
                      <w:rFonts w:hint="eastAsia"/>
                      <w:color w:val="auto"/>
                      <w:spacing w:val="-1"/>
                      <w:highlight w:val="none"/>
                      <w:lang w:val="en-US" w:eastAsia="zh-CN"/>
                    </w:rPr>
                    <w:t>65</w:t>
                  </w:r>
                  <w:r>
                    <w:rPr>
                      <w:rFonts w:hint="default"/>
                      <w:color w:val="auto"/>
                      <w:spacing w:val="-1"/>
                      <w:highlight w:val="none"/>
                    </w:rPr>
                    <w:t>0×</w:t>
                  </w:r>
                  <w:r>
                    <w:rPr>
                      <w:rFonts w:hint="eastAsia"/>
                      <w:color w:val="auto"/>
                      <w:spacing w:val="-1"/>
                      <w:highlight w:val="none"/>
                      <w:lang w:val="en-US" w:eastAsia="zh-CN"/>
                    </w:rPr>
                    <w:t>25</w:t>
                  </w:r>
                  <w:r>
                    <w:rPr>
                      <w:rFonts w:hint="default"/>
                      <w:color w:val="auto"/>
                      <w:spacing w:val="-1"/>
                      <w:highlight w:val="none"/>
                    </w:rPr>
                    <w:t>m</w:t>
                  </w:r>
                </w:p>
              </w:tc>
              <w:tc>
                <w:tcPr>
                  <w:tcW w:w="889" w:type="pct"/>
                  <w:tcBorders>
                    <w:tl2br w:val="nil"/>
                    <w:tr2bl w:val="nil"/>
                  </w:tcBorders>
                  <w:vAlign w:val="center"/>
                </w:tcPr>
                <w:p w14:paraId="0D4640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2</w:t>
                  </w:r>
                </w:p>
              </w:tc>
              <w:tc>
                <w:tcPr>
                  <w:tcW w:w="644" w:type="pct"/>
                  <w:tcBorders>
                    <w:tl2br w:val="nil"/>
                    <w:tr2bl w:val="nil"/>
                  </w:tcBorders>
                  <w:vAlign w:val="center"/>
                </w:tcPr>
                <w:p w14:paraId="7CD14D4D">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57314E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1A33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5E66E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14</w:t>
                  </w:r>
                </w:p>
              </w:tc>
              <w:tc>
                <w:tcPr>
                  <w:tcW w:w="1399" w:type="pct"/>
                  <w:tcBorders>
                    <w:tl2br w:val="nil"/>
                    <w:tr2bl w:val="nil"/>
                  </w:tcBorders>
                  <w:vAlign w:val="center"/>
                </w:tcPr>
                <w:p w14:paraId="7ACDEC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eastAsia"/>
                      <w:bCs/>
                      <w:color w:val="auto"/>
                      <w:sz w:val="21"/>
                      <w:szCs w:val="21"/>
                      <w:highlight w:val="none"/>
                      <w:lang w:val="en-US" w:eastAsia="zh-CN"/>
                    </w:rPr>
                    <w:t>余热利用换热器</w:t>
                  </w:r>
                </w:p>
              </w:tc>
              <w:tc>
                <w:tcPr>
                  <w:tcW w:w="1005" w:type="pct"/>
                  <w:tcBorders>
                    <w:tl2br w:val="nil"/>
                    <w:tr2bl w:val="nil"/>
                  </w:tcBorders>
                  <w:vAlign w:val="center"/>
                </w:tcPr>
                <w:p w14:paraId="222C0B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LGH6</w:t>
                  </w:r>
                </w:p>
              </w:tc>
              <w:tc>
                <w:tcPr>
                  <w:tcW w:w="889" w:type="pct"/>
                  <w:tcBorders>
                    <w:tl2br w:val="nil"/>
                    <w:tr2bl w:val="nil"/>
                  </w:tcBorders>
                  <w:vAlign w:val="center"/>
                </w:tcPr>
                <w:p w14:paraId="5970AB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4DBC5C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3B2D76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1535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04B4E1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15</w:t>
                  </w:r>
                </w:p>
              </w:tc>
              <w:tc>
                <w:tcPr>
                  <w:tcW w:w="1399" w:type="pct"/>
                  <w:tcBorders>
                    <w:tl2br w:val="nil"/>
                    <w:tr2bl w:val="nil"/>
                  </w:tcBorders>
                  <w:vAlign w:val="center"/>
                </w:tcPr>
                <w:p w14:paraId="33777C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eastAsia"/>
                      <w:bCs/>
                      <w:color w:val="auto"/>
                      <w:sz w:val="21"/>
                      <w:szCs w:val="21"/>
                      <w:highlight w:val="none"/>
                      <w:lang w:val="en-US" w:eastAsia="zh-CN"/>
                    </w:rPr>
                    <w:t>螺旋输送机</w:t>
                  </w:r>
                </w:p>
              </w:tc>
              <w:tc>
                <w:tcPr>
                  <w:tcW w:w="1005" w:type="pct"/>
                  <w:tcBorders>
                    <w:tl2br w:val="nil"/>
                    <w:tr2bl w:val="nil"/>
                  </w:tcBorders>
                  <w:vAlign w:val="center"/>
                </w:tcPr>
                <w:p w14:paraId="37D568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default"/>
                      <w:color w:val="auto"/>
                      <w:sz w:val="21"/>
                      <w:szCs w:val="21"/>
                      <w:highlight w:val="none"/>
                      <w:lang w:val="en-US" w:eastAsia="zh-CN"/>
                    </w:rPr>
                    <w:t>LS315×11m</w:t>
                  </w:r>
                </w:p>
              </w:tc>
              <w:tc>
                <w:tcPr>
                  <w:tcW w:w="889" w:type="pct"/>
                  <w:tcBorders>
                    <w:tl2br w:val="nil"/>
                    <w:tr2bl w:val="nil"/>
                  </w:tcBorders>
                  <w:vAlign w:val="center"/>
                </w:tcPr>
                <w:p w14:paraId="69747F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46BE8C2C">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2D4582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6F4C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22F97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16</w:t>
                  </w:r>
                </w:p>
              </w:tc>
              <w:tc>
                <w:tcPr>
                  <w:tcW w:w="1399" w:type="pct"/>
                  <w:tcBorders>
                    <w:tl2br w:val="nil"/>
                    <w:tr2bl w:val="nil"/>
                  </w:tcBorders>
                  <w:vAlign w:val="center"/>
                </w:tcPr>
                <w:p w14:paraId="30602A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default"/>
                      <w:color w:val="auto"/>
                      <w:spacing w:val="-4"/>
                      <w:highlight w:val="none"/>
                    </w:rPr>
                    <w:t>空压机</w:t>
                  </w:r>
                </w:p>
              </w:tc>
              <w:tc>
                <w:tcPr>
                  <w:tcW w:w="1005" w:type="pct"/>
                  <w:tcBorders>
                    <w:tl2br w:val="nil"/>
                    <w:tr2bl w:val="nil"/>
                  </w:tcBorders>
                  <w:vAlign w:val="center"/>
                </w:tcPr>
                <w:p w14:paraId="1719B7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default"/>
                      <w:color w:val="auto"/>
                      <w:spacing w:val="-1"/>
                      <w:highlight w:val="none"/>
                    </w:rPr>
                    <w:t>BK</w:t>
                  </w:r>
                  <w:r>
                    <w:rPr>
                      <w:rFonts w:hint="eastAsia"/>
                      <w:color w:val="auto"/>
                      <w:spacing w:val="-1"/>
                      <w:highlight w:val="none"/>
                      <w:lang w:val="en-US" w:eastAsia="zh-CN"/>
                    </w:rPr>
                    <w:t>7</w:t>
                  </w:r>
                  <w:r>
                    <w:rPr>
                      <w:rFonts w:hint="default"/>
                      <w:color w:val="auto"/>
                      <w:spacing w:val="-1"/>
                      <w:highlight w:val="none"/>
                    </w:rPr>
                    <w:t>5-8GH</w:t>
                  </w:r>
                </w:p>
              </w:tc>
              <w:tc>
                <w:tcPr>
                  <w:tcW w:w="889" w:type="pct"/>
                  <w:tcBorders>
                    <w:tl2br w:val="nil"/>
                    <w:tr2bl w:val="nil"/>
                  </w:tcBorders>
                  <w:vAlign w:val="center"/>
                </w:tcPr>
                <w:p w14:paraId="7B5565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6FB1E475">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35DD5D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r w14:paraId="1CD2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8" w:type="pct"/>
                  <w:tcBorders>
                    <w:tl2br w:val="nil"/>
                    <w:tr2bl w:val="nil"/>
                  </w:tcBorders>
                  <w:vAlign w:val="center"/>
                </w:tcPr>
                <w:p w14:paraId="468A8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w w:val="100"/>
                      <w:kern w:val="0"/>
                      <w:sz w:val="21"/>
                      <w:szCs w:val="21"/>
                      <w:highlight w:val="none"/>
                      <w:lang w:val="en-US" w:eastAsia="zh-CN" w:bidi="ar-SA"/>
                    </w:rPr>
                  </w:pPr>
                  <w:r>
                    <w:rPr>
                      <w:rFonts w:hint="eastAsia" w:cs="Times New Roman"/>
                      <w:color w:val="auto"/>
                      <w:spacing w:val="0"/>
                      <w:w w:val="100"/>
                      <w:kern w:val="0"/>
                      <w:sz w:val="21"/>
                      <w:szCs w:val="21"/>
                      <w:highlight w:val="none"/>
                      <w:lang w:val="en-US" w:eastAsia="zh-CN" w:bidi="ar-SA"/>
                    </w:rPr>
                    <w:t>17</w:t>
                  </w:r>
                </w:p>
              </w:tc>
              <w:tc>
                <w:tcPr>
                  <w:tcW w:w="1399" w:type="pct"/>
                  <w:tcBorders>
                    <w:tl2br w:val="nil"/>
                    <w:tr2bl w:val="nil"/>
                  </w:tcBorders>
                  <w:vAlign w:val="center"/>
                </w:tcPr>
                <w:p w14:paraId="731611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r>
                    <w:rPr>
                      <w:rFonts w:hint="default"/>
                      <w:color w:val="auto"/>
                      <w:spacing w:val="-7"/>
                      <w:highlight w:val="none"/>
                    </w:rPr>
                    <w:t>自动控制系统</w:t>
                  </w:r>
                </w:p>
              </w:tc>
              <w:tc>
                <w:tcPr>
                  <w:tcW w:w="1005" w:type="pct"/>
                  <w:tcBorders>
                    <w:tl2br w:val="nil"/>
                    <w:tr2bl w:val="nil"/>
                  </w:tcBorders>
                  <w:vAlign w:val="center"/>
                </w:tcPr>
                <w:p w14:paraId="3782B5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rPr>
                  </w:pPr>
                  <w:r>
                    <w:rPr>
                      <w:rFonts w:hint="default"/>
                      <w:color w:val="auto"/>
                      <w:spacing w:val="-3"/>
                      <w:highlight w:val="none"/>
                    </w:rPr>
                    <w:t>配套</w:t>
                  </w:r>
                </w:p>
              </w:tc>
              <w:tc>
                <w:tcPr>
                  <w:tcW w:w="889" w:type="pct"/>
                  <w:tcBorders>
                    <w:tl2br w:val="nil"/>
                    <w:tr2bl w:val="nil"/>
                  </w:tcBorders>
                  <w:vAlign w:val="center"/>
                </w:tcPr>
                <w:p w14:paraId="3EA2FD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pacing w:val="0"/>
                      <w:w w:val="100"/>
                      <w:kern w:val="0"/>
                      <w:sz w:val="21"/>
                      <w:szCs w:val="21"/>
                      <w:highlight w:val="none"/>
                      <w:lang w:val="en-US" w:eastAsia="zh-CN" w:bidi="zh-CN"/>
                    </w:rPr>
                  </w:pPr>
                  <w:r>
                    <w:rPr>
                      <w:rFonts w:hint="eastAsia" w:cs="Times New Roman"/>
                      <w:color w:val="auto"/>
                      <w:spacing w:val="0"/>
                      <w:w w:val="100"/>
                      <w:kern w:val="0"/>
                      <w:sz w:val="21"/>
                      <w:szCs w:val="21"/>
                      <w:highlight w:val="none"/>
                      <w:lang w:val="en-US" w:eastAsia="zh-CN" w:bidi="zh-CN"/>
                    </w:rPr>
                    <w:t>1</w:t>
                  </w:r>
                </w:p>
              </w:tc>
              <w:tc>
                <w:tcPr>
                  <w:tcW w:w="644" w:type="pct"/>
                  <w:tcBorders>
                    <w:tl2br w:val="nil"/>
                    <w:tr2bl w:val="nil"/>
                  </w:tcBorders>
                  <w:vAlign w:val="center"/>
                </w:tcPr>
                <w:p w14:paraId="4DC41C14">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c>
                <w:tcPr>
                  <w:tcW w:w="691" w:type="pct"/>
                  <w:vMerge w:val="continue"/>
                  <w:tcBorders>
                    <w:tl2br w:val="nil"/>
                    <w:tr2bl w:val="nil"/>
                  </w:tcBorders>
                  <w:vAlign w:val="center"/>
                </w:tcPr>
                <w:p w14:paraId="3C6A2C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highlight w:val="none"/>
                      <w:lang w:val="en-US" w:eastAsia="zh-CN"/>
                    </w:rPr>
                  </w:pPr>
                </w:p>
              </w:tc>
            </w:tr>
          </w:tbl>
          <w:p w14:paraId="51DD1CF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b w:val="0"/>
                <w:bCs/>
                <w:color w:val="auto"/>
                <w:spacing w:val="0"/>
                <w:sz w:val="24"/>
                <w:szCs w:val="24"/>
                <w:highlight w:val="none"/>
                <w:lang w:val="en-US" w:eastAsia="zh-CN"/>
              </w:rPr>
            </w:pPr>
            <w:r>
              <w:rPr>
                <w:rFonts w:hint="eastAsia" w:cs="Times New Roman"/>
                <w:b w:val="0"/>
                <w:bCs/>
                <w:color w:val="auto"/>
                <w:spacing w:val="0"/>
                <w:sz w:val="24"/>
                <w:szCs w:val="24"/>
                <w:highlight w:val="none"/>
                <w:lang w:val="en-US" w:eastAsia="zh-CN"/>
              </w:rPr>
              <w:t>根据《产业结构调整指导目录（2024年本）》等相关文件，本项目生产设备不属于淘汰落后设备。热压成型机生产能力为15-18</w:t>
            </w:r>
            <w:r>
              <w:rPr>
                <w:rFonts w:hint="eastAsia" w:ascii="Times New Roman" w:hAnsi="Times New Roman" w:cs="Times New Roman"/>
                <w:color w:val="auto"/>
                <w:sz w:val="24"/>
                <w:szCs w:val="24"/>
                <w:highlight w:val="none"/>
                <w:lang w:val="en-US" w:eastAsia="zh-CN"/>
              </w:rPr>
              <w:t>t/h</w:t>
            </w:r>
            <w:r>
              <w:rPr>
                <w:rFonts w:hint="eastAsia" w:cs="Times New Roman"/>
                <w:b w:val="0"/>
                <w:bCs/>
                <w:color w:val="auto"/>
                <w:spacing w:val="0"/>
                <w:sz w:val="24"/>
                <w:szCs w:val="24"/>
                <w:highlight w:val="none"/>
                <w:lang w:val="en-US" w:eastAsia="zh-CN"/>
              </w:rPr>
              <w:t>：高温对辊成型机生产能力为15-20t/h，按回转窑生产能力计算产能匹配性，回转窑生产能力为35-40</w:t>
            </w:r>
            <w:r>
              <w:rPr>
                <w:rFonts w:hint="eastAsia" w:ascii="Times New Roman" w:hAnsi="Times New Roman" w:cs="Times New Roman"/>
                <w:color w:val="auto"/>
                <w:sz w:val="24"/>
                <w:szCs w:val="24"/>
                <w:highlight w:val="none"/>
                <w:lang w:val="en-US" w:eastAsia="zh-CN"/>
              </w:rPr>
              <w:t>t/h，</w:t>
            </w:r>
            <w:r>
              <w:rPr>
                <w:rFonts w:hint="eastAsia" w:cs="Times New Roman"/>
                <w:color w:val="auto"/>
                <w:sz w:val="24"/>
                <w:szCs w:val="24"/>
                <w:highlight w:val="none"/>
                <w:lang w:val="en-US" w:eastAsia="zh-CN"/>
              </w:rPr>
              <w:t>年工作时间为7920h，年产生规模为27.72万~31.68万t/a，</w:t>
            </w:r>
            <w:r>
              <w:rPr>
                <w:rFonts w:hint="eastAsia" w:cs="Times New Roman"/>
                <w:b w:val="0"/>
                <w:bCs/>
                <w:color w:val="auto"/>
                <w:spacing w:val="0"/>
                <w:sz w:val="24"/>
                <w:szCs w:val="24"/>
                <w:highlight w:val="none"/>
                <w:lang w:val="en-US" w:eastAsia="zh-CN"/>
              </w:rPr>
              <w:t>可以满足本项目产能</w:t>
            </w:r>
            <w:r>
              <w:rPr>
                <w:rFonts w:hint="eastAsia" w:cs="Times New Roman"/>
                <w:color w:val="auto"/>
                <w:sz w:val="24"/>
                <w:szCs w:val="24"/>
                <w:highlight w:val="none"/>
                <w:lang w:val="en-US" w:eastAsia="zh-CN"/>
              </w:rPr>
              <w:t>30万吨环保热熔压饼</w:t>
            </w:r>
            <w:r>
              <w:rPr>
                <w:rFonts w:hint="eastAsia" w:cs="Times New Roman"/>
                <w:b w:val="0"/>
                <w:bCs/>
                <w:color w:val="auto"/>
                <w:spacing w:val="0"/>
                <w:sz w:val="24"/>
                <w:szCs w:val="24"/>
                <w:highlight w:val="none"/>
                <w:lang w:val="en-US" w:eastAsia="zh-CN"/>
              </w:rPr>
              <w:t>。</w:t>
            </w:r>
          </w:p>
          <w:p w14:paraId="04B8CC5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val="0"/>
                <w:color w:val="auto"/>
                <w:spacing w:val="0"/>
                <w:sz w:val="24"/>
                <w:szCs w:val="24"/>
                <w:highlight w:val="none"/>
                <w:lang w:val="en-US" w:eastAsia="zh-CN"/>
              </w:rPr>
            </w:pPr>
            <w:r>
              <w:rPr>
                <w:rFonts w:hint="eastAsia" w:cs="Times New Roman"/>
                <w:b/>
                <w:bCs w:val="0"/>
                <w:color w:val="auto"/>
                <w:spacing w:val="0"/>
                <w:sz w:val="24"/>
                <w:szCs w:val="24"/>
                <w:highlight w:val="none"/>
                <w:lang w:val="en-US" w:eastAsia="zh-CN"/>
              </w:rPr>
              <w:t>4、</w:t>
            </w:r>
            <w:r>
              <w:rPr>
                <w:rFonts w:hint="default" w:ascii="Times New Roman" w:hAnsi="Times New Roman" w:eastAsia="宋体" w:cs="Times New Roman"/>
                <w:b/>
                <w:bCs w:val="0"/>
                <w:color w:val="auto"/>
                <w:spacing w:val="0"/>
                <w:sz w:val="24"/>
                <w:szCs w:val="24"/>
                <w:highlight w:val="none"/>
                <w:lang w:val="en-US" w:eastAsia="zh-CN"/>
              </w:rPr>
              <w:t>原辅材料及能源消耗</w:t>
            </w:r>
          </w:p>
          <w:p w14:paraId="164A03B6">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宋体"/>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ascii="Times New Roman" w:hAnsi="Times New Roman" w:eastAsia="宋体" w:cs="Times New Roman"/>
                <w:color w:val="auto"/>
                <w:sz w:val="24"/>
                <w:szCs w:val="20"/>
                <w:highlight w:val="none"/>
                <w:lang w:val="en-US" w:eastAsia="zh-CN"/>
              </w:rPr>
              <w:t>主要原辅料</w:t>
            </w:r>
          </w:p>
          <w:p w14:paraId="2DECC75B">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olor w:val="auto"/>
                <w:sz w:val="24"/>
                <w:highlight w:val="none"/>
                <w:lang w:val="en-US" w:eastAsia="zh-CN"/>
              </w:rPr>
            </w:pPr>
            <w:r>
              <w:rPr>
                <w:rFonts w:hint="default"/>
                <w:color w:val="auto"/>
                <w:sz w:val="24"/>
                <w:highlight w:val="none"/>
              </w:rPr>
              <w:t>本项目原料废</w:t>
            </w:r>
            <w:r>
              <w:rPr>
                <w:rFonts w:hint="eastAsia"/>
                <w:color w:val="auto"/>
                <w:sz w:val="24"/>
                <w:highlight w:val="none"/>
                <w:lang w:val="en-US" w:eastAsia="zh-CN"/>
              </w:rPr>
              <w:t>钢铁碎料均为颗粒状，不含粉末状，</w:t>
            </w:r>
            <w:r>
              <w:rPr>
                <w:rFonts w:hint="default"/>
                <w:color w:val="auto"/>
                <w:sz w:val="24"/>
                <w:highlight w:val="none"/>
              </w:rPr>
              <w:t>原料</w:t>
            </w:r>
            <w:r>
              <w:rPr>
                <w:rFonts w:hint="eastAsia"/>
                <w:color w:val="auto"/>
                <w:sz w:val="24"/>
                <w:highlight w:val="none"/>
                <w:lang w:val="en-US" w:eastAsia="zh-CN"/>
              </w:rPr>
              <w:t>来源为</w:t>
            </w:r>
            <w:r>
              <w:rPr>
                <w:rFonts w:hint="eastAsia" w:cs="Times New Roman"/>
                <w:b w:val="0"/>
                <w:bCs w:val="0"/>
                <w:color w:val="auto"/>
                <w:kern w:val="0"/>
                <w:sz w:val="24"/>
                <w:szCs w:val="24"/>
                <w:highlight w:val="none"/>
                <w:lang w:val="en-US" w:eastAsia="zh-CN"/>
              </w:rPr>
              <w:t>屯留区周边</w:t>
            </w:r>
            <w:r>
              <w:rPr>
                <w:rFonts w:hint="default"/>
                <w:color w:val="auto"/>
                <w:sz w:val="24"/>
                <w:highlight w:val="none"/>
              </w:rPr>
              <w:t>汽车拆解厂、机械加工厂及废品回收站</w:t>
            </w:r>
            <w:r>
              <w:rPr>
                <w:rFonts w:hint="eastAsia"/>
                <w:color w:val="auto"/>
                <w:sz w:val="24"/>
                <w:highlight w:val="none"/>
                <w:lang w:val="en-US" w:eastAsia="zh-CN"/>
              </w:rPr>
              <w:t>，且在入厂前做分拣工序，分拣出表面含油、含油漆、表面氧化的废钢铁，确保入厂的</w:t>
            </w:r>
            <w:r>
              <w:rPr>
                <w:rFonts w:hint="default"/>
                <w:color w:val="auto"/>
                <w:sz w:val="24"/>
                <w:highlight w:val="none"/>
              </w:rPr>
              <w:t>废</w:t>
            </w:r>
            <w:r>
              <w:rPr>
                <w:rFonts w:hint="eastAsia"/>
                <w:color w:val="auto"/>
                <w:sz w:val="24"/>
                <w:highlight w:val="none"/>
                <w:lang w:val="en-US" w:eastAsia="zh-CN"/>
              </w:rPr>
              <w:t>钢铁碎料表面无严重锈蚀氧化、不含油、不含油漆</w:t>
            </w:r>
            <w:r>
              <w:rPr>
                <w:rFonts w:hint="default"/>
                <w:color w:val="auto"/>
                <w:sz w:val="24"/>
                <w:highlight w:val="none"/>
              </w:rPr>
              <w:t>。</w:t>
            </w:r>
            <w:r>
              <w:rPr>
                <w:rFonts w:hint="eastAsia"/>
                <w:color w:val="auto"/>
                <w:sz w:val="24"/>
                <w:highlight w:val="none"/>
                <w:lang w:val="en-US" w:eastAsia="zh-CN"/>
              </w:rPr>
              <w:t>废钢铁在入厂前按照</w:t>
            </w:r>
            <w:r>
              <w:rPr>
                <w:rFonts w:hint="default"/>
                <w:color w:val="auto"/>
                <w:sz w:val="24"/>
                <w:highlight w:val="none"/>
              </w:rPr>
              <w:t>《废钢铁》</w:t>
            </w:r>
            <w:r>
              <w:rPr>
                <w:rFonts w:hint="eastAsia"/>
                <w:color w:val="auto"/>
                <w:sz w:val="24"/>
                <w:highlight w:val="none"/>
                <w:lang w:eastAsia="zh-CN"/>
              </w:rPr>
              <w:t>（</w:t>
            </w:r>
            <w:r>
              <w:rPr>
                <w:rFonts w:hint="default"/>
                <w:color w:val="auto"/>
                <w:sz w:val="24"/>
                <w:highlight w:val="none"/>
              </w:rPr>
              <w:t>GB/T4223-2017</w:t>
            </w:r>
            <w:r>
              <w:rPr>
                <w:rFonts w:hint="eastAsia"/>
                <w:color w:val="auto"/>
                <w:sz w:val="24"/>
                <w:highlight w:val="none"/>
                <w:lang w:eastAsia="zh-CN"/>
              </w:rPr>
              <w:t>）</w:t>
            </w:r>
            <w:r>
              <w:rPr>
                <w:rFonts w:hint="eastAsia"/>
                <w:color w:val="auto"/>
                <w:sz w:val="24"/>
                <w:highlight w:val="none"/>
                <w:lang w:val="en-US" w:eastAsia="zh-CN"/>
              </w:rPr>
              <w:t>中“废钢铁的质量指标”做了成分指标检测，常见的检测方法：先对原料进行称重，采用中频炉坩埚煅烧，去除杂质后称重，去除杂质后的重量除以原料重量计算出水率。对每个批次的原料进行多次测定，取平均值。</w:t>
            </w:r>
          </w:p>
          <w:p w14:paraId="5D69050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olor w:val="auto"/>
                <w:sz w:val="24"/>
                <w:highlight w:val="none"/>
              </w:rPr>
            </w:pPr>
            <w:r>
              <w:rPr>
                <w:rFonts w:hint="eastAsia"/>
                <w:color w:val="auto"/>
                <w:sz w:val="24"/>
                <w:highlight w:val="none"/>
                <w:lang w:val="en-US" w:eastAsia="zh-CN"/>
              </w:rPr>
              <w:t>厂区入口处已安装辐射检测装置，废钢铁碎料</w:t>
            </w:r>
            <w:r>
              <w:rPr>
                <w:rFonts w:hint="default"/>
                <w:color w:val="auto"/>
                <w:sz w:val="24"/>
                <w:highlight w:val="none"/>
                <w:lang w:val="en-US" w:eastAsia="zh-CN"/>
              </w:rPr>
              <w:t>在入厂前</w:t>
            </w:r>
            <w:r>
              <w:rPr>
                <w:rFonts w:hint="eastAsia"/>
                <w:color w:val="auto"/>
                <w:sz w:val="24"/>
                <w:highlight w:val="none"/>
                <w:lang w:val="en-US" w:eastAsia="zh-CN"/>
              </w:rPr>
              <w:t>应</w:t>
            </w:r>
            <w:r>
              <w:rPr>
                <w:rFonts w:hint="default"/>
                <w:color w:val="auto"/>
                <w:sz w:val="24"/>
                <w:highlight w:val="none"/>
                <w:lang w:val="en-US" w:eastAsia="zh-CN"/>
              </w:rPr>
              <w:t>进行辐射检测，当原料辐射检测超标时，警报灯将亮起，检测系统会记录下原料批次及辐射超标情况</w:t>
            </w:r>
            <w:r>
              <w:rPr>
                <w:rFonts w:hint="eastAsia"/>
                <w:color w:val="auto"/>
                <w:sz w:val="24"/>
                <w:highlight w:val="none"/>
                <w:lang w:val="en-US" w:eastAsia="zh-CN"/>
              </w:rPr>
              <w:t>，</w:t>
            </w:r>
            <w:r>
              <w:rPr>
                <w:rFonts w:hint="default"/>
                <w:color w:val="auto"/>
                <w:sz w:val="24"/>
                <w:highlight w:val="none"/>
                <w:lang w:val="en-US" w:eastAsia="zh-CN"/>
              </w:rPr>
              <w:t>检测超标车辆禁止进入厂区，并立即通知辐射相关管理部门进行处理。</w:t>
            </w:r>
            <w:r>
              <w:rPr>
                <w:rFonts w:hint="eastAsia"/>
                <w:color w:val="auto"/>
                <w:sz w:val="24"/>
                <w:highlight w:val="none"/>
                <w:lang w:val="en-US" w:eastAsia="zh-CN"/>
              </w:rPr>
              <w:t>检测合格的</w:t>
            </w:r>
            <w:r>
              <w:rPr>
                <w:rFonts w:hint="default"/>
                <w:color w:val="auto"/>
                <w:sz w:val="24"/>
                <w:highlight w:val="none"/>
              </w:rPr>
              <w:t>废钢、废铁根据</w:t>
            </w:r>
            <w:r>
              <w:rPr>
                <w:rFonts w:hint="default"/>
                <w:color w:val="auto"/>
                <w:sz w:val="24"/>
                <w:highlight w:val="none"/>
                <w:lang w:val="en-US" w:eastAsia="zh-CN"/>
              </w:rPr>
              <w:t>不同原料的粒度、出水率、堆积密度等</w:t>
            </w:r>
            <w:r>
              <w:rPr>
                <w:rFonts w:hint="default"/>
                <w:color w:val="auto"/>
                <w:sz w:val="24"/>
                <w:highlight w:val="none"/>
              </w:rPr>
              <w:t>分区堆放。</w:t>
            </w:r>
          </w:p>
          <w:p w14:paraId="47D3992A">
            <w:pPr>
              <w:keepNext w:val="0"/>
              <w:keepLines w:val="0"/>
              <w:suppressLineNumbers w:val="0"/>
              <w:adjustRightInd w:val="0"/>
              <w:snapToGrid w:val="0"/>
              <w:spacing w:before="0" w:beforeAutospacing="0" w:after="0" w:afterAutospacing="0" w:line="480" w:lineRule="exact"/>
              <w:ind w:left="0" w:right="0" w:firstLine="480" w:firstLineChars="200"/>
              <w:rPr>
                <w:rFonts w:hint="eastAsia" w:hAnsi="宋体"/>
                <w:color w:val="auto"/>
                <w:sz w:val="24"/>
                <w:highlight w:val="none"/>
              </w:rPr>
            </w:pPr>
            <w:r>
              <w:rPr>
                <w:rFonts w:hint="default" w:ascii="Times New Roman" w:hAnsi="Times New Roman" w:eastAsia="宋体" w:cs="Times New Roman"/>
                <w:bCs/>
                <w:color w:val="auto"/>
                <w:spacing w:val="0"/>
                <w:sz w:val="24"/>
                <w:szCs w:val="24"/>
                <w:highlight w:val="none"/>
                <w:lang w:val="en-US" w:eastAsia="zh-CN"/>
              </w:rPr>
              <w:t>原辅材料及</w:t>
            </w:r>
            <w:r>
              <w:rPr>
                <w:rFonts w:hint="eastAsia" w:ascii="Times New Roman" w:hAnsi="Times New Roman" w:eastAsia="宋体" w:cs="Times New Roman"/>
                <w:bCs/>
                <w:color w:val="auto"/>
                <w:spacing w:val="0"/>
                <w:sz w:val="24"/>
                <w:szCs w:val="24"/>
                <w:highlight w:val="none"/>
                <w:lang w:val="en-US" w:eastAsia="zh-CN"/>
              </w:rPr>
              <w:t>能源消耗</w:t>
            </w:r>
            <w:r>
              <w:rPr>
                <w:rFonts w:hint="default" w:ascii="Times New Roman" w:hAnsi="Times New Roman" w:eastAsia="宋体" w:cs="Times New Roman"/>
                <w:bCs/>
                <w:color w:val="auto"/>
                <w:spacing w:val="0"/>
                <w:sz w:val="24"/>
                <w:szCs w:val="24"/>
                <w:highlight w:val="none"/>
                <w:lang w:val="en-US" w:eastAsia="zh-CN"/>
              </w:rPr>
              <w:t>情况见2</w:t>
            </w:r>
            <w:r>
              <w:rPr>
                <w:rFonts w:hint="eastAsia" w:cs="Times New Roman"/>
                <w:bCs/>
                <w:color w:val="auto"/>
                <w:spacing w:val="0"/>
                <w:sz w:val="24"/>
                <w:szCs w:val="24"/>
                <w:highlight w:val="none"/>
                <w:lang w:val="en-US" w:eastAsia="zh-CN"/>
              </w:rPr>
              <w:t>-6</w:t>
            </w:r>
            <w:r>
              <w:rPr>
                <w:rFonts w:hint="default" w:ascii="Times New Roman" w:hAnsi="Times New Roman" w:eastAsia="宋体" w:cs="Times New Roman"/>
                <w:bCs/>
                <w:color w:val="auto"/>
                <w:spacing w:val="0"/>
                <w:sz w:val="24"/>
                <w:szCs w:val="24"/>
                <w:highlight w:val="none"/>
                <w:lang w:val="en-US" w:eastAsia="zh-CN"/>
              </w:rPr>
              <w:t>。</w:t>
            </w:r>
          </w:p>
          <w:p w14:paraId="1B68B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baseline"/>
              <w:rPr>
                <w:rFonts w:hint="default" w:ascii="Times New Roman" w:hAnsi="Times New Roman" w:eastAsia="宋体" w:cs="Times New Roman"/>
                <w:b/>
                <w:bCs/>
                <w:color w:val="auto"/>
                <w:spacing w:val="0"/>
                <w:sz w:val="24"/>
                <w:highlight w:val="none"/>
                <w:lang w:val="en-US" w:eastAsia="zh-CN"/>
              </w:rPr>
            </w:pPr>
            <w:r>
              <w:rPr>
                <w:rFonts w:hint="default" w:ascii="Times New Roman" w:hAnsi="Times New Roman" w:eastAsia="宋体" w:cs="Times New Roman"/>
                <w:b/>
                <w:bCs/>
                <w:iCs/>
                <w:snapToGrid w:val="0"/>
                <w:color w:val="auto"/>
                <w:spacing w:val="0"/>
                <w:kern w:val="0"/>
                <w:sz w:val="21"/>
                <w:szCs w:val="20"/>
                <w:highlight w:val="none"/>
                <w:lang w:val="en-US" w:eastAsia="zh-CN" w:bidi="ar-SA"/>
              </w:rPr>
              <w:t>表2-</w:t>
            </w:r>
            <w:r>
              <w:rPr>
                <w:rFonts w:hint="eastAsia" w:cs="Times New Roman"/>
                <w:b/>
                <w:bCs/>
                <w:iCs/>
                <w:snapToGrid w:val="0"/>
                <w:color w:val="auto"/>
                <w:spacing w:val="0"/>
                <w:kern w:val="0"/>
                <w:sz w:val="21"/>
                <w:szCs w:val="20"/>
                <w:highlight w:val="none"/>
                <w:lang w:val="en-US" w:eastAsia="zh-CN" w:bidi="ar-SA"/>
              </w:rPr>
              <w:t>6</w:t>
            </w:r>
            <w:r>
              <w:rPr>
                <w:rFonts w:hint="default" w:ascii="Times New Roman" w:hAnsi="Times New Roman" w:eastAsia="宋体" w:cs="Times New Roman"/>
                <w:b/>
                <w:bCs/>
                <w:iCs/>
                <w:snapToGrid w:val="0"/>
                <w:color w:val="auto"/>
                <w:spacing w:val="0"/>
                <w:kern w:val="0"/>
                <w:sz w:val="21"/>
                <w:szCs w:val="20"/>
                <w:highlight w:val="none"/>
                <w:lang w:val="en-US" w:eastAsia="zh-CN" w:bidi="ar-SA"/>
              </w:rPr>
              <w:t xml:space="preserve">  原辅料及能源消耗一览表</w:t>
            </w:r>
          </w:p>
          <w:tbl>
            <w:tblPr>
              <w:tblStyle w:val="3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929"/>
              <w:gridCol w:w="1606"/>
              <w:gridCol w:w="3702"/>
              <w:gridCol w:w="2137"/>
            </w:tblGrid>
            <w:tr w14:paraId="3F8A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4" w:type="pct"/>
                  <w:tcBorders>
                    <w:tl2br w:val="nil"/>
                    <w:tr2bl w:val="nil"/>
                  </w:tcBorders>
                  <w:vAlign w:val="center"/>
                </w:tcPr>
                <w:p w14:paraId="78CC1F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b/>
                      <w:bCs/>
                      <w:color w:val="auto"/>
                      <w:spacing w:val="0"/>
                      <w:sz w:val="21"/>
                      <w:szCs w:val="21"/>
                      <w:highlight w:val="none"/>
                      <w:vertAlign w:val="baseline"/>
                      <w:lang w:val="en-US" w:eastAsia="zh-CN"/>
                    </w:rPr>
                  </w:pPr>
                  <w:r>
                    <w:rPr>
                      <w:rFonts w:hint="default" w:ascii="Times New Roman" w:hAnsi="Times New Roman" w:eastAsia="宋体" w:cs="Times New Roman"/>
                      <w:b/>
                      <w:bCs/>
                      <w:color w:val="auto"/>
                      <w:spacing w:val="0"/>
                      <w:sz w:val="21"/>
                      <w:szCs w:val="21"/>
                      <w:highlight w:val="none"/>
                      <w:vertAlign w:val="baseline"/>
                      <w:lang w:val="en-US" w:eastAsia="zh-CN"/>
                    </w:rPr>
                    <w:t>序号</w:t>
                  </w:r>
                </w:p>
              </w:tc>
              <w:tc>
                <w:tcPr>
                  <w:tcW w:w="513" w:type="pct"/>
                  <w:tcBorders>
                    <w:tl2br w:val="nil"/>
                    <w:tr2bl w:val="nil"/>
                  </w:tcBorders>
                  <w:vAlign w:val="center"/>
                </w:tcPr>
                <w:p w14:paraId="4A3FBFA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vertAlign w:val="baseline"/>
                      <w:lang w:val="en-US" w:eastAsia="zh-CN"/>
                    </w:rPr>
                  </w:pPr>
                  <w:r>
                    <w:rPr>
                      <w:rFonts w:hint="eastAsia" w:cs="Times New Roman"/>
                      <w:b/>
                      <w:bCs/>
                      <w:color w:val="auto"/>
                      <w:szCs w:val="21"/>
                      <w:highlight w:val="none"/>
                      <w:lang w:val="en-US" w:eastAsia="zh-CN"/>
                    </w:rPr>
                    <w:t>名称</w:t>
                  </w:r>
                </w:p>
              </w:tc>
              <w:tc>
                <w:tcPr>
                  <w:tcW w:w="887" w:type="pct"/>
                  <w:tcBorders>
                    <w:tl2br w:val="nil"/>
                    <w:tr2bl w:val="nil"/>
                  </w:tcBorders>
                  <w:vAlign w:val="center"/>
                </w:tcPr>
                <w:p w14:paraId="737E03A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vertAlign w:val="baseline"/>
                      <w:lang w:val="en-US" w:eastAsia="zh-CN"/>
                    </w:rPr>
                  </w:pPr>
                  <w:r>
                    <w:rPr>
                      <w:rFonts w:hint="eastAsia" w:cs="Times New Roman"/>
                      <w:b/>
                      <w:bCs/>
                      <w:color w:val="auto"/>
                      <w:spacing w:val="0"/>
                      <w:sz w:val="21"/>
                      <w:szCs w:val="21"/>
                      <w:highlight w:val="none"/>
                      <w:vertAlign w:val="baseline"/>
                      <w:lang w:val="en-US" w:eastAsia="zh-CN"/>
                    </w:rPr>
                    <w:t>年用量</w:t>
                  </w:r>
                </w:p>
              </w:tc>
              <w:tc>
                <w:tcPr>
                  <w:tcW w:w="2044" w:type="pct"/>
                  <w:tcBorders>
                    <w:tl2br w:val="nil"/>
                    <w:tr2bl w:val="nil"/>
                  </w:tcBorders>
                  <w:vAlign w:val="center"/>
                </w:tcPr>
                <w:p w14:paraId="5709161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vertAlign w:val="baseline"/>
                      <w:lang w:val="en-US" w:eastAsia="zh-CN"/>
                    </w:rPr>
                  </w:pPr>
                  <w:r>
                    <w:rPr>
                      <w:rFonts w:hint="eastAsia" w:cs="Times New Roman"/>
                      <w:b/>
                      <w:bCs/>
                      <w:color w:val="auto"/>
                      <w:spacing w:val="0"/>
                      <w:sz w:val="21"/>
                      <w:szCs w:val="21"/>
                      <w:highlight w:val="none"/>
                      <w:vertAlign w:val="baseline"/>
                      <w:lang w:val="en-US" w:eastAsia="zh-CN"/>
                    </w:rPr>
                    <w:t>规格参数</w:t>
                  </w:r>
                </w:p>
              </w:tc>
              <w:tc>
                <w:tcPr>
                  <w:tcW w:w="1180" w:type="pct"/>
                  <w:tcBorders>
                    <w:tl2br w:val="nil"/>
                    <w:tr2bl w:val="nil"/>
                  </w:tcBorders>
                  <w:vAlign w:val="center"/>
                </w:tcPr>
                <w:p w14:paraId="5C1577D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vertAlign w:val="baseline"/>
                      <w:lang w:val="en-US" w:eastAsia="zh-CN"/>
                    </w:rPr>
                  </w:pPr>
                  <w:r>
                    <w:rPr>
                      <w:rFonts w:hint="default" w:ascii="Times New Roman" w:hAnsi="Times New Roman" w:cs="Times New Roman"/>
                      <w:b/>
                      <w:bCs/>
                      <w:color w:val="auto"/>
                      <w:szCs w:val="21"/>
                      <w:highlight w:val="none"/>
                    </w:rPr>
                    <w:t>备注</w:t>
                  </w:r>
                </w:p>
              </w:tc>
            </w:tr>
            <w:tr w14:paraId="3E02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74" w:type="pct"/>
                  <w:tcBorders>
                    <w:tl2br w:val="nil"/>
                    <w:tr2bl w:val="nil"/>
                  </w:tcBorders>
                  <w:vAlign w:val="center"/>
                </w:tcPr>
                <w:p w14:paraId="087F4E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color w:val="auto"/>
                      <w:spacing w:val="0"/>
                      <w:sz w:val="21"/>
                      <w:szCs w:val="21"/>
                      <w:highlight w:val="none"/>
                      <w:vertAlign w:val="baseline"/>
                      <w:lang w:val="en-US" w:eastAsia="zh-CN"/>
                    </w:rPr>
                  </w:pPr>
                  <w:r>
                    <w:rPr>
                      <w:rFonts w:hint="default" w:ascii="Times New Roman" w:hAnsi="Times New Roman" w:eastAsia="宋体" w:cs="Times New Roman"/>
                      <w:color w:val="auto"/>
                      <w:spacing w:val="0"/>
                      <w:sz w:val="21"/>
                      <w:szCs w:val="21"/>
                      <w:highlight w:val="none"/>
                      <w:vertAlign w:val="baseline"/>
                      <w:lang w:val="en-US" w:eastAsia="zh-CN"/>
                    </w:rPr>
                    <w:t>1</w:t>
                  </w:r>
                </w:p>
              </w:tc>
              <w:tc>
                <w:tcPr>
                  <w:tcW w:w="513" w:type="pct"/>
                  <w:tcBorders>
                    <w:tl2br w:val="nil"/>
                    <w:tr2bl w:val="nil"/>
                  </w:tcBorders>
                  <w:vAlign w:val="center"/>
                </w:tcPr>
                <w:p w14:paraId="5B79E44F">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vertAlign w:val="baseline"/>
                      <w:lang w:val="en-US" w:eastAsia="zh-CN"/>
                    </w:rPr>
                  </w:pPr>
                  <w:r>
                    <w:rPr>
                      <w:rFonts w:hint="eastAsia"/>
                      <w:color w:val="auto"/>
                      <w:highlight w:val="none"/>
                      <w:lang w:val="en-US" w:eastAsia="zh-CN"/>
                    </w:rPr>
                    <w:t>废钢铁碎料</w:t>
                  </w:r>
                </w:p>
              </w:tc>
              <w:tc>
                <w:tcPr>
                  <w:tcW w:w="887" w:type="pct"/>
                  <w:tcBorders>
                    <w:tl2br w:val="nil"/>
                    <w:tr2bl w:val="nil"/>
                  </w:tcBorders>
                  <w:vAlign w:val="center"/>
                </w:tcPr>
                <w:p w14:paraId="2633C114">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vertAlign w:val="baseline"/>
                      <w:lang w:val="en-US" w:eastAsia="zh-CN"/>
                    </w:rPr>
                  </w:pPr>
                  <w:r>
                    <w:rPr>
                      <w:rFonts w:hint="eastAsia" w:cs="Times New Roman"/>
                      <w:color w:val="auto"/>
                      <w:spacing w:val="0"/>
                      <w:sz w:val="21"/>
                      <w:szCs w:val="21"/>
                      <w:highlight w:val="none"/>
                      <w:vertAlign w:val="baseline"/>
                      <w:lang w:val="en-US" w:eastAsia="zh-CN"/>
                    </w:rPr>
                    <w:t>30</w:t>
                  </w:r>
                  <w:r>
                    <w:rPr>
                      <w:rFonts w:hint="eastAsia" w:cs="Times New Roman"/>
                      <w:color w:val="auto"/>
                      <w:kern w:val="0"/>
                      <w:szCs w:val="21"/>
                      <w:highlight w:val="none"/>
                      <w:lang w:val="en-US" w:eastAsia="zh-CN" w:bidi="ar"/>
                    </w:rPr>
                    <w:t>万</w:t>
                  </w:r>
                  <w:r>
                    <w:rPr>
                      <w:rFonts w:hint="default"/>
                      <w:bCs/>
                      <w:color w:val="auto"/>
                      <w:szCs w:val="21"/>
                      <w:highlight w:val="none"/>
                    </w:rPr>
                    <w:t>t/a</w:t>
                  </w:r>
                </w:p>
              </w:tc>
              <w:tc>
                <w:tcPr>
                  <w:tcW w:w="2044" w:type="pct"/>
                  <w:tcBorders>
                    <w:tl2br w:val="nil"/>
                    <w:tr2bl w:val="nil"/>
                  </w:tcBorders>
                  <w:vAlign w:val="center"/>
                </w:tcPr>
                <w:p w14:paraId="3B697B35">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热压铁饼</w:t>
                  </w:r>
                  <w:r>
                    <w:rPr>
                      <w:rFonts w:hint="eastAsia" w:ascii="宋体" w:hAnsi="宋体" w:cs="宋体"/>
                      <w:bCs/>
                      <w:color w:val="auto"/>
                      <w:szCs w:val="21"/>
                      <w:highlight w:val="none"/>
                      <w:lang w:val="en-US" w:eastAsia="zh-CN"/>
                    </w:rPr>
                    <w:t>所需</w:t>
                  </w:r>
                  <w:r>
                    <w:rPr>
                      <w:rFonts w:hint="eastAsia" w:ascii="宋体" w:hAnsi="宋体" w:eastAsia="宋体" w:cs="宋体"/>
                      <w:bCs/>
                      <w:color w:val="auto"/>
                      <w:szCs w:val="21"/>
                      <w:highlight w:val="none"/>
                      <w:lang w:val="en-US" w:eastAsia="zh-CN"/>
                    </w:rPr>
                    <w:t>原料</w:t>
                  </w:r>
                  <w:r>
                    <w:rPr>
                      <w:rFonts w:hint="eastAsia" w:ascii="宋体" w:hAnsi="宋体" w:cs="宋体"/>
                      <w:bCs/>
                      <w:color w:val="auto"/>
                      <w:szCs w:val="21"/>
                      <w:highlight w:val="none"/>
                      <w:lang w:val="en-US" w:eastAsia="zh-CN"/>
                    </w:rPr>
                    <w:t>粒径</w:t>
                  </w:r>
                  <w:r>
                    <w:rPr>
                      <w:rFonts w:hint="eastAsia" w:ascii="宋体" w:hAnsi="宋体" w:eastAsia="宋体" w:cs="宋体"/>
                      <w:bCs/>
                      <w:color w:val="auto"/>
                      <w:szCs w:val="21"/>
                      <w:highlight w:val="none"/>
                      <w:lang w:val="en-US" w:eastAsia="zh-CN"/>
                    </w:rPr>
                    <w:t>≤</w:t>
                  </w:r>
                  <w:r>
                    <w:rPr>
                      <w:rFonts w:hint="eastAsia"/>
                      <w:bCs/>
                      <w:color w:val="auto"/>
                      <w:szCs w:val="21"/>
                      <w:highlight w:val="none"/>
                      <w:lang w:val="en-US" w:eastAsia="zh-CN"/>
                    </w:rPr>
                    <w:t>20mm，</w:t>
                  </w:r>
                  <w:r>
                    <w:rPr>
                      <w:rFonts w:hint="eastAsia" w:ascii="宋体" w:hAnsi="宋体" w:cs="宋体"/>
                      <w:bCs/>
                      <w:color w:val="auto"/>
                      <w:szCs w:val="21"/>
                      <w:highlight w:val="none"/>
                      <w:lang w:val="en-US" w:eastAsia="zh-CN"/>
                    </w:rPr>
                    <w:t>对辊压块所需</w:t>
                  </w:r>
                  <w:r>
                    <w:rPr>
                      <w:rFonts w:hint="eastAsia" w:ascii="宋体" w:hAnsi="宋体" w:eastAsia="宋体" w:cs="宋体"/>
                      <w:bCs/>
                      <w:color w:val="auto"/>
                      <w:szCs w:val="21"/>
                      <w:highlight w:val="none"/>
                      <w:lang w:val="en-US" w:eastAsia="zh-CN"/>
                    </w:rPr>
                    <w:t>原料粒径≤</w:t>
                  </w:r>
                  <w:r>
                    <w:rPr>
                      <w:rFonts w:hint="eastAsia"/>
                      <w:bCs/>
                      <w:color w:val="auto"/>
                      <w:szCs w:val="21"/>
                      <w:highlight w:val="none"/>
                      <w:lang w:val="en-US" w:eastAsia="zh-CN"/>
                    </w:rPr>
                    <w:t>3mm，若两种产品同时生产时，原料粒径需满足</w:t>
                  </w:r>
                  <w:r>
                    <w:rPr>
                      <w:rFonts w:hint="eastAsia" w:ascii="宋体" w:hAnsi="宋体" w:eastAsia="宋体" w:cs="宋体"/>
                      <w:bCs/>
                      <w:color w:val="auto"/>
                      <w:szCs w:val="21"/>
                      <w:highlight w:val="none"/>
                      <w:lang w:val="en-US" w:eastAsia="zh-CN"/>
                    </w:rPr>
                    <w:t>≤</w:t>
                  </w:r>
                  <w:r>
                    <w:rPr>
                      <w:rFonts w:hint="eastAsia"/>
                      <w:bCs/>
                      <w:color w:val="auto"/>
                      <w:szCs w:val="21"/>
                      <w:highlight w:val="none"/>
                      <w:lang w:val="en-US" w:eastAsia="zh-CN"/>
                    </w:rPr>
                    <w:t>3mm</w:t>
                  </w:r>
                </w:p>
              </w:tc>
              <w:tc>
                <w:tcPr>
                  <w:tcW w:w="1180" w:type="pct"/>
                  <w:tcBorders>
                    <w:tl2br w:val="nil"/>
                    <w:tr2bl w:val="nil"/>
                  </w:tcBorders>
                  <w:vAlign w:val="center"/>
                </w:tcPr>
                <w:p w14:paraId="109D03EB">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both"/>
                    <w:rPr>
                      <w:rFonts w:hint="eastAsia" w:ascii="Times New Roman" w:hAnsi="Times New Roman" w:eastAsia="宋体" w:cs="Times New Roman"/>
                      <w:color w:val="auto"/>
                      <w:spacing w:val="0"/>
                      <w:sz w:val="21"/>
                      <w:szCs w:val="21"/>
                      <w:highlight w:val="none"/>
                      <w:vertAlign w:val="baseline"/>
                      <w:lang w:val="en-US" w:eastAsia="zh-CN"/>
                    </w:rPr>
                  </w:pPr>
                  <w:r>
                    <w:rPr>
                      <w:rFonts w:hint="default"/>
                      <w:color w:val="auto"/>
                      <w:szCs w:val="21"/>
                      <w:highlight w:val="none"/>
                    </w:rPr>
                    <w:t>汽车运输，储存于全封闭原料</w:t>
                  </w:r>
                  <w:r>
                    <w:rPr>
                      <w:rFonts w:hint="eastAsia"/>
                      <w:color w:val="auto"/>
                      <w:szCs w:val="21"/>
                      <w:highlight w:val="none"/>
                      <w:lang w:val="en-US" w:eastAsia="zh-CN"/>
                    </w:rPr>
                    <w:t>堆放区</w:t>
                  </w:r>
                </w:p>
              </w:tc>
            </w:tr>
            <w:tr w14:paraId="7EED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4" w:type="pct"/>
                  <w:tcBorders>
                    <w:tl2br w:val="nil"/>
                    <w:tr2bl w:val="nil"/>
                  </w:tcBorders>
                  <w:vAlign w:val="center"/>
                </w:tcPr>
                <w:p w14:paraId="08B6F7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auto"/>
                      <w:spacing w:val="0"/>
                      <w:sz w:val="21"/>
                      <w:szCs w:val="21"/>
                      <w:highlight w:val="none"/>
                      <w:vertAlign w:val="baseline"/>
                      <w:lang w:val="en-US" w:eastAsia="zh-CN"/>
                    </w:rPr>
                  </w:pPr>
                  <w:r>
                    <w:rPr>
                      <w:rFonts w:hint="eastAsia" w:cs="Times New Roman"/>
                      <w:color w:val="auto"/>
                      <w:spacing w:val="0"/>
                      <w:sz w:val="21"/>
                      <w:szCs w:val="21"/>
                      <w:highlight w:val="none"/>
                      <w:vertAlign w:val="baseline"/>
                      <w:lang w:val="en-US" w:eastAsia="zh-CN"/>
                    </w:rPr>
                    <w:t>2</w:t>
                  </w:r>
                </w:p>
              </w:tc>
              <w:tc>
                <w:tcPr>
                  <w:tcW w:w="513" w:type="pct"/>
                  <w:tcBorders>
                    <w:tl2br w:val="nil"/>
                    <w:tr2bl w:val="nil"/>
                  </w:tcBorders>
                  <w:vAlign w:val="center"/>
                </w:tcPr>
                <w:p w14:paraId="3A652983">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color w:val="auto"/>
                      <w:highlight w:val="none"/>
                      <w:lang w:val="en-US" w:eastAsia="zh-CN"/>
                    </w:rPr>
                  </w:pPr>
                  <w:r>
                    <w:rPr>
                      <w:rFonts w:hint="eastAsia"/>
                      <w:color w:val="auto"/>
                      <w:highlight w:val="none"/>
                      <w:lang w:val="en-US" w:eastAsia="zh-CN"/>
                    </w:rPr>
                    <w:t>天然气</w:t>
                  </w:r>
                </w:p>
              </w:tc>
              <w:tc>
                <w:tcPr>
                  <w:tcW w:w="887" w:type="pct"/>
                  <w:tcBorders>
                    <w:tl2br w:val="nil"/>
                    <w:tr2bl w:val="nil"/>
                  </w:tcBorders>
                  <w:vAlign w:val="center"/>
                </w:tcPr>
                <w:p w14:paraId="0B110B27">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vertAlign w:val="baseline"/>
                      <w:lang w:val="en-US" w:eastAsia="zh-CN"/>
                    </w:rPr>
                  </w:pPr>
                  <w:r>
                    <w:rPr>
                      <w:rFonts w:hint="default"/>
                      <w:bCs/>
                      <w:color w:val="auto"/>
                      <w:highlight w:val="none"/>
                      <w:lang w:val="en-US" w:eastAsia="zh-CN"/>
                    </w:rPr>
                    <w:t>327.25</w:t>
                  </w:r>
                  <w:r>
                    <w:rPr>
                      <w:rFonts w:hint="default"/>
                      <w:bCs/>
                      <w:color w:val="auto"/>
                      <w:highlight w:val="none"/>
                    </w:rPr>
                    <w:t>万m</w:t>
                  </w:r>
                  <w:r>
                    <w:rPr>
                      <w:rFonts w:hint="default"/>
                      <w:bCs/>
                      <w:color w:val="auto"/>
                      <w:highlight w:val="none"/>
                      <w:vertAlign w:val="superscript"/>
                    </w:rPr>
                    <w:t>3</w:t>
                  </w:r>
                  <w:r>
                    <w:rPr>
                      <w:rFonts w:hint="default"/>
                      <w:bCs/>
                      <w:color w:val="auto"/>
                      <w:highlight w:val="none"/>
                    </w:rPr>
                    <w:t>/a</w:t>
                  </w:r>
                </w:p>
              </w:tc>
              <w:tc>
                <w:tcPr>
                  <w:tcW w:w="2044" w:type="pct"/>
                  <w:tcBorders>
                    <w:tl2br w:val="nil"/>
                    <w:tr2bl w:val="nil"/>
                  </w:tcBorders>
                  <w:vAlign w:val="center"/>
                </w:tcPr>
                <w:p w14:paraId="3DA04EDF">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w:t>
                  </w:r>
                </w:p>
              </w:tc>
              <w:tc>
                <w:tcPr>
                  <w:tcW w:w="1180" w:type="pct"/>
                  <w:tcBorders>
                    <w:tl2br w:val="nil"/>
                    <w:tr2bl w:val="nil"/>
                  </w:tcBorders>
                  <w:vAlign w:val="center"/>
                </w:tcPr>
                <w:p w14:paraId="738C9180">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cs="Times New Roman"/>
                      <w:color w:val="auto"/>
                      <w:kern w:val="0"/>
                      <w:szCs w:val="21"/>
                      <w:highlight w:val="none"/>
                      <w:lang w:val="en-US" w:eastAsia="zh-CN" w:bidi="ar"/>
                    </w:rPr>
                  </w:pPr>
                  <w:r>
                    <w:rPr>
                      <w:rFonts w:hint="eastAsia"/>
                      <w:color w:val="auto"/>
                      <w:sz w:val="21"/>
                      <w:szCs w:val="21"/>
                      <w:highlight w:val="none"/>
                      <w:lang w:val="en-US" w:eastAsia="zh-CN"/>
                    </w:rPr>
                    <w:t>由园区供气管道提供</w:t>
                  </w:r>
                </w:p>
              </w:tc>
            </w:tr>
            <w:tr w14:paraId="192C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4" w:type="pct"/>
                  <w:tcBorders>
                    <w:tl2br w:val="nil"/>
                    <w:tr2bl w:val="nil"/>
                  </w:tcBorders>
                  <w:vAlign w:val="center"/>
                </w:tcPr>
                <w:p w14:paraId="348BD5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jc w:val="center"/>
                    <w:textAlignment w:val="auto"/>
                    <w:rPr>
                      <w:rFonts w:hint="default" w:ascii="Times New Roman" w:hAnsi="Times New Roman" w:eastAsia="宋体" w:cs="Times New Roman"/>
                      <w:color w:val="auto"/>
                      <w:spacing w:val="0"/>
                      <w:sz w:val="21"/>
                      <w:szCs w:val="21"/>
                      <w:highlight w:val="none"/>
                      <w:vertAlign w:val="baseline"/>
                      <w:lang w:val="en-US" w:eastAsia="zh-CN"/>
                    </w:rPr>
                  </w:pPr>
                  <w:r>
                    <w:rPr>
                      <w:rFonts w:hint="eastAsia" w:cs="Times New Roman"/>
                      <w:color w:val="auto"/>
                      <w:spacing w:val="0"/>
                      <w:sz w:val="21"/>
                      <w:szCs w:val="21"/>
                      <w:highlight w:val="none"/>
                      <w:vertAlign w:val="baseline"/>
                      <w:lang w:val="en-US" w:eastAsia="zh-CN"/>
                    </w:rPr>
                    <w:t>3</w:t>
                  </w:r>
                </w:p>
              </w:tc>
              <w:tc>
                <w:tcPr>
                  <w:tcW w:w="513" w:type="pct"/>
                  <w:tcBorders>
                    <w:tl2br w:val="nil"/>
                    <w:tr2bl w:val="nil"/>
                  </w:tcBorders>
                  <w:vAlign w:val="center"/>
                </w:tcPr>
                <w:p w14:paraId="75356732">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vertAlign w:val="baseline"/>
                      <w:lang w:val="en-US" w:eastAsia="zh-CN"/>
                    </w:rPr>
                  </w:pPr>
                  <w:r>
                    <w:rPr>
                      <w:rFonts w:hint="default"/>
                      <w:color w:val="auto"/>
                      <w:spacing w:val="6"/>
                      <w:szCs w:val="21"/>
                      <w:highlight w:val="none"/>
                    </w:rPr>
                    <w:t>水</w:t>
                  </w:r>
                </w:p>
              </w:tc>
              <w:tc>
                <w:tcPr>
                  <w:tcW w:w="887" w:type="pct"/>
                  <w:tcBorders>
                    <w:tl2br w:val="nil"/>
                    <w:tr2bl w:val="nil"/>
                  </w:tcBorders>
                  <w:vAlign w:val="center"/>
                </w:tcPr>
                <w:p w14:paraId="0D2E949C">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4237.2</w:t>
                  </w:r>
                  <w:r>
                    <w:rPr>
                      <w:rFonts w:hint="default"/>
                      <w:color w:val="auto"/>
                      <w:spacing w:val="6"/>
                      <w:szCs w:val="21"/>
                      <w:highlight w:val="none"/>
                    </w:rPr>
                    <w:t>m</w:t>
                  </w:r>
                  <w:r>
                    <w:rPr>
                      <w:rFonts w:hint="default"/>
                      <w:color w:val="auto"/>
                      <w:spacing w:val="6"/>
                      <w:szCs w:val="21"/>
                      <w:highlight w:val="none"/>
                      <w:vertAlign w:val="superscript"/>
                    </w:rPr>
                    <w:t>3</w:t>
                  </w:r>
                  <w:r>
                    <w:rPr>
                      <w:rFonts w:hint="default"/>
                      <w:color w:val="auto"/>
                      <w:spacing w:val="6"/>
                      <w:szCs w:val="21"/>
                      <w:highlight w:val="none"/>
                    </w:rPr>
                    <w:t>/a</w:t>
                  </w:r>
                </w:p>
              </w:tc>
              <w:tc>
                <w:tcPr>
                  <w:tcW w:w="2044" w:type="pct"/>
                  <w:tcBorders>
                    <w:tl2br w:val="nil"/>
                    <w:tr2bl w:val="nil"/>
                  </w:tcBorders>
                  <w:vAlign w:val="center"/>
                </w:tcPr>
                <w:p w14:paraId="7B2D76DA">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w:t>
                  </w:r>
                </w:p>
              </w:tc>
              <w:tc>
                <w:tcPr>
                  <w:tcW w:w="1180" w:type="pct"/>
                  <w:tcBorders>
                    <w:tl2br w:val="nil"/>
                    <w:tr2bl w:val="nil"/>
                  </w:tcBorders>
                  <w:vAlign w:val="center"/>
                </w:tcPr>
                <w:p w14:paraId="5B8FE044">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lang w:val="en-US" w:eastAsia="zh-CN"/>
                    </w:rPr>
                  </w:pPr>
                  <w:r>
                    <w:rPr>
                      <w:rFonts w:hint="eastAsia"/>
                      <w:color w:val="auto"/>
                      <w:sz w:val="21"/>
                      <w:szCs w:val="21"/>
                      <w:highlight w:val="none"/>
                      <w:lang w:val="en-US" w:eastAsia="zh-CN"/>
                    </w:rPr>
                    <w:t>由</w:t>
                  </w:r>
                  <w:r>
                    <w:rPr>
                      <w:rFonts w:hint="default"/>
                      <w:color w:val="auto"/>
                      <w:szCs w:val="21"/>
                      <w:highlight w:val="none"/>
                    </w:rPr>
                    <w:t>工业园区供电系统</w:t>
                  </w:r>
                </w:p>
              </w:tc>
            </w:tr>
            <w:tr w14:paraId="2AC2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74" w:type="pct"/>
                  <w:tcBorders>
                    <w:tl2br w:val="nil"/>
                    <w:tr2bl w:val="nil"/>
                  </w:tcBorders>
                  <w:vAlign w:val="center"/>
                </w:tcPr>
                <w:p w14:paraId="6A349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color w:val="auto"/>
                      <w:spacing w:val="0"/>
                      <w:sz w:val="21"/>
                      <w:szCs w:val="21"/>
                      <w:highlight w:val="none"/>
                      <w:vertAlign w:val="baseline"/>
                      <w:lang w:val="en-US" w:eastAsia="zh-CN"/>
                    </w:rPr>
                  </w:pPr>
                  <w:r>
                    <w:rPr>
                      <w:rFonts w:hint="eastAsia" w:cs="Times New Roman"/>
                      <w:color w:val="auto"/>
                      <w:spacing w:val="0"/>
                      <w:sz w:val="21"/>
                      <w:szCs w:val="21"/>
                      <w:highlight w:val="none"/>
                      <w:vertAlign w:val="baseline"/>
                      <w:lang w:val="en-US" w:eastAsia="zh-CN"/>
                    </w:rPr>
                    <w:t>4</w:t>
                  </w:r>
                </w:p>
              </w:tc>
              <w:tc>
                <w:tcPr>
                  <w:tcW w:w="513" w:type="pct"/>
                  <w:tcBorders>
                    <w:tl2br w:val="nil"/>
                    <w:tr2bl w:val="nil"/>
                  </w:tcBorders>
                  <w:vAlign w:val="center"/>
                </w:tcPr>
                <w:p w14:paraId="66651BAB">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vertAlign w:val="baseline"/>
                      <w:lang w:val="en-US" w:eastAsia="zh-CN"/>
                    </w:rPr>
                  </w:pPr>
                  <w:r>
                    <w:rPr>
                      <w:rFonts w:hint="default"/>
                      <w:color w:val="auto"/>
                      <w:spacing w:val="6"/>
                      <w:szCs w:val="21"/>
                      <w:highlight w:val="none"/>
                    </w:rPr>
                    <w:t>电</w:t>
                  </w:r>
                </w:p>
              </w:tc>
              <w:tc>
                <w:tcPr>
                  <w:tcW w:w="887" w:type="pct"/>
                  <w:tcBorders>
                    <w:tl2br w:val="nil"/>
                    <w:tr2bl w:val="nil"/>
                  </w:tcBorders>
                  <w:vAlign w:val="center"/>
                </w:tcPr>
                <w:p w14:paraId="35642E95">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eastAsia"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120</w:t>
                  </w:r>
                  <w:r>
                    <w:rPr>
                      <w:rFonts w:hint="default"/>
                      <w:color w:val="auto"/>
                      <w:spacing w:val="6"/>
                      <w:szCs w:val="21"/>
                      <w:highlight w:val="none"/>
                    </w:rPr>
                    <w:t>万kWh/a</w:t>
                  </w:r>
                </w:p>
              </w:tc>
              <w:tc>
                <w:tcPr>
                  <w:tcW w:w="2044" w:type="pct"/>
                  <w:tcBorders>
                    <w:tl2br w:val="nil"/>
                    <w:tr2bl w:val="nil"/>
                  </w:tcBorders>
                  <w:vAlign w:val="center"/>
                </w:tcPr>
                <w:p w14:paraId="0504EEE0">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leftChars="0" w:right="0" w:rightChars="0"/>
                    <w:jc w:val="center"/>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w:t>
                  </w:r>
                </w:p>
              </w:tc>
              <w:tc>
                <w:tcPr>
                  <w:tcW w:w="1180" w:type="pct"/>
                  <w:tcBorders>
                    <w:tl2br w:val="nil"/>
                    <w:tr2bl w:val="nil"/>
                  </w:tcBorders>
                  <w:vAlign w:val="center"/>
                </w:tcPr>
                <w:p w14:paraId="018875E6">
                  <w:pPr>
                    <w:keepNext w:val="0"/>
                    <w:keepLines w:val="0"/>
                    <w:pageBreakBefore w:val="0"/>
                    <w:suppressLineNumbers w:val="0"/>
                    <w:kinsoku/>
                    <w:wordWrap/>
                    <w:overflowPunct/>
                    <w:topLinePunct w:val="0"/>
                    <w:autoSpaceDE/>
                    <w:autoSpaceDN/>
                    <w:bidi w:val="0"/>
                    <w:adjustRightInd/>
                    <w:spacing w:before="0" w:beforeAutospacing="0" w:after="0" w:afterAutospacing="0" w:line="240" w:lineRule="auto"/>
                    <w:ind w:left="0" w:right="0"/>
                    <w:jc w:val="center"/>
                    <w:rPr>
                      <w:rFonts w:hint="default" w:ascii="Times New Roman" w:hAnsi="Times New Roman" w:eastAsia="宋体" w:cs="Times New Roman"/>
                      <w:color w:val="auto"/>
                      <w:spacing w:val="0"/>
                      <w:sz w:val="21"/>
                      <w:szCs w:val="21"/>
                      <w:highlight w:val="none"/>
                      <w:lang w:val="en-US" w:eastAsia="zh-CN"/>
                    </w:rPr>
                  </w:pPr>
                  <w:r>
                    <w:rPr>
                      <w:rFonts w:hint="eastAsia"/>
                      <w:color w:val="auto"/>
                      <w:sz w:val="21"/>
                      <w:szCs w:val="21"/>
                      <w:highlight w:val="none"/>
                      <w:lang w:val="en-US" w:eastAsia="zh-CN"/>
                    </w:rPr>
                    <w:t>由</w:t>
                  </w:r>
                  <w:r>
                    <w:rPr>
                      <w:rFonts w:hint="default"/>
                      <w:color w:val="auto"/>
                      <w:szCs w:val="21"/>
                      <w:highlight w:val="none"/>
                    </w:rPr>
                    <w:t>工业园区供水管网</w:t>
                  </w:r>
                </w:p>
              </w:tc>
            </w:tr>
          </w:tbl>
          <w:p w14:paraId="39F6D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bCs/>
                <w:color w:val="auto"/>
                <w:sz w:val="21"/>
                <w:szCs w:val="21"/>
                <w:highlight w:val="none"/>
              </w:rPr>
            </w:pPr>
            <w:r>
              <w:rPr>
                <w:rFonts w:hint="eastAsia"/>
                <w:color w:val="auto"/>
                <w:sz w:val="24"/>
                <w:highlight w:val="none"/>
                <w:lang w:val="en-US" w:eastAsia="zh-CN"/>
              </w:rPr>
              <w:t>天然气</w:t>
            </w:r>
            <w:r>
              <w:rPr>
                <w:rFonts w:hint="eastAsia"/>
                <w:color w:val="auto"/>
                <w:sz w:val="24"/>
                <w:highlight w:val="none"/>
              </w:rPr>
              <w:t>成分见表</w:t>
            </w:r>
            <w:r>
              <w:rPr>
                <w:rFonts w:hint="default" w:ascii="Times New Roman" w:hAnsi="Times New Roman" w:eastAsia="宋体" w:cs="Times New Roman"/>
                <w:bCs/>
                <w:color w:val="auto"/>
                <w:spacing w:val="0"/>
                <w:sz w:val="24"/>
                <w:szCs w:val="24"/>
                <w:highlight w:val="none"/>
                <w:lang w:val="en-US" w:eastAsia="zh-CN"/>
              </w:rPr>
              <w:t>2</w:t>
            </w:r>
            <w:r>
              <w:rPr>
                <w:rFonts w:hint="eastAsia" w:cs="Times New Roman"/>
                <w:bCs/>
                <w:color w:val="auto"/>
                <w:spacing w:val="0"/>
                <w:sz w:val="24"/>
                <w:szCs w:val="24"/>
                <w:highlight w:val="none"/>
                <w:lang w:val="en-US" w:eastAsia="zh-CN"/>
              </w:rPr>
              <w:t>-7</w:t>
            </w:r>
            <w:r>
              <w:rPr>
                <w:rFonts w:hint="eastAsia" w:hAnsi="宋体"/>
                <w:color w:val="auto"/>
                <w:sz w:val="24"/>
                <w:highlight w:val="none"/>
              </w:rPr>
              <w:t>。</w:t>
            </w:r>
          </w:p>
          <w:p w14:paraId="1C03A15A">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-7</w:t>
            </w:r>
            <w:r>
              <w:rPr>
                <w:rFonts w:hint="default" w:ascii="Times New Roman" w:hAnsi="Times New Roman" w:eastAsia="宋体" w:cs="Times New Roman"/>
                <w:b/>
                <w:bCs/>
                <w:color w:val="auto"/>
                <w:sz w:val="21"/>
                <w:szCs w:val="21"/>
                <w:highlight w:val="none"/>
              </w:rPr>
              <w:t xml:space="preserve">  </w:t>
            </w:r>
            <w:r>
              <w:rPr>
                <w:rFonts w:hint="eastAsia" w:cs="Times New Roman"/>
                <w:b/>
                <w:bCs/>
                <w:color w:val="auto"/>
                <w:sz w:val="21"/>
                <w:szCs w:val="21"/>
                <w:highlight w:val="none"/>
                <w:lang w:val="en-US" w:eastAsia="zh-CN"/>
              </w:rPr>
              <w:t>天然气</w:t>
            </w:r>
            <w:r>
              <w:rPr>
                <w:rFonts w:hint="default" w:ascii="Times New Roman" w:hAnsi="Times New Roman" w:eastAsia="宋体" w:cs="Times New Roman"/>
                <w:b/>
                <w:bCs/>
                <w:color w:val="auto"/>
                <w:sz w:val="21"/>
                <w:szCs w:val="21"/>
                <w:highlight w:val="none"/>
              </w:rPr>
              <w:t>成分一览表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952"/>
              <w:gridCol w:w="1113"/>
              <w:gridCol w:w="1111"/>
              <w:gridCol w:w="1117"/>
              <w:gridCol w:w="150"/>
              <w:gridCol w:w="1025"/>
              <w:gridCol w:w="1149"/>
              <w:gridCol w:w="1026"/>
              <w:gridCol w:w="1408"/>
            </w:tblGrid>
            <w:tr w14:paraId="310A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06" w:hRule="atLeast"/>
                <w:jc w:val="center"/>
              </w:trPr>
              <w:tc>
                <w:tcPr>
                  <w:tcW w:w="526" w:type="pct"/>
                  <w:tcBorders>
                    <w:tl2br w:val="nil"/>
                    <w:tr2bl w:val="nil"/>
                  </w:tcBorders>
                  <w:noWrap/>
                  <w:vAlign w:val="center"/>
                </w:tcPr>
                <w:p w14:paraId="14B76216">
                  <w:pPr>
                    <w:keepNext w:val="0"/>
                    <w:keepLines w:val="0"/>
                    <w:suppressLineNumbers w:val="0"/>
                    <w:spacing w:before="0" w:beforeAutospacing="0" w:after="0" w:afterAutospacing="0" w:line="280" w:lineRule="exact"/>
                    <w:ind w:left="0" w:right="0"/>
                    <w:jc w:val="center"/>
                    <w:rPr>
                      <w:rFonts w:hint="default"/>
                      <w:color w:val="auto"/>
                      <w:kern w:val="0"/>
                      <w:szCs w:val="21"/>
                      <w:highlight w:val="none"/>
                    </w:rPr>
                  </w:pPr>
                  <w:r>
                    <w:rPr>
                      <w:rFonts w:hint="default"/>
                      <w:color w:val="auto"/>
                      <w:kern w:val="0"/>
                      <w:szCs w:val="21"/>
                      <w:highlight w:val="none"/>
                    </w:rPr>
                    <w:t>组分</w:t>
                  </w:r>
                </w:p>
              </w:tc>
              <w:tc>
                <w:tcPr>
                  <w:tcW w:w="615" w:type="pct"/>
                  <w:tcBorders>
                    <w:tl2br w:val="nil"/>
                    <w:tr2bl w:val="nil"/>
                  </w:tcBorders>
                  <w:noWrap/>
                  <w:vAlign w:val="center"/>
                </w:tcPr>
                <w:p w14:paraId="1411222D">
                  <w:pPr>
                    <w:keepNext w:val="0"/>
                    <w:keepLines w:val="0"/>
                    <w:suppressLineNumbers w:val="0"/>
                    <w:spacing w:before="0" w:beforeAutospacing="0" w:after="0" w:afterAutospacing="0" w:line="280" w:lineRule="exact"/>
                    <w:ind w:left="0" w:right="0"/>
                    <w:jc w:val="center"/>
                    <w:rPr>
                      <w:rFonts w:hint="default"/>
                      <w:color w:val="auto"/>
                      <w:kern w:val="0"/>
                      <w:szCs w:val="21"/>
                      <w:highlight w:val="none"/>
                    </w:rPr>
                  </w:pPr>
                  <w:r>
                    <w:rPr>
                      <w:rFonts w:hint="default"/>
                      <w:bCs/>
                      <w:color w:val="auto"/>
                      <w:szCs w:val="21"/>
                      <w:highlight w:val="none"/>
                    </w:rPr>
                    <w:t>CH</w:t>
                  </w:r>
                  <w:r>
                    <w:rPr>
                      <w:rFonts w:hint="default"/>
                      <w:bCs/>
                      <w:color w:val="auto"/>
                      <w:szCs w:val="21"/>
                      <w:highlight w:val="none"/>
                      <w:vertAlign w:val="subscript"/>
                    </w:rPr>
                    <w:t>4</w:t>
                  </w:r>
                </w:p>
              </w:tc>
              <w:tc>
                <w:tcPr>
                  <w:tcW w:w="614" w:type="pct"/>
                  <w:tcBorders>
                    <w:tl2br w:val="nil"/>
                    <w:tr2bl w:val="nil"/>
                  </w:tcBorders>
                  <w:noWrap w:val="0"/>
                  <w:vAlign w:val="center"/>
                </w:tcPr>
                <w:p w14:paraId="2CF5B1A4">
                  <w:pPr>
                    <w:keepNext w:val="0"/>
                    <w:keepLines w:val="0"/>
                    <w:suppressLineNumbers w:val="0"/>
                    <w:adjustRightInd w:val="0"/>
                    <w:snapToGrid w:val="0"/>
                    <w:spacing w:before="0" w:beforeAutospacing="0" w:after="0" w:afterAutospacing="0" w:line="280" w:lineRule="exact"/>
                    <w:ind w:left="0" w:right="0"/>
                    <w:jc w:val="center"/>
                    <w:rPr>
                      <w:rFonts w:hint="default" w:eastAsia="宋体"/>
                      <w:color w:val="auto"/>
                      <w:szCs w:val="21"/>
                      <w:highlight w:val="none"/>
                      <w:lang w:val="en-US" w:eastAsia="zh-CN"/>
                    </w:rPr>
                  </w:pPr>
                  <w:r>
                    <w:rPr>
                      <w:rFonts w:hint="eastAsia"/>
                      <w:bCs/>
                      <w:color w:val="auto"/>
                      <w:szCs w:val="21"/>
                      <w:highlight w:val="none"/>
                    </w:rPr>
                    <w:t>C</w:t>
                  </w:r>
                  <w:r>
                    <w:rPr>
                      <w:rFonts w:hint="eastAsia"/>
                      <w:bCs/>
                      <w:color w:val="auto"/>
                      <w:szCs w:val="21"/>
                      <w:highlight w:val="none"/>
                      <w:vertAlign w:val="subscript"/>
                      <w:lang w:val="en-US" w:eastAsia="zh-CN"/>
                    </w:rPr>
                    <w:t>4</w:t>
                  </w:r>
                  <w:r>
                    <w:rPr>
                      <w:rFonts w:hint="eastAsia"/>
                      <w:bCs/>
                      <w:color w:val="auto"/>
                      <w:szCs w:val="21"/>
                      <w:highlight w:val="none"/>
                    </w:rPr>
                    <w:t>H</w:t>
                  </w:r>
                  <w:r>
                    <w:rPr>
                      <w:rFonts w:hint="eastAsia"/>
                      <w:bCs/>
                      <w:color w:val="auto"/>
                      <w:szCs w:val="21"/>
                      <w:highlight w:val="none"/>
                      <w:vertAlign w:val="subscript"/>
                      <w:lang w:val="en-US" w:eastAsia="zh-CN"/>
                    </w:rPr>
                    <w:t>10</w:t>
                  </w:r>
                </w:p>
              </w:tc>
              <w:tc>
                <w:tcPr>
                  <w:tcW w:w="700" w:type="pct"/>
                  <w:gridSpan w:val="2"/>
                  <w:tcBorders>
                    <w:tl2br w:val="nil"/>
                    <w:tr2bl w:val="nil"/>
                  </w:tcBorders>
                  <w:noWrap w:val="0"/>
                  <w:vAlign w:val="center"/>
                </w:tcPr>
                <w:p w14:paraId="769BFB18">
                  <w:pPr>
                    <w:keepNext w:val="0"/>
                    <w:keepLines w:val="0"/>
                    <w:suppressLineNumbers w:val="0"/>
                    <w:adjustRightInd w:val="0"/>
                    <w:snapToGrid w:val="0"/>
                    <w:spacing w:before="0" w:beforeAutospacing="0" w:after="0" w:afterAutospacing="0" w:line="280" w:lineRule="exact"/>
                    <w:ind w:left="0" w:right="0"/>
                    <w:jc w:val="center"/>
                    <w:rPr>
                      <w:rFonts w:hint="default"/>
                      <w:color w:val="auto"/>
                      <w:szCs w:val="21"/>
                      <w:highlight w:val="none"/>
                    </w:rPr>
                  </w:pPr>
                  <w:r>
                    <w:rPr>
                      <w:rFonts w:hint="default"/>
                      <w:bCs/>
                      <w:color w:val="auto"/>
                      <w:szCs w:val="21"/>
                      <w:highlight w:val="none"/>
                    </w:rPr>
                    <w:t>N</w:t>
                  </w:r>
                  <w:r>
                    <w:rPr>
                      <w:rFonts w:hint="default"/>
                      <w:bCs/>
                      <w:color w:val="auto"/>
                      <w:szCs w:val="21"/>
                      <w:highlight w:val="none"/>
                      <w:vertAlign w:val="subscript"/>
                    </w:rPr>
                    <w:t>2</w:t>
                  </w:r>
                </w:p>
              </w:tc>
              <w:tc>
                <w:tcPr>
                  <w:tcW w:w="566" w:type="pct"/>
                  <w:tcBorders>
                    <w:tl2br w:val="nil"/>
                    <w:tr2bl w:val="nil"/>
                  </w:tcBorders>
                  <w:noWrap w:val="0"/>
                  <w:vAlign w:val="center"/>
                </w:tcPr>
                <w:p w14:paraId="74C4CC97">
                  <w:pPr>
                    <w:keepNext w:val="0"/>
                    <w:keepLines w:val="0"/>
                    <w:suppressLineNumbers w:val="0"/>
                    <w:adjustRightInd w:val="0"/>
                    <w:snapToGrid w:val="0"/>
                    <w:spacing w:before="0" w:beforeAutospacing="0" w:after="0" w:afterAutospacing="0" w:line="280" w:lineRule="exact"/>
                    <w:ind w:left="0" w:right="0"/>
                    <w:jc w:val="center"/>
                    <w:rPr>
                      <w:rFonts w:hint="default"/>
                      <w:color w:val="auto"/>
                      <w:szCs w:val="21"/>
                      <w:highlight w:val="none"/>
                    </w:rPr>
                  </w:pPr>
                  <w:r>
                    <w:rPr>
                      <w:rFonts w:hint="default"/>
                      <w:bCs/>
                      <w:color w:val="auto"/>
                      <w:szCs w:val="21"/>
                      <w:highlight w:val="none"/>
                    </w:rPr>
                    <w:t>C</w:t>
                  </w:r>
                  <w:r>
                    <w:rPr>
                      <w:rFonts w:hint="default"/>
                      <w:bCs/>
                      <w:color w:val="auto"/>
                      <w:szCs w:val="21"/>
                      <w:highlight w:val="none"/>
                      <w:vertAlign w:val="subscript"/>
                    </w:rPr>
                    <w:t>2</w:t>
                  </w:r>
                  <w:r>
                    <w:rPr>
                      <w:rFonts w:hint="default"/>
                      <w:bCs/>
                      <w:color w:val="auto"/>
                      <w:szCs w:val="21"/>
                      <w:highlight w:val="none"/>
                    </w:rPr>
                    <w:t>H</w:t>
                  </w:r>
                  <w:r>
                    <w:rPr>
                      <w:rFonts w:hint="default"/>
                      <w:bCs/>
                      <w:color w:val="auto"/>
                      <w:szCs w:val="21"/>
                      <w:highlight w:val="none"/>
                      <w:vertAlign w:val="subscript"/>
                    </w:rPr>
                    <w:t>6</w:t>
                  </w:r>
                </w:p>
              </w:tc>
              <w:tc>
                <w:tcPr>
                  <w:tcW w:w="634" w:type="pct"/>
                  <w:tcBorders>
                    <w:tl2br w:val="nil"/>
                    <w:tr2bl w:val="nil"/>
                  </w:tcBorders>
                  <w:noWrap w:val="0"/>
                  <w:vAlign w:val="center"/>
                </w:tcPr>
                <w:p w14:paraId="169DCD77">
                  <w:pPr>
                    <w:keepNext w:val="0"/>
                    <w:keepLines w:val="0"/>
                    <w:suppressLineNumbers w:val="0"/>
                    <w:adjustRightInd w:val="0"/>
                    <w:snapToGrid w:val="0"/>
                    <w:spacing w:before="0" w:beforeAutospacing="0" w:after="0" w:afterAutospacing="0" w:line="280" w:lineRule="exact"/>
                    <w:ind w:left="0" w:right="0"/>
                    <w:jc w:val="center"/>
                    <w:rPr>
                      <w:rFonts w:hint="default"/>
                      <w:color w:val="auto"/>
                      <w:szCs w:val="21"/>
                      <w:highlight w:val="none"/>
                    </w:rPr>
                  </w:pPr>
                  <w:r>
                    <w:rPr>
                      <w:rFonts w:hint="default"/>
                      <w:bCs/>
                      <w:color w:val="auto"/>
                      <w:szCs w:val="21"/>
                      <w:highlight w:val="none"/>
                    </w:rPr>
                    <w:t>C</w:t>
                  </w:r>
                  <w:r>
                    <w:rPr>
                      <w:rFonts w:hint="default"/>
                      <w:bCs/>
                      <w:color w:val="auto"/>
                      <w:szCs w:val="21"/>
                      <w:highlight w:val="none"/>
                      <w:vertAlign w:val="subscript"/>
                    </w:rPr>
                    <w:t>3</w:t>
                  </w:r>
                  <w:r>
                    <w:rPr>
                      <w:rFonts w:hint="default"/>
                      <w:bCs/>
                      <w:color w:val="auto"/>
                      <w:szCs w:val="21"/>
                      <w:highlight w:val="none"/>
                    </w:rPr>
                    <w:t>H</w:t>
                  </w:r>
                  <w:r>
                    <w:rPr>
                      <w:rFonts w:hint="default"/>
                      <w:bCs/>
                      <w:color w:val="auto"/>
                      <w:szCs w:val="21"/>
                      <w:highlight w:val="none"/>
                      <w:vertAlign w:val="subscript"/>
                    </w:rPr>
                    <w:t>8</w:t>
                  </w:r>
                </w:p>
              </w:tc>
              <w:tc>
                <w:tcPr>
                  <w:tcW w:w="567" w:type="pct"/>
                  <w:tcBorders>
                    <w:tl2br w:val="nil"/>
                    <w:tr2bl w:val="nil"/>
                  </w:tcBorders>
                  <w:noWrap w:val="0"/>
                  <w:vAlign w:val="center"/>
                </w:tcPr>
                <w:p w14:paraId="3A1A3AF2">
                  <w:pPr>
                    <w:keepNext w:val="0"/>
                    <w:keepLines w:val="0"/>
                    <w:suppressLineNumbers w:val="0"/>
                    <w:adjustRightInd w:val="0"/>
                    <w:snapToGrid w:val="0"/>
                    <w:spacing w:before="0" w:beforeAutospacing="0" w:after="0" w:afterAutospacing="0" w:line="280" w:lineRule="exact"/>
                    <w:ind w:left="0" w:right="0"/>
                    <w:jc w:val="center"/>
                    <w:rPr>
                      <w:rFonts w:hint="eastAsia" w:eastAsia="宋体"/>
                      <w:color w:val="auto"/>
                      <w:szCs w:val="21"/>
                      <w:highlight w:val="none"/>
                      <w:lang w:eastAsia="zh-CN"/>
                    </w:rPr>
                  </w:pPr>
                  <w:r>
                    <w:rPr>
                      <w:rFonts w:hint="default"/>
                      <w:bCs/>
                      <w:color w:val="auto"/>
                      <w:szCs w:val="21"/>
                      <w:highlight w:val="none"/>
                    </w:rPr>
                    <w:t>C</w:t>
                  </w:r>
                  <w:r>
                    <w:rPr>
                      <w:rFonts w:hint="eastAsia"/>
                      <w:bCs/>
                      <w:color w:val="auto"/>
                      <w:szCs w:val="21"/>
                      <w:highlight w:val="none"/>
                      <w:vertAlign w:val="subscript"/>
                      <w:lang w:val="en-US" w:eastAsia="zh-CN"/>
                    </w:rPr>
                    <w:t>6</w:t>
                  </w:r>
                </w:p>
              </w:tc>
              <w:tc>
                <w:tcPr>
                  <w:tcW w:w="775" w:type="pct"/>
                  <w:tcBorders>
                    <w:tl2br w:val="nil"/>
                    <w:tr2bl w:val="nil"/>
                  </w:tcBorders>
                  <w:noWrap w:val="0"/>
                  <w:vAlign w:val="center"/>
                </w:tcPr>
                <w:p w14:paraId="63536FA5">
                  <w:pPr>
                    <w:keepNext w:val="0"/>
                    <w:keepLines w:val="0"/>
                    <w:suppressLineNumbers w:val="0"/>
                    <w:adjustRightInd w:val="0"/>
                    <w:snapToGrid w:val="0"/>
                    <w:spacing w:before="0" w:beforeAutospacing="0" w:after="0" w:afterAutospacing="0" w:line="280" w:lineRule="exact"/>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其他</w:t>
                  </w:r>
                </w:p>
              </w:tc>
            </w:tr>
            <w:tr w14:paraId="7E29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06" w:hRule="atLeast"/>
                <w:jc w:val="center"/>
              </w:trPr>
              <w:tc>
                <w:tcPr>
                  <w:tcW w:w="526" w:type="pct"/>
                  <w:tcBorders>
                    <w:tl2br w:val="nil"/>
                    <w:tr2bl w:val="nil"/>
                  </w:tcBorders>
                  <w:noWrap/>
                  <w:vAlign w:val="center"/>
                </w:tcPr>
                <w:p w14:paraId="477D6E9E">
                  <w:pPr>
                    <w:keepNext w:val="0"/>
                    <w:keepLines w:val="0"/>
                    <w:suppressLineNumbers w:val="0"/>
                    <w:spacing w:before="0" w:beforeAutospacing="0" w:after="0" w:afterAutospacing="0" w:line="280" w:lineRule="exact"/>
                    <w:ind w:left="0" w:right="0"/>
                    <w:jc w:val="center"/>
                    <w:rPr>
                      <w:rFonts w:hint="default"/>
                      <w:color w:val="auto"/>
                      <w:kern w:val="0"/>
                      <w:szCs w:val="21"/>
                      <w:highlight w:val="none"/>
                    </w:rPr>
                  </w:pPr>
                  <w:r>
                    <w:rPr>
                      <w:rFonts w:hint="default"/>
                      <w:color w:val="auto"/>
                      <w:kern w:val="0"/>
                      <w:szCs w:val="21"/>
                      <w:highlight w:val="none"/>
                    </w:rPr>
                    <w:t>mol/%</w:t>
                  </w:r>
                </w:p>
              </w:tc>
              <w:tc>
                <w:tcPr>
                  <w:tcW w:w="615" w:type="pct"/>
                  <w:tcBorders>
                    <w:tl2br w:val="nil"/>
                    <w:tr2bl w:val="nil"/>
                  </w:tcBorders>
                  <w:noWrap/>
                  <w:vAlign w:val="center"/>
                </w:tcPr>
                <w:p w14:paraId="7F563A60">
                  <w:pPr>
                    <w:keepNext w:val="0"/>
                    <w:keepLines w:val="0"/>
                    <w:suppressLineNumbers w:val="0"/>
                    <w:spacing w:before="0" w:beforeAutospacing="0" w:after="0" w:afterAutospacing="0" w:line="280" w:lineRule="exact"/>
                    <w:ind w:left="0" w:right="0"/>
                    <w:jc w:val="center"/>
                    <w:rPr>
                      <w:rFonts w:hint="default" w:eastAsia="宋体"/>
                      <w:color w:val="auto"/>
                      <w:kern w:val="0"/>
                      <w:szCs w:val="21"/>
                      <w:highlight w:val="none"/>
                      <w:lang w:val="en-US" w:eastAsia="zh-CN"/>
                    </w:rPr>
                  </w:pPr>
                  <w:r>
                    <w:rPr>
                      <w:rFonts w:hint="eastAsia"/>
                      <w:bCs/>
                      <w:color w:val="auto"/>
                      <w:szCs w:val="21"/>
                      <w:highlight w:val="none"/>
                      <w:lang w:val="en-US" w:eastAsia="zh-CN"/>
                    </w:rPr>
                    <w:t>98.204</w:t>
                  </w:r>
                </w:p>
              </w:tc>
              <w:tc>
                <w:tcPr>
                  <w:tcW w:w="614" w:type="pct"/>
                  <w:tcBorders>
                    <w:tl2br w:val="nil"/>
                    <w:tr2bl w:val="nil"/>
                  </w:tcBorders>
                  <w:noWrap w:val="0"/>
                  <w:vAlign w:val="center"/>
                </w:tcPr>
                <w:p w14:paraId="5ACE80AA">
                  <w:pPr>
                    <w:keepNext w:val="0"/>
                    <w:keepLines w:val="0"/>
                    <w:suppressLineNumbers w:val="0"/>
                    <w:adjustRightInd w:val="0"/>
                    <w:snapToGrid w:val="0"/>
                    <w:spacing w:before="0" w:beforeAutospacing="0" w:after="0" w:afterAutospacing="0" w:line="280" w:lineRule="exact"/>
                    <w:ind w:left="0" w:right="0"/>
                    <w:jc w:val="center"/>
                    <w:rPr>
                      <w:rFonts w:hint="default"/>
                      <w:color w:val="auto"/>
                      <w:kern w:val="0"/>
                      <w:szCs w:val="21"/>
                      <w:highlight w:val="none"/>
                    </w:rPr>
                  </w:pPr>
                  <w:r>
                    <w:rPr>
                      <w:rFonts w:hint="default"/>
                      <w:color w:val="auto"/>
                      <w:kern w:val="0"/>
                      <w:szCs w:val="21"/>
                      <w:highlight w:val="none"/>
                    </w:rPr>
                    <w:t>0.0</w:t>
                  </w:r>
                  <w:r>
                    <w:rPr>
                      <w:rFonts w:hint="eastAsia"/>
                      <w:color w:val="auto"/>
                      <w:kern w:val="0"/>
                      <w:szCs w:val="21"/>
                      <w:highlight w:val="none"/>
                      <w:lang w:val="en-US" w:eastAsia="zh-CN"/>
                    </w:rPr>
                    <w:t>06</w:t>
                  </w:r>
                </w:p>
              </w:tc>
              <w:tc>
                <w:tcPr>
                  <w:tcW w:w="700" w:type="pct"/>
                  <w:gridSpan w:val="2"/>
                  <w:tcBorders>
                    <w:tl2br w:val="nil"/>
                    <w:tr2bl w:val="nil"/>
                  </w:tcBorders>
                  <w:noWrap w:val="0"/>
                  <w:vAlign w:val="center"/>
                </w:tcPr>
                <w:p w14:paraId="69106943">
                  <w:pPr>
                    <w:keepNext w:val="0"/>
                    <w:keepLines w:val="0"/>
                    <w:suppressLineNumbers w:val="0"/>
                    <w:adjustRightInd w:val="0"/>
                    <w:snapToGrid w:val="0"/>
                    <w:spacing w:before="0" w:beforeAutospacing="0" w:after="0" w:afterAutospacing="0" w:line="280" w:lineRule="exact"/>
                    <w:ind w:left="0" w:right="0"/>
                    <w:jc w:val="center"/>
                    <w:rPr>
                      <w:rFonts w:hint="default"/>
                      <w:color w:val="auto"/>
                      <w:kern w:val="0"/>
                      <w:szCs w:val="21"/>
                      <w:highlight w:val="none"/>
                    </w:rPr>
                  </w:pPr>
                  <w:r>
                    <w:rPr>
                      <w:rFonts w:hint="default"/>
                      <w:bCs/>
                      <w:color w:val="auto"/>
                      <w:szCs w:val="21"/>
                      <w:highlight w:val="none"/>
                    </w:rPr>
                    <w:t>1.</w:t>
                  </w:r>
                  <w:r>
                    <w:rPr>
                      <w:rFonts w:hint="eastAsia"/>
                      <w:bCs/>
                      <w:color w:val="auto"/>
                      <w:szCs w:val="21"/>
                      <w:highlight w:val="none"/>
                      <w:lang w:val="en-US" w:eastAsia="zh-CN"/>
                    </w:rPr>
                    <w:t>23</w:t>
                  </w:r>
                  <w:r>
                    <w:rPr>
                      <w:rFonts w:hint="default"/>
                      <w:bCs/>
                      <w:color w:val="auto"/>
                      <w:szCs w:val="21"/>
                      <w:highlight w:val="none"/>
                    </w:rPr>
                    <w:t>2</w:t>
                  </w:r>
                </w:p>
              </w:tc>
              <w:tc>
                <w:tcPr>
                  <w:tcW w:w="566" w:type="pct"/>
                  <w:tcBorders>
                    <w:tl2br w:val="nil"/>
                    <w:tr2bl w:val="nil"/>
                  </w:tcBorders>
                  <w:noWrap w:val="0"/>
                  <w:vAlign w:val="center"/>
                </w:tcPr>
                <w:p w14:paraId="1DD328F6">
                  <w:pPr>
                    <w:keepNext w:val="0"/>
                    <w:keepLines w:val="0"/>
                    <w:suppressLineNumbers w:val="0"/>
                    <w:adjustRightInd w:val="0"/>
                    <w:snapToGrid w:val="0"/>
                    <w:spacing w:before="0" w:beforeAutospacing="0" w:after="0" w:afterAutospacing="0" w:line="280" w:lineRule="exact"/>
                    <w:ind w:left="0" w:right="0"/>
                    <w:jc w:val="center"/>
                    <w:rPr>
                      <w:rFonts w:hint="default" w:eastAsia="宋体"/>
                      <w:color w:val="auto"/>
                      <w:kern w:val="0"/>
                      <w:szCs w:val="21"/>
                      <w:highlight w:val="none"/>
                      <w:lang w:val="en-US" w:eastAsia="zh-CN"/>
                    </w:rPr>
                  </w:pPr>
                  <w:r>
                    <w:rPr>
                      <w:rFonts w:hint="default"/>
                      <w:color w:val="auto"/>
                      <w:kern w:val="0"/>
                      <w:szCs w:val="21"/>
                      <w:highlight w:val="none"/>
                    </w:rPr>
                    <w:t>0.</w:t>
                  </w:r>
                  <w:r>
                    <w:rPr>
                      <w:rFonts w:hint="eastAsia"/>
                      <w:color w:val="auto"/>
                      <w:kern w:val="0"/>
                      <w:szCs w:val="21"/>
                      <w:highlight w:val="none"/>
                      <w:lang w:val="en-US" w:eastAsia="zh-CN"/>
                    </w:rPr>
                    <w:t>067</w:t>
                  </w:r>
                </w:p>
              </w:tc>
              <w:tc>
                <w:tcPr>
                  <w:tcW w:w="634" w:type="pct"/>
                  <w:tcBorders>
                    <w:tl2br w:val="nil"/>
                    <w:tr2bl w:val="nil"/>
                  </w:tcBorders>
                  <w:noWrap w:val="0"/>
                  <w:vAlign w:val="center"/>
                </w:tcPr>
                <w:p w14:paraId="1F5A9E4E">
                  <w:pPr>
                    <w:keepNext w:val="0"/>
                    <w:keepLines w:val="0"/>
                    <w:suppressLineNumbers w:val="0"/>
                    <w:adjustRightInd w:val="0"/>
                    <w:snapToGrid w:val="0"/>
                    <w:spacing w:before="0" w:beforeAutospacing="0" w:after="0" w:afterAutospacing="0" w:line="280" w:lineRule="exact"/>
                    <w:ind w:left="0" w:right="0"/>
                    <w:jc w:val="center"/>
                    <w:rPr>
                      <w:rFonts w:hint="default" w:eastAsia="宋体"/>
                      <w:color w:val="auto"/>
                      <w:kern w:val="0"/>
                      <w:szCs w:val="21"/>
                      <w:highlight w:val="none"/>
                      <w:lang w:val="en-US" w:eastAsia="zh-CN"/>
                    </w:rPr>
                  </w:pPr>
                  <w:r>
                    <w:rPr>
                      <w:rFonts w:hint="default"/>
                      <w:color w:val="auto"/>
                      <w:kern w:val="0"/>
                      <w:szCs w:val="21"/>
                      <w:highlight w:val="none"/>
                    </w:rPr>
                    <w:t>0.0</w:t>
                  </w:r>
                  <w:r>
                    <w:rPr>
                      <w:rFonts w:hint="eastAsia"/>
                      <w:color w:val="auto"/>
                      <w:kern w:val="0"/>
                      <w:szCs w:val="21"/>
                      <w:highlight w:val="none"/>
                      <w:lang w:val="en-US" w:eastAsia="zh-CN"/>
                    </w:rPr>
                    <w:t>15</w:t>
                  </w:r>
                </w:p>
              </w:tc>
              <w:tc>
                <w:tcPr>
                  <w:tcW w:w="567" w:type="pct"/>
                  <w:tcBorders>
                    <w:tl2br w:val="nil"/>
                    <w:tr2bl w:val="nil"/>
                  </w:tcBorders>
                  <w:noWrap w:val="0"/>
                  <w:vAlign w:val="center"/>
                </w:tcPr>
                <w:p w14:paraId="2AD2D273">
                  <w:pPr>
                    <w:keepNext w:val="0"/>
                    <w:keepLines w:val="0"/>
                    <w:suppressLineNumbers w:val="0"/>
                    <w:adjustRightInd w:val="0"/>
                    <w:snapToGrid w:val="0"/>
                    <w:spacing w:before="0" w:beforeAutospacing="0" w:after="0" w:afterAutospacing="0" w:line="280" w:lineRule="exact"/>
                    <w:ind w:left="0" w:right="0"/>
                    <w:jc w:val="center"/>
                    <w:rPr>
                      <w:rFonts w:hint="default" w:eastAsia="宋体"/>
                      <w:color w:val="auto"/>
                      <w:kern w:val="0"/>
                      <w:szCs w:val="21"/>
                      <w:highlight w:val="none"/>
                      <w:lang w:val="en-US" w:eastAsia="zh-CN"/>
                    </w:rPr>
                  </w:pPr>
                  <w:r>
                    <w:rPr>
                      <w:rFonts w:hint="default"/>
                      <w:color w:val="auto"/>
                      <w:kern w:val="0"/>
                      <w:szCs w:val="21"/>
                      <w:highlight w:val="none"/>
                    </w:rPr>
                    <w:t>0.0</w:t>
                  </w:r>
                  <w:r>
                    <w:rPr>
                      <w:rFonts w:hint="eastAsia"/>
                      <w:color w:val="auto"/>
                      <w:kern w:val="0"/>
                      <w:szCs w:val="21"/>
                      <w:highlight w:val="none"/>
                      <w:lang w:val="en-US" w:eastAsia="zh-CN"/>
                    </w:rPr>
                    <w:t>01</w:t>
                  </w:r>
                </w:p>
              </w:tc>
              <w:tc>
                <w:tcPr>
                  <w:tcW w:w="775" w:type="pct"/>
                  <w:tcBorders>
                    <w:tl2br w:val="nil"/>
                    <w:tr2bl w:val="nil"/>
                  </w:tcBorders>
                  <w:noWrap w:val="0"/>
                  <w:vAlign w:val="center"/>
                </w:tcPr>
                <w:p w14:paraId="1DDD00AE">
                  <w:pPr>
                    <w:keepNext w:val="0"/>
                    <w:keepLines w:val="0"/>
                    <w:suppressLineNumbers w:val="0"/>
                    <w:adjustRightInd w:val="0"/>
                    <w:snapToGrid w:val="0"/>
                    <w:spacing w:before="0" w:beforeAutospacing="0" w:after="0" w:afterAutospacing="0" w:line="280" w:lineRule="exact"/>
                    <w:ind w:left="0" w:right="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0.475</w:t>
                  </w:r>
                </w:p>
              </w:tc>
            </w:tr>
            <w:tr w14:paraId="047E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06" w:hRule="atLeast"/>
                <w:jc w:val="center"/>
              </w:trPr>
              <w:tc>
                <w:tcPr>
                  <w:tcW w:w="5000" w:type="pct"/>
                  <w:gridSpan w:val="9"/>
                  <w:tcBorders>
                    <w:tl2br w:val="nil"/>
                    <w:tr2bl w:val="nil"/>
                  </w:tcBorders>
                  <w:noWrap/>
                  <w:vAlign w:val="center"/>
                </w:tcPr>
                <w:p w14:paraId="0DC94F5D">
                  <w:pPr>
                    <w:keepNext w:val="0"/>
                    <w:keepLines w:val="0"/>
                    <w:suppressLineNumbers w:val="0"/>
                    <w:adjustRightInd w:val="0"/>
                    <w:snapToGrid w:val="0"/>
                    <w:spacing w:before="0" w:beforeAutospacing="0" w:after="0" w:afterAutospacing="0" w:line="280" w:lineRule="exact"/>
                    <w:ind w:left="0" w:right="0"/>
                    <w:jc w:val="center"/>
                    <w:rPr>
                      <w:rFonts w:hint="default"/>
                      <w:color w:val="auto"/>
                      <w:kern w:val="0"/>
                      <w:szCs w:val="21"/>
                      <w:highlight w:val="none"/>
                    </w:rPr>
                  </w:pPr>
                  <w:r>
                    <w:rPr>
                      <w:rFonts w:hint="default"/>
                      <w:color w:val="auto"/>
                      <w:kern w:val="0"/>
                      <w:szCs w:val="21"/>
                      <w:highlight w:val="none"/>
                    </w:rPr>
                    <w:t>物性参数</w:t>
                  </w:r>
                </w:p>
              </w:tc>
            </w:tr>
            <w:tr w14:paraId="20EB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06" w:hRule="atLeast"/>
                <w:jc w:val="center"/>
              </w:trPr>
              <w:tc>
                <w:tcPr>
                  <w:tcW w:w="1141" w:type="pct"/>
                  <w:gridSpan w:val="2"/>
                  <w:tcBorders>
                    <w:tl2br w:val="nil"/>
                    <w:tr2bl w:val="nil"/>
                  </w:tcBorders>
                  <w:noWrap/>
                  <w:vAlign w:val="center"/>
                </w:tcPr>
                <w:p w14:paraId="6DF7EC66">
                  <w:pPr>
                    <w:keepNext w:val="0"/>
                    <w:keepLines w:val="0"/>
                    <w:suppressLineNumbers w:val="0"/>
                    <w:spacing w:before="0" w:beforeAutospacing="0" w:after="0" w:afterAutospacing="0" w:line="280" w:lineRule="exact"/>
                    <w:ind w:left="0" w:right="0"/>
                    <w:jc w:val="center"/>
                    <w:rPr>
                      <w:rFonts w:hint="default"/>
                      <w:bCs/>
                      <w:color w:val="auto"/>
                      <w:szCs w:val="21"/>
                      <w:highlight w:val="none"/>
                    </w:rPr>
                  </w:pPr>
                  <w:r>
                    <w:rPr>
                      <w:rFonts w:hint="default"/>
                      <w:color w:val="auto"/>
                      <w:kern w:val="0"/>
                      <w:szCs w:val="21"/>
                      <w:highlight w:val="none"/>
                    </w:rPr>
                    <w:t>高位热值（MJ/m</w:t>
                  </w:r>
                  <w:r>
                    <w:rPr>
                      <w:rFonts w:hint="default"/>
                      <w:color w:val="auto"/>
                      <w:kern w:val="0"/>
                      <w:szCs w:val="21"/>
                      <w:highlight w:val="none"/>
                      <w:vertAlign w:val="superscript"/>
                    </w:rPr>
                    <w:t>3</w:t>
                  </w:r>
                  <w:r>
                    <w:rPr>
                      <w:rFonts w:hint="default"/>
                      <w:color w:val="auto"/>
                      <w:kern w:val="0"/>
                      <w:szCs w:val="21"/>
                      <w:highlight w:val="none"/>
                    </w:rPr>
                    <w:t>）</w:t>
                  </w:r>
                </w:p>
              </w:tc>
              <w:tc>
                <w:tcPr>
                  <w:tcW w:w="1231" w:type="pct"/>
                  <w:gridSpan w:val="2"/>
                  <w:tcBorders>
                    <w:tl2br w:val="nil"/>
                    <w:tr2bl w:val="nil"/>
                  </w:tcBorders>
                  <w:noWrap w:val="0"/>
                  <w:vAlign w:val="center"/>
                </w:tcPr>
                <w:p w14:paraId="6B99626D">
                  <w:pPr>
                    <w:keepNext w:val="0"/>
                    <w:keepLines w:val="0"/>
                    <w:suppressLineNumbers w:val="0"/>
                    <w:adjustRightInd w:val="0"/>
                    <w:snapToGrid w:val="0"/>
                    <w:spacing w:before="0" w:beforeAutospacing="0" w:after="0" w:afterAutospacing="0" w:line="280" w:lineRule="exact"/>
                    <w:ind w:left="0" w:right="0"/>
                    <w:jc w:val="center"/>
                    <w:rPr>
                      <w:rFonts w:hint="default"/>
                      <w:color w:val="auto"/>
                      <w:kern w:val="0"/>
                      <w:szCs w:val="21"/>
                      <w:highlight w:val="none"/>
                    </w:rPr>
                  </w:pPr>
                  <w:r>
                    <w:rPr>
                      <w:rFonts w:hint="eastAsia"/>
                      <w:bCs/>
                      <w:color w:val="auto"/>
                      <w:szCs w:val="21"/>
                      <w:highlight w:val="none"/>
                      <w:lang w:val="en-US" w:eastAsia="zh-CN"/>
                    </w:rPr>
                    <w:t>36.515</w:t>
                  </w:r>
                </w:p>
              </w:tc>
              <w:tc>
                <w:tcPr>
                  <w:tcW w:w="1284" w:type="pct"/>
                  <w:gridSpan w:val="3"/>
                  <w:tcBorders>
                    <w:tl2br w:val="nil"/>
                    <w:tr2bl w:val="nil"/>
                  </w:tcBorders>
                  <w:noWrap w:val="0"/>
                  <w:vAlign w:val="center"/>
                </w:tcPr>
                <w:p w14:paraId="76367405">
                  <w:pPr>
                    <w:keepNext w:val="0"/>
                    <w:keepLines w:val="0"/>
                    <w:suppressLineNumbers w:val="0"/>
                    <w:adjustRightInd w:val="0"/>
                    <w:snapToGrid w:val="0"/>
                    <w:spacing w:before="0" w:beforeAutospacing="0" w:after="0" w:afterAutospacing="0" w:line="280" w:lineRule="exact"/>
                    <w:ind w:left="0" w:leftChars="0" w:right="0" w:rightChars="0"/>
                    <w:jc w:val="center"/>
                    <w:rPr>
                      <w:rFonts w:hint="default"/>
                      <w:color w:val="auto"/>
                      <w:kern w:val="0"/>
                      <w:szCs w:val="21"/>
                      <w:highlight w:val="none"/>
                    </w:rPr>
                  </w:pPr>
                  <w:r>
                    <w:rPr>
                      <w:rFonts w:hint="default"/>
                      <w:color w:val="auto"/>
                      <w:kern w:val="0"/>
                      <w:szCs w:val="21"/>
                      <w:highlight w:val="none"/>
                    </w:rPr>
                    <w:t>低位热值（MJ/m</w:t>
                  </w:r>
                  <w:r>
                    <w:rPr>
                      <w:rFonts w:hint="default"/>
                      <w:color w:val="auto"/>
                      <w:kern w:val="0"/>
                      <w:szCs w:val="21"/>
                      <w:highlight w:val="none"/>
                      <w:vertAlign w:val="superscript"/>
                    </w:rPr>
                    <w:t>3</w:t>
                  </w:r>
                  <w:r>
                    <w:rPr>
                      <w:rFonts w:hint="default"/>
                      <w:color w:val="auto"/>
                      <w:kern w:val="0"/>
                      <w:szCs w:val="21"/>
                      <w:highlight w:val="none"/>
                    </w:rPr>
                    <w:t>）</w:t>
                  </w:r>
                </w:p>
              </w:tc>
              <w:tc>
                <w:tcPr>
                  <w:tcW w:w="1343" w:type="pct"/>
                  <w:gridSpan w:val="2"/>
                  <w:tcBorders>
                    <w:tl2br w:val="nil"/>
                    <w:tr2bl w:val="nil"/>
                  </w:tcBorders>
                  <w:noWrap w:val="0"/>
                  <w:vAlign w:val="center"/>
                </w:tcPr>
                <w:p w14:paraId="40802687">
                  <w:pPr>
                    <w:keepNext w:val="0"/>
                    <w:keepLines w:val="0"/>
                    <w:suppressLineNumbers w:val="0"/>
                    <w:adjustRightInd w:val="0"/>
                    <w:snapToGrid w:val="0"/>
                    <w:spacing w:before="0" w:beforeAutospacing="0" w:after="0" w:afterAutospacing="0" w:line="280" w:lineRule="exact"/>
                    <w:ind w:left="0" w:right="0"/>
                    <w:jc w:val="center"/>
                    <w:rPr>
                      <w:rFonts w:hint="default"/>
                      <w:color w:val="auto"/>
                      <w:kern w:val="0"/>
                      <w:szCs w:val="21"/>
                      <w:highlight w:val="none"/>
                    </w:rPr>
                  </w:pPr>
                  <w:r>
                    <w:rPr>
                      <w:rFonts w:hint="eastAsia"/>
                      <w:color w:val="auto"/>
                      <w:kern w:val="0"/>
                      <w:szCs w:val="21"/>
                      <w:highlight w:val="none"/>
                      <w:lang w:val="en-US" w:eastAsia="zh-CN"/>
                    </w:rPr>
                    <w:t>32.892</w:t>
                  </w:r>
                </w:p>
              </w:tc>
            </w:tr>
          </w:tbl>
          <w:p w14:paraId="7D409B9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pacing w:val="0"/>
                <w:kern w:val="2"/>
                <w:sz w:val="24"/>
                <w:szCs w:val="24"/>
                <w:highlight w:val="none"/>
                <w:lang w:val="en-US" w:eastAsia="zh-CN" w:bidi="ar-SA"/>
              </w:rPr>
            </w:pPr>
            <w:r>
              <w:rPr>
                <w:rFonts w:hint="eastAsia" w:cs="Times New Roman"/>
                <w:b w:val="0"/>
                <w:bCs w:val="0"/>
                <w:color w:val="auto"/>
                <w:spacing w:val="0"/>
                <w:kern w:val="2"/>
                <w:sz w:val="24"/>
                <w:szCs w:val="24"/>
                <w:highlight w:val="none"/>
                <w:lang w:val="en-US" w:eastAsia="zh-CN" w:bidi="ar-SA"/>
              </w:rPr>
              <w:t>（2）硫平衡分析</w:t>
            </w:r>
          </w:p>
          <w:p w14:paraId="39D428F9">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-8</w:t>
            </w:r>
            <w:r>
              <w:rPr>
                <w:rFonts w:hint="default" w:ascii="Times New Roman" w:hAnsi="Times New Roman" w:eastAsia="宋体" w:cs="Times New Roman"/>
                <w:b/>
                <w:bCs/>
                <w:color w:val="auto"/>
                <w:sz w:val="21"/>
                <w:szCs w:val="21"/>
                <w:highlight w:val="none"/>
              </w:rPr>
              <w:t xml:space="preserve">  </w:t>
            </w:r>
            <w:r>
              <w:rPr>
                <w:rFonts w:hint="eastAsia" w:cs="Times New Roman"/>
                <w:b/>
                <w:bCs/>
                <w:color w:val="auto"/>
                <w:sz w:val="21"/>
                <w:szCs w:val="21"/>
                <w:highlight w:val="none"/>
                <w:lang w:val="en-US" w:eastAsia="zh-CN"/>
              </w:rPr>
              <w:t>本项目硫平衡分析</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1296"/>
              <w:gridCol w:w="3161"/>
              <w:gridCol w:w="1541"/>
            </w:tblGrid>
            <w:tr w14:paraId="2888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4" w:type="dxa"/>
                  <w:gridSpan w:val="2"/>
                  <w:tcBorders>
                    <w:tl2br w:val="nil"/>
                    <w:tr2bl w:val="nil"/>
                  </w:tcBorders>
                </w:tcPr>
                <w:p w14:paraId="5F9A1F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bCs/>
                      <w:color w:val="auto"/>
                      <w:spacing w:val="0"/>
                      <w:kern w:val="2"/>
                      <w:sz w:val="21"/>
                      <w:szCs w:val="21"/>
                      <w:highlight w:val="none"/>
                      <w:vertAlign w:val="baseline"/>
                      <w:lang w:val="en-US" w:eastAsia="zh-CN" w:bidi="ar-SA"/>
                    </w:rPr>
                    <w:t>进料硫含量（t/a）</w:t>
                  </w:r>
                </w:p>
              </w:tc>
              <w:tc>
                <w:tcPr>
                  <w:tcW w:w="4702" w:type="dxa"/>
                  <w:gridSpan w:val="2"/>
                  <w:tcBorders>
                    <w:tl2br w:val="nil"/>
                    <w:tr2bl w:val="nil"/>
                  </w:tcBorders>
                </w:tcPr>
                <w:p w14:paraId="6252D6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bCs/>
                      <w:color w:val="auto"/>
                      <w:spacing w:val="0"/>
                      <w:kern w:val="2"/>
                      <w:sz w:val="21"/>
                      <w:szCs w:val="21"/>
                      <w:highlight w:val="none"/>
                      <w:vertAlign w:val="baseline"/>
                      <w:lang w:val="en-US" w:eastAsia="zh-CN" w:bidi="ar-SA"/>
                    </w:rPr>
                    <w:t>出料硫含量（t/a）</w:t>
                  </w:r>
                </w:p>
              </w:tc>
            </w:tr>
            <w:tr w14:paraId="7823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Borders>
                    <w:tl2br w:val="nil"/>
                    <w:tr2bl w:val="nil"/>
                  </w:tcBorders>
                </w:tcPr>
                <w:p w14:paraId="40B9D8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原料</w:t>
                  </w:r>
                </w:p>
              </w:tc>
              <w:tc>
                <w:tcPr>
                  <w:tcW w:w="1296" w:type="dxa"/>
                  <w:tcBorders>
                    <w:tl2br w:val="nil"/>
                    <w:tr2bl w:val="nil"/>
                  </w:tcBorders>
                </w:tcPr>
                <w:p w14:paraId="235EE0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90</w:t>
                  </w:r>
                </w:p>
              </w:tc>
              <w:tc>
                <w:tcPr>
                  <w:tcW w:w="3161" w:type="dxa"/>
                  <w:tcBorders>
                    <w:tl2br w:val="nil"/>
                    <w:tr2bl w:val="nil"/>
                  </w:tcBorders>
                </w:tcPr>
                <w:p w14:paraId="3B4D9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产品</w:t>
                  </w:r>
                </w:p>
              </w:tc>
              <w:tc>
                <w:tcPr>
                  <w:tcW w:w="1541" w:type="dxa"/>
                  <w:tcBorders>
                    <w:tl2br w:val="nil"/>
                    <w:tr2bl w:val="nil"/>
                  </w:tcBorders>
                </w:tcPr>
                <w:p w14:paraId="4FFBBD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89.1</w:t>
                  </w:r>
                </w:p>
              </w:tc>
            </w:tr>
            <w:tr w14:paraId="5D04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Borders>
                    <w:tl2br w:val="nil"/>
                    <w:tr2bl w:val="nil"/>
                  </w:tcBorders>
                </w:tcPr>
                <w:p w14:paraId="36FB79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天然气</w:t>
                  </w:r>
                </w:p>
              </w:tc>
              <w:tc>
                <w:tcPr>
                  <w:tcW w:w="1296" w:type="dxa"/>
                  <w:tcBorders>
                    <w:tl2br w:val="nil"/>
                    <w:tr2bl w:val="nil"/>
                  </w:tcBorders>
                </w:tcPr>
                <w:p w14:paraId="63C57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t>0.065</w:t>
                  </w:r>
                  <w:r>
                    <w:rPr>
                      <w:rFonts w:hint="eastAsia" w:cs="Times New Roman"/>
                      <w:b w:val="0"/>
                      <w:bCs w:val="0"/>
                      <w:color w:val="auto"/>
                      <w:spacing w:val="0"/>
                      <w:kern w:val="2"/>
                      <w:sz w:val="21"/>
                      <w:szCs w:val="21"/>
                      <w:highlight w:val="none"/>
                      <w:vertAlign w:val="baseline"/>
                      <w:lang w:val="en-US" w:eastAsia="zh-CN" w:bidi="ar-SA"/>
                    </w:rPr>
                    <w:t>5</w:t>
                  </w:r>
                </w:p>
              </w:tc>
              <w:tc>
                <w:tcPr>
                  <w:tcW w:w="3161" w:type="dxa"/>
                  <w:tcBorders>
                    <w:tl2br w:val="nil"/>
                    <w:tr2bl w:val="nil"/>
                  </w:tcBorders>
                </w:tcPr>
                <w:p w14:paraId="6FD7C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SO</w:t>
                  </w:r>
                  <w:r>
                    <w:rPr>
                      <w:rFonts w:hint="eastAsia" w:cs="Times New Roman"/>
                      <w:b w:val="0"/>
                      <w:bCs w:val="0"/>
                      <w:color w:val="auto"/>
                      <w:spacing w:val="0"/>
                      <w:kern w:val="2"/>
                      <w:sz w:val="21"/>
                      <w:szCs w:val="21"/>
                      <w:highlight w:val="none"/>
                      <w:vertAlign w:val="subscript"/>
                      <w:lang w:val="en-US" w:eastAsia="zh-CN" w:bidi="ar-SA"/>
                    </w:rPr>
                    <w:t>2</w:t>
                  </w:r>
                </w:p>
              </w:tc>
              <w:tc>
                <w:tcPr>
                  <w:tcW w:w="1541" w:type="dxa"/>
                  <w:tcBorders>
                    <w:tl2br w:val="nil"/>
                    <w:tr2bl w:val="nil"/>
                  </w:tcBorders>
                </w:tcPr>
                <w:p w14:paraId="61491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0.0655</w:t>
                  </w:r>
                </w:p>
              </w:tc>
            </w:tr>
            <w:tr w14:paraId="3F75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68" w:type="dxa"/>
                  <w:tcBorders>
                    <w:tl2br w:val="nil"/>
                    <w:tr2bl w:val="nil"/>
                  </w:tcBorders>
                </w:tcPr>
                <w:p w14:paraId="75F476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1296" w:type="dxa"/>
                  <w:tcBorders>
                    <w:tl2br w:val="nil"/>
                    <w:tr2bl w:val="nil"/>
                  </w:tcBorders>
                </w:tcPr>
                <w:p w14:paraId="38F87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3161" w:type="dxa"/>
                  <w:tcBorders>
                    <w:tl2br w:val="nil"/>
                    <w:tr2bl w:val="nil"/>
                  </w:tcBorders>
                </w:tcPr>
                <w:p w14:paraId="4CB8E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废边角料</w:t>
                  </w:r>
                </w:p>
              </w:tc>
              <w:tc>
                <w:tcPr>
                  <w:tcW w:w="1541" w:type="dxa"/>
                  <w:tcBorders>
                    <w:tl2br w:val="nil"/>
                    <w:tr2bl w:val="nil"/>
                  </w:tcBorders>
                </w:tcPr>
                <w:p w14:paraId="464F6F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0.877</w:t>
                  </w:r>
                </w:p>
              </w:tc>
            </w:tr>
            <w:tr w14:paraId="2CCC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Borders>
                    <w:tl2br w:val="nil"/>
                    <w:tr2bl w:val="nil"/>
                  </w:tcBorders>
                  <w:vAlign w:val="top"/>
                </w:tcPr>
                <w:p w14:paraId="73DC4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1296" w:type="dxa"/>
                  <w:tcBorders>
                    <w:tl2br w:val="nil"/>
                    <w:tr2bl w:val="nil"/>
                  </w:tcBorders>
                  <w:vAlign w:val="top"/>
                </w:tcPr>
                <w:p w14:paraId="3EB617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3161" w:type="dxa"/>
                  <w:tcBorders>
                    <w:tl2br w:val="nil"/>
                    <w:tr2bl w:val="nil"/>
                  </w:tcBorders>
                </w:tcPr>
                <w:p w14:paraId="1AA0C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除尘灰</w:t>
                  </w:r>
                </w:p>
              </w:tc>
              <w:tc>
                <w:tcPr>
                  <w:tcW w:w="1541" w:type="dxa"/>
                  <w:tcBorders>
                    <w:tl2br w:val="nil"/>
                    <w:tr2bl w:val="nil"/>
                  </w:tcBorders>
                </w:tcPr>
                <w:p w14:paraId="0B34F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0.023</w:t>
                  </w:r>
                </w:p>
              </w:tc>
            </w:tr>
            <w:tr w14:paraId="3A62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3068" w:type="dxa"/>
                  <w:tcBorders>
                    <w:tl2br w:val="nil"/>
                    <w:tr2bl w:val="nil"/>
                  </w:tcBorders>
                </w:tcPr>
                <w:p w14:paraId="50A2EB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合计</w:t>
                  </w:r>
                </w:p>
              </w:tc>
              <w:tc>
                <w:tcPr>
                  <w:tcW w:w="1296" w:type="dxa"/>
                  <w:tcBorders>
                    <w:tl2br w:val="nil"/>
                    <w:tr2bl w:val="nil"/>
                  </w:tcBorders>
                </w:tcPr>
                <w:p w14:paraId="0751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90.0655</w:t>
                  </w:r>
                </w:p>
              </w:tc>
              <w:tc>
                <w:tcPr>
                  <w:tcW w:w="3161" w:type="dxa"/>
                  <w:tcBorders>
                    <w:tl2br w:val="nil"/>
                    <w:tr2bl w:val="nil"/>
                  </w:tcBorders>
                </w:tcPr>
                <w:p w14:paraId="4B595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合计</w:t>
                  </w:r>
                </w:p>
              </w:tc>
              <w:tc>
                <w:tcPr>
                  <w:tcW w:w="1541" w:type="dxa"/>
                  <w:tcBorders>
                    <w:tl2br w:val="nil"/>
                    <w:tr2bl w:val="nil"/>
                  </w:tcBorders>
                </w:tcPr>
                <w:p w14:paraId="5BA7CF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90.0655</w:t>
                  </w:r>
                </w:p>
              </w:tc>
            </w:tr>
            <w:tr w14:paraId="5E28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9066" w:type="dxa"/>
                  <w:gridSpan w:val="4"/>
                  <w:tcBorders>
                    <w:tl2br w:val="nil"/>
                    <w:tr2bl w:val="nil"/>
                  </w:tcBorders>
                </w:tcPr>
                <w:p w14:paraId="61EE05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z w:val="21"/>
                      <w:szCs w:val="21"/>
                      <w:highlight w:val="none"/>
                      <w:lang w:val="en-US" w:eastAsia="zh-CN"/>
                    </w:rPr>
                    <w:t>注：</w:t>
                  </w:r>
                  <w:r>
                    <w:rPr>
                      <w:rFonts w:hint="default" w:ascii="Times New Roman" w:hAnsi="Times New Roman" w:eastAsia="宋体" w:cs="Times New Roman"/>
                      <w:b w:val="0"/>
                      <w:bCs w:val="0"/>
                      <w:color w:val="auto"/>
                      <w:sz w:val="21"/>
                      <w:szCs w:val="21"/>
                      <w:highlight w:val="none"/>
                      <w:lang w:val="en-US" w:eastAsia="zh-CN"/>
                    </w:rPr>
                    <w:t>原料年用量约30万</w:t>
                  </w:r>
                  <w:r>
                    <w:rPr>
                      <w:rFonts w:hint="eastAsia" w:cs="Times New Roman"/>
                      <w:b w:val="0"/>
                      <w:bCs w:val="0"/>
                      <w:color w:val="auto"/>
                      <w:spacing w:val="0"/>
                      <w:kern w:val="2"/>
                      <w:sz w:val="21"/>
                      <w:szCs w:val="21"/>
                      <w:highlight w:val="none"/>
                      <w:vertAlign w:val="baseline"/>
                      <w:lang w:val="en-US" w:eastAsia="zh-CN" w:bidi="ar-SA"/>
                    </w:rPr>
                    <w:t>t/a</w:t>
                  </w:r>
                  <w:r>
                    <w:rPr>
                      <w:rFonts w:hint="default" w:ascii="Times New Roman" w:hAnsi="Times New Roman" w:eastAsia="宋体" w:cs="Times New Roman"/>
                      <w:b w:val="0"/>
                      <w:bCs w:val="0"/>
                      <w:color w:val="auto"/>
                      <w:sz w:val="21"/>
                      <w:szCs w:val="21"/>
                      <w:highlight w:val="none"/>
                      <w:lang w:val="en-US" w:eastAsia="zh-CN"/>
                    </w:rPr>
                    <w:t>，</w:t>
                  </w:r>
                  <w:r>
                    <w:rPr>
                      <w:rFonts w:hint="eastAsia" w:cs="Times New Roman"/>
                      <w:b w:val="0"/>
                      <w:bCs w:val="0"/>
                      <w:color w:val="auto"/>
                      <w:spacing w:val="0"/>
                      <w:kern w:val="2"/>
                      <w:sz w:val="21"/>
                      <w:szCs w:val="21"/>
                      <w:highlight w:val="none"/>
                      <w:vertAlign w:val="baseline"/>
                      <w:lang w:val="en-US" w:eastAsia="zh-CN" w:bidi="ar-SA"/>
                    </w:rPr>
                    <w:t>产品年产量约</w:t>
                  </w:r>
                  <w:r>
                    <w:rPr>
                      <w:rFonts w:hint="eastAsia" w:cs="Times New Roman"/>
                      <w:b w:val="0"/>
                      <w:bCs w:val="0"/>
                      <w:color w:val="auto"/>
                      <w:sz w:val="21"/>
                      <w:szCs w:val="21"/>
                      <w:highlight w:val="none"/>
                      <w:lang w:val="en-US" w:eastAsia="zh-CN"/>
                    </w:rPr>
                    <w:t>29.7</w:t>
                  </w:r>
                  <w:r>
                    <w:rPr>
                      <w:rFonts w:hint="default" w:ascii="Times New Roman" w:hAnsi="Times New Roman" w:eastAsia="宋体" w:cs="Times New Roman"/>
                      <w:b w:val="0"/>
                      <w:bCs w:val="0"/>
                      <w:color w:val="auto"/>
                      <w:sz w:val="21"/>
                      <w:szCs w:val="21"/>
                      <w:highlight w:val="none"/>
                      <w:lang w:val="en-US" w:eastAsia="zh-CN"/>
                    </w:rPr>
                    <w:t>万</w:t>
                  </w:r>
                  <w:r>
                    <w:rPr>
                      <w:rFonts w:hint="eastAsia" w:cs="Times New Roman"/>
                      <w:b w:val="0"/>
                      <w:bCs w:val="0"/>
                      <w:color w:val="auto"/>
                      <w:spacing w:val="0"/>
                      <w:kern w:val="2"/>
                      <w:sz w:val="21"/>
                      <w:szCs w:val="21"/>
                      <w:highlight w:val="none"/>
                      <w:vertAlign w:val="baseline"/>
                      <w:lang w:val="en-US" w:eastAsia="zh-CN" w:bidi="ar-SA"/>
                    </w:rPr>
                    <w:t>t/a</w:t>
                  </w:r>
                  <w:r>
                    <w:rPr>
                      <w:rFonts w:hint="default" w:ascii="Times New Roman" w:hAnsi="Times New Roman" w:eastAsia="宋体" w:cs="Times New Roman"/>
                      <w:b w:val="0"/>
                      <w:bCs w:val="0"/>
                      <w:color w:val="auto"/>
                      <w:sz w:val="21"/>
                      <w:szCs w:val="21"/>
                      <w:highlight w:val="none"/>
                      <w:lang w:val="en-US" w:eastAsia="zh-CN"/>
                    </w:rPr>
                    <w:t>，</w:t>
                  </w:r>
                  <w:r>
                    <w:rPr>
                      <w:rFonts w:hint="eastAsia" w:cs="Times New Roman"/>
                      <w:b w:val="0"/>
                      <w:bCs w:val="0"/>
                      <w:color w:val="auto"/>
                      <w:sz w:val="21"/>
                      <w:szCs w:val="21"/>
                      <w:highlight w:val="none"/>
                      <w:lang w:val="en-US" w:eastAsia="zh-CN"/>
                    </w:rPr>
                    <w:t>含硫量按0.03%计；</w:t>
                  </w:r>
                  <w:r>
                    <w:rPr>
                      <w:rFonts w:hint="eastAsia" w:cs="Times New Roman"/>
                      <w:b w:val="0"/>
                      <w:bCs w:val="0"/>
                      <w:color w:val="auto"/>
                      <w:spacing w:val="0"/>
                      <w:kern w:val="2"/>
                      <w:sz w:val="21"/>
                      <w:szCs w:val="21"/>
                      <w:highlight w:val="none"/>
                      <w:vertAlign w:val="baseline"/>
                      <w:lang w:val="en-US" w:eastAsia="zh-CN" w:bidi="ar-SA"/>
                    </w:rPr>
                    <w:t>天然气年用量</w:t>
                  </w:r>
                  <w:r>
                    <w:rPr>
                      <w:rFonts w:hint="default"/>
                      <w:bCs/>
                      <w:color w:val="auto"/>
                      <w:sz w:val="21"/>
                      <w:szCs w:val="21"/>
                      <w:highlight w:val="none"/>
                      <w:lang w:val="en-US" w:eastAsia="zh-CN"/>
                    </w:rPr>
                    <w:t>327.25</w:t>
                  </w:r>
                  <w:r>
                    <w:rPr>
                      <w:rFonts w:hint="default"/>
                      <w:bCs/>
                      <w:color w:val="auto"/>
                      <w:sz w:val="21"/>
                      <w:szCs w:val="21"/>
                      <w:highlight w:val="none"/>
                    </w:rPr>
                    <w:t>万m</w:t>
                  </w:r>
                  <w:r>
                    <w:rPr>
                      <w:rFonts w:hint="default"/>
                      <w:bCs/>
                      <w:color w:val="auto"/>
                      <w:sz w:val="21"/>
                      <w:szCs w:val="21"/>
                      <w:highlight w:val="none"/>
                      <w:vertAlign w:val="superscript"/>
                    </w:rPr>
                    <w:t>3</w:t>
                  </w:r>
                  <w:r>
                    <w:rPr>
                      <w:rFonts w:hint="default"/>
                      <w:bCs/>
                      <w:color w:val="auto"/>
                      <w:sz w:val="21"/>
                      <w:szCs w:val="21"/>
                      <w:highlight w:val="none"/>
                    </w:rPr>
                    <w:t>/a</w:t>
                  </w:r>
                  <w:r>
                    <w:rPr>
                      <w:rFonts w:hint="eastAsia"/>
                      <w:bCs/>
                      <w:color w:val="auto"/>
                      <w:sz w:val="21"/>
                      <w:szCs w:val="21"/>
                      <w:highlight w:val="none"/>
                      <w:lang w:eastAsia="zh-CN"/>
                    </w:rPr>
                    <w:t>，</w:t>
                  </w:r>
                  <w:r>
                    <w:rPr>
                      <w:rFonts w:hint="eastAsia" w:cs="Times New Roman"/>
                      <w:b w:val="0"/>
                      <w:bCs w:val="0"/>
                      <w:color w:val="auto"/>
                      <w:spacing w:val="0"/>
                      <w:kern w:val="2"/>
                      <w:sz w:val="21"/>
                      <w:szCs w:val="21"/>
                      <w:highlight w:val="none"/>
                      <w:vertAlign w:val="baseline"/>
                      <w:lang w:val="en-US" w:eastAsia="zh-CN" w:bidi="ar-SA"/>
                    </w:rPr>
                    <w:t>含硫量按20</w:t>
                  </w:r>
                  <w:r>
                    <w:rPr>
                      <w:rFonts w:hint="default"/>
                      <w:b w:val="0"/>
                      <w:bCs w:val="0"/>
                      <w:color w:val="auto"/>
                      <w:kern w:val="0"/>
                      <w:sz w:val="21"/>
                      <w:szCs w:val="21"/>
                      <w:highlight w:val="none"/>
                    </w:rPr>
                    <w:t>mg/m</w:t>
                  </w:r>
                  <w:r>
                    <w:rPr>
                      <w:rFonts w:hint="default"/>
                      <w:b w:val="0"/>
                      <w:bCs w:val="0"/>
                      <w:color w:val="auto"/>
                      <w:kern w:val="0"/>
                      <w:sz w:val="21"/>
                      <w:szCs w:val="21"/>
                      <w:highlight w:val="none"/>
                      <w:vertAlign w:val="superscript"/>
                    </w:rPr>
                    <w:t>3</w:t>
                  </w:r>
                  <w:r>
                    <w:rPr>
                      <w:rFonts w:hint="eastAsia" w:cs="Times New Roman"/>
                      <w:b w:val="0"/>
                      <w:bCs w:val="0"/>
                      <w:color w:val="auto"/>
                      <w:spacing w:val="0"/>
                      <w:kern w:val="2"/>
                      <w:sz w:val="21"/>
                      <w:szCs w:val="21"/>
                      <w:highlight w:val="none"/>
                      <w:vertAlign w:val="baseline"/>
                      <w:lang w:val="en-US" w:eastAsia="zh-CN" w:bidi="ar-SA"/>
                    </w:rPr>
                    <w:t>计；</w:t>
                  </w:r>
                  <w:r>
                    <w:rPr>
                      <w:rFonts w:hint="eastAsia"/>
                      <w:bCs/>
                      <w:color w:val="auto"/>
                      <w:sz w:val="21"/>
                      <w:szCs w:val="24"/>
                      <w:highlight w:val="none"/>
                      <w:lang w:val="en-US" w:eastAsia="zh-CN"/>
                    </w:rPr>
                    <w:t>有组织</w:t>
                  </w:r>
                  <w:r>
                    <w:rPr>
                      <w:rFonts w:hint="eastAsia" w:cs="Times New Roman"/>
                      <w:b w:val="0"/>
                      <w:bCs w:val="0"/>
                      <w:color w:val="auto"/>
                      <w:spacing w:val="0"/>
                      <w:kern w:val="2"/>
                      <w:sz w:val="21"/>
                      <w:szCs w:val="21"/>
                      <w:highlight w:val="none"/>
                      <w:vertAlign w:val="baseline"/>
                      <w:lang w:val="en-US" w:eastAsia="zh-CN" w:bidi="ar-SA"/>
                    </w:rPr>
                    <w:t>SO</w:t>
                  </w:r>
                  <w:r>
                    <w:rPr>
                      <w:rFonts w:hint="eastAsia" w:cs="Times New Roman"/>
                      <w:b w:val="0"/>
                      <w:bCs w:val="0"/>
                      <w:color w:val="auto"/>
                      <w:spacing w:val="0"/>
                      <w:kern w:val="2"/>
                      <w:sz w:val="21"/>
                      <w:szCs w:val="21"/>
                      <w:highlight w:val="none"/>
                      <w:vertAlign w:val="subscript"/>
                      <w:lang w:val="en-US" w:eastAsia="zh-CN" w:bidi="ar-SA"/>
                    </w:rPr>
                    <w:t>2</w:t>
                  </w:r>
                  <w:r>
                    <w:rPr>
                      <w:rFonts w:hint="eastAsia" w:cs="Times New Roman"/>
                      <w:b w:val="0"/>
                      <w:bCs w:val="0"/>
                      <w:color w:val="auto"/>
                      <w:spacing w:val="0"/>
                      <w:kern w:val="2"/>
                      <w:sz w:val="21"/>
                      <w:szCs w:val="21"/>
                      <w:highlight w:val="none"/>
                      <w:vertAlign w:val="baseline"/>
                      <w:lang w:val="en-US" w:eastAsia="zh-CN" w:bidi="ar-SA"/>
                    </w:rPr>
                    <w:t>排放量为0.131t/a，硫在燃烧时全部转化为SO</w:t>
                  </w:r>
                  <w:r>
                    <w:rPr>
                      <w:rFonts w:hint="eastAsia" w:cs="Times New Roman"/>
                      <w:b w:val="0"/>
                      <w:bCs w:val="0"/>
                      <w:color w:val="auto"/>
                      <w:spacing w:val="0"/>
                      <w:kern w:val="2"/>
                      <w:sz w:val="21"/>
                      <w:szCs w:val="21"/>
                      <w:highlight w:val="none"/>
                      <w:vertAlign w:val="subscript"/>
                      <w:lang w:val="en-US" w:eastAsia="zh-CN" w:bidi="ar-SA"/>
                    </w:rPr>
                    <w:t>2</w:t>
                  </w:r>
                  <w:r>
                    <w:rPr>
                      <w:rFonts w:hint="eastAsia" w:cs="Times New Roman"/>
                      <w:b w:val="0"/>
                      <w:bCs w:val="0"/>
                      <w:color w:val="auto"/>
                      <w:spacing w:val="0"/>
                      <w:kern w:val="2"/>
                      <w:sz w:val="21"/>
                      <w:szCs w:val="21"/>
                      <w:highlight w:val="none"/>
                      <w:vertAlign w:val="baseline"/>
                      <w:lang w:val="en-US" w:eastAsia="zh-CN" w:bidi="ar-SA"/>
                    </w:rPr>
                    <w:t>，S摩尔质量为32g/mol，SO</w:t>
                  </w:r>
                  <w:r>
                    <w:rPr>
                      <w:rFonts w:hint="eastAsia" w:cs="Times New Roman"/>
                      <w:b w:val="0"/>
                      <w:bCs w:val="0"/>
                      <w:color w:val="auto"/>
                      <w:spacing w:val="0"/>
                      <w:kern w:val="2"/>
                      <w:sz w:val="21"/>
                      <w:szCs w:val="21"/>
                      <w:highlight w:val="none"/>
                      <w:vertAlign w:val="subscript"/>
                      <w:lang w:val="en-US" w:eastAsia="zh-CN" w:bidi="ar-SA"/>
                    </w:rPr>
                    <w:t>2</w:t>
                  </w:r>
                  <w:r>
                    <w:rPr>
                      <w:rFonts w:hint="eastAsia" w:cs="Times New Roman"/>
                      <w:b w:val="0"/>
                      <w:bCs w:val="0"/>
                      <w:color w:val="auto"/>
                      <w:spacing w:val="0"/>
                      <w:kern w:val="2"/>
                      <w:sz w:val="21"/>
                      <w:szCs w:val="21"/>
                      <w:highlight w:val="none"/>
                      <w:vertAlign w:val="baseline"/>
                      <w:lang w:val="en-US" w:eastAsia="zh-CN" w:bidi="ar-SA"/>
                    </w:rPr>
                    <w:t>摩尔质量为64g/mol。</w:t>
                  </w:r>
                  <w:r>
                    <w:rPr>
                      <w:rFonts w:hint="eastAsia"/>
                      <w:bCs/>
                      <w:color w:val="auto"/>
                      <w:sz w:val="21"/>
                      <w:szCs w:val="24"/>
                      <w:highlight w:val="none"/>
                      <w:lang w:val="en-US" w:eastAsia="zh-CN"/>
                    </w:rPr>
                    <w:t>废边角料产生量约</w:t>
                  </w:r>
                  <w:r>
                    <w:rPr>
                      <w:rFonts w:hint="eastAsia" w:cs="Times New Roman"/>
                      <w:b w:val="0"/>
                      <w:bCs w:val="0"/>
                      <w:color w:val="auto"/>
                      <w:spacing w:val="0"/>
                      <w:kern w:val="2"/>
                      <w:sz w:val="21"/>
                      <w:szCs w:val="21"/>
                      <w:highlight w:val="none"/>
                      <w:vertAlign w:val="baseline"/>
                      <w:lang w:val="en-US" w:eastAsia="zh-CN" w:bidi="ar-SA"/>
                    </w:rPr>
                    <w:t>为2924.19t/a，除尘灰产生量约75.81t/a。</w:t>
                  </w:r>
                </w:p>
              </w:tc>
            </w:tr>
          </w:tbl>
          <w:p w14:paraId="68B5362B">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pacing w:val="0"/>
                <w:kern w:val="2"/>
                <w:sz w:val="24"/>
                <w:szCs w:val="24"/>
                <w:highlight w:val="none"/>
                <w:lang w:val="en-US" w:eastAsia="zh-CN" w:bidi="ar-SA"/>
              </w:rPr>
            </w:pPr>
            <w:r>
              <w:rPr>
                <w:rFonts w:hint="eastAsia" w:cs="Times New Roman"/>
                <w:b w:val="0"/>
                <w:bCs w:val="0"/>
                <w:color w:val="auto"/>
                <w:spacing w:val="0"/>
                <w:kern w:val="2"/>
                <w:sz w:val="24"/>
                <w:szCs w:val="24"/>
                <w:highlight w:val="none"/>
                <w:lang w:val="en-US" w:eastAsia="zh-CN" w:bidi="ar-SA"/>
              </w:rPr>
              <w:t>（3）铁平衡分析</w:t>
            </w:r>
          </w:p>
          <w:p w14:paraId="5AEC85AA">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表2</w:t>
            </w:r>
            <w:r>
              <w:rPr>
                <w:rFonts w:hint="eastAsia" w:cs="Times New Roman"/>
                <w:b/>
                <w:bCs/>
                <w:color w:val="auto"/>
                <w:sz w:val="21"/>
                <w:szCs w:val="21"/>
                <w:highlight w:val="none"/>
                <w:lang w:val="en-US" w:eastAsia="zh-CN"/>
              </w:rPr>
              <w:t>-9</w:t>
            </w:r>
            <w:r>
              <w:rPr>
                <w:rFonts w:hint="default" w:ascii="Times New Roman" w:hAnsi="Times New Roman" w:eastAsia="宋体" w:cs="Times New Roman"/>
                <w:b/>
                <w:bCs/>
                <w:color w:val="auto"/>
                <w:sz w:val="21"/>
                <w:szCs w:val="21"/>
                <w:highlight w:val="none"/>
              </w:rPr>
              <w:t xml:space="preserve">  </w:t>
            </w:r>
            <w:r>
              <w:rPr>
                <w:rFonts w:hint="eastAsia" w:cs="Times New Roman"/>
                <w:b/>
                <w:bCs/>
                <w:color w:val="auto"/>
                <w:sz w:val="21"/>
                <w:szCs w:val="21"/>
                <w:highlight w:val="none"/>
                <w:lang w:val="en-US" w:eastAsia="zh-CN"/>
              </w:rPr>
              <w:t>本项目铁平衡分析</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3"/>
              <w:gridCol w:w="1367"/>
              <w:gridCol w:w="2700"/>
              <w:gridCol w:w="1556"/>
            </w:tblGrid>
            <w:tr w14:paraId="3A9E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10" w:type="dxa"/>
                  <w:gridSpan w:val="2"/>
                  <w:tcBorders>
                    <w:tl2br w:val="nil"/>
                    <w:tr2bl w:val="nil"/>
                  </w:tcBorders>
                </w:tcPr>
                <w:p w14:paraId="0E17D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bCs/>
                      <w:color w:val="auto"/>
                      <w:spacing w:val="0"/>
                      <w:kern w:val="2"/>
                      <w:sz w:val="21"/>
                      <w:szCs w:val="21"/>
                      <w:highlight w:val="none"/>
                      <w:vertAlign w:val="baseline"/>
                      <w:lang w:val="en-US" w:eastAsia="zh-CN" w:bidi="ar-SA"/>
                    </w:rPr>
                    <w:t>进料</w:t>
                  </w:r>
                  <w:r>
                    <w:rPr>
                      <w:rFonts w:hint="eastAsia" w:cs="Times New Roman"/>
                      <w:b/>
                      <w:bCs/>
                      <w:color w:val="auto"/>
                      <w:sz w:val="21"/>
                      <w:szCs w:val="21"/>
                      <w:highlight w:val="none"/>
                      <w:lang w:val="en-US" w:eastAsia="zh-CN"/>
                    </w:rPr>
                    <w:t>铁</w:t>
                  </w:r>
                  <w:r>
                    <w:rPr>
                      <w:rFonts w:hint="eastAsia" w:cs="Times New Roman"/>
                      <w:b/>
                      <w:bCs/>
                      <w:color w:val="auto"/>
                      <w:spacing w:val="0"/>
                      <w:kern w:val="2"/>
                      <w:sz w:val="21"/>
                      <w:szCs w:val="21"/>
                      <w:highlight w:val="none"/>
                      <w:vertAlign w:val="baseline"/>
                      <w:lang w:val="en-US" w:eastAsia="zh-CN" w:bidi="ar-SA"/>
                    </w:rPr>
                    <w:t>含量（t/a）</w:t>
                  </w:r>
                </w:p>
              </w:tc>
              <w:tc>
                <w:tcPr>
                  <w:tcW w:w="4256" w:type="dxa"/>
                  <w:gridSpan w:val="2"/>
                  <w:tcBorders>
                    <w:tl2br w:val="nil"/>
                    <w:tr2bl w:val="nil"/>
                  </w:tcBorders>
                </w:tcPr>
                <w:p w14:paraId="1256ED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bCs/>
                      <w:color w:val="auto"/>
                      <w:spacing w:val="0"/>
                      <w:kern w:val="2"/>
                      <w:sz w:val="21"/>
                      <w:szCs w:val="21"/>
                      <w:highlight w:val="none"/>
                      <w:vertAlign w:val="baseline"/>
                      <w:lang w:val="en-US" w:eastAsia="zh-CN" w:bidi="ar-SA"/>
                    </w:rPr>
                    <w:t>出料</w:t>
                  </w:r>
                  <w:r>
                    <w:rPr>
                      <w:rFonts w:hint="eastAsia" w:cs="Times New Roman"/>
                      <w:b/>
                      <w:bCs/>
                      <w:color w:val="auto"/>
                      <w:sz w:val="21"/>
                      <w:szCs w:val="21"/>
                      <w:highlight w:val="none"/>
                      <w:lang w:val="en-US" w:eastAsia="zh-CN"/>
                    </w:rPr>
                    <w:t>铁</w:t>
                  </w:r>
                  <w:r>
                    <w:rPr>
                      <w:rFonts w:hint="eastAsia" w:cs="Times New Roman"/>
                      <w:b/>
                      <w:bCs/>
                      <w:color w:val="auto"/>
                      <w:spacing w:val="0"/>
                      <w:kern w:val="2"/>
                      <w:sz w:val="21"/>
                      <w:szCs w:val="21"/>
                      <w:highlight w:val="none"/>
                      <w:vertAlign w:val="baseline"/>
                      <w:lang w:val="en-US" w:eastAsia="zh-CN" w:bidi="ar-SA"/>
                    </w:rPr>
                    <w:t>含量（t/a）</w:t>
                  </w:r>
                </w:p>
              </w:tc>
            </w:tr>
            <w:tr w14:paraId="190C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Borders>
                    <w:tl2br w:val="nil"/>
                    <w:tr2bl w:val="nil"/>
                  </w:tcBorders>
                </w:tcPr>
                <w:p w14:paraId="067E2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原料</w:t>
                  </w:r>
                </w:p>
              </w:tc>
              <w:tc>
                <w:tcPr>
                  <w:tcW w:w="1367" w:type="dxa"/>
                  <w:tcBorders>
                    <w:tl2br w:val="nil"/>
                    <w:tr2bl w:val="nil"/>
                  </w:tcBorders>
                </w:tcPr>
                <w:p w14:paraId="7F475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270000</w:t>
                  </w:r>
                </w:p>
              </w:tc>
              <w:tc>
                <w:tcPr>
                  <w:tcW w:w="2700" w:type="dxa"/>
                  <w:tcBorders>
                    <w:tl2br w:val="nil"/>
                    <w:tr2bl w:val="nil"/>
                  </w:tcBorders>
                </w:tcPr>
                <w:p w14:paraId="1C2BB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产品</w:t>
                  </w:r>
                </w:p>
              </w:tc>
              <w:tc>
                <w:tcPr>
                  <w:tcW w:w="1556" w:type="dxa"/>
                  <w:tcBorders>
                    <w:tl2br w:val="nil"/>
                    <w:tr2bl w:val="nil"/>
                  </w:tcBorders>
                </w:tcPr>
                <w:p w14:paraId="17C99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267300</w:t>
                  </w:r>
                </w:p>
              </w:tc>
            </w:tr>
            <w:tr w14:paraId="7882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Borders>
                    <w:tl2br w:val="nil"/>
                    <w:tr2bl w:val="nil"/>
                  </w:tcBorders>
                  <w:vAlign w:val="top"/>
                </w:tcPr>
                <w:p w14:paraId="54769E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1367" w:type="dxa"/>
                  <w:tcBorders>
                    <w:tl2br w:val="nil"/>
                    <w:tr2bl w:val="nil"/>
                  </w:tcBorders>
                  <w:vAlign w:val="top"/>
                </w:tcPr>
                <w:p w14:paraId="69A02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2700" w:type="dxa"/>
                  <w:tcBorders>
                    <w:tl2br w:val="nil"/>
                    <w:tr2bl w:val="nil"/>
                  </w:tcBorders>
                </w:tcPr>
                <w:p w14:paraId="14A338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废边角料</w:t>
                  </w:r>
                </w:p>
              </w:tc>
              <w:tc>
                <w:tcPr>
                  <w:tcW w:w="1556" w:type="dxa"/>
                  <w:tcBorders>
                    <w:tl2br w:val="nil"/>
                    <w:tr2bl w:val="nil"/>
                  </w:tcBorders>
                </w:tcPr>
                <w:p w14:paraId="03FC5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2631.771</w:t>
                  </w:r>
                </w:p>
              </w:tc>
            </w:tr>
            <w:tr w14:paraId="3335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3" w:type="dxa"/>
                  <w:tcBorders>
                    <w:tl2br w:val="nil"/>
                    <w:tr2bl w:val="nil"/>
                  </w:tcBorders>
                  <w:vAlign w:val="top"/>
                </w:tcPr>
                <w:p w14:paraId="3BB59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1367" w:type="dxa"/>
                  <w:tcBorders>
                    <w:tl2br w:val="nil"/>
                    <w:tr2bl w:val="nil"/>
                  </w:tcBorders>
                  <w:vAlign w:val="top"/>
                </w:tcPr>
                <w:p w14:paraId="2388A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w:t>
                  </w:r>
                </w:p>
              </w:tc>
              <w:tc>
                <w:tcPr>
                  <w:tcW w:w="2700" w:type="dxa"/>
                  <w:tcBorders>
                    <w:tl2br w:val="nil"/>
                    <w:tr2bl w:val="nil"/>
                  </w:tcBorders>
                </w:tcPr>
                <w:p w14:paraId="30E48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除尘灰</w:t>
                  </w:r>
                </w:p>
              </w:tc>
              <w:tc>
                <w:tcPr>
                  <w:tcW w:w="1556" w:type="dxa"/>
                  <w:tcBorders>
                    <w:tl2br w:val="nil"/>
                    <w:tr2bl w:val="nil"/>
                  </w:tcBorders>
                </w:tcPr>
                <w:p w14:paraId="30EF1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68.229</w:t>
                  </w:r>
                </w:p>
              </w:tc>
            </w:tr>
            <w:tr w14:paraId="6648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3443" w:type="dxa"/>
                  <w:tcBorders>
                    <w:tl2br w:val="nil"/>
                    <w:tr2bl w:val="nil"/>
                  </w:tcBorders>
                </w:tcPr>
                <w:p w14:paraId="542E7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合计</w:t>
                  </w:r>
                </w:p>
              </w:tc>
              <w:tc>
                <w:tcPr>
                  <w:tcW w:w="1367" w:type="dxa"/>
                  <w:tcBorders>
                    <w:tl2br w:val="nil"/>
                    <w:tr2bl w:val="nil"/>
                  </w:tcBorders>
                </w:tcPr>
                <w:p w14:paraId="25CA64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270000</w:t>
                  </w:r>
                </w:p>
              </w:tc>
              <w:tc>
                <w:tcPr>
                  <w:tcW w:w="2700" w:type="dxa"/>
                  <w:tcBorders>
                    <w:tl2br w:val="nil"/>
                    <w:tr2bl w:val="nil"/>
                  </w:tcBorders>
                </w:tcPr>
                <w:p w14:paraId="19DE7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合计</w:t>
                  </w:r>
                </w:p>
              </w:tc>
              <w:tc>
                <w:tcPr>
                  <w:tcW w:w="1556" w:type="dxa"/>
                  <w:tcBorders>
                    <w:tl2br w:val="nil"/>
                    <w:tr2bl w:val="nil"/>
                  </w:tcBorders>
                </w:tcPr>
                <w:p w14:paraId="0D12CA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pacing w:val="0"/>
                      <w:kern w:val="2"/>
                      <w:sz w:val="21"/>
                      <w:szCs w:val="21"/>
                      <w:highlight w:val="none"/>
                      <w:vertAlign w:val="baseline"/>
                      <w:lang w:val="en-US" w:eastAsia="zh-CN" w:bidi="ar-SA"/>
                    </w:rPr>
                    <w:t>270000</w:t>
                  </w:r>
                </w:p>
              </w:tc>
            </w:tr>
            <w:tr w14:paraId="0DB3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9066" w:type="dxa"/>
                  <w:gridSpan w:val="4"/>
                  <w:tcBorders>
                    <w:tl2br w:val="nil"/>
                    <w:tr2bl w:val="nil"/>
                  </w:tcBorders>
                </w:tcPr>
                <w:p w14:paraId="6E1DF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cs="Times New Roman"/>
                      <w:b w:val="0"/>
                      <w:bCs w:val="0"/>
                      <w:color w:val="auto"/>
                      <w:spacing w:val="0"/>
                      <w:kern w:val="2"/>
                      <w:sz w:val="21"/>
                      <w:szCs w:val="21"/>
                      <w:highlight w:val="none"/>
                      <w:vertAlign w:val="baseline"/>
                      <w:lang w:val="en-US" w:eastAsia="zh-CN" w:bidi="ar-SA"/>
                    </w:rPr>
                  </w:pPr>
                  <w:r>
                    <w:rPr>
                      <w:rFonts w:hint="eastAsia" w:cs="Times New Roman"/>
                      <w:b w:val="0"/>
                      <w:bCs w:val="0"/>
                      <w:color w:val="auto"/>
                      <w:sz w:val="21"/>
                      <w:szCs w:val="21"/>
                      <w:highlight w:val="none"/>
                      <w:lang w:val="en-US" w:eastAsia="zh-CN"/>
                    </w:rPr>
                    <w:t>注：</w:t>
                  </w:r>
                  <w:r>
                    <w:rPr>
                      <w:rFonts w:hint="default" w:ascii="Times New Roman" w:hAnsi="Times New Roman" w:eastAsia="宋体" w:cs="Times New Roman"/>
                      <w:b w:val="0"/>
                      <w:bCs w:val="0"/>
                      <w:color w:val="auto"/>
                      <w:sz w:val="21"/>
                      <w:szCs w:val="21"/>
                      <w:highlight w:val="none"/>
                      <w:lang w:val="en-US" w:eastAsia="zh-CN"/>
                    </w:rPr>
                    <w:t>原料年用量约30万</w:t>
                  </w:r>
                  <w:r>
                    <w:rPr>
                      <w:rFonts w:hint="eastAsia" w:cs="Times New Roman"/>
                      <w:b w:val="0"/>
                      <w:bCs w:val="0"/>
                      <w:color w:val="auto"/>
                      <w:spacing w:val="0"/>
                      <w:kern w:val="2"/>
                      <w:sz w:val="21"/>
                      <w:szCs w:val="21"/>
                      <w:highlight w:val="none"/>
                      <w:vertAlign w:val="baseline"/>
                      <w:lang w:val="en-US" w:eastAsia="zh-CN" w:bidi="ar-SA"/>
                    </w:rPr>
                    <w:t>t/a</w:t>
                  </w:r>
                  <w:r>
                    <w:rPr>
                      <w:rFonts w:hint="default" w:ascii="Times New Roman" w:hAnsi="Times New Roman" w:eastAsia="宋体" w:cs="Times New Roman"/>
                      <w:b w:val="0"/>
                      <w:bCs w:val="0"/>
                      <w:color w:val="auto"/>
                      <w:sz w:val="21"/>
                      <w:szCs w:val="21"/>
                      <w:highlight w:val="none"/>
                      <w:lang w:val="en-US" w:eastAsia="zh-CN"/>
                    </w:rPr>
                    <w:t>，</w:t>
                  </w:r>
                  <w:r>
                    <w:rPr>
                      <w:rFonts w:hint="eastAsia" w:cs="Times New Roman"/>
                      <w:b w:val="0"/>
                      <w:bCs w:val="0"/>
                      <w:color w:val="auto"/>
                      <w:spacing w:val="0"/>
                      <w:kern w:val="2"/>
                      <w:sz w:val="21"/>
                      <w:szCs w:val="21"/>
                      <w:highlight w:val="none"/>
                      <w:vertAlign w:val="baseline"/>
                      <w:lang w:val="en-US" w:eastAsia="zh-CN" w:bidi="ar-SA"/>
                    </w:rPr>
                    <w:t>产品年产量约</w:t>
                  </w:r>
                  <w:r>
                    <w:rPr>
                      <w:rFonts w:hint="eastAsia" w:cs="Times New Roman"/>
                      <w:b w:val="0"/>
                      <w:bCs w:val="0"/>
                      <w:color w:val="auto"/>
                      <w:sz w:val="21"/>
                      <w:szCs w:val="21"/>
                      <w:highlight w:val="none"/>
                      <w:lang w:val="en-US" w:eastAsia="zh-CN"/>
                    </w:rPr>
                    <w:t>29.7</w:t>
                  </w:r>
                  <w:r>
                    <w:rPr>
                      <w:rFonts w:hint="default" w:ascii="Times New Roman" w:hAnsi="Times New Roman" w:eastAsia="宋体" w:cs="Times New Roman"/>
                      <w:b w:val="0"/>
                      <w:bCs w:val="0"/>
                      <w:color w:val="auto"/>
                      <w:sz w:val="21"/>
                      <w:szCs w:val="21"/>
                      <w:highlight w:val="none"/>
                      <w:lang w:val="en-US" w:eastAsia="zh-CN"/>
                    </w:rPr>
                    <w:t>万</w:t>
                  </w:r>
                  <w:r>
                    <w:rPr>
                      <w:rFonts w:hint="eastAsia" w:cs="Times New Roman"/>
                      <w:b w:val="0"/>
                      <w:bCs w:val="0"/>
                      <w:color w:val="auto"/>
                      <w:spacing w:val="0"/>
                      <w:kern w:val="2"/>
                      <w:sz w:val="21"/>
                      <w:szCs w:val="21"/>
                      <w:highlight w:val="none"/>
                      <w:vertAlign w:val="baseline"/>
                      <w:lang w:val="en-US" w:eastAsia="zh-CN" w:bidi="ar-SA"/>
                    </w:rPr>
                    <w:t>t/a</w:t>
                  </w:r>
                  <w:r>
                    <w:rPr>
                      <w:rFonts w:hint="default" w:ascii="Times New Roman" w:hAnsi="Times New Roman" w:eastAsia="宋体" w:cs="Times New Roman"/>
                      <w:b w:val="0"/>
                      <w:bCs w:val="0"/>
                      <w:color w:val="auto"/>
                      <w:sz w:val="21"/>
                      <w:szCs w:val="21"/>
                      <w:highlight w:val="none"/>
                      <w:lang w:val="en-US" w:eastAsia="zh-CN"/>
                    </w:rPr>
                    <w:t>，</w:t>
                  </w:r>
                  <w:r>
                    <w:rPr>
                      <w:rFonts w:hint="eastAsia"/>
                      <w:bCs/>
                      <w:color w:val="auto"/>
                      <w:sz w:val="21"/>
                      <w:szCs w:val="24"/>
                      <w:highlight w:val="none"/>
                      <w:lang w:val="en-US" w:eastAsia="zh-CN"/>
                    </w:rPr>
                    <w:t>废边角料产生量约</w:t>
                  </w:r>
                  <w:r>
                    <w:rPr>
                      <w:rFonts w:hint="eastAsia" w:cs="Times New Roman"/>
                      <w:b w:val="0"/>
                      <w:bCs w:val="0"/>
                      <w:color w:val="auto"/>
                      <w:spacing w:val="0"/>
                      <w:kern w:val="2"/>
                      <w:sz w:val="21"/>
                      <w:szCs w:val="21"/>
                      <w:highlight w:val="none"/>
                      <w:vertAlign w:val="baseline"/>
                      <w:lang w:val="en-US" w:eastAsia="zh-CN" w:bidi="ar-SA"/>
                    </w:rPr>
                    <w:t>为2924.19t/a，除尘灰产生量约75.81t/a，</w:t>
                  </w:r>
                  <w:r>
                    <w:rPr>
                      <w:rFonts w:hint="eastAsia" w:cs="Times New Roman"/>
                      <w:b w:val="0"/>
                      <w:bCs w:val="0"/>
                      <w:color w:val="auto"/>
                      <w:sz w:val="21"/>
                      <w:szCs w:val="21"/>
                      <w:highlight w:val="none"/>
                      <w:lang w:val="en-US" w:eastAsia="zh-CN"/>
                    </w:rPr>
                    <w:t>含铁量均按90%计。</w:t>
                  </w:r>
                </w:p>
              </w:tc>
            </w:tr>
          </w:tbl>
          <w:p w14:paraId="0909320A">
            <w:pPr>
              <w:keepNext w:val="0"/>
              <w:keepLines w:val="0"/>
              <w:pageBreakBefore w:val="0"/>
              <w:widowControl w:val="0"/>
              <w:suppressLineNumbers w:val="0"/>
              <w:kinsoku/>
              <w:wordWrap/>
              <w:overflowPunct/>
              <w:topLinePunct w:val="0"/>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val="0"/>
                <w:color w:val="auto"/>
                <w:spacing w:val="0"/>
                <w:sz w:val="24"/>
                <w:szCs w:val="24"/>
                <w:highlight w:val="none"/>
                <w:lang w:val="en-US" w:eastAsia="zh-CN"/>
              </w:rPr>
            </w:pPr>
            <w:r>
              <w:rPr>
                <w:rFonts w:hint="eastAsia" w:ascii="Times New Roman" w:hAnsi="Times New Roman" w:eastAsia="宋体" w:cs="Times New Roman"/>
                <w:b/>
                <w:bCs/>
                <w:color w:val="auto"/>
                <w:spacing w:val="0"/>
                <w:kern w:val="2"/>
                <w:sz w:val="24"/>
                <w:szCs w:val="24"/>
                <w:highlight w:val="none"/>
                <w:lang w:val="en-US" w:eastAsia="zh-CN" w:bidi="ar-SA"/>
              </w:rPr>
              <w:t>5、</w:t>
            </w:r>
            <w:r>
              <w:rPr>
                <w:rFonts w:hint="default" w:ascii="Times New Roman" w:hAnsi="Times New Roman" w:eastAsia="宋体" w:cs="Times New Roman"/>
                <w:b/>
                <w:bCs w:val="0"/>
                <w:color w:val="auto"/>
                <w:spacing w:val="0"/>
                <w:sz w:val="24"/>
                <w:szCs w:val="24"/>
                <w:highlight w:val="none"/>
                <w:lang w:val="en-US" w:eastAsia="zh-CN"/>
              </w:rPr>
              <w:t>劳动定员及工作制度</w:t>
            </w:r>
          </w:p>
          <w:p w14:paraId="43D2DD8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eastAsia="宋体"/>
                <w:snapToGrid w:val="0"/>
                <w:color w:val="auto"/>
                <w:kern w:val="0"/>
                <w:sz w:val="24"/>
                <w:highlight w:val="none"/>
                <w:lang w:val="en-US" w:eastAsia="zh-CN"/>
              </w:rPr>
            </w:pPr>
            <w:r>
              <w:rPr>
                <w:rFonts w:hint="eastAsia" w:hAnsi="宋体"/>
                <w:color w:val="auto"/>
                <w:kern w:val="0"/>
                <w:sz w:val="24"/>
                <w:highlight w:val="none"/>
                <w:lang w:val="en-US" w:eastAsia="zh-CN"/>
              </w:rPr>
              <w:t>本项目劳动定员30人，年</w:t>
            </w:r>
            <w:r>
              <w:rPr>
                <w:rFonts w:hint="eastAsia" w:ascii="Times New Roman" w:hAnsi="Times New Roman" w:cs="Times New Roman"/>
                <w:color w:val="auto"/>
                <w:kern w:val="0"/>
                <w:sz w:val="24"/>
                <w:highlight w:val="none"/>
                <w:lang w:val="en-US" w:eastAsia="zh-CN"/>
              </w:rPr>
              <w:t>工作时间为3</w:t>
            </w:r>
            <w:r>
              <w:rPr>
                <w:rFonts w:hint="eastAsia" w:cs="Times New Roman"/>
                <w:color w:val="auto"/>
                <w:kern w:val="0"/>
                <w:sz w:val="24"/>
                <w:highlight w:val="none"/>
                <w:lang w:val="en-US" w:eastAsia="zh-CN"/>
              </w:rPr>
              <w:t>3</w:t>
            </w:r>
            <w:r>
              <w:rPr>
                <w:rFonts w:hint="eastAsia" w:ascii="Times New Roman" w:hAnsi="Times New Roman" w:cs="Times New Roman"/>
                <w:color w:val="auto"/>
                <w:kern w:val="0"/>
                <w:sz w:val="24"/>
                <w:highlight w:val="none"/>
                <w:lang w:val="en-US" w:eastAsia="zh-CN"/>
              </w:rPr>
              <w:t>0天，</w:t>
            </w:r>
            <w:r>
              <w:rPr>
                <w:rFonts w:hint="default" w:ascii="Times New Roman" w:hAnsi="Times New Roman" w:cs="Times New Roman"/>
                <w:color w:val="auto"/>
                <w:kern w:val="0"/>
                <w:sz w:val="24"/>
                <w:highlight w:val="none"/>
                <w:lang w:val="en-US" w:eastAsia="zh-CN"/>
              </w:rPr>
              <w:t>采用</w:t>
            </w:r>
            <w:r>
              <w:rPr>
                <w:rFonts w:hint="eastAsia" w:cs="Times New Roman"/>
                <w:color w:val="auto"/>
                <w:kern w:val="0"/>
                <w:sz w:val="24"/>
                <w:highlight w:val="none"/>
                <w:lang w:val="en-US" w:eastAsia="zh-CN"/>
              </w:rPr>
              <w:t>3</w:t>
            </w:r>
            <w:r>
              <w:rPr>
                <w:rFonts w:hint="default" w:ascii="Times New Roman" w:hAnsi="Times New Roman" w:cs="Times New Roman"/>
                <w:color w:val="auto"/>
                <w:kern w:val="0"/>
                <w:sz w:val="24"/>
                <w:highlight w:val="none"/>
                <w:lang w:val="en-US" w:eastAsia="zh-CN"/>
              </w:rPr>
              <w:t>班工作制，每班8小时</w:t>
            </w:r>
            <w:r>
              <w:rPr>
                <w:rFonts w:hint="eastAsia" w:cs="Times New Roman"/>
                <w:color w:val="auto"/>
                <w:kern w:val="0"/>
                <w:sz w:val="24"/>
                <w:highlight w:val="none"/>
                <w:lang w:val="en-US" w:eastAsia="zh-CN"/>
              </w:rPr>
              <w:t>，年工作7920h/a</w:t>
            </w:r>
            <w:r>
              <w:rPr>
                <w:rFonts w:hint="eastAsia" w:ascii="Times New Roman" w:hAnsi="Times New Roman" w:cs="Times New Roman"/>
                <w:color w:val="auto"/>
                <w:kern w:val="0"/>
                <w:sz w:val="24"/>
                <w:highlight w:val="none"/>
                <w:lang w:val="en-US" w:eastAsia="zh-CN"/>
              </w:rPr>
              <w:t>。</w:t>
            </w:r>
          </w:p>
          <w:p w14:paraId="7FBA1C28">
            <w:pPr>
              <w:keepNext w:val="0"/>
              <w:keepLines w:val="0"/>
              <w:suppressLineNumbers w:val="0"/>
              <w:spacing w:before="0" w:beforeAutospacing="0" w:after="0" w:afterAutospacing="0" w:line="480" w:lineRule="exact"/>
              <w:ind w:left="0" w:right="0" w:firstLine="482" w:firstLineChars="200"/>
              <w:rPr>
                <w:rFonts w:hint="default" w:ascii="Times New Roman" w:hAnsi="Times New Roman" w:eastAsia="宋体" w:cs="Times New Roman"/>
                <w:b/>
                <w:bCs w:val="0"/>
                <w:color w:val="auto"/>
                <w:spacing w:val="0"/>
                <w:sz w:val="24"/>
                <w:szCs w:val="24"/>
                <w:highlight w:val="none"/>
                <w:lang w:val="en-US" w:eastAsia="zh-CN"/>
              </w:rPr>
            </w:pPr>
            <w:r>
              <w:rPr>
                <w:rFonts w:hint="eastAsia" w:cs="Times New Roman"/>
                <w:b/>
                <w:bCs w:val="0"/>
                <w:color w:val="auto"/>
                <w:spacing w:val="0"/>
                <w:sz w:val="24"/>
                <w:szCs w:val="24"/>
                <w:highlight w:val="none"/>
                <w:lang w:val="en-US" w:eastAsia="zh-CN"/>
              </w:rPr>
              <w:t>6、总</w:t>
            </w:r>
            <w:r>
              <w:rPr>
                <w:rFonts w:hint="default" w:ascii="Times New Roman" w:hAnsi="Times New Roman" w:eastAsia="宋体" w:cs="Times New Roman"/>
                <w:b/>
                <w:bCs w:val="0"/>
                <w:color w:val="auto"/>
                <w:spacing w:val="0"/>
                <w:sz w:val="24"/>
                <w:szCs w:val="24"/>
                <w:highlight w:val="none"/>
                <w:lang w:val="en-US" w:eastAsia="zh-CN"/>
              </w:rPr>
              <w:t>平面布置</w:t>
            </w:r>
          </w:p>
          <w:p w14:paraId="57F04210">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b w:val="0"/>
                <w:bCs/>
                <w:color w:val="auto"/>
                <w:spacing w:val="0"/>
                <w:sz w:val="24"/>
                <w:szCs w:val="24"/>
                <w:highlight w:val="none"/>
                <w:vertAlign w:val="baseline"/>
                <w:lang w:val="en-US" w:eastAsia="zh-CN"/>
              </w:rPr>
            </w:pPr>
            <w:r>
              <w:rPr>
                <w:rFonts w:hint="default" w:hAnsi="宋体"/>
                <w:b w:val="0"/>
                <w:bCs/>
                <w:color w:val="auto"/>
                <w:kern w:val="0"/>
                <w:sz w:val="24"/>
                <w:highlight w:val="none"/>
              </w:rPr>
              <w:t>本</w:t>
            </w:r>
            <w:r>
              <w:rPr>
                <w:rFonts w:hint="eastAsia" w:hAnsi="宋体"/>
                <w:b w:val="0"/>
                <w:bCs/>
                <w:color w:val="auto"/>
                <w:kern w:val="0"/>
                <w:sz w:val="24"/>
                <w:highlight w:val="none"/>
              </w:rPr>
              <w:t>项目</w:t>
            </w:r>
            <w:r>
              <w:rPr>
                <w:rFonts w:hint="eastAsia"/>
                <w:b w:val="0"/>
                <w:bCs/>
                <w:color w:val="auto"/>
                <w:sz w:val="24"/>
                <w:highlight w:val="none"/>
              </w:rPr>
              <w:t>位于</w:t>
            </w:r>
            <w:r>
              <w:rPr>
                <w:rFonts w:hint="default" w:ascii="Times New Roman" w:hAnsi="Times New Roman" w:eastAsia="宋体" w:cs="Times New Roman"/>
                <w:color w:val="auto"/>
                <w:sz w:val="24"/>
                <w:szCs w:val="24"/>
                <w:highlight w:val="none"/>
                <w:lang w:val="en-US" w:eastAsia="zh-CN"/>
              </w:rPr>
              <w:t>屯留区李高乡康庄村北3</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0m处</w:t>
            </w:r>
            <w:r>
              <w:rPr>
                <w:rFonts w:hint="eastAsia" w:cs="Times New Roman"/>
                <w:color w:val="auto"/>
                <w:sz w:val="24"/>
                <w:szCs w:val="24"/>
                <w:highlight w:val="none"/>
                <w:lang w:val="en-US" w:eastAsia="zh-CN"/>
              </w:rPr>
              <w:t>现有厂房内</w:t>
            </w:r>
            <w:r>
              <w:rPr>
                <w:rFonts w:hint="eastAsia" w:cs="Times New Roman"/>
                <w:color w:val="auto"/>
                <w:spacing w:val="0"/>
                <w:sz w:val="24"/>
                <w:szCs w:val="20"/>
                <w:highlight w:val="none"/>
                <w:lang w:val="en-US" w:eastAsia="zh-CN"/>
              </w:rPr>
              <w:t>，项目占地原为废钢铁项目的产品堆放区，</w:t>
            </w:r>
            <w:r>
              <w:rPr>
                <w:rFonts w:hint="eastAsia" w:cs="Times New Roman"/>
                <w:b w:val="0"/>
                <w:bCs/>
                <w:color w:val="auto"/>
                <w:spacing w:val="0"/>
                <w:sz w:val="24"/>
                <w:szCs w:val="24"/>
                <w:highlight w:val="none"/>
                <w:vertAlign w:val="baseline"/>
                <w:lang w:val="en-US" w:eastAsia="zh-CN"/>
              </w:rPr>
              <w:t>不新增用地，占地类型为工业用地。</w:t>
            </w:r>
          </w:p>
          <w:p w14:paraId="0056A33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b w:val="0"/>
                <w:bCs/>
                <w:color w:val="auto"/>
                <w:spacing w:val="0"/>
                <w:sz w:val="24"/>
                <w:szCs w:val="24"/>
                <w:highlight w:val="none"/>
                <w:vertAlign w:val="baseline"/>
                <w:lang w:val="en-US" w:eastAsia="zh-CN"/>
              </w:rPr>
            </w:pPr>
            <w:r>
              <w:rPr>
                <w:rFonts w:hint="eastAsia" w:cs="Times New Roman"/>
                <w:b w:val="0"/>
                <w:bCs/>
                <w:color w:val="auto"/>
                <w:spacing w:val="0"/>
                <w:sz w:val="24"/>
                <w:szCs w:val="24"/>
                <w:highlight w:val="none"/>
                <w:vertAlign w:val="baseline"/>
                <w:lang w:val="en-US" w:eastAsia="zh-CN"/>
              </w:rPr>
              <w:t>厂区平面布置：1#厂房位于厂区西北侧，为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r>
              <w:rPr>
                <w:rFonts w:hint="eastAsia" w:cs="Times New Roman"/>
                <w:color w:val="auto"/>
                <w:spacing w:val="0"/>
                <w:sz w:val="24"/>
                <w:szCs w:val="20"/>
                <w:highlight w:val="none"/>
                <w:lang w:val="en-US" w:eastAsia="zh-CN"/>
              </w:rPr>
              <w:t>车间，东侧为办公楼，办公楼南侧为2</w:t>
            </w:r>
            <w:r>
              <w:rPr>
                <w:rFonts w:hint="eastAsia" w:cs="Times New Roman"/>
                <w:b w:val="0"/>
                <w:bCs/>
                <w:color w:val="auto"/>
                <w:spacing w:val="0"/>
                <w:sz w:val="24"/>
                <w:szCs w:val="24"/>
                <w:highlight w:val="none"/>
                <w:vertAlign w:val="baseline"/>
                <w:lang w:val="en-US" w:eastAsia="zh-CN"/>
              </w:rPr>
              <w:t>#厂房，为汽车拆解项目和新能源汽车拆解项目车间，再往南为报废汽车、报废新能源汽车堆场，堆场东侧依次为危废贮存库、初期雨水收集池，堆场西侧依次为智控中心、3#厂房，3#厂房目前为闲置厂房。</w:t>
            </w:r>
          </w:p>
          <w:p w14:paraId="3A6F0677">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b w:val="0"/>
                <w:bCs/>
                <w:color w:val="auto"/>
                <w:spacing w:val="0"/>
                <w:sz w:val="24"/>
                <w:szCs w:val="24"/>
                <w:highlight w:val="none"/>
                <w:vertAlign w:val="baseline"/>
                <w:lang w:val="en-US" w:eastAsia="zh-CN"/>
              </w:rPr>
            </w:pPr>
            <w:r>
              <w:rPr>
                <w:rFonts w:hint="eastAsia" w:cs="Times New Roman"/>
                <w:b w:val="0"/>
                <w:bCs/>
                <w:color w:val="auto"/>
                <w:spacing w:val="0"/>
                <w:sz w:val="24"/>
                <w:szCs w:val="24"/>
                <w:highlight w:val="none"/>
                <w:vertAlign w:val="baseline"/>
                <w:lang w:val="en-US" w:eastAsia="zh-CN"/>
              </w:rPr>
              <w:t>本项目平面布置：占地由西向东依次为原料堆放区、生产区、成品堆放区。</w:t>
            </w:r>
          </w:p>
          <w:p w14:paraId="496376C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b w:val="0"/>
                <w:bCs/>
                <w:color w:val="auto"/>
                <w:spacing w:val="0"/>
                <w:sz w:val="24"/>
                <w:szCs w:val="24"/>
                <w:highlight w:val="none"/>
                <w:vertAlign w:val="baseline"/>
                <w:lang w:val="en-US" w:eastAsia="zh-CN"/>
              </w:rPr>
              <w:t>本项目占地西侧为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项目的成品堆放区，</w:t>
            </w:r>
            <w:r>
              <w:rPr>
                <w:rFonts w:hint="eastAsia" w:cs="Times New Roman"/>
                <w:b w:val="0"/>
                <w:bCs/>
                <w:color w:val="auto"/>
                <w:spacing w:val="0"/>
                <w:sz w:val="24"/>
                <w:szCs w:val="24"/>
                <w:highlight w:val="none"/>
                <w:vertAlign w:val="baseline"/>
                <w:lang w:val="en-US" w:eastAsia="zh-CN"/>
              </w:rPr>
              <w:t>南侧为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项目的原料堆放区和剪切区。</w:t>
            </w:r>
          </w:p>
          <w:p w14:paraId="6EF8C6F9">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pacing w:val="0"/>
                <w:sz w:val="24"/>
                <w:highlight w:val="none"/>
                <w:lang w:val="en-US" w:eastAsia="zh-CN"/>
              </w:rPr>
            </w:pPr>
            <w:r>
              <w:rPr>
                <w:rFonts w:hint="eastAsia"/>
                <w:b w:val="0"/>
                <w:bCs w:val="0"/>
                <w:color w:val="auto"/>
                <w:sz w:val="24"/>
                <w:szCs w:val="32"/>
                <w:highlight w:val="none"/>
                <w:lang w:val="en-US" w:eastAsia="zh-CN"/>
              </w:rPr>
              <w:t>厂区现状分布图及分区防渗图</w:t>
            </w:r>
            <w:r>
              <w:rPr>
                <w:rFonts w:hint="eastAsia" w:ascii="Times New Roman" w:hAnsi="Times New Roman" w:eastAsia="宋体" w:cs="Times New Roman"/>
                <w:color w:val="auto"/>
                <w:spacing w:val="0"/>
                <w:sz w:val="24"/>
                <w:szCs w:val="20"/>
                <w:highlight w:val="none"/>
                <w:lang w:val="en-US" w:eastAsia="zh-CN"/>
              </w:rPr>
              <w:t>见</w:t>
            </w:r>
            <w:r>
              <w:rPr>
                <w:rFonts w:hint="eastAsia" w:cs="Times New Roman"/>
                <w:color w:val="auto"/>
                <w:spacing w:val="0"/>
                <w:sz w:val="24"/>
                <w:highlight w:val="none"/>
                <w:lang w:val="en-US" w:eastAsia="zh-CN"/>
              </w:rPr>
              <w:t>附图4，</w:t>
            </w:r>
            <w:r>
              <w:rPr>
                <w:rFonts w:hint="eastAsia" w:ascii="Times New Roman Regular" w:hAnsi="Times New Roman Regular" w:cs="Times New Roman Regular"/>
                <w:b w:val="0"/>
                <w:bCs w:val="0"/>
                <w:color w:val="auto"/>
                <w:sz w:val="24"/>
                <w:szCs w:val="32"/>
                <w:highlight w:val="none"/>
                <w:lang w:val="en-US" w:eastAsia="zh-CN"/>
              </w:rPr>
              <w:t>本项目平面布置图见附图5，本项目生产设备及环保设施平面布置图</w:t>
            </w:r>
            <w:r>
              <w:rPr>
                <w:rFonts w:hint="eastAsia" w:cs="Times New Roman"/>
                <w:color w:val="auto"/>
                <w:spacing w:val="0"/>
                <w:sz w:val="24"/>
                <w:highlight w:val="none"/>
                <w:lang w:val="en-US" w:eastAsia="zh-CN"/>
              </w:rPr>
              <w:t>见附图6。</w:t>
            </w:r>
          </w:p>
          <w:p w14:paraId="09FCE739">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pacing w:val="0"/>
                <w:sz w:val="24"/>
                <w:szCs w:val="24"/>
                <w:highlight w:val="none"/>
                <w:lang w:val="en-US" w:eastAsia="zh-CN"/>
              </w:rPr>
            </w:pPr>
            <w:r>
              <w:rPr>
                <w:rFonts w:hint="eastAsia" w:cs="Times New Roman"/>
                <w:b/>
                <w:bCs/>
                <w:color w:val="auto"/>
                <w:spacing w:val="0"/>
                <w:sz w:val="24"/>
                <w:szCs w:val="24"/>
                <w:highlight w:val="none"/>
                <w:lang w:val="en-US" w:eastAsia="zh-CN"/>
              </w:rPr>
              <w:t>7、</w:t>
            </w:r>
            <w:r>
              <w:rPr>
                <w:rFonts w:hint="default" w:ascii="Times New Roman" w:hAnsi="Times New Roman" w:eastAsia="宋体" w:cs="Times New Roman"/>
                <w:b/>
                <w:bCs/>
                <w:color w:val="auto"/>
                <w:spacing w:val="0"/>
                <w:sz w:val="24"/>
                <w:szCs w:val="24"/>
                <w:highlight w:val="none"/>
                <w:lang w:val="en-US" w:eastAsia="zh-CN"/>
              </w:rPr>
              <w:t>公用工程</w:t>
            </w:r>
          </w:p>
          <w:p w14:paraId="7ABE0628">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r>
              <w:rPr>
                <w:rFonts w:hint="eastAsia" w:cs="Times New Roman"/>
                <w:b w:val="0"/>
                <w:bCs/>
                <w:color w:val="auto"/>
                <w:spacing w:val="0"/>
                <w:sz w:val="24"/>
                <w:szCs w:val="24"/>
                <w:highlight w:val="none"/>
                <w:lang w:val="en-US" w:eastAsia="zh-CN"/>
              </w:rPr>
              <w:t>（1）项目用水</w:t>
            </w:r>
          </w:p>
          <w:p w14:paraId="6B66939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firstLine="480" w:firstLineChars="200"/>
              <w:textAlignment w:val="auto"/>
              <w:rPr>
                <w:rFonts w:hint="default" w:ascii="Times New Roman" w:hAnsi="Times New Roman" w:cs="Times New Roman"/>
                <w:color w:val="auto"/>
                <w:sz w:val="24"/>
                <w:szCs w:val="24"/>
                <w:highlight w:val="none"/>
              </w:rPr>
            </w:pPr>
            <w:r>
              <w:rPr>
                <w:rFonts w:hint="default"/>
                <w:color w:val="auto"/>
                <w:sz w:val="24"/>
                <w:highlight w:val="none"/>
              </w:rPr>
              <w:t>本项目用水</w:t>
            </w:r>
            <w:r>
              <w:rPr>
                <w:rFonts w:hint="eastAsia"/>
                <w:color w:val="auto"/>
                <w:sz w:val="24"/>
                <w:highlight w:val="none"/>
                <w:lang w:val="en-US" w:eastAsia="zh-CN"/>
              </w:rPr>
              <w:t>依托</w:t>
            </w:r>
            <w:r>
              <w:rPr>
                <w:rFonts w:hint="default"/>
                <w:color w:val="auto"/>
                <w:sz w:val="24"/>
                <w:highlight w:val="none"/>
              </w:rPr>
              <w:t>园区供水管网</w:t>
            </w:r>
            <w:r>
              <w:rPr>
                <w:rFonts w:hint="eastAsia"/>
                <w:color w:val="auto"/>
                <w:sz w:val="24"/>
                <w:highlight w:val="none"/>
                <w:lang w:val="en-US" w:eastAsia="zh-CN"/>
              </w:rPr>
              <w:t>提供</w:t>
            </w:r>
            <w:r>
              <w:rPr>
                <w:rFonts w:hint="default" w:ascii="Times New Roman" w:hAnsi="Times New Roman" w:cs="Times New Roman"/>
                <w:color w:val="auto"/>
                <w:sz w:val="24"/>
                <w:szCs w:val="24"/>
                <w:highlight w:val="none"/>
              </w:rPr>
              <w:t>，能满足</w:t>
            </w:r>
            <w:r>
              <w:rPr>
                <w:rFonts w:hint="eastAsia" w:cs="Times New Roman"/>
                <w:color w:val="auto"/>
                <w:sz w:val="24"/>
                <w:szCs w:val="24"/>
                <w:highlight w:val="none"/>
                <w:lang w:val="en-US" w:eastAsia="zh-CN"/>
              </w:rPr>
              <w:t>员工</w:t>
            </w:r>
            <w:r>
              <w:rPr>
                <w:rFonts w:hint="default" w:ascii="Times New Roman" w:hAnsi="Times New Roman" w:cs="Times New Roman"/>
                <w:color w:val="auto"/>
                <w:sz w:val="24"/>
                <w:szCs w:val="24"/>
                <w:highlight w:val="none"/>
              </w:rPr>
              <w:t>生活需要。</w:t>
            </w:r>
          </w:p>
          <w:p w14:paraId="5AB13CB7">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①</w:t>
            </w:r>
            <w:r>
              <w:rPr>
                <w:rFonts w:hint="eastAsia" w:cs="Times New Roman"/>
                <w:color w:val="auto"/>
                <w:sz w:val="24"/>
                <w:szCs w:val="24"/>
                <w:highlight w:val="none"/>
                <w:lang w:val="en-US" w:eastAsia="zh-CN"/>
              </w:rPr>
              <w:t>生活用水</w:t>
            </w:r>
          </w:p>
          <w:p w14:paraId="0DECD690">
            <w:pPr>
              <w:keepNext w:val="0"/>
              <w:keepLines w:val="0"/>
              <w:suppressLineNumbers w:val="0"/>
              <w:spacing w:before="0" w:beforeAutospacing="0" w:after="0" w:afterAutospacing="0" w:line="480" w:lineRule="exact"/>
              <w:ind w:left="0" w:right="0" w:firstLine="480" w:firstLineChars="200"/>
              <w:rPr>
                <w:rFonts w:hint="default" w:ascii="Times New Roman" w:hAnsi="Times New Roman" w:cs="Times New Roman"/>
                <w:color w:val="auto"/>
                <w:sz w:val="24"/>
                <w:szCs w:val="24"/>
                <w:highlight w:val="none"/>
                <w:lang w:eastAsia="zh-CN"/>
              </w:rPr>
            </w:pPr>
            <w:r>
              <w:rPr>
                <w:rFonts w:hint="eastAsia" w:hAnsi="宋体"/>
                <w:color w:val="auto"/>
                <w:kern w:val="0"/>
                <w:sz w:val="24"/>
                <w:highlight w:val="none"/>
              </w:rPr>
              <w:t>本项目</w:t>
            </w:r>
            <w:r>
              <w:rPr>
                <w:rFonts w:hint="eastAsia" w:hAnsi="宋体"/>
                <w:color w:val="auto"/>
                <w:kern w:val="0"/>
                <w:sz w:val="24"/>
                <w:highlight w:val="none"/>
                <w:lang w:val="en-US" w:eastAsia="zh-CN"/>
              </w:rPr>
              <w:t>劳动定员30人，</w:t>
            </w:r>
            <w:r>
              <w:rPr>
                <w:rFonts w:hint="default" w:ascii="Times New Roman" w:hAnsi="Times New Roman" w:cs="Times New Roman"/>
                <w:bCs/>
                <w:color w:val="auto"/>
                <w:sz w:val="24"/>
                <w:szCs w:val="24"/>
                <w:highlight w:val="none"/>
              </w:rPr>
              <w:t>职工生活用水</w:t>
            </w:r>
            <w:r>
              <w:rPr>
                <w:rFonts w:hint="eastAsia" w:ascii="Times New Roman" w:hAnsi="Times New Roman" w:cs="Times New Roman"/>
                <w:bCs/>
                <w:color w:val="auto"/>
                <w:sz w:val="24"/>
                <w:szCs w:val="24"/>
                <w:highlight w:val="none"/>
                <w:lang w:val="en-US" w:eastAsia="zh-CN"/>
              </w:rPr>
              <w:t>参照《山西省用水定额第4部分:居民生活用水定额》（DB 14/T 1049.4-202</w:t>
            </w:r>
            <w:r>
              <w:rPr>
                <w:rFonts w:hint="eastAsia" w:cs="Times New Roman"/>
                <w:bCs/>
                <w:color w:val="auto"/>
                <w:sz w:val="24"/>
                <w:szCs w:val="24"/>
                <w:highlight w:val="none"/>
                <w:lang w:val="en-US" w:eastAsia="zh-CN"/>
              </w:rPr>
              <w:t>5</w:t>
            </w:r>
            <w:r>
              <w:rPr>
                <w:rFonts w:hint="eastAsia" w:ascii="Times New Roman" w:hAnsi="Times New Roman" w:cs="Times New Roman"/>
                <w:bCs/>
                <w:color w:val="auto"/>
                <w:sz w:val="24"/>
                <w:szCs w:val="24"/>
                <w:highlight w:val="none"/>
                <w:lang w:val="en-US" w:eastAsia="zh-CN"/>
              </w:rPr>
              <w:t>）--“农村分散式供水”，</w:t>
            </w:r>
            <w:r>
              <w:rPr>
                <w:rFonts w:hint="default" w:ascii="Times New Roman" w:hAnsi="Times New Roman" w:cs="Times New Roman"/>
                <w:bCs/>
                <w:color w:val="auto"/>
                <w:sz w:val="24"/>
                <w:szCs w:val="24"/>
                <w:highlight w:val="none"/>
              </w:rPr>
              <w:t>用水量按</w:t>
            </w:r>
            <w:r>
              <w:rPr>
                <w:rFonts w:hint="eastAsia" w:cs="Times New Roman"/>
                <w:bCs/>
                <w:color w:val="auto"/>
                <w:sz w:val="24"/>
                <w:szCs w:val="24"/>
                <w:highlight w:val="none"/>
                <w:lang w:val="en-US" w:eastAsia="zh-CN"/>
              </w:rPr>
              <w:t>8</w:t>
            </w:r>
            <w:r>
              <w:rPr>
                <w:rFonts w:hint="default" w:ascii="Times New Roman" w:hAnsi="Times New Roman" w:cs="Times New Roman"/>
                <w:bCs/>
                <w:color w:val="auto"/>
                <w:sz w:val="24"/>
                <w:szCs w:val="24"/>
                <w:highlight w:val="none"/>
              </w:rPr>
              <w:t>0L/人·d计，</w:t>
            </w:r>
            <w:r>
              <w:rPr>
                <w:rFonts w:hint="eastAsia" w:cs="Times New Roman"/>
                <w:bCs/>
                <w:color w:val="auto"/>
                <w:sz w:val="24"/>
                <w:szCs w:val="24"/>
                <w:highlight w:val="none"/>
                <w:lang w:val="en-US" w:eastAsia="zh-CN"/>
              </w:rPr>
              <w:t>年工作330天，</w:t>
            </w:r>
            <w:r>
              <w:rPr>
                <w:rFonts w:hint="default" w:ascii="Times New Roman" w:hAnsi="Times New Roman" w:cs="Times New Roman"/>
                <w:bCs/>
                <w:color w:val="auto"/>
                <w:sz w:val="24"/>
                <w:szCs w:val="24"/>
                <w:highlight w:val="none"/>
              </w:rPr>
              <w:t>则本项目职工生活</w:t>
            </w:r>
            <w:r>
              <w:rPr>
                <w:rFonts w:hint="default" w:ascii="Times New Roman" w:hAnsi="Times New Roman" w:cs="Times New Roman"/>
                <w:color w:val="auto"/>
                <w:sz w:val="24"/>
                <w:szCs w:val="24"/>
                <w:highlight w:val="none"/>
              </w:rPr>
              <w:t>用水量为</w:t>
            </w:r>
            <w:r>
              <w:rPr>
                <w:rFonts w:hint="eastAsia" w:ascii="Times New Roman" w:hAnsi="Times New Roman" w:cs="Times New Roman"/>
                <w:color w:val="auto"/>
                <w:sz w:val="24"/>
                <w:szCs w:val="24"/>
                <w:highlight w:val="none"/>
                <w:lang w:val="en-US" w:eastAsia="zh-CN"/>
              </w:rPr>
              <w:t>2.4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lang w:val="en-US" w:eastAsia="zh-CN"/>
              </w:rPr>
              <w:t>7</w:t>
            </w:r>
            <w:r>
              <w:rPr>
                <w:rFonts w:hint="eastAsia" w:cs="Times New Roman"/>
                <w:color w:val="auto"/>
                <w:sz w:val="24"/>
                <w:szCs w:val="24"/>
                <w:highlight w:val="none"/>
                <w:lang w:val="en-US" w:eastAsia="zh-CN"/>
              </w:rPr>
              <w:t>92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eastAsia="zh-CN"/>
              </w:rPr>
              <w:t>。</w:t>
            </w:r>
          </w:p>
          <w:p w14:paraId="226A9B91">
            <w:pPr>
              <w:keepNext w:val="0"/>
              <w:keepLines w:val="0"/>
              <w:suppressLineNumbers w:val="0"/>
              <w:spacing w:before="0" w:beforeAutospacing="0" w:after="0" w:afterAutospacing="0" w:line="480" w:lineRule="exact"/>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②生产用水</w:t>
            </w:r>
          </w:p>
          <w:p w14:paraId="513035B3">
            <w:pPr>
              <w:keepNext w:val="0"/>
              <w:keepLines w:val="0"/>
              <w:suppressLineNumbers w:val="0"/>
              <w:spacing w:before="0" w:beforeAutospacing="0" w:after="0" w:afterAutospacing="0" w:line="480" w:lineRule="exact"/>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本项目设置1台闭式冷却塔，</w:t>
            </w:r>
            <w:r>
              <w:rPr>
                <w:rFonts w:hint="default"/>
                <w:color w:val="auto"/>
                <w:sz w:val="24"/>
                <w:highlight w:val="none"/>
              </w:rPr>
              <w:t>间接冷却水在使用过程中仅受热污染，经冷却后即可回用</w:t>
            </w:r>
            <w:r>
              <w:rPr>
                <w:rFonts w:hint="eastAsia"/>
                <w:color w:val="auto"/>
                <w:sz w:val="24"/>
                <w:highlight w:val="none"/>
                <w:lang w:eastAsia="zh-CN"/>
              </w:rPr>
              <w:t>，</w:t>
            </w:r>
            <w:r>
              <w:rPr>
                <w:rFonts w:hint="eastAsia" w:cs="Times New Roman"/>
                <w:color w:val="auto"/>
                <w:sz w:val="24"/>
                <w:szCs w:val="24"/>
                <w:highlight w:val="none"/>
                <w:lang w:val="en-US" w:eastAsia="zh-CN"/>
              </w:rPr>
              <w:t>冷却塔循环水量为150m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/h，每天运行时间为24h，根据企业提供的资料，循环系统蒸发量约为循环水量的0.08%，即蒸发量为0.12m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/h（2.88m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/d）；排污量约为循环水量的0.2%，即排污量为0.3m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/h（7.2m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/d）；损耗量约为循环水量的0.01%，即损耗量为0.015m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/h（0.36m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w:t>
            </w:r>
          </w:p>
          <w:p w14:paraId="669A7E1C">
            <w:pPr>
              <w:keepNext w:val="0"/>
              <w:keepLines w:val="0"/>
              <w:suppressLineNumbers w:val="0"/>
              <w:spacing w:before="0" w:beforeAutospacing="0" w:after="0" w:afterAutospacing="0" w:line="480" w:lineRule="exact"/>
              <w:ind w:left="0" w:right="0"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因此，本项目闭式冷却塔补水量为0.435m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/h（10.44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d</w:t>
            </w:r>
            <w:r>
              <w:rPr>
                <w:rFonts w:hint="eastAsia" w:cs="Times New Roman"/>
                <w:color w:val="auto"/>
                <w:sz w:val="24"/>
                <w:szCs w:val="24"/>
                <w:highlight w:val="none"/>
                <w:lang w:val="en-US" w:eastAsia="zh-CN"/>
              </w:rPr>
              <w:t>）。</w:t>
            </w:r>
          </w:p>
          <w:p w14:paraId="3BE0642F">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480" w:lineRule="exact"/>
              <w:ind w:left="0" w:leftChars="0" w:right="0" w:rightChars="0" w:firstLine="480" w:firstLineChars="20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b w:val="0"/>
                <w:bCs w:val="0"/>
                <w:color w:val="auto"/>
                <w:kern w:val="2"/>
                <w:sz w:val="24"/>
                <w:szCs w:val="24"/>
                <w:highlight w:val="none"/>
                <w:lang w:val="en-US" w:eastAsia="zh-CN" w:bidi="ar-SA"/>
              </w:rPr>
              <w:t>（2）</w:t>
            </w:r>
            <w:r>
              <w:rPr>
                <w:rFonts w:hint="default" w:ascii="Times New Roman" w:hAnsi="Times New Roman" w:cs="Times New Roman"/>
                <w:b w:val="0"/>
                <w:bCs w:val="0"/>
                <w:color w:val="auto"/>
                <w:sz w:val="24"/>
                <w:szCs w:val="24"/>
                <w:highlight w:val="none"/>
              </w:rPr>
              <w:t>排水</w:t>
            </w:r>
          </w:p>
          <w:p w14:paraId="134B5D8F">
            <w:pPr>
              <w:keepNext w:val="0"/>
              <w:keepLines w:val="0"/>
              <w:suppressLineNumbers w:val="0"/>
              <w:adjustRightInd w:val="0"/>
              <w:snapToGrid w:val="0"/>
              <w:spacing w:before="0" w:beforeAutospacing="0" w:after="0" w:afterAutospacing="0" w:line="460" w:lineRule="exact"/>
              <w:ind w:left="0" w:right="0" w:firstLine="422" w:firstLineChars="176"/>
              <w:rPr>
                <w:rFonts w:hint="default"/>
                <w:color w:val="auto"/>
                <w:sz w:val="24"/>
                <w:highlight w:val="none"/>
              </w:rPr>
            </w:pPr>
            <w:r>
              <w:rPr>
                <w:rFonts w:hint="default"/>
                <w:bCs/>
                <w:color w:val="auto"/>
                <w:sz w:val="24"/>
                <w:highlight w:val="none"/>
              </w:rPr>
              <w:t>厂区实行雨污分流，现有厂区东南角设置1座初期雨水收集池，容积为300m</w:t>
            </w:r>
            <w:r>
              <w:rPr>
                <w:rFonts w:hint="default"/>
                <w:bCs/>
                <w:color w:val="auto"/>
                <w:sz w:val="24"/>
                <w:highlight w:val="none"/>
                <w:vertAlign w:val="superscript"/>
              </w:rPr>
              <w:t>3</w:t>
            </w:r>
            <w:r>
              <w:rPr>
                <w:rFonts w:hint="default"/>
                <w:bCs/>
                <w:color w:val="auto"/>
                <w:sz w:val="24"/>
                <w:highlight w:val="none"/>
              </w:rPr>
              <w:t>，用于收集厂区前15min的初期雨水，后期雨水排入园区雨水管网。</w:t>
            </w:r>
          </w:p>
          <w:p w14:paraId="6659CED3">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480" w:lineRule="exact"/>
              <w:ind w:left="0" w:leftChars="0" w:right="0" w:rightChars="0" w:firstLine="480" w:firstLineChars="200"/>
              <w:jc w:val="left"/>
              <w:textAlignment w:val="auto"/>
              <w:rPr>
                <w:rFonts w:hint="default"/>
                <w:color w:val="auto"/>
                <w:sz w:val="24"/>
                <w:highlight w:val="none"/>
              </w:rPr>
            </w:pPr>
            <w:r>
              <w:rPr>
                <w:rFonts w:hint="default" w:ascii="Times New Roman" w:hAnsi="Times New Roman" w:cs="Times New Roman"/>
                <w:color w:val="auto"/>
                <w:sz w:val="24"/>
                <w:szCs w:val="24"/>
                <w:highlight w:val="none"/>
              </w:rPr>
              <w:t>生活污水按照用水量的80%计，则生活污水为</w:t>
            </w:r>
            <w:r>
              <w:rPr>
                <w:rFonts w:hint="eastAsia" w:ascii="Times New Roman" w:hAnsi="Times New Roman" w:cs="Times New Roman"/>
                <w:color w:val="auto"/>
                <w:sz w:val="24"/>
                <w:szCs w:val="24"/>
                <w:highlight w:val="none"/>
                <w:lang w:val="en-US" w:eastAsia="zh-CN"/>
              </w:rPr>
              <w:t>1.92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633.6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bCs/>
                <w:color w:val="auto"/>
                <w:sz w:val="24"/>
                <w:highlight w:val="none"/>
              </w:rPr>
              <w:t>主要污染为SS、BOD</w:t>
            </w:r>
            <w:r>
              <w:rPr>
                <w:rFonts w:hint="default"/>
                <w:bCs/>
                <w:color w:val="auto"/>
                <w:sz w:val="24"/>
                <w:highlight w:val="none"/>
                <w:vertAlign w:val="subscript"/>
              </w:rPr>
              <w:t>5</w:t>
            </w:r>
            <w:r>
              <w:rPr>
                <w:rFonts w:hint="default"/>
                <w:bCs/>
                <w:color w:val="auto"/>
                <w:sz w:val="24"/>
                <w:highlight w:val="none"/>
              </w:rPr>
              <w:t>、COD、氨氮</w:t>
            </w:r>
            <w:r>
              <w:rPr>
                <w:rFonts w:hint="default"/>
                <w:color w:val="auto"/>
                <w:sz w:val="24"/>
                <w:highlight w:val="none"/>
              </w:rPr>
              <w:t>，</w:t>
            </w:r>
            <w:r>
              <w:rPr>
                <w:rFonts w:hint="default"/>
                <w:color w:val="auto"/>
                <w:kern w:val="0"/>
                <w:sz w:val="24"/>
                <w:highlight w:val="none"/>
              </w:rPr>
              <w:t>排入园区污水管网进入</w:t>
            </w:r>
            <w:r>
              <w:rPr>
                <w:rFonts w:hint="eastAsia"/>
                <w:color w:val="auto"/>
                <w:kern w:val="0"/>
                <w:sz w:val="24"/>
                <w:highlight w:val="none"/>
                <w:lang w:val="en-US" w:eastAsia="zh-CN"/>
              </w:rPr>
              <w:t>屯留区污水处理厂</w:t>
            </w:r>
            <w:r>
              <w:rPr>
                <w:rFonts w:hint="default"/>
                <w:color w:val="auto"/>
                <w:sz w:val="24"/>
                <w:highlight w:val="none"/>
              </w:rPr>
              <w:t>。</w:t>
            </w:r>
          </w:p>
          <w:p w14:paraId="6627508A">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480" w:lineRule="exact"/>
              <w:ind w:left="0" w:leftChars="0" w:right="0" w:rightChars="0" w:firstLine="480" w:firstLineChars="200"/>
              <w:jc w:val="left"/>
              <w:textAlignment w:val="auto"/>
              <w:rPr>
                <w:rFonts w:hint="eastAsia" w:ascii="Times New Roman" w:hAnsi="Times New Roman" w:eastAsia="宋体" w:cs="Times New Roman"/>
                <w:b w:val="0"/>
                <w:bCs/>
                <w:color w:val="auto"/>
                <w:sz w:val="24"/>
                <w:szCs w:val="24"/>
                <w:highlight w:val="none"/>
                <w:lang w:val="en-US" w:eastAsia="zh-CN"/>
              </w:rPr>
            </w:pPr>
            <w:r>
              <w:rPr>
                <w:rFonts w:hint="eastAsia" w:cs="Times New Roman"/>
                <w:color w:val="auto"/>
                <w:sz w:val="24"/>
                <w:szCs w:val="24"/>
                <w:highlight w:val="none"/>
                <w:lang w:val="en-US" w:eastAsia="zh-CN"/>
              </w:rPr>
              <w:t>根据企业提供的资料，闭式冷却塔排污量约为循环水量的0.2%，即排污量为0.3m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/h（7.2m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/d），循环系统排污水主要污染物为SS、COD等，可排入</w:t>
            </w:r>
            <w:r>
              <w:rPr>
                <w:rFonts w:hint="default"/>
                <w:color w:val="auto"/>
                <w:kern w:val="0"/>
                <w:sz w:val="24"/>
                <w:highlight w:val="none"/>
              </w:rPr>
              <w:t>园区污水管网进入</w:t>
            </w:r>
            <w:r>
              <w:rPr>
                <w:rFonts w:hint="eastAsia"/>
                <w:color w:val="auto"/>
                <w:kern w:val="0"/>
                <w:sz w:val="24"/>
                <w:highlight w:val="none"/>
                <w:lang w:val="en-US" w:eastAsia="zh-CN"/>
              </w:rPr>
              <w:t>屯留区污水处理厂</w:t>
            </w:r>
            <w:r>
              <w:rPr>
                <w:rFonts w:hint="eastAsia"/>
                <w:color w:val="auto"/>
                <w:kern w:val="0"/>
                <w:sz w:val="24"/>
                <w:highlight w:val="none"/>
                <w:lang w:eastAsia="zh-CN"/>
              </w:rPr>
              <w:t>。</w:t>
            </w:r>
          </w:p>
          <w:p w14:paraId="3E4CAD3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0" w:beforeAutospacing="0" w:after="0" w:afterAutospacing="0" w:line="480" w:lineRule="exact"/>
              <w:ind w:left="0" w:leftChars="0" w:right="0" w:rightChars="0" w:firstLine="480" w:firstLineChars="200"/>
              <w:jc w:val="left"/>
              <w:textAlignment w:val="auto"/>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本项目用</w:t>
            </w:r>
            <w:r>
              <w:rPr>
                <w:rFonts w:hint="eastAsia" w:cs="Times New Roman"/>
                <w:b w:val="0"/>
                <w:bCs/>
                <w:color w:val="auto"/>
                <w:sz w:val="24"/>
                <w:szCs w:val="24"/>
                <w:highlight w:val="none"/>
                <w:lang w:val="en-US" w:eastAsia="zh-CN"/>
              </w:rPr>
              <w:t>排水情况</w:t>
            </w:r>
            <w:r>
              <w:rPr>
                <w:rFonts w:hint="eastAsia" w:ascii="Times New Roman" w:hAnsi="Times New Roman" w:eastAsia="宋体" w:cs="Times New Roman"/>
                <w:b w:val="0"/>
                <w:bCs/>
                <w:color w:val="auto"/>
                <w:sz w:val="24"/>
                <w:szCs w:val="24"/>
                <w:highlight w:val="none"/>
                <w:lang w:val="en-US" w:eastAsia="zh-CN"/>
              </w:rPr>
              <w:t>见下表。</w:t>
            </w:r>
          </w:p>
          <w:p w14:paraId="14524E14">
            <w:pPr>
              <w:keepNext w:val="0"/>
              <w:keepLines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2-10</w:t>
            </w:r>
            <w:r>
              <w:rPr>
                <w:rFonts w:hint="eastAsia" w:ascii="Times New Roman" w:hAnsi="Times New Roman" w:eastAsia="宋体"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本项目</w:t>
            </w:r>
            <w:r>
              <w:rPr>
                <w:rFonts w:hint="eastAsia" w:ascii="Times New Roman" w:hAnsi="Times New Roman" w:eastAsia="宋体" w:cs="Times New Roman"/>
                <w:b/>
                <w:bCs/>
                <w:color w:val="auto"/>
                <w:sz w:val="21"/>
                <w:szCs w:val="21"/>
                <w:highlight w:val="none"/>
                <w:lang w:val="en-US" w:eastAsia="zh-CN"/>
              </w:rPr>
              <w:t>用水</w:t>
            </w:r>
            <w:r>
              <w:rPr>
                <w:rFonts w:hint="eastAsia" w:cs="Times New Roman"/>
                <w:b/>
                <w:bCs/>
                <w:color w:val="auto"/>
                <w:sz w:val="21"/>
                <w:szCs w:val="21"/>
                <w:highlight w:val="none"/>
                <w:lang w:val="en-US" w:eastAsia="zh-CN"/>
              </w:rPr>
              <w:t>、排水情况</w:t>
            </w:r>
            <w:r>
              <w:rPr>
                <w:rFonts w:hint="eastAsia" w:ascii="Times New Roman" w:hAnsi="Times New Roman" w:eastAsia="宋体" w:cs="Times New Roman"/>
                <w:b/>
                <w:bCs/>
                <w:color w:val="auto"/>
                <w:sz w:val="21"/>
                <w:szCs w:val="21"/>
                <w:highlight w:val="none"/>
                <w:lang w:val="en-US" w:eastAsia="zh-CN"/>
              </w:rPr>
              <w:t>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077"/>
              <w:gridCol w:w="1286"/>
              <w:gridCol w:w="848"/>
              <w:gridCol w:w="849"/>
              <w:gridCol w:w="985"/>
              <w:gridCol w:w="2235"/>
            </w:tblGrid>
            <w:tr w14:paraId="0C28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26" w:type="pct"/>
                  <w:tcBorders>
                    <w:tl2br w:val="nil"/>
                    <w:tr2bl w:val="nil"/>
                  </w:tcBorders>
                  <w:noWrap w:val="0"/>
                  <w:vAlign w:val="center"/>
                </w:tcPr>
                <w:p w14:paraId="3017B0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类别</w:t>
                  </w:r>
                </w:p>
              </w:tc>
              <w:tc>
                <w:tcPr>
                  <w:tcW w:w="1147" w:type="pct"/>
                  <w:tcBorders>
                    <w:tl2br w:val="nil"/>
                    <w:tr2bl w:val="nil"/>
                  </w:tcBorders>
                  <w:noWrap w:val="0"/>
                  <w:vAlign w:val="center"/>
                </w:tcPr>
                <w:p w14:paraId="5C4D3F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用水类型</w:t>
                  </w:r>
                </w:p>
              </w:tc>
              <w:tc>
                <w:tcPr>
                  <w:tcW w:w="710" w:type="pct"/>
                  <w:tcBorders>
                    <w:tl2br w:val="nil"/>
                    <w:tr2bl w:val="nil"/>
                  </w:tcBorders>
                  <w:noWrap w:val="0"/>
                  <w:vAlign w:val="center"/>
                </w:tcPr>
                <w:p w14:paraId="60A8459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用水量指标</w:t>
                  </w:r>
                </w:p>
              </w:tc>
              <w:tc>
                <w:tcPr>
                  <w:tcW w:w="468" w:type="pct"/>
                  <w:tcBorders>
                    <w:tl2br w:val="nil"/>
                    <w:tr2bl w:val="nil"/>
                  </w:tcBorders>
                  <w:noWrap w:val="0"/>
                  <w:vAlign w:val="center"/>
                </w:tcPr>
                <w:p w14:paraId="1C0046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数量</w:t>
                  </w:r>
                </w:p>
              </w:tc>
              <w:tc>
                <w:tcPr>
                  <w:tcW w:w="469" w:type="pct"/>
                  <w:tcBorders>
                    <w:tl2br w:val="nil"/>
                    <w:tr2bl w:val="nil"/>
                  </w:tcBorders>
                  <w:noWrap w:val="0"/>
                  <w:vAlign w:val="center"/>
                </w:tcPr>
                <w:p w14:paraId="79A8A0C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用水量</w:t>
                  </w:r>
                  <w:r>
                    <w:rPr>
                      <w:rFonts w:hint="eastAsia" w:cs="Times New Roman"/>
                      <w:b/>
                      <w:bCs/>
                      <w:color w:val="auto"/>
                      <w:sz w:val="21"/>
                      <w:szCs w:val="21"/>
                      <w:highlight w:val="none"/>
                      <w:lang w:val="en-US" w:eastAsia="zh-CN"/>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/d</w:t>
                  </w:r>
                </w:p>
              </w:tc>
              <w:tc>
                <w:tcPr>
                  <w:tcW w:w="544" w:type="pct"/>
                  <w:tcBorders>
                    <w:tl2br w:val="nil"/>
                    <w:tr2bl w:val="nil"/>
                  </w:tcBorders>
                  <w:noWrap w:val="0"/>
                  <w:vAlign w:val="center"/>
                </w:tcPr>
                <w:p w14:paraId="5802A3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eastAsia" w:cs="Times New Roman"/>
                      <w:b/>
                      <w:bCs/>
                      <w:color w:val="auto"/>
                      <w:sz w:val="21"/>
                      <w:szCs w:val="21"/>
                      <w:highlight w:val="none"/>
                      <w:lang w:val="en-US" w:eastAsia="zh-CN"/>
                    </w:rPr>
                    <w:t>废水</w:t>
                  </w:r>
                  <w:r>
                    <w:rPr>
                      <w:rFonts w:hint="default" w:ascii="Times New Roman" w:hAnsi="Times New Roman" w:cs="Times New Roman"/>
                      <w:b/>
                      <w:bCs/>
                      <w:color w:val="auto"/>
                      <w:sz w:val="21"/>
                      <w:szCs w:val="21"/>
                      <w:highlight w:val="none"/>
                    </w:rPr>
                    <w:t>量</w:t>
                  </w:r>
                  <w:r>
                    <w:rPr>
                      <w:rFonts w:hint="eastAsia" w:cs="Times New Roman"/>
                      <w:b/>
                      <w:bCs/>
                      <w:color w:val="auto"/>
                      <w:sz w:val="21"/>
                      <w:szCs w:val="21"/>
                      <w:highlight w:val="none"/>
                      <w:lang w:val="en-US" w:eastAsia="zh-CN"/>
                    </w:rPr>
                    <w:t>m</w:t>
                  </w:r>
                  <w:r>
                    <w:rPr>
                      <w:rFonts w:hint="default" w:ascii="Times New Roman" w:hAnsi="Times New Roman" w:cs="Times New Roman"/>
                      <w:b/>
                      <w:bCs/>
                      <w:color w:val="auto"/>
                      <w:sz w:val="21"/>
                      <w:szCs w:val="21"/>
                      <w:highlight w:val="none"/>
                      <w:vertAlign w:val="superscript"/>
                    </w:rPr>
                    <w:t>3</w:t>
                  </w:r>
                  <w:r>
                    <w:rPr>
                      <w:rFonts w:hint="default" w:ascii="Times New Roman" w:hAnsi="Times New Roman" w:cs="Times New Roman"/>
                      <w:b/>
                      <w:bCs/>
                      <w:color w:val="auto"/>
                      <w:sz w:val="21"/>
                      <w:szCs w:val="21"/>
                      <w:highlight w:val="none"/>
                    </w:rPr>
                    <w:t>/d</w:t>
                  </w:r>
                </w:p>
              </w:tc>
              <w:tc>
                <w:tcPr>
                  <w:tcW w:w="1234" w:type="pct"/>
                  <w:tcBorders>
                    <w:tl2br w:val="nil"/>
                    <w:tr2bl w:val="nil"/>
                  </w:tcBorders>
                  <w:noWrap w:val="0"/>
                  <w:vAlign w:val="center"/>
                </w:tcPr>
                <w:p w14:paraId="05BDB0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备注</w:t>
                  </w:r>
                </w:p>
              </w:tc>
            </w:tr>
            <w:tr w14:paraId="4292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26" w:type="pct"/>
                  <w:tcBorders>
                    <w:tl2br w:val="nil"/>
                    <w:tr2bl w:val="nil"/>
                  </w:tcBorders>
                  <w:noWrap w:val="0"/>
                  <w:vAlign w:val="center"/>
                </w:tcPr>
                <w:p w14:paraId="4F53AA2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cs="Times New Roman"/>
                      <w:b/>
                      <w:bCs/>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w:t>
                  </w:r>
                </w:p>
              </w:tc>
              <w:tc>
                <w:tcPr>
                  <w:tcW w:w="1147" w:type="pct"/>
                  <w:tcBorders>
                    <w:tl2br w:val="nil"/>
                    <w:tr2bl w:val="nil"/>
                  </w:tcBorders>
                  <w:noWrap w:val="0"/>
                  <w:vAlign w:val="center"/>
                </w:tcPr>
                <w:p w14:paraId="7F4D72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val="0"/>
                      <w:bCs w:val="0"/>
                      <w:color w:val="auto"/>
                      <w:sz w:val="21"/>
                      <w:szCs w:val="21"/>
                      <w:highlight w:val="none"/>
                      <w:lang w:val="en-US" w:eastAsia="zh-CN"/>
                    </w:rPr>
                    <w:t>生活用水</w:t>
                  </w:r>
                </w:p>
              </w:tc>
              <w:tc>
                <w:tcPr>
                  <w:tcW w:w="710" w:type="pct"/>
                  <w:tcBorders>
                    <w:tl2br w:val="nil"/>
                    <w:tr2bl w:val="nil"/>
                  </w:tcBorders>
                  <w:noWrap w:val="0"/>
                  <w:vAlign w:val="center"/>
                </w:tcPr>
                <w:p w14:paraId="175B1FC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auto"/>
                      <w:sz w:val="21"/>
                      <w:szCs w:val="21"/>
                      <w:highlight w:val="none"/>
                    </w:rPr>
                  </w:pPr>
                  <w:r>
                    <w:rPr>
                      <w:rFonts w:hint="eastAsia" w:cs="Times New Roman"/>
                      <w:bCs/>
                      <w:color w:val="auto"/>
                      <w:sz w:val="21"/>
                      <w:szCs w:val="21"/>
                      <w:highlight w:val="none"/>
                      <w:lang w:val="en-US" w:eastAsia="zh-CN"/>
                    </w:rPr>
                    <w:t>8</w:t>
                  </w:r>
                  <w:r>
                    <w:rPr>
                      <w:rFonts w:hint="default" w:ascii="Times New Roman" w:hAnsi="Times New Roman" w:eastAsia="宋体" w:cs="Times New Roman"/>
                      <w:bCs/>
                      <w:color w:val="auto"/>
                      <w:sz w:val="21"/>
                      <w:szCs w:val="21"/>
                      <w:highlight w:val="none"/>
                    </w:rPr>
                    <w:t>0L/人·d</w:t>
                  </w:r>
                </w:p>
              </w:tc>
              <w:tc>
                <w:tcPr>
                  <w:tcW w:w="468" w:type="pct"/>
                  <w:tcBorders>
                    <w:tl2br w:val="nil"/>
                    <w:tr2bl w:val="nil"/>
                  </w:tcBorders>
                  <w:noWrap w:val="0"/>
                  <w:vAlign w:val="center"/>
                </w:tcPr>
                <w:p w14:paraId="40E66A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b w:val="0"/>
                      <w:bCs w:val="0"/>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0</w:t>
                  </w:r>
                  <w:r>
                    <w:rPr>
                      <w:rFonts w:hint="eastAsia" w:ascii="Times New Roman" w:hAnsi="Times New Roman" w:eastAsia="宋体" w:cs="Times New Roman"/>
                      <w:color w:val="auto"/>
                      <w:sz w:val="21"/>
                      <w:szCs w:val="21"/>
                      <w:highlight w:val="none"/>
                      <w:lang w:val="en-US" w:eastAsia="zh-CN"/>
                    </w:rPr>
                    <w:t>人</w:t>
                  </w:r>
                </w:p>
              </w:tc>
              <w:tc>
                <w:tcPr>
                  <w:tcW w:w="469" w:type="pct"/>
                  <w:tcBorders>
                    <w:tl2br w:val="nil"/>
                    <w:tr2bl w:val="nil"/>
                  </w:tcBorders>
                  <w:noWrap w:val="0"/>
                  <w:vAlign w:val="center"/>
                </w:tcPr>
                <w:p w14:paraId="3BD322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b w:val="0"/>
                      <w:bCs w:val="0"/>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2.4</w:t>
                  </w:r>
                </w:p>
              </w:tc>
              <w:tc>
                <w:tcPr>
                  <w:tcW w:w="544" w:type="pct"/>
                  <w:tcBorders>
                    <w:tl2br w:val="nil"/>
                    <w:tr2bl w:val="nil"/>
                  </w:tcBorders>
                  <w:noWrap w:val="0"/>
                  <w:vAlign w:val="center"/>
                </w:tcPr>
                <w:p w14:paraId="43EF16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b w:val="0"/>
                      <w:bCs w:val="0"/>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1.92</w:t>
                  </w:r>
                </w:p>
              </w:tc>
              <w:tc>
                <w:tcPr>
                  <w:tcW w:w="1234" w:type="pct"/>
                  <w:vMerge w:val="restart"/>
                  <w:tcBorders>
                    <w:tl2br w:val="nil"/>
                    <w:tr2bl w:val="nil"/>
                  </w:tcBorders>
                  <w:noWrap w:val="0"/>
                  <w:vAlign w:val="center"/>
                </w:tcPr>
                <w:p w14:paraId="7A9AA6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排入园区污水管网，进入屯留区污水处理厂</w:t>
                  </w:r>
                </w:p>
              </w:tc>
            </w:tr>
            <w:tr w14:paraId="6698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26" w:type="pct"/>
                  <w:vMerge w:val="restart"/>
                  <w:tcBorders>
                    <w:tl2br w:val="nil"/>
                    <w:tr2bl w:val="nil"/>
                  </w:tcBorders>
                  <w:noWrap w:val="0"/>
                  <w:vAlign w:val="center"/>
                </w:tcPr>
                <w:p w14:paraId="7AF0E53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w:t>
                  </w:r>
                </w:p>
              </w:tc>
              <w:tc>
                <w:tcPr>
                  <w:tcW w:w="1147" w:type="pct"/>
                  <w:tcBorders>
                    <w:tl2br w:val="nil"/>
                    <w:tr2bl w:val="nil"/>
                  </w:tcBorders>
                  <w:noWrap w:val="0"/>
                  <w:vAlign w:val="center"/>
                </w:tcPr>
                <w:p w14:paraId="3DD463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冷却系统排污补水</w:t>
                  </w:r>
                </w:p>
              </w:tc>
              <w:tc>
                <w:tcPr>
                  <w:tcW w:w="710" w:type="pct"/>
                  <w:tcBorders>
                    <w:tl2br w:val="nil"/>
                    <w:tr2bl w:val="nil"/>
                  </w:tcBorders>
                  <w:noWrap w:val="0"/>
                  <w:vAlign w:val="center"/>
                </w:tcPr>
                <w:p w14:paraId="61BC85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bCs/>
                      <w:color w:val="auto"/>
                      <w:sz w:val="21"/>
                      <w:szCs w:val="21"/>
                      <w:highlight w:val="none"/>
                      <w:lang w:val="en-US" w:eastAsia="zh-CN"/>
                    </w:rPr>
                  </w:pPr>
                  <w:r>
                    <w:rPr>
                      <w:rFonts w:hint="eastAsia" w:cs="Times New Roman"/>
                      <w:color w:val="auto"/>
                      <w:sz w:val="21"/>
                      <w:szCs w:val="21"/>
                      <w:highlight w:val="none"/>
                      <w:lang w:val="en-US" w:eastAsia="zh-CN"/>
                    </w:rPr>
                    <w:t>0.3m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tc>
              <w:tc>
                <w:tcPr>
                  <w:tcW w:w="468" w:type="pct"/>
                  <w:tcBorders>
                    <w:tl2br w:val="nil"/>
                    <w:tr2bl w:val="nil"/>
                  </w:tcBorders>
                  <w:noWrap w:val="0"/>
                  <w:vAlign w:val="center"/>
                </w:tcPr>
                <w:p w14:paraId="5DFCD0F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24h</w:t>
                  </w:r>
                </w:p>
              </w:tc>
              <w:tc>
                <w:tcPr>
                  <w:tcW w:w="469" w:type="pct"/>
                  <w:tcBorders>
                    <w:tl2br w:val="nil"/>
                    <w:tr2bl w:val="nil"/>
                  </w:tcBorders>
                  <w:noWrap w:val="0"/>
                  <w:vAlign w:val="center"/>
                </w:tcPr>
                <w:p w14:paraId="4D5EC51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7.2</w:t>
                  </w:r>
                </w:p>
              </w:tc>
              <w:tc>
                <w:tcPr>
                  <w:tcW w:w="544" w:type="pct"/>
                  <w:tcBorders>
                    <w:tl2br w:val="nil"/>
                    <w:tr2bl w:val="nil"/>
                  </w:tcBorders>
                  <w:noWrap w:val="0"/>
                  <w:vAlign w:val="center"/>
                </w:tcPr>
                <w:p w14:paraId="2963EA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7.2</w:t>
                  </w:r>
                </w:p>
              </w:tc>
              <w:tc>
                <w:tcPr>
                  <w:tcW w:w="1234" w:type="pct"/>
                  <w:vMerge w:val="continue"/>
                  <w:tcBorders>
                    <w:tl2br w:val="nil"/>
                    <w:tr2bl w:val="nil"/>
                  </w:tcBorders>
                  <w:noWrap w:val="0"/>
                  <w:vAlign w:val="center"/>
                </w:tcPr>
                <w:p w14:paraId="340DBF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cs="Times New Roman"/>
                      <w:b w:val="0"/>
                      <w:bCs w:val="0"/>
                      <w:color w:val="auto"/>
                      <w:sz w:val="21"/>
                      <w:szCs w:val="21"/>
                      <w:highlight w:val="none"/>
                      <w:lang w:val="en-US" w:eastAsia="zh-CN"/>
                    </w:rPr>
                  </w:pPr>
                </w:p>
              </w:tc>
            </w:tr>
            <w:tr w14:paraId="5932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26" w:type="pct"/>
                  <w:vMerge w:val="continue"/>
                  <w:tcBorders>
                    <w:tl2br w:val="nil"/>
                    <w:tr2bl w:val="nil"/>
                  </w:tcBorders>
                  <w:noWrap w:val="0"/>
                  <w:vAlign w:val="center"/>
                </w:tcPr>
                <w:p w14:paraId="744E333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1147" w:type="pct"/>
                  <w:tcBorders>
                    <w:tl2br w:val="nil"/>
                    <w:tr2bl w:val="nil"/>
                  </w:tcBorders>
                  <w:noWrap w:val="0"/>
                  <w:vAlign w:val="center"/>
                </w:tcPr>
                <w:p w14:paraId="04D404A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冷却系统蒸发补水</w:t>
                  </w:r>
                </w:p>
              </w:tc>
              <w:tc>
                <w:tcPr>
                  <w:tcW w:w="710" w:type="pct"/>
                  <w:tcBorders>
                    <w:tl2br w:val="nil"/>
                    <w:tr2bl w:val="nil"/>
                  </w:tcBorders>
                  <w:noWrap w:val="0"/>
                  <w:vAlign w:val="center"/>
                </w:tcPr>
                <w:p w14:paraId="545C63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0.12m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tc>
              <w:tc>
                <w:tcPr>
                  <w:tcW w:w="468" w:type="pct"/>
                  <w:tcBorders>
                    <w:tl2br w:val="nil"/>
                    <w:tr2bl w:val="nil"/>
                  </w:tcBorders>
                  <w:noWrap w:val="0"/>
                  <w:vAlign w:val="center"/>
                </w:tcPr>
                <w:p w14:paraId="24A286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24h</w:t>
                  </w:r>
                </w:p>
              </w:tc>
              <w:tc>
                <w:tcPr>
                  <w:tcW w:w="469" w:type="pct"/>
                  <w:tcBorders>
                    <w:tl2br w:val="nil"/>
                    <w:tr2bl w:val="nil"/>
                  </w:tcBorders>
                  <w:noWrap w:val="0"/>
                  <w:vAlign w:val="center"/>
                </w:tcPr>
                <w:p w14:paraId="5F8C01B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2.88</w:t>
                  </w:r>
                </w:p>
              </w:tc>
              <w:tc>
                <w:tcPr>
                  <w:tcW w:w="544" w:type="pct"/>
                  <w:tcBorders>
                    <w:tl2br w:val="nil"/>
                    <w:tr2bl w:val="nil"/>
                  </w:tcBorders>
                  <w:noWrap w:val="0"/>
                  <w:vAlign w:val="center"/>
                </w:tcPr>
                <w:p w14:paraId="333126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234" w:type="pct"/>
                  <w:tcBorders>
                    <w:tl2br w:val="nil"/>
                    <w:tr2bl w:val="nil"/>
                  </w:tcBorders>
                  <w:noWrap w:val="0"/>
                  <w:vAlign w:val="center"/>
                </w:tcPr>
                <w:p w14:paraId="76E142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r w14:paraId="6FC4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26" w:type="pct"/>
                  <w:vMerge w:val="continue"/>
                  <w:tcBorders>
                    <w:tl2br w:val="nil"/>
                    <w:tr2bl w:val="nil"/>
                  </w:tcBorders>
                  <w:noWrap w:val="0"/>
                  <w:vAlign w:val="center"/>
                </w:tcPr>
                <w:p w14:paraId="1FFC54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p>
              </w:tc>
              <w:tc>
                <w:tcPr>
                  <w:tcW w:w="1147" w:type="pct"/>
                  <w:tcBorders>
                    <w:tl2br w:val="nil"/>
                    <w:tr2bl w:val="nil"/>
                  </w:tcBorders>
                  <w:noWrap w:val="0"/>
                  <w:vAlign w:val="center"/>
                </w:tcPr>
                <w:p w14:paraId="4C82A80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冷却系统损耗补水</w:t>
                  </w:r>
                </w:p>
              </w:tc>
              <w:tc>
                <w:tcPr>
                  <w:tcW w:w="710" w:type="pct"/>
                  <w:tcBorders>
                    <w:tl2br w:val="nil"/>
                    <w:tr2bl w:val="nil"/>
                  </w:tcBorders>
                  <w:noWrap w:val="0"/>
                  <w:vAlign w:val="center"/>
                </w:tcPr>
                <w:p w14:paraId="6E0054A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0.015m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tc>
              <w:tc>
                <w:tcPr>
                  <w:tcW w:w="468" w:type="pct"/>
                  <w:tcBorders>
                    <w:tl2br w:val="nil"/>
                    <w:tr2bl w:val="nil"/>
                  </w:tcBorders>
                  <w:noWrap w:val="0"/>
                  <w:vAlign w:val="center"/>
                </w:tcPr>
                <w:p w14:paraId="00142C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24h</w:t>
                  </w:r>
                </w:p>
              </w:tc>
              <w:tc>
                <w:tcPr>
                  <w:tcW w:w="469" w:type="pct"/>
                  <w:tcBorders>
                    <w:tl2br w:val="nil"/>
                    <w:tr2bl w:val="nil"/>
                  </w:tcBorders>
                  <w:noWrap w:val="0"/>
                  <w:vAlign w:val="center"/>
                </w:tcPr>
                <w:p w14:paraId="1F7247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0.36</w:t>
                  </w:r>
                </w:p>
              </w:tc>
              <w:tc>
                <w:tcPr>
                  <w:tcW w:w="544" w:type="pct"/>
                  <w:tcBorders>
                    <w:tl2br w:val="nil"/>
                    <w:tr2bl w:val="nil"/>
                  </w:tcBorders>
                  <w:noWrap w:val="0"/>
                  <w:vAlign w:val="center"/>
                </w:tcPr>
                <w:p w14:paraId="0D737F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234" w:type="pct"/>
                  <w:tcBorders>
                    <w:tl2br w:val="nil"/>
                    <w:tr2bl w:val="nil"/>
                  </w:tcBorders>
                  <w:noWrap w:val="0"/>
                  <w:vAlign w:val="center"/>
                </w:tcPr>
                <w:p w14:paraId="6954DFA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r w14:paraId="7856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573" w:type="pct"/>
                  <w:gridSpan w:val="2"/>
                  <w:tcBorders>
                    <w:tl2br w:val="nil"/>
                    <w:tr2bl w:val="nil"/>
                  </w:tcBorders>
                  <w:noWrap w:val="0"/>
                  <w:vAlign w:val="center"/>
                </w:tcPr>
                <w:p w14:paraId="0723E69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总计</w:t>
                  </w:r>
                </w:p>
              </w:tc>
              <w:tc>
                <w:tcPr>
                  <w:tcW w:w="710" w:type="pct"/>
                  <w:tcBorders>
                    <w:tl2br w:val="nil"/>
                    <w:tr2bl w:val="nil"/>
                  </w:tcBorders>
                  <w:noWrap w:val="0"/>
                  <w:vAlign w:val="center"/>
                </w:tcPr>
                <w:p w14:paraId="0E9D60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468" w:type="pct"/>
                  <w:tcBorders>
                    <w:tl2br w:val="nil"/>
                    <w:tr2bl w:val="nil"/>
                  </w:tcBorders>
                  <w:noWrap w:val="0"/>
                  <w:vAlign w:val="center"/>
                </w:tcPr>
                <w:p w14:paraId="1D44D2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469" w:type="pct"/>
                  <w:tcBorders>
                    <w:tl2br w:val="nil"/>
                    <w:tr2bl w:val="nil"/>
                  </w:tcBorders>
                  <w:noWrap w:val="0"/>
                  <w:vAlign w:val="center"/>
                </w:tcPr>
                <w:p w14:paraId="5F264DA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12.84</w:t>
                  </w:r>
                </w:p>
              </w:tc>
              <w:tc>
                <w:tcPr>
                  <w:tcW w:w="544" w:type="pct"/>
                  <w:tcBorders>
                    <w:tl2br w:val="nil"/>
                    <w:tr2bl w:val="nil"/>
                  </w:tcBorders>
                  <w:noWrap w:val="0"/>
                  <w:vAlign w:val="center"/>
                </w:tcPr>
                <w:p w14:paraId="3B3AF7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9.12</w:t>
                  </w:r>
                </w:p>
              </w:tc>
              <w:tc>
                <w:tcPr>
                  <w:tcW w:w="1234" w:type="pct"/>
                  <w:tcBorders>
                    <w:tl2br w:val="nil"/>
                    <w:tr2bl w:val="nil"/>
                  </w:tcBorders>
                  <w:noWrap w:val="0"/>
                  <w:vAlign w:val="center"/>
                </w:tcPr>
                <w:p w14:paraId="1D1CD3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bl>
          <w:p w14:paraId="531193E9">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p>
          <w:p w14:paraId="6F826A09">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p>
          <w:p w14:paraId="73D2FBB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p>
          <w:p w14:paraId="16FF7044">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p>
          <w:p w14:paraId="4B381CD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20" w:firstLineChars="200"/>
              <w:textAlignment w:val="auto"/>
              <w:rPr>
                <w:rFonts w:hint="default" w:ascii="Times New Roman" w:hAnsi="Times New Roman" w:eastAsia="宋体" w:cs="Times New Roman"/>
                <w:b w:val="0"/>
                <w:bCs/>
                <w:color w:val="auto"/>
                <w:spacing w:val="0"/>
                <w:sz w:val="24"/>
                <w:szCs w:val="24"/>
                <w:highlight w:val="none"/>
                <w:lang w:val="en-US" w:eastAsia="zh-CN"/>
              </w:rPr>
            </w:pPr>
            <w:r>
              <w:rPr>
                <w:rFonts w:hint="default"/>
                <w:color w:val="auto"/>
                <w:highlight w:val="none"/>
              </w:rPr>
              <w:drawing>
                <wp:anchor distT="0" distB="0" distL="114300" distR="114300" simplePos="0" relativeHeight="251662336" behindDoc="1" locked="0" layoutInCell="1" allowOverlap="1">
                  <wp:simplePos x="0" y="0"/>
                  <wp:positionH relativeFrom="column">
                    <wp:posOffset>33020</wp:posOffset>
                  </wp:positionH>
                  <wp:positionV relativeFrom="paragraph">
                    <wp:posOffset>110490</wp:posOffset>
                  </wp:positionV>
                  <wp:extent cx="5735955" cy="2600325"/>
                  <wp:effectExtent l="0" t="0" r="0" b="0"/>
                  <wp:wrapNone/>
                  <wp:docPr id="2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
                          <pic:cNvPicPr>
                            <a:picLocks noChangeAspect="1"/>
                          </pic:cNvPicPr>
                        </pic:nvPicPr>
                        <pic:blipFill>
                          <a:blip r:embed="rId11"/>
                          <a:srcRect t="5054" r="210"/>
                          <a:stretch>
                            <a:fillRect/>
                          </a:stretch>
                        </pic:blipFill>
                        <pic:spPr>
                          <a:xfrm>
                            <a:off x="0" y="0"/>
                            <a:ext cx="5735955" cy="2600325"/>
                          </a:xfrm>
                          <a:prstGeom prst="rect">
                            <a:avLst/>
                          </a:prstGeom>
                          <a:noFill/>
                          <a:ln>
                            <a:noFill/>
                          </a:ln>
                        </pic:spPr>
                      </pic:pic>
                    </a:graphicData>
                  </a:graphic>
                </wp:anchor>
              </w:drawing>
            </w:r>
          </w:p>
          <w:p w14:paraId="6D373AC6">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p>
          <w:p w14:paraId="7AA0F39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p>
          <w:p w14:paraId="3C0B3EA0">
            <w:pPr>
              <w:keepNext/>
              <w:keepLines/>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Autospacing="0" w:line="480" w:lineRule="exact"/>
              <w:ind w:left="0" w:leftChars="0" w:right="0" w:rightChars="0"/>
              <w:jc w:val="left"/>
              <w:textAlignment w:val="auto"/>
              <w:outlineLvl w:val="9"/>
              <w:rPr>
                <w:rFonts w:hint="default" w:ascii="Times New Roman" w:hAnsi="Times New Roman" w:eastAsia="宋体" w:cs="Times New Roman"/>
                <w:b/>
                <w:bCs w:val="0"/>
                <w:color w:val="auto"/>
                <w:sz w:val="21"/>
                <w:szCs w:val="21"/>
                <w:highlight w:val="none"/>
                <w:lang w:val="en-US" w:eastAsia="zh-CN"/>
              </w:rPr>
            </w:pPr>
          </w:p>
          <w:p w14:paraId="4A7FA3B4">
            <w:pPr>
              <w:keepNext/>
              <w:keepLines/>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z w:val="21"/>
                <w:szCs w:val="21"/>
                <w:highlight w:val="none"/>
                <w:lang w:val="en-US" w:eastAsia="zh-CN"/>
              </w:rPr>
            </w:pPr>
          </w:p>
          <w:p w14:paraId="683AE263">
            <w:pPr>
              <w:keepNext/>
              <w:keepLines/>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Autospacing="0" w:line="480" w:lineRule="exact"/>
              <w:ind w:left="0" w:leftChars="0" w:right="0" w:rightChars="0"/>
              <w:jc w:val="left"/>
              <w:textAlignment w:val="auto"/>
              <w:outlineLvl w:val="9"/>
              <w:rPr>
                <w:rFonts w:hint="default" w:ascii="Times New Roman" w:hAnsi="Times New Roman" w:eastAsia="宋体" w:cs="Times New Roman"/>
                <w:b/>
                <w:bCs w:val="0"/>
                <w:color w:val="auto"/>
                <w:sz w:val="21"/>
                <w:szCs w:val="21"/>
                <w:highlight w:val="none"/>
                <w:lang w:val="en-US" w:eastAsia="zh-CN"/>
              </w:rPr>
            </w:pPr>
          </w:p>
          <w:p w14:paraId="5AF8088D">
            <w:pPr>
              <w:keepNext/>
              <w:keepLines/>
              <w:pageBreakBefore w:val="0"/>
              <w:widowControl/>
              <w:numPr>
                <w:ilvl w:val="0"/>
                <w:numId w:val="0"/>
              </w:numPr>
              <w:suppressLineNumbers w:val="0"/>
              <w:kinsoku/>
              <w:wordWrap/>
              <w:overflowPunct/>
              <w:topLinePunct w:val="0"/>
              <w:autoSpaceDE/>
              <w:autoSpaceDN/>
              <w:bidi w:val="0"/>
              <w:adjustRightInd/>
              <w:snapToGrid/>
              <w:spacing w:before="157" w:beforeLines="5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z w:val="21"/>
                <w:szCs w:val="21"/>
                <w:highlight w:val="none"/>
                <w:lang w:val="en-US" w:eastAsia="zh-CN"/>
              </w:rPr>
            </w:pPr>
          </w:p>
          <w:p w14:paraId="2AA48898">
            <w:pPr>
              <w:keepNext/>
              <w:keepLines/>
              <w:pageBreakBefore w:val="0"/>
              <w:widowControl/>
              <w:numPr>
                <w:ilvl w:val="0"/>
                <w:numId w:val="0"/>
              </w:numPr>
              <w:suppressLineNumbers w:val="0"/>
              <w:kinsoku/>
              <w:wordWrap/>
              <w:overflowPunct/>
              <w:topLinePunct w:val="0"/>
              <w:autoSpaceDE/>
              <w:autoSpaceDN/>
              <w:bidi w:val="0"/>
              <w:adjustRightInd/>
              <w:snapToGrid/>
              <w:spacing w:before="157" w:beforeLines="5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z w:val="21"/>
                <w:szCs w:val="21"/>
                <w:highlight w:val="none"/>
                <w:lang w:val="en-US" w:eastAsia="zh-CN"/>
              </w:rPr>
            </w:pPr>
          </w:p>
          <w:p w14:paraId="69D3FBC3">
            <w:pPr>
              <w:keepNext/>
              <w:keepLines/>
              <w:pageBreakBefore w:val="0"/>
              <w:widowControl/>
              <w:numPr>
                <w:ilvl w:val="0"/>
                <w:numId w:val="0"/>
              </w:numPr>
              <w:suppressLineNumbers w:val="0"/>
              <w:kinsoku/>
              <w:wordWrap/>
              <w:overflowPunct/>
              <w:topLinePunct w:val="0"/>
              <w:autoSpaceDE/>
              <w:autoSpaceDN/>
              <w:bidi w:val="0"/>
              <w:adjustRightInd/>
              <w:snapToGrid/>
              <w:spacing w:before="157" w:beforeLines="5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highlight w:val="none"/>
                <w:lang w:val="en-US" w:eastAsia="zh-CN"/>
              </w:rPr>
            </w:pPr>
            <w:r>
              <w:rPr>
                <w:rFonts w:hint="default" w:ascii="Times New Roman" w:hAnsi="Times New Roman" w:eastAsia="宋体" w:cs="Times New Roman"/>
                <w:b/>
                <w:bCs w:val="0"/>
                <w:color w:val="auto"/>
                <w:sz w:val="21"/>
                <w:szCs w:val="21"/>
                <w:highlight w:val="none"/>
                <w:lang w:val="en-US" w:eastAsia="zh-CN"/>
              </w:rPr>
              <w:t>图</w:t>
            </w:r>
            <w:r>
              <w:rPr>
                <w:rFonts w:hint="eastAsia" w:cs="Times New Roman"/>
                <w:b/>
                <w:bCs w:val="0"/>
                <w:color w:val="auto"/>
                <w:sz w:val="21"/>
                <w:szCs w:val="21"/>
                <w:highlight w:val="none"/>
                <w:lang w:val="en-US" w:eastAsia="zh-CN"/>
              </w:rPr>
              <w:t>2</w:t>
            </w:r>
            <w:r>
              <w:rPr>
                <w:rFonts w:hint="default" w:ascii="Times New Roman" w:hAnsi="Times New Roman" w:eastAsia="宋体" w:cs="Times New Roman"/>
                <w:b/>
                <w:bCs w:val="0"/>
                <w:color w:val="auto"/>
                <w:sz w:val="21"/>
                <w:szCs w:val="21"/>
                <w:highlight w:val="none"/>
                <w:lang w:val="en-US" w:eastAsia="zh-CN"/>
              </w:rPr>
              <w:t xml:space="preserve">-1  </w:t>
            </w:r>
            <w:r>
              <w:rPr>
                <w:rFonts w:hint="eastAsia" w:eastAsia="宋体" w:cs="Times New Roman"/>
                <w:b/>
                <w:bCs w:val="0"/>
                <w:color w:val="auto"/>
                <w:sz w:val="21"/>
                <w:szCs w:val="21"/>
                <w:highlight w:val="none"/>
                <w:lang w:val="en-US" w:eastAsia="zh-CN"/>
              </w:rPr>
              <w:t>本</w:t>
            </w:r>
            <w:r>
              <w:rPr>
                <w:rFonts w:hint="default" w:ascii="Times New Roman" w:hAnsi="Times New Roman" w:eastAsia="宋体" w:cs="Times New Roman"/>
                <w:b/>
                <w:bCs w:val="0"/>
                <w:color w:val="auto"/>
                <w:sz w:val="21"/>
                <w:szCs w:val="21"/>
                <w:highlight w:val="none"/>
                <w:lang w:val="en-US" w:eastAsia="zh-CN"/>
              </w:rPr>
              <w:t>项目水平衡图（单位：</w:t>
            </w:r>
            <w:r>
              <w:rPr>
                <w:rFonts w:hint="default" w:ascii="Times New Roman" w:hAnsi="Times New Roman" w:eastAsia="宋体" w:cs="Times New Roman"/>
                <w:b/>
                <w:bCs w:val="0"/>
                <w:color w:val="auto"/>
                <w:sz w:val="21"/>
                <w:szCs w:val="21"/>
                <w:highlight w:val="none"/>
              </w:rPr>
              <w:t>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/d</w:t>
            </w:r>
            <w:r>
              <w:rPr>
                <w:rFonts w:hint="default" w:ascii="Times New Roman" w:hAnsi="Times New Roman" w:eastAsia="宋体" w:cs="Times New Roman"/>
                <w:b/>
                <w:bCs w:val="0"/>
                <w:color w:val="auto"/>
                <w:sz w:val="21"/>
                <w:szCs w:val="21"/>
                <w:highlight w:val="none"/>
                <w:lang w:val="en-US" w:eastAsia="zh-CN"/>
              </w:rPr>
              <w:t>）</w:t>
            </w:r>
          </w:p>
          <w:p w14:paraId="1385DF6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r>
              <w:rPr>
                <w:rFonts w:hint="eastAsia" w:cs="Times New Roman"/>
                <w:b w:val="0"/>
                <w:bCs/>
                <w:color w:val="auto"/>
                <w:spacing w:val="0"/>
                <w:sz w:val="24"/>
                <w:szCs w:val="24"/>
                <w:highlight w:val="none"/>
                <w:lang w:val="en-US" w:eastAsia="zh-CN"/>
              </w:rPr>
              <w:t>（3）</w:t>
            </w:r>
            <w:r>
              <w:rPr>
                <w:rFonts w:hint="default" w:eastAsia="宋体" w:cs="Times New Roman"/>
                <w:b w:val="0"/>
                <w:bCs/>
                <w:color w:val="auto"/>
                <w:spacing w:val="0"/>
                <w:sz w:val="24"/>
                <w:szCs w:val="24"/>
                <w:highlight w:val="none"/>
                <w:lang w:val="en-US" w:eastAsia="zh-CN"/>
              </w:rPr>
              <w:t>供电</w:t>
            </w:r>
          </w:p>
          <w:p w14:paraId="26BFF41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r>
              <w:rPr>
                <w:rFonts w:hint="default"/>
                <w:b w:val="0"/>
                <w:bCs/>
                <w:color w:val="auto"/>
                <w:sz w:val="24"/>
                <w:highlight w:val="none"/>
              </w:rPr>
              <w:t>供电依托现有供电系统，由园区供电电网接入</w:t>
            </w:r>
            <w:r>
              <w:rPr>
                <w:rFonts w:hint="eastAsia" w:cs="Times New Roman"/>
                <w:b w:val="0"/>
                <w:bCs/>
                <w:color w:val="auto"/>
                <w:spacing w:val="0"/>
                <w:sz w:val="24"/>
                <w:szCs w:val="24"/>
                <w:highlight w:val="none"/>
                <w:lang w:val="en-US" w:eastAsia="zh-CN"/>
              </w:rPr>
              <w:t>，能满足本项目供电需求</w:t>
            </w:r>
            <w:r>
              <w:rPr>
                <w:rFonts w:hint="eastAsia" w:ascii="Times New Roman" w:hAnsi="Times New Roman" w:eastAsia="宋体" w:cs="Times New Roman"/>
                <w:b w:val="0"/>
                <w:bCs/>
                <w:color w:val="auto"/>
                <w:spacing w:val="0"/>
                <w:sz w:val="24"/>
                <w:szCs w:val="24"/>
                <w:highlight w:val="none"/>
                <w:lang w:val="en-US" w:eastAsia="zh-CN"/>
              </w:rPr>
              <w:t>。</w:t>
            </w:r>
          </w:p>
          <w:p w14:paraId="0B6F3E6F">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pacing w:val="0"/>
                <w:sz w:val="24"/>
                <w:szCs w:val="24"/>
                <w:highlight w:val="none"/>
                <w:lang w:val="en-US" w:eastAsia="zh-CN"/>
              </w:rPr>
            </w:pPr>
            <w:r>
              <w:rPr>
                <w:rFonts w:hint="eastAsia" w:cs="Times New Roman"/>
                <w:b w:val="0"/>
                <w:bCs/>
                <w:color w:val="auto"/>
                <w:spacing w:val="0"/>
                <w:sz w:val="24"/>
                <w:szCs w:val="24"/>
                <w:highlight w:val="none"/>
                <w:lang w:val="en-US" w:eastAsia="zh-CN"/>
              </w:rPr>
              <w:t>（4）供</w:t>
            </w:r>
            <w:r>
              <w:rPr>
                <w:rFonts w:hint="default" w:ascii="Times New Roman" w:hAnsi="Times New Roman" w:eastAsia="宋体" w:cs="Times New Roman"/>
                <w:b w:val="0"/>
                <w:bCs/>
                <w:color w:val="auto"/>
                <w:spacing w:val="0"/>
                <w:sz w:val="24"/>
                <w:szCs w:val="24"/>
                <w:highlight w:val="none"/>
                <w:lang w:val="en-US" w:eastAsia="zh-CN"/>
              </w:rPr>
              <w:t>暖</w:t>
            </w:r>
          </w:p>
          <w:p w14:paraId="604113BC">
            <w:pPr>
              <w:keepNext w:val="0"/>
              <w:keepLines w:val="0"/>
              <w:suppressLineNumbers w:val="0"/>
              <w:adjustRightInd w:val="0"/>
              <w:snapToGrid w:val="0"/>
              <w:spacing w:before="0" w:beforeAutospacing="0" w:after="0" w:afterAutospacing="0" w:line="460" w:lineRule="exact"/>
              <w:ind w:left="0" w:right="0" w:firstLine="422" w:firstLineChars="176"/>
              <w:rPr>
                <w:rFonts w:hint="default"/>
                <w:bCs/>
                <w:color w:val="auto"/>
                <w:sz w:val="24"/>
                <w:highlight w:val="none"/>
              </w:rPr>
            </w:pPr>
            <w:r>
              <w:rPr>
                <w:rFonts w:hint="default"/>
                <w:bCs/>
                <w:color w:val="auto"/>
                <w:sz w:val="24"/>
                <w:highlight w:val="none"/>
              </w:rPr>
              <w:t>现有办公生活区冬季供暖由园区集中供热管网提供。</w:t>
            </w:r>
          </w:p>
          <w:p w14:paraId="132AAFE1">
            <w:pPr>
              <w:keepNext w:val="0"/>
              <w:keepLines w:val="0"/>
              <w:suppressLineNumbers w:val="0"/>
              <w:adjustRightInd w:val="0"/>
              <w:snapToGrid w:val="0"/>
              <w:spacing w:before="0" w:beforeAutospacing="0" w:after="0" w:afterAutospacing="0" w:line="460" w:lineRule="exact"/>
              <w:ind w:left="0" w:right="0" w:firstLine="422" w:firstLineChars="176"/>
              <w:rPr>
                <w:rFonts w:hint="default"/>
                <w:bCs/>
                <w:color w:val="auto"/>
                <w:sz w:val="24"/>
                <w:highlight w:val="none"/>
              </w:rPr>
            </w:pPr>
            <w:r>
              <w:rPr>
                <w:rFonts w:hint="default"/>
                <w:bCs/>
                <w:color w:val="auto"/>
                <w:sz w:val="24"/>
                <w:highlight w:val="none"/>
              </w:rPr>
              <w:t>本项目办公生活区利用现有办公楼，不新增供热面积，不新增供热负荷。现有供热系统可以满足供热需求。</w:t>
            </w:r>
          </w:p>
          <w:p w14:paraId="28D8D4DB">
            <w:pPr>
              <w:keepNext w:val="0"/>
              <w:keepLines w:val="0"/>
              <w:suppressLineNumbers w:val="0"/>
              <w:adjustRightInd w:val="0"/>
              <w:snapToGrid w:val="0"/>
              <w:spacing w:before="0" w:beforeAutospacing="0" w:after="0" w:afterAutospacing="0" w:line="460" w:lineRule="exact"/>
              <w:ind w:left="0" w:right="0" w:firstLine="422" w:firstLineChars="176"/>
              <w:rPr>
                <w:rFonts w:hint="eastAsia"/>
                <w:bCs/>
                <w:color w:val="auto"/>
                <w:sz w:val="24"/>
                <w:highlight w:val="none"/>
                <w:lang w:val="en-US" w:eastAsia="zh-CN"/>
              </w:rPr>
            </w:pPr>
            <w:r>
              <w:rPr>
                <w:rFonts w:hint="eastAsia"/>
                <w:bCs/>
                <w:color w:val="auto"/>
                <w:sz w:val="24"/>
                <w:highlight w:val="none"/>
                <w:lang w:eastAsia="zh-CN"/>
              </w:rPr>
              <w:t>（</w:t>
            </w:r>
            <w:r>
              <w:rPr>
                <w:rFonts w:hint="eastAsia"/>
                <w:bCs/>
                <w:color w:val="auto"/>
                <w:sz w:val="24"/>
                <w:highlight w:val="none"/>
                <w:lang w:val="en-US" w:eastAsia="zh-CN"/>
              </w:rPr>
              <w:t>5</w:t>
            </w:r>
            <w:r>
              <w:rPr>
                <w:rFonts w:hint="eastAsia"/>
                <w:bCs/>
                <w:color w:val="auto"/>
                <w:sz w:val="24"/>
                <w:highlight w:val="none"/>
                <w:lang w:eastAsia="zh-CN"/>
              </w:rPr>
              <w:t>）</w:t>
            </w:r>
            <w:r>
              <w:rPr>
                <w:rFonts w:hint="eastAsia"/>
                <w:bCs/>
                <w:color w:val="auto"/>
                <w:sz w:val="24"/>
                <w:highlight w:val="none"/>
                <w:lang w:val="en-US" w:eastAsia="zh-CN"/>
              </w:rPr>
              <w:t>供气</w:t>
            </w:r>
          </w:p>
          <w:p w14:paraId="3A9181DA">
            <w:pPr>
              <w:keepNext w:val="0"/>
              <w:keepLines w:val="0"/>
              <w:suppressLineNumbers w:val="0"/>
              <w:adjustRightInd w:val="0"/>
              <w:snapToGrid w:val="0"/>
              <w:spacing w:before="0" w:beforeAutospacing="0" w:after="0" w:afterAutospacing="0" w:line="460" w:lineRule="exact"/>
              <w:ind w:left="0" w:right="0" w:firstLine="422" w:firstLineChars="176"/>
              <w:rPr>
                <w:rFonts w:hint="default"/>
                <w:bCs/>
                <w:color w:val="auto"/>
                <w:sz w:val="24"/>
                <w:highlight w:val="none"/>
                <w:lang w:val="en-US" w:eastAsia="zh-CN"/>
              </w:rPr>
            </w:pPr>
            <w:r>
              <w:rPr>
                <w:rFonts w:hint="eastAsia"/>
                <w:bCs/>
                <w:color w:val="auto"/>
                <w:sz w:val="24"/>
                <w:highlight w:val="none"/>
                <w:lang w:val="en-US" w:eastAsia="zh-CN"/>
              </w:rPr>
              <w:t>本项目回转窑运行制度为每天24h，330d，加热采用的燃料为天然气，由园区供气管网提供，热源可满足本项目生产需要。厂区天然气接入位置为厂区西北侧，本项目天然气接入位置位于1#厂房北侧，需建设约270m天然气输送管线。</w:t>
            </w:r>
          </w:p>
        </w:tc>
      </w:tr>
      <w:tr w14:paraId="05B73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26" w:type="pct"/>
            <w:vAlign w:val="center"/>
          </w:tcPr>
          <w:p w14:paraId="31895067">
            <w:pPr>
              <w:pStyle w:val="27"/>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1"/>
                <w:szCs w:val="21"/>
                <w:highlight w:val="none"/>
              </w:rPr>
              <w:br w:type="page"/>
            </w:r>
            <w:r>
              <w:rPr>
                <w:rFonts w:hint="default" w:ascii="Times New Roman" w:hAnsi="Times New Roman" w:cs="Times New Roman"/>
                <w:b w:val="0"/>
                <w:bCs w:val="0"/>
                <w:color w:val="auto"/>
                <w:sz w:val="21"/>
                <w:szCs w:val="21"/>
                <w:highlight w:val="none"/>
              </w:rPr>
              <w:t>工艺流程和产排污环节</w:t>
            </w:r>
          </w:p>
        </w:tc>
        <w:tc>
          <w:tcPr>
            <w:tcW w:w="4673" w:type="pct"/>
          </w:tcPr>
          <w:p w14:paraId="019EA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工艺流程简述（图示）</w:t>
            </w:r>
          </w:p>
          <w:p w14:paraId="46D1C42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（1）原料入厂</w:t>
            </w:r>
          </w:p>
          <w:p w14:paraId="20F54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auto"/>
                <w:sz w:val="24"/>
                <w:highlight w:val="none"/>
                <w:lang w:val="en-US" w:eastAsia="zh-CN"/>
              </w:rPr>
            </w:pPr>
            <w:r>
              <w:rPr>
                <w:rFonts w:hint="default"/>
                <w:color w:val="auto"/>
                <w:sz w:val="24"/>
                <w:highlight w:val="none"/>
              </w:rPr>
              <w:t>本项目原料废钢铁主要来源于</w:t>
            </w:r>
            <w:r>
              <w:rPr>
                <w:rFonts w:hint="eastAsia" w:cs="Times New Roman"/>
                <w:b w:val="0"/>
                <w:bCs w:val="0"/>
                <w:color w:val="auto"/>
                <w:kern w:val="0"/>
                <w:sz w:val="24"/>
                <w:szCs w:val="24"/>
                <w:highlight w:val="none"/>
                <w:lang w:val="en-US" w:eastAsia="zh-CN"/>
              </w:rPr>
              <w:t>屯留区周边</w:t>
            </w:r>
            <w:r>
              <w:rPr>
                <w:rFonts w:hint="default"/>
                <w:color w:val="auto"/>
                <w:sz w:val="24"/>
                <w:highlight w:val="none"/>
              </w:rPr>
              <w:t>汽车拆解厂、机械加工厂及废品回收站，</w:t>
            </w:r>
            <w:r>
              <w:rPr>
                <w:rFonts w:hint="eastAsia" w:cs="Times New Roman"/>
                <w:b w:val="0"/>
                <w:bCs w:val="0"/>
                <w:color w:val="auto"/>
                <w:kern w:val="0"/>
                <w:sz w:val="24"/>
                <w:szCs w:val="24"/>
                <w:highlight w:val="none"/>
                <w:lang w:val="en-US" w:eastAsia="zh-CN"/>
              </w:rPr>
              <w:t>原料在入厂前已做分拣工序，</w:t>
            </w:r>
            <w:r>
              <w:rPr>
                <w:rFonts w:hint="eastAsia"/>
                <w:color w:val="auto"/>
                <w:sz w:val="24"/>
                <w:highlight w:val="none"/>
                <w:lang w:val="en-US" w:eastAsia="zh-CN"/>
              </w:rPr>
              <w:t>分拣出表面含油、含油漆、表面氧化的废钢铁，</w:t>
            </w:r>
            <w:r>
              <w:rPr>
                <w:rFonts w:hint="eastAsia" w:cs="Times New Roman"/>
                <w:b w:val="0"/>
                <w:bCs w:val="0"/>
                <w:color w:val="auto"/>
                <w:kern w:val="0"/>
                <w:sz w:val="24"/>
                <w:szCs w:val="24"/>
                <w:highlight w:val="none"/>
                <w:lang w:val="en-US" w:eastAsia="zh-CN"/>
              </w:rPr>
              <w:t>要求入厂的废钢铁碎块表面</w:t>
            </w:r>
            <w:r>
              <w:rPr>
                <w:rFonts w:hint="default"/>
                <w:color w:val="auto"/>
                <w:sz w:val="24"/>
                <w:highlight w:val="none"/>
              </w:rPr>
              <w:t>无严重锈蚀氧化、不含油</w:t>
            </w:r>
            <w:r>
              <w:rPr>
                <w:rFonts w:hint="eastAsia"/>
                <w:color w:val="auto"/>
                <w:sz w:val="24"/>
                <w:highlight w:val="none"/>
                <w:lang w:eastAsia="zh-CN"/>
              </w:rPr>
              <w:t>、</w:t>
            </w:r>
            <w:r>
              <w:rPr>
                <w:rFonts w:hint="eastAsia"/>
                <w:color w:val="auto"/>
                <w:sz w:val="24"/>
                <w:highlight w:val="none"/>
                <w:lang w:val="en-US" w:eastAsia="zh-CN"/>
              </w:rPr>
              <w:t>不含油漆，因此本项目废气不涉及有机废气。原料</w:t>
            </w:r>
            <w:r>
              <w:rPr>
                <w:rFonts w:hint="default"/>
                <w:color w:val="auto"/>
                <w:sz w:val="24"/>
                <w:highlight w:val="none"/>
              </w:rPr>
              <w:t>采用汽车运输，车辆进入厂区前通过便携式放射性监测仪进行辐射检查，当原料辐射检测超标时，警报灯将亮起，检测系统会记录下原料批次及辐射超标情况</w:t>
            </w:r>
            <w:r>
              <w:rPr>
                <w:rFonts w:hint="eastAsia"/>
                <w:color w:val="auto"/>
                <w:sz w:val="24"/>
                <w:highlight w:val="none"/>
                <w:lang w:eastAsia="zh-CN"/>
              </w:rPr>
              <w:t>，</w:t>
            </w:r>
            <w:r>
              <w:rPr>
                <w:rFonts w:hint="default"/>
                <w:color w:val="auto"/>
                <w:sz w:val="24"/>
                <w:highlight w:val="none"/>
              </w:rPr>
              <w:t>检测超标车辆禁止进入厂区，并立即通知辐射相关管理部门进行处理</w:t>
            </w:r>
            <w:r>
              <w:rPr>
                <w:rFonts w:hint="eastAsia"/>
                <w:color w:val="auto"/>
                <w:sz w:val="24"/>
                <w:highlight w:val="none"/>
                <w:lang w:eastAsia="zh-CN"/>
              </w:rPr>
              <w:t>，</w:t>
            </w:r>
            <w:r>
              <w:rPr>
                <w:rFonts w:hint="default"/>
                <w:color w:val="auto"/>
                <w:sz w:val="24"/>
                <w:highlight w:val="none"/>
              </w:rPr>
              <w:t>检查通过后进入厂区，根据原料来源不同分废钢、废铁分区储存于原料库内</w:t>
            </w:r>
            <w:r>
              <w:rPr>
                <w:rFonts w:hint="eastAsia"/>
                <w:color w:val="auto"/>
                <w:sz w:val="24"/>
                <w:highlight w:val="none"/>
                <w:lang w:eastAsia="zh-CN"/>
              </w:rPr>
              <w:t>。</w:t>
            </w:r>
            <w:r>
              <w:rPr>
                <w:rFonts w:hint="eastAsia"/>
                <w:color w:val="auto"/>
                <w:sz w:val="24"/>
                <w:highlight w:val="none"/>
                <w:lang w:val="en-US" w:eastAsia="zh-CN"/>
              </w:rPr>
              <w:t>原料为废钢铁碎块，不含粉末状，生产</w:t>
            </w:r>
            <w:r>
              <w:rPr>
                <w:rFonts w:hint="default"/>
                <w:color w:val="auto"/>
                <w:sz w:val="24"/>
                <w:highlight w:val="none"/>
                <w:lang w:val="en-US" w:eastAsia="zh-CN"/>
              </w:rPr>
              <w:t>热压铁饼</w:t>
            </w:r>
            <w:r>
              <w:rPr>
                <w:rFonts w:hint="eastAsia"/>
                <w:color w:val="auto"/>
                <w:sz w:val="24"/>
                <w:highlight w:val="none"/>
                <w:lang w:val="en-US" w:eastAsia="zh-CN"/>
              </w:rPr>
              <w:t>所需粒径≤20mm，生产对辊压块所需粒径≤3mm，两种产品同时生产时，需满足对辊压块产品所需粒度（≤3mm）</w:t>
            </w:r>
            <w:r>
              <w:rPr>
                <w:rFonts w:hint="default"/>
                <w:color w:val="auto"/>
                <w:sz w:val="24"/>
                <w:highlight w:val="none"/>
              </w:rPr>
              <w:t>。</w:t>
            </w:r>
            <w:r>
              <w:rPr>
                <w:rFonts w:hint="eastAsia"/>
                <w:color w:val="auto"/>
                <w:sz w:val="24"/>
                <w:highlight w:val="none"/>
                <w:lang w:val="en-US" w:eastAsia="zh-CN"/>
              </w:rPr>
              <w:t>本项目不设置破碎、除油、除锈等预处理措施。</w:t>
            </w:r>
          </w:p>
          <w:p w14:paraId="7E19B121">
            <w:pPr>
              <w:keepNext w:val="0"/>
              <w:keepLines w:val="0"/>
              <w:suppressLineNumbers w:val="0"/>
              <w:spacing w:before="0" w:beforeAutospacing="0" w:after="0" w:afterAutospacing="0" w:line="480" w:lineRule="exact"/>
              <w:ind w:left="0" w:right="0" w:firstLine="480" w:firstLineChars="200"/>
              <w:rPr>
                <w:rFonts w:hint="default" w:cs="Times New Roman"/>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上料系统</w:t>
            </w:r>
          </w:p>
          <w:p w14:paraId="2404D3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上料系统由受料料仓、皮带计量称、皮带输送机、大倾角输送机及高温密封进料机组成。</w:t>
            </w:r>
          </w:p>
          <w:p w14:paraId="547C5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生产线在生产时，会根据不同原料的粒度、出水率、堆积密度等情况进行不同物料的配料，从而满足钢厂对成品料的需求以及满足项目经济价值，上料系统配置三个上料受料仓，用于不同物料的配料。原料由铲车将分别将不同物料送入三个料仓内，在受料仓侧壁设置破拱装置，防止物料在仓内起拱，上料过程会产生少量粉尘；在受料仓下部分别设置三台皮带计量称，在自动控制系统内设置好不同物料的配置比例，皮带秤会自动对物料进行称重计量，按照预设好的流量进行配料给料，不同物料会一起送入皮带输送机，然后进入大倾角输送机内；在大倾角输送机的连续运转下，将物料输送提升至控温炉进料器上部，在控温炉进料端设置高温密封进料机，物料由大倾角输送机融入进料机内后，由进料机将物料均匀连续的送入控温炉内部，从而完成物料的上料。</w:t>
            </w:r>
          </w:p>
          <w:p w14:paraId="11C09F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（3）加热</w:t>
            </w:r>
            <w:r>
              <w:rPr>
                <w:rFonts w:hint="eastAsia" w:cs="Times New Roman"/>
                <w:color w:val="auto"/>
                <w:sz w:val="24"/>
                <w:szCs w:val="24"/>
                <w:highlight w:val="none"/>
                <w:lang w:val="en-US" w:eastAsia="zh-CN"/>
              </w:rPr>
              <w:t>系统</w:t>
            </w:r>
          </w:p>
          <w:p w14:paraId="5BB25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加热系统采用的回转窑燃料为天然气，</w:t>
            </w:r>
            <w:r>
              <w:rPr>
                <w:rFonts w:hint="default"/>
                <w:color w:val="auto"/>
                <w:sz w:val="24"/>
                <w:highlight w:val="none"/>
              </w:rPr>
              <w:t>加热温度约800℃，加热时间约4h</w:t>
            </w:r>
            <w:r>
              <w:rPr>
                <w:rFonts w:hint="eastAsia"/>
                <w:color w:val="auto"/>
                <w:sz w:val="24"/>
                <w:highlight w:val="none"/>
                <w:lang w:eastAsia="zh-CN"/>
              </w:rPr>
              <w:t>，</w:t>
            </w:r>
            <w:r>
              <w:rPr>
                <w:rFonts w:hint="eastAsia"/>
                <w:color w:val="auto"/>
                <w:sz w:val="24"/>
                <w:highlight w:val="none"/>
                <w:lang w:val="en-US" w:eastAsia="zh-CN"/>
              </w:rPr>
              <w:t>运行制度为每天24h，330d</w:t>
            </w:r>
            <w:r>
              <w:rPr>
                <w:rFonts w:hint="eastAsia" w:cs="Times New Roman"/>
                <w:color w:val="auto"/>
                <w:spacing w:val="0"/>
                <w:kern w:val="0"/>
                <w:sz w:val="24"/>
                <w:szCs w:val="20"/>
                <w:highlight w:val="none"/>
                <w:lang w:val="en-US" w:eastAsia="zh-CN" w:bidi="ar-SA"/>
              </w:rPr>
              <w:t>。回转窑点火采用高能点火器，点火方式是自动。</w:t>
            </w:r>
          </w:p>
          <w:p w14:paraId="7BC34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回转窑是一个倾斜设置的圆筒状加热器，进料端较高，出料端较低，其在运行时进行360</w:t>
            </w:r>
            <w:r>
              <w:rPr>
                <w:rFonts w:hint="default" w:ascii="Times New Roman" w:hAnsi="Times New Roman" w:cs="Times New Roman"/>
                <w:color w:val="auto"/>
                <w:spacing w:val="0"/>
                <w:kern w:val="0"/>
                <w:sz w:val="24"/>
                <w:szCs w:val="20"/>
                <w:highlight w:val="none"/>
                <w:lang w:val="en-US" w:eastAsia="zh-CN" w:bidi="ar-SA"/>
              </w:rPr>
              <w:t>°</w:t>
            </w:r>
            <w:r>
              <w:rPr>
                <w:rFonts w:hint="eastAsia" w:cs="Times New Roman"/>
                <w:color w:val="auto"/>
                <w:spacing w:val="0"/>
                <w:kern w:val="0"/>
                <w:sz w:val="24"/>
                <w:szCs w:val="20"/>
                <w:highlight w:val="none"/>
                <w:lang w:val="en-US" w:eastAsia="zh-CN" w:bidi="ar-SA"/>
              </w:rPr>
              <w:t>回转运动，滚筒上设置支撑光圈，光圈支撑在托辊装置上，同时设置一组挡棍装置防止滚筒运行时超出设置的窜动范围，同时在滚筒上安装大齿圈，再由传动系统驱动大齿圈进行旋转，大齿圈带动筒体进行旋转运动，在控温炉出料端设置有天然气燃烧系统，回转窑为高温运转设备，为防止热量损失，在回转窑外部设置有外保温装置，使得能源被更好的利用。</w:t>
            </w:r>
          </w:p>
          <w:p w14:paraId="5CABE0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物料经上料系统的高温密封进料机送来的物料进入到控温炉较高一端的内部，在筒体的旋转作用下由较高一端缓慢行走到达较低一端，物料的行走的同时不断翻转，并且不断天然气燃烧产生的热量，在到达较低的出料端时达到要求的温度，从而完成物料加热，加热后的物料进入到出料端设置的高温物料仓内缓存，高温缓存料仓下部连接热压成型系统的进料口，同时在高温缓存料仓下部还设置一个紧急卸料口，在出现故障或断电时可以将控温炉内物料进行排空。</w:t>
            </w:r>
          </w:p>
          <w:p w14:paraId="4CF14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加热系统采用天然气作为热源，天然气燃烧器安装在回转窑出料端，通过燃烧器阀组对燃气进行减压稳压后，送入安装在回转窑出料器上的燃气烧嘴将天然气点燃，从燃烧器烧嘴处向控温炉内喷火，对物料进行直接加热；天然气燃烧器采用全自动PID控制系统，由回转窑上安装的温度传感器对其进行控制，完成燃气及配风的自动调节，使得回转窑连续稳定的运行在一定温度区间；天然气燃烧器设置有手动总阀、稳压阀、双气动切断阀、电动调节阀、高压点火枪、点火风机、红外火焰探测器等装置，使得天然气能够完成自动点火及连续调节，同时能够不间断监测火焰状态，发现火焰熄灭时及时切断燃气供应并报警。</w:t>
            </w:r>
          </w:p>
          <w:p w14:paraId="60E778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回转窑</w:t>
            </w:r>
            <w:r>
              <w:rPr>
                <w:rFonts w:hint="default" w:cs="Times New Roman"/>
                <w:color w:val="auto"/>
                <w:spacing w:val="0"/>
                <w:kern w:val="0"/>
                <w:sz w:val="24"/>
                <w:szCs w:val="20"/>
                <w:highlight w:val="none"/>
                <w:lang w:val="en-US" w:eastAsia="zh-CN" w:bidi="ar-SA"/>
              </w:rPr>
              <w:t>在</w:t>
            </w:r>
            <w:r>
              <w:rPr>
                <w:rFonts w:hint="eastAsia" w:cs="Times New Roman"/>
                <w:color w:val="auto"/>
                <w:spacing w:val="0"/>
                <w:kern w:val="0"/>
                <w:sz w:val="24"/>
                <w:szCs w:val="20"/>
                <w:highlight w:val="none"/>
                <w:lang w:val="en-US" w:eastAsia="zh-CN" w:bidi="ar-SA"/>
              </w:rPr>
              <w:t>加热过程中</w:t>
            </w:r>
            <w:r>
              <w:rPr>
                <w:rFonts w:hint="default" w:cs="Times New Roman"/>
                <w:color w:val="auto"/>
                <w:spacing w:val="0"/>
                <w:kern w:val="0"/>
                <w:sz w:val="24"/>
                <w:szCs w:val="20"/>
                <w:highlight w:val="none"/>
                <w:lang w:val="en-US" w:eastAsia="zh-CN" w:bidi="ar-SA"/>
              </w:rPr>
              <w:t>会产生一定量</w:t>
            </w:r>
            <w:r>
              <w:rPr>
                <w:rFonts w:hint="eastAsia" w:cs="Times New Roman"/>
                <w:color w:val="auto"/>
                <w:spacing w:val="0"/>
                <w:kern w:val="0"/>
                <w:sz w:val="24"/>
                <w:szCs w:val="20"/>
                <w:highlight w:val="none"/>
                <w:lang w:val="en-US" w:eastAsia="zh-CN" w:bidi="ar-SA"/>
              </w:rPr>
              <w:t>尾气，尾气</w:t>
            </w:r>
            <w:r>
              <w:rPr>
                <w:rFonts w:hint="default" w:cs="Times New Roman"/>
                <w:color w:val="auto"/>
                <w:spacing w:val="0"/>
                <w:kern w:val="0"/>
                <w:sz w:val="24"/>
                <w:szCs w:val="20"/>
                <w:highlight w:val="none"/>
                <w:lang w:val="en-US" w:eastAsia="zh-CN" w:bidi="ar-SA"/>
              </w:rPr>
              <w:t>中</w:t>
            </w:r>
            <w:r>
              <w:rPr>
                <w:rFonts w:hint="eastAsia" w:cs="Times New Roman"/>
                <w:color w:val="auto"/>
                <w:spacing w:val="0"/>
                <w:kern w:val="0"/>
                <w:sz w:val="24"/>
                <w:szCs w:val="20"/>
                <w:highlight w:val="none"/>
                <w:lang w:val="en-US" w:eastAsia="zh-CN" w:bidi="ar-SA"/>
              </w:rPr>
              <w:t>含有颗粒物、SO</w:t>
            </w:r>
            <w:r>
              <w:rPr>
                <w:rFonts w:hint="eastAsia" w:cs="Times New Roman"/>
                <w:color w:val="auto"/>
                <w:spacing w:val="0"/>
                <w:kern w:val="0"/>
                <w:sz w:val="24"/>
                <w:szCs w:val="20"/>
                <w:highlight w:val="none"/>
                <w:vertAlign w:val="subscript"/>
                <w:lang w:val="en-US" w:eastAsia="zh-CN" w:bidi="ar-SA"/>
              </w:rPr>
              <w:t>2</w:t>
            </w:r>
            <w:r>
              <w:rPr>
                <w:rFonts w:hint="eastAsia" w:cs="Times New Roman"/>
                <w:color w:val="auto"/>
                <w:spacing w:val="0"/>
                <w:kern w:val="0"/>
                <w:sz w:val="24"/>
                <w:szCs w:val="20"/>
                <w:highlight w:val="none"/>
                <w:vertAlign w:val="baseline"/>
                <w:lang w:val="en-US" w:eastAsia="zh-CN" w:bidi="ar-SA"/>
              </w:rPr>
              <w:t>、NOx</w:t>
            </w:r>
            <w:r>
              <w:rPr>
                <w:rFonts w:hint="default" w:cs="Times New Roman"/>
                <w:color w:val="auto"/>
                <w:spacing w:val="0"/>
                <w:kern w:val="0"/>
                <w:sz w:val="24"/>
                <w:szCs w:val="20"/>
                <w:highlight w:val="none"/>
                <w:lang w:val="en-US" w:eastAsia="zh-CN" w:bidi="ar-SA"/>
              </w:rPr>
              <w:t>；其排放口设置在进料端，</w:t>
            </w:r>
            <w:r>
              <w:rPr>
                <w:rFonts w:hint="eastAsia" w:cs="Times New Roman"/>
                <w:color w:val="auto"/>
                <w:spacing w:val="0"/>
                <w:kern w:val="0"/>
                <w:sz w:val="24"/>
                <w:szCs w:val="20"/>
                <w:highlight w:val="none"/>
                <w:lang w:val="en-US" w:eastAsia="zh-CN" w:bidi="ar-SA"/>
              </w:rPr>
              <w:t>尾气</w:t>
            </w:r>
            <w:r>
              <w:rPr>
                <w:rFonts w:hint="default" w:cs="Times New Roman"/>
                <w:color w:val="auto"/>
                <w:spacing w:val="0"/>
                <w:kern w:val="0"/>
                <w:sz w:val="24"/>
                <w:szCs w:val="20"/>
                <w:highlight w:val="none"/>
                <w:lang w:val="en-US" w:eastAsia="zh-CN" w:bidi="ar-SA"/>
              </w:rPr>
              <w:t>由管道连接至旋风除尘器进风口，在旋风除尘器内进行</w:t>
            </w:r>
            <w:r>
              <w:rPr>
                <w:rFonts w:hint="eastAsia" w:cs="Times New Roman"/>
                <w:color w:val="auto"/>
                <w:spacing w:val="0"/>
                <w:kern w:val="0"/>
                <w:sz w:val="24"/>
                <w:szCs w:val="20"/>
                <w:highlight w:val="none"/>
                <w:lang w:val="en-US" w:eastAsia="zh-CN" w:bidi="ar-SA"/>
              </w:rPr>
              <w:t>一次</w:t>
            </w:r>
            <w:r>
              <w:rPr>
                <w:rFonts w:hint="default" w:cs="Times New Roman"/>
                <w:color w:val="auto"/>
                <w:spacing w:val="0"/>
                <w:kern w:val="0"/>
                <w:sz w:val="24"/>
                <w:szCs w:val="20"/>
                <w:highlight w:val="none"/>
                <w:lang w:val="en-US" w:eastAsia="zh-CN" w:bidi="ar-SA"/>
              </w:rPr>
              <w:t>除尘，将大颗粒粉尘去除之后进入到余热利用换热器中，尾气与燃烧器的助燃风进行热交换，提高助燃风温度节约能源，同时降低尾气温度使其满足进入脉冲除尘器的温度，在热交换器上还安装有保险换热风机，在助燃风不足以将温度降至合适温度时，由保险风机对其进行进一步降温；后续尾气进入脉冲除尘器内进行过滤除尘，使尾气中粉尘浓度降至排放要求的浓度以下，然后尾气进入工艺引风机内，最后从</w:t>
            </w:r>
            <w:r>
              <w:rPr>
                <w:rFonts w:hint="eastAsia" w:cs="Times New Roman"/>
                <w:color w:val="auto"/>
                <w:spacing w:val="0"/>
                <w:kern w:val="0"/>
                <w:sz w:val="24"/>
                <w:szCs w:val="20"/>
                <w:highlight w:val="none"/>
                <w:lang w:val="en-US" w:eastAsia="zh-CN" w:bidi="ar-SA"/>
              </w:rPr>
              <w:t>排气筒</w:t>
            </w:r>
            <w:r>
              <w:rPr>
                <w:rFonts w:hint="default" w:cs="Times New Roman"/>
                <w:color w:val="auto"/>
                <w:spacing w:val="0"/>
                <w:kern w:val="0"/>
                <w:sz w:val="24"/>
                <w:szCs w:val="20"/>
                <w:highlight w:val="none"/>
                <w:lang w:val="en-US" w:eastAsia="zh-CN" w:bidi="ar-SA"/>
              </w:rPr>
              <w:t>排入大气</w:t>
            </w:r>
            <w:r>
              <w:rPr>
                <w:rFonts w:hint="eastAsia" w:cs="Times New Roman"/>
                <w:color w:val="auto"/>
                <w:spacing w:val="0"/>
                <w:kern w:val="0"/>
                <w:sz w:val="24"/>
                <w:szCs w:val="20"/>
                <w:highlight w:val="none"/>
                <w:lang w:val="en-US" w:eastAsia="zh-CN" w:bidi="ar-SA"/>
              </w:rPr>
              <w:t>中</w:t>
            </w:r>
            <w:r>
              <w:rPr>
                <w:rFonts w:hint="default" w:cs="Times New Roman"/>
                <w:color w:val="auto"/>
                <w:spacing w:val="0"/>
                <w:kern w:val="0"/>
                <w:sz w:val="24"/>
                <w:szCs w:val="20"/>
                <w:highlight w:val="none"/>
                <w:lang w:val="en-US" w:eastAsia="zh-CN" w:bidi="ar-SA"/>
              </w:rPr>
              <w:t>。在脉冲除尘器进出风口之间设置有旁通管道，在系统温度超高不受控时，将旁通阀打开紧急排放高温烟气。</w:t>
            </w:r>
          </w:p>
          <w:p w14:paraId="2F1D8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0"/>
                <w:kern w:val="0"/>
                <w:sz w:val="24"/>
                <w:szCs w:val="24"/>
                <w:highlight w:val="none"/>
                <w:lang w:val="en-US" w:eastAsia="zh-CN" w:bidi="ar-SA"/>
              </w:rPr>
            </w:pPr>
            <w:r>
              <w:rPr>
                <w:rFonts w:hint="default" w:ascii="Times New Roman" w:hAnsi="Times New Roman" w:eastAsia="宋体" w:cs="Times New Roman"/>
                <w:color w:val="auto"/>
                <w:spacing w:val="0"/>
                <w:kern w:val="0"/>
                <w:sz w:val="24"/>
                <w:szCs w:val="24"/>
                <w:highlight w:val="none"/>
                <w:lang w:val="en-US" w:eastAsia="zh-CN" w:bidi="ar-SA"/>
              </w:rPr>
              <w:t>余热利用方案：</w:t>
            </w:r>
            <w:r>
              <w:rPr>
                <w:rFonts w:hint="default" w:ascii="Times New Roman" w:hAnsi="Times New Roman" w:eastAsia="宋体" w:cs="Times New Roman"/>
                <w:color w:val="auto"/>
                <w:sz w:val="24"/>
                <w:szCs w:val="24"/>
                <w:highlight w:val="none"/>
                <w:lang w:val="en-US" w:eastAsia="zh-CN"/>
              </w:rPr>
              <w:t>管式换热器回收回转窑内产生的高温废气里的热量</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高温</w:t>
            </w:r>
            <w:r>
              <w:rPr>
                <w:rFonts w:hint="eastAsia" w:ascii="Times New Roman" w:hAnsi="Times New Roman" w:eastAsia="宋体" w:cs="Times New Roman"/>
                <w:color w:val="auto"/>
                <w:sz w:val="24"/>
                <w:szCs w:val="24"/>
                <w:highlight w:val="none"/>
                <w:lang w:val="en-US" w:eastAsia="zh-CN"/>
              </w:rPr>
              <w:t>烟</w:t>
            </w:r>
            <w:r>
              <w:rPr>
                <w:rFonts w:hint="default" w:ascii="Times New Roman" w:hAnsi="Times New Roman" w:eastAsia="宋体" w:cs="Times New Roman"/>
                <w:color w:val="auto"/>
                <w:sz w:val="24"/>
                <w:szCs w:val="24"/>
                <w:highlight w:val="none"/>
                <w:lang w:val="en-US" w:eastAsia="zh-CN"/>
              </w:rPr>
              <w:t>气从回转窑进料端排出，</w:t>
            </w:r>
            <w:r>
              <w:rPr>
                <w:rFonts w:hint="eastAsia" w:cs="Times New Roman"/>
                <w:color w:val="auto"/>
                <w:sz w:val="24"/>
                <w:szCs w:val="24"/>
                <w:highlight w:val="none"/>
                <w:lang w:val="en-US" w:eastAsia="zh-CN"/>
              </w:rPr>
              <w:t>通过</w:t>
            </w:r>
            <w:r>
              <w:rPr>
                <w:rFonts w:hint="default" w:ascii="Times New Roman" w:hAnsi="Times New Roman" w:eastAsia="宋体" w:cs="Times New Roman"/>
                <w:color w:val="auto"/>
                <w:sz w:val="24"/>
                <w:szCs w:val="24"/>
                <w:highlight w:val="none"/>
                <w:lang w:val="en-US" w:eastAsia="zh-CN"/>
              </w:rPr>
              <w:t>管道先进入旋风除尘器，将废气中的大颗粒物剔除，然后再进入换热器进行换热，换热是使用高温废气来加热燃烧器的助燃风，可将助燃风加热至200-250℃，可节省燃料10-15%，有效实现节能降耗。在管道、旋风除尘器、换热器上都制作有保温层，可有效降低热量的流失</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换热器上安装有超声波吹灰器装置，可以及时的将内部积灰清除，保证设备的换热效率。</w:t>
            </w:r>
          </w:p>
          <w:p w14:paraId="735C3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r>
              <w:rPr>
                <w:rFonts w:hint="eastAsia" w:asciiTheme="minorEastAsia" w:hAnsiTheme="minorEastAsia" w:cstheme="minorEastAsia"/>
                <w:b w:val="0"/>
                <w:bCs/>
                <w:color w:val="auto"/>
                <w:kern w:val="40"/>
                <w:sz w:val="24"/>
                <w:szCs w:val="24"/>
                <w:highlight w:val="none"/>
                <w:lang w:val="en-US" w:eastAsia="zh-CN"/>
              </w:rPr>
              <w:t>燃烧方式：本系统使用燃烧器直接对窑内的物料加热，升温速度快，效率高，窑体旋转时，物料在回转窑内翻滚前行可以使物料均匀受热。</w:t>
            </w:r>
            <w:r>
              <w:rPr>
                <w:rFonts w:hint="eastAsia" w:asciiTheme="minorEastAsia" w:hAnsiTheme="minorEastAsia" w:eastAsiaTheme="minorEastAsia" w:cstheme="minorEastAsia"/>
                <w:b w:val="0"/>
                <w:bCs/>
                <w:color w:val="auto"/>
                <w:kern w:val="40"/>
                <w:sz w:val="24"/>
                <w:szCs w:val="24"/>
                <w:highlight w:val="none"/>
                <w:lang w:val="en-US" w:eastAsia="zh-CN"/>
              </w:rPr>
              <w:t>燃烧器使用天然气作为燃料，使用助燃风机供给空气，助燃风在经过换热器是被加热，提高助燃风温度，可以直接降低燃料的使用。</w:t>
            </w:r>
          </w:p>
          <w:p w14:paraId="1AAD06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78162D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r>
              <w:rPr>
                <w:rFonts w:hint="eastAsia" w:cs="Times New Roman"/>
                <w:color w:val="auto"/>
                <w:spacing w:val="0"/>
                <w:kern w:val="0"/>
                <w:sz w:val="24"/>
                <w:szCs w:val="20"/>
                <w:highlight w:val="none"/>
                <w:lang w:val="en-US" w:eastAsia="zh-CN" w:bidi="ar-SA"/>
              </w:rPr>
              <w:drawing>
                <wp:anchor distT="0" distB="0" distL="114300" distR="114300" simplePos="0" relativeHeight="251663360" behindDoc="1" locked="0" layoutInCell="1" allowOverlap="1">
                  <wp:simplePos x="0" y="0"/>
                  <wp:positionH relativeFrom="column">
                    <wp:posOffset>66675</wp:posOffset>
                  </wp:positionH>
                  <wp:positionV relativeFrom="paragraph">
                    <wp:posOffset>53340</wp:posOffset>
                  </wp:positionV>
                  <wp:extent cx="5550535" cy="3326130"/>
                  <wp:effectExtent l="0" t="0" r="12065" b="7620"/>
                  <wp:wrapNone/>
                  <wp:docPr id="74" name="图片 74" descr="HZY2848.回转窑结构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HZY2848.回转窑结构图_01"/>
                          <pic:cNvPicPr>
                            <a:picLocks noChangeAspect="1"/>
                          </pic:cNvPicPr>
                        </pic:nvPicPr>
                        <pic:blipFill>
                          <a:blip r:embed="rId12"/>
                          <a:srcRect l="6256" t="8822" r="2877" b="14138"/>
                          <a:stretch>
                            <a:fillRect/>
                          </a:stretch>
                        </pic:blipFill>
                        <pic:spPr>
                          <a:xfrm>
                            <a:off x="0" y="0"/>
                            <a:ext cx="5550535" cy="3326130"/>
                          </a:xfrm>
                          <a:prstGeom prst="rect">
                            <a:avLst/>
                          </a:prstGeom>
                        </pic:spPr>
                      </pic:pic>
                    </a:graphicData>
                  </a:graphic>
                </wp:anchor>
              </w:drawing>
            </w:r>
          </w:p>
          <w:p w14:paraId="34319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379F6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73F124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084C1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56B1C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19D9B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4A72FA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4CB10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1154B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709D54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385453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Theme="minorEastAsia" w:hAnsiTheme="minorEastAsia" w:eastAsiaTheme="minorEastAsia" w:cstheme="minorEastAsia"/>
                <w:b w:val="0"/>
                <w:bCs/>
                <w:color w:val="auto"/>
                <w:kern w:val="40"/>
                <w:sz w:val="24"/>
                <w:szCs w:val="24"/>
                <w:highlight w:val="none"/>
                <w:lang w:val="en-US" w:eastAsia="zh-CN"/>
              </w:rPr>
            </w:pPr>
            <w:r>
              <w:rPr>
                <w:rFonts w:hint="eastAsia" w:cs="Times New Roman"/>
                <w:b/>
                <w:bCs/>
                <w:color w:val="auto"/>
                <w:spacing w:val="0"/>
                <w:kern w:val="0"/>
                <w:sz w:val="21"/>
                <w:szCs w:val="16"/>
                <w:highlight w:val="none"/>
                <w:vertAlign w:val="baseline"/>
                <w:lang w:val="en-US" w:eastAsia="zh-CN" w:bidi="ar-SA"/>
              </w:rPr>
              <w:t>回转窑结构图</w:t>
            </w:r>
          </w:p>
          <w:p w14:paraId="1632C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22"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r>
              <w:rPr>
                <w:rFonts w:hint="eastAsia" w:cs="Times New Roman"/>
                <w:b/>
                <w:bCs/>
                <w:color w:val="auto"/>
                <w:spacing w:val="0"/>
                <w:kern w:val="0"/>
                <w:sz w:val="21"/>
                <w:szCs w:val="16"/>
                <w:highlight w:val="none"/>
                <w:vertAlign w:val="baseline"/>
                <w:lang w:val="en-US" w:eastAsia="zh-CN" w:bidi="ar-SA"/>
              </w:rPr>
              <w:drawing>
                <wp:anchor distT="0" distB="0" distL="114300" distR="114300" simplePos="0" relativeHeight="251663360" behindDoc="1" locked="0" layoutInCell="1" allowOverlap="1">
                  <wp:simplePos x="0" y="0"/>
                  <wp:positionH relativeFrom="column">
                    <wp:posOffset>85725</wp:posOffset>
                  </wp:positionH>
                  <wp:positionV relativeFrom="paragraph">
                    <wp:posOffset>43815</wp:posOffset>
                  </wp:positionV>
                  <wp:extent cx="5623560" cy="2774950"/>
                  <wp:effectExtent l="0" t="0" r="15240" b="6350"/>
                  <wp:wrapNone/>
                  <wp:docPr id="97" name="图片 97" descr="烟气流向示意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烟气流向示意图_01"/>
                          <pic:cNvPicPr>
                            <a:picLocks noChangeAspect="1"/>
                          </pic:cNvPicPr>
                        </pic:nvPicPr>
                        <pic:blipFill>
                          <a:blip r:embed="rId13"/>
                          <a:srcRect l="5286" t="7384" r="2546" b="28276"/>
                          <a:stretch>
                            <a:fillRect/>
                          </a:stretch>
                        </pic:blipFill>
                        <pic:spPr>
                          <a:xfrm>
                            <a:off x="0" y="0"/>
                            <a:ext cx="5623560" cy="2774950"/>
                          </a:xfrm>
                          <a:prstGeom prst="rect">
                            <a:avLst/>
                          </a:prstGeom>
                        </pic:spPr>
                      </pic:pic>
                    </a:graphicData>
                  </a:graphic>
                </wp:anchor>
              </w:drawing>
            </w:r>
          </w:p>
          <w:p w14:paraId="448217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5CA47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6DA1BB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3DE57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4CAAF0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2AFC68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514228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47451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heme="minorEastAsia" w:hAnsiTheme="minorEastAsia" w:eastAsiaTheme="minorEastAsia" w:cstheme="minorEastAsia"/>
                <w:b w:val="0"/>
                <w:bCs/>
                <w:color w:val="auto"/>
                <w:kern w:val="40"/>
                <w:sz w:val="24"/>
                <w:szCs w:val="24"/>
                <w:highlight w:val="none"/>
                <w:lang w:val="en-US" w:eastAsia="zh-CN"/>
              </w:rPr>
            </w:pPr>
          </w:p>
          <w:p w14:paraId="31913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Theme="minorEastAsia" w:hAnsiTheme="minorEastAsia" w:eastAsiaTheme="minorEastAsia" w:cstheme="minorEastAsia"/>
                <w:b w:val="0"/>
                <w:bCs/>
                <w:color w:val="auto"/>
                <w:kern w:val="40"/>
                <w:sz w:val="24"/>
                <w:szCs w:val="24"/>
                <w:highlight w:val="none"/>
                <w:lang w:val="en-US" w:eastAsia="zh-CN"/>
              </w:rPr>
            </w:pPr>
            <w:r>
              <w:rPr>
                <w:rFonts w:hint="eastAsia" w:cs="Times New Roman"/>
                <w:b/>
                <w:bCs/>
                <w:color w:val="auto"/>
                <w:spacing w:val="0"/>
                <w:kern w:val="0"/>
                <w:sz w:val="21"/>
                <w:szCs w:val="16"/>
                <w:highlight w:val="none"/>
                <w:vertAlign w:val="baseline"/>
                <w:lang w:val="en-US" w:eastAsia="zh-CN" w:bidi="ar-SA"/>
              </w:rPr>
              <w:t>回转窑烟气流向示意图</w:t>
            </w:r>
          </w:p>
          <w:p w14:paraId="3F1FD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（4）热压成型系统</w:t>
            </w:r>
          </w:p>
          <w:p w14:paraId="1E450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热压成型系统由2台热压成型机和1台对高温对辊成型机组成。</w:t>
            </w:r>
          </w:p>
          <w:p w14:paraId="215AA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①热压成型</w:t>
            </w:r>
          </w:p>
          <w:p w14:paraId="673AF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物料经回转窑加热后，从出料口排出，由其下部分别布置高温液压分料器进行容积计量后，将物料送至压力机磨具内，压力机主作用油缸带动上模具移动，将物料压制成型，然后由液压出料器将物料推出，压力机主油缸回位至初始位置，从而再次进行投料压制循环工作。液压系统负责给热压成型机、液压分料器及液压出料器提供液压动力，同时控制各执行油缸的动作速度、动作压力机动作时间节点，使得热压成型系统能够稳定连续的进行全自动工作，同时配置液压油过滤系统及换热系统，将液压油中的杂质去除并降低油液温度。</w:t>
            </w:r>
          </w:p>
          <w:p w14:paraId="45407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②对辊成型</w:t>
            </w:r>
          </w:p>
          <w:p w14:paraId="6AFC5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物料经回转窑加热后，从出料口排出，由卸料溜管将高温物料送入高温对辊成型机的进料口，在双驱动压辊的作用下，物料被挤压成型，从下部卸料口排出至链板输送机上。热压成型系统作用是将松散物料在高温的情况下，利用其高温易变形聚合的特点，通过物理高压作用将松散物料压实，改变其密度的同时，松散物料之间相互粘合为高温成品料块。</w:t>
            </w:r>
          </w:p>
          <w:p w14:paraId="5ABE0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vertAlign w:val="baseline"/>
                <w:lang w:val="en-US" w:eastAsia="zh-CN" w:bidi="ar-SA"/>
              </w:rPr>
              <w:drawing>
                <wp:anchor distT="0" distB="0" distL="114300" distR="114300" simplePos="0" relativeHeight="251663360" behindDoc="1" locked="0" layoutInCell="1" allowOverlap="1">
                  <wp:simplePos x="0" y="0"/>
                  <wp:positionH relativeFrom="column">
                    <wp:posOffset>790575</wp:posOffset>
                  </wp:positionH>
                  <wp:positionV relativeFrom="paragraph">
                    <wp:posOffset>62865</wp:posOffset>
                  </wp:positionV>
                  <wp:extent cx="4126230" cy="1871345"/>
                  <wp:effectExtent l="0" t="0" r="7620" b="14605"/>
                  <wp:wrapNone/>
                  <wp:docPr id="204" name="图片 204" descr="(0) 1000td热压成型生产线平立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0) 1000td热压成型生产线平立面图_01"/>
                          <pic:cNvPicPr>
                            <a:picLocks noChangeAspect="1"/>
                          </pic:cNvPicPr>
                        </pic:nvPicPr>
                        <pic:blipFill>
                          <a:blip r:embed="rId14"/>
                          <a:srcRect l="73309" t="8927" r="6462" b="78102"/>
                          <a:stretch>
                            <a:fillRect/>
                          </a:stretch>
                        </pic:blipFill>
                        <pic:spPr>
                          <a:xfrm>
                            <a:off x="0" y="0"/>
                            <a:ext cx="4126230" cy="1871345"/>
                          </a:xfrm>
                          <a:prstGeom prst="rect">
                            <a:avLst/>
                          </a:prstGeom>
                        </pic:spPr>
                      </pic:pic>
                    </a:graphicData>
                  </a:graphic>
                </wp:anchor>
              </w:drawing>
            </w:r>
          </w:p>
          <w:p w14:paraId="08C332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542E8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3C1260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62A89B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6FA43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726AA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vertAlign w:val="baseline"/>
                <w:lang w:val="en-US" w:eastAsia="zh-CN" w:bidi="ar-SA"/>
              </w:rPr>
              <w:drawing>
                <wp:anchor distT="0" distB="0" distL="114300" distR="114300" simplePos="0" relativeHeight="251663360" behindDoc="1" locked="0" layoutInCell="1" allowOverlap="1">
                  <wp:simplePos x="0" y="0"/>
                  <wp:positionH relativeFrom="column">
                    <wp:posOffset>628650</wp:posOffset>
                  </wp:positionH>
                  <wp:positionV relativeFrom="paragraph">
                    <wp:posOffset>275590</wp:posOffset>
                  </wp:positionV>
                  <wp:extent cx="4622800" cy="2886075"/>
                  <wp:effectExtent l="0" t="0" r="0" b="0"/>
                  <wp:wrapNone/>
                  <wp:docPr id="187" name="图片 187" descr="(0) 1000td热压成型生产线平立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descr="(0) 1000td热压成型生产线平立面图_01"/>
                          <pic:cNvPicPr>
                            <a:picLocks noChangeAspect="1"/>
                          </pic:cNvPicPr>
                        </pic:nvPicPr>
                        <pic:blipFill>
                          <a:blip r:embed="rId14"/>
                          <a:srcRect l="48031" t="5478" r="32835" b="77626"/>
                          <a:stretch>
                            <a:fillRect/>
                          </a:stretch>
                        </pic:blipFill>
                        <pic:spPr>
                          <a:xfrm>
                            <a:off x="0" y="0"/>
                            <a:ext cx="4622800" cy="2886075"/>
                          </a:xfrm>
                          <a:prstGeom prst="rect">
                            <a:avLst/>
                          </a:prstGeom>
                        </pic:spPr>
                      </pic:pic>
                    </a:graphicData>
                  </a:graphic>
                </wp:anchor>
              </w:drawing>
            </w:r>
            <w:r>
              <w:rPr>
                <w:rFonts w:hint="eastAsia" w:cs="Times New Roman"/>
                <w:b/>
                <w:bCs/>
                <w:color w:val="auto"/>
                <w:spacing w:val="0"/>
                <w:kern w:val="0"/>
                <w:sz w:val="21"/>
                <w:szCs w:val="16"/>
                <w:highlight w:val="none"/>
                <w:vertAlign w:val="baseline"/>
                <w:lang w:val="en-US" w:eastAsia="zh-CN" w:bidi="ar-SA"/>
              </w:rPr>
              <w:t>高温对辊成型机结构型式</w:t>
            </w:r>
          </w:p>
          <w:p w14:paraId="11771C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23ED4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61B5C0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5608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171BA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1375DD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676EC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361C6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6A2354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p>
          <w:p w14:paraId="473F56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cs="Times New Roman"/>
                <w:color w:val="auto"/>
                <w:spacing w:val="0"/>
                <w:kern w:val="0"/>
                <w:sz w:val="24"/>
                <w:szCs w:val="20"/>
                <w:highlight w:val="none"/>
                <w:lang w:val="en-US" w:eastAsia="zh-CN" w:bidi="ar-SA"/>
              </w:rPr>
            </w:pPr>
            <w:r>
              <w:rPr>
                <w:rFonts w:hint="eastAsia" w:cs="Times New Roman"/>
                <w:b/>
                <w:bCs/>
                <w:color w:val="auto"/>
                <w:spacing w:val="0"/>
                <w:kern w:val="0"/>
                <w:sz w:val="21"/>
                <w:szCs w:val="16"/>
                <w:highlight w:val="none"/>
                <w:lang w:val="en-US" w:eastAsia="zh-CN" w:bidi="ar-SA"/>
              </w:rPr>
              <w:t>热压</w:t>
            </w:r>
            <w:r>
              <w:rPr>
                <w:rFonts w:hint="eastAsia" w:cs="Times New Roman"/>
                <w:b/>
                <w:bCs/>
                <w:color w:val="auto"/>
                <w:spacing w:val="0"/>
                <w:kern w:val="0"/>
                <w:sz w:val="21"/>
                <w:szCs w:val="16"/>
                <w:highlight w:val="none"/>
                <w:vertAlign w:val="baseline"/>
                <w:lang w:val="en-US" w:eastAsia="zh-CN" w:bidi="ar-SA"/>
              </w:rPr>
              <w:t>成型机结构型式</w:t>
            </w:r>
          </w:p>
          <w:p w14:paraId="3019DB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冷却水循环系统主要包含冷水塔、循环水泵及管道组成。设备在生产时液压系统中的液压油会产生一定热量，温度升高，温度过高会使得性能下降，并损坏密封装置，而冷却水循环系统负责将冷却水送至液压系统的换热器，使其与热压油进行间接换热，降低其温度使其稳定运行，同时为回转窑托辊装置供水。</w:t>
            </w:r>
          </w:p>
          <w:p w14:paraId="70B01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水泵从冷却水池中抽水，将冷却水送至各用水点换热后回流至冷水塔内进行冷却，冷却水为循环水，仅为蒸发消耗，生产运行时进行适量补水即可。同时回转窑托辊位置也需要添加冷却水降温，保证其水槽内存水即可，此位置冷却水不参与循环。</w:t>
            </w:r>
          </w:p>
          <w:p w14:paraId="63AF55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（5）出料系统</w:t>
            </w:r>
          </w:p>
          <w:p w14:paraId="2CB73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出料系统主要由出料高温链板输送机组成。物料经压制成型后，需要由输送设备将其输送至成品堆场，另外其温度也较高，若堆积在热压成型系统周围也会使系统长期存在高温环境中，不利于设备的长期稳定运行，加之热压成型系统一般为半地下布置，物料在地下状态不利于散热冷却机装运，因此采用耐高温的链板输送机将其输送一定距离，同时将其送出地面一定高度至成品堆场。</w:t>
            </w:r>
          </w:p>
          <w:p w14:paraId="5A9896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color w:val="auto"/>
                <w:spacing w:val="0"/>
                <w:kern w:val="0"/>
                <w:sz w:val="24"/>
                <w:szCs w:val="20"/>
                <w:highlight w:val="none"/>
                <w:lang w:val="en-US" w:eastAsia="zh-CN" w:bidi="ar-SA"/>
              </w:rPr>
            </w:pPr>
            <w:r>
              <w:rPr>
                <w:rFonts w:hint="eastAsia" w:cs="Times New Roman"/>
                <w:color w:val="auto"/>
                <w:spacing w:val="0"/>
                <w:kern w:val="0"/>
                <w:sz w:val="24"/>
                <w:szCs w:val="20"/>
                <w:highlight w:val="none"/>
                <w:lang w:val="en-US" w:eastAsia="zh-CN" w:bidi="ar-SA"/>
              </w:rPr>
              <w:t>生产线为24小时连续运行设备，同时也是热工设备，尤其是回转窑在高温运行时突然断电会对设备造成一定程度损伤，因此需要配置发电机组，用于突然断电时的应急电源使用，同时在回转窑传动系统设置有辅传电机，在突然断电时，由辅传电机驱动回转窑进行缓慢旋转，防止热力作用下筒体弯曲，同时将筒体内残存的物料排出至筒外，待筒体缓慢冷却后再停止旋转。</w:t>
            </w:r>
          </w:p>
          <w:p w14:paraId="3F66AEA8">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r>
              <w:rPr>
                <w:rFonts w:hint="eastAsia" w:cs="Times New Roman"/>
                <w:color w:val="auto"/>
                <w:sz w:val="24"/>
                <w:szCs w:val="24"/>
                <w:highlight w:val="none"/>
                <w:lang w:val="en-US" w:eastAsia="zh-CN"/>
              </w:rPr>
              <w:t>生产工</w:t>
            </w:r>
            <w:r>
              <w:rPr>
                <w:rFonts w:hint="eastAsia" w:ascii="Times New Roman" w:hAnsi="Times New Roman" w:eastAsia="宋体" w:cs="Times New Roman"/>
                <w:bCs/>
                <w:color w:val="auto"/>
                <w:sz w:val="24"/>
                <w:szCs w:val="24"/>
                <w:highlight w:val="none"/>
                <w:lang w:val="en-US" w:eastAsia="zh-CN"/>
              </w:rPr>
              <w:t>艺流程及污染节点见图2</w:t>
            </w:r>
            <w:r>
              <w:rPr>
                <w:rFonts w:hint="eastAsia" w:cs="Times New Roman"/>
                <w:bCs/>
                <w:color w:val="auto"/>
                <w:sz w:val="24"/>
                <w:szCs w:val="24"/>
                <w:highlight w:val="none"/>
                <w:lang w:val="en-US" w:eastAsia="zh-CN"/>
              </w:rPr>
              <w:t>-2</w:t>
            </w:r>
            <w:r>
              <w:rPr>
                <w:rFonts w:hint="eastAsia" w:ascii="Times New Roman" w:hAnsi="Times New Roman" w:eastAsia="宋体" w:cs="Times New Roman"/>
                <w:bCs/>
                <w:color w:val="auto"/>
                <w:sz w:val="24"/>
                <w:szCs w:val="24"/>
                <w:highlight w:val="none"/>
                <w:lang w:val="en-US" w:eastAsia="zh-CN"/>
              </w:rPr>
              <w:t>。</w:t>
            </w:r>
          </w:p>
          <w:p w14:paraId="3BEEB274">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64C61763">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69655FA5">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74AEE439">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1C94AF2F">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3BC58017">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31017E40">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31716A11">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2AB02A0D">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6808723A">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113DC357">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7C15F361">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6BD4C9A8">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050B7BE2">
            <w:pPr>
              <w:keepNext w:val="0"/>
              <w:keepLines w:val="0"/>
              <w:suppressLineNumbers w:val="0"/>
              <w:spacing w:before="0" w:beforeAutospacing="0" w:after="0" w:afterAutospacing="0" w:line="480" w:lineRule="exact"/>
              <w:ind w:left="0" w:right="0" w:firstLine="420" w:firstLineChars="200"/>
              <w:rPr>
                <w:rFonts w:hint="eastAsia" w:ascii="Times New Roman" w:hAnsi="Times New Roman" w:eastAsia="宋体" w:cs="Times New Roman"/>
                <w:bCs/>
                <w:color w:val="auto"/>
                <w:sz w:val="24"/>
                <w:szCs w:val="24"/>
                <w:highlight w:val="none"/>
                <w:lang w:val="en-US" w:eastAsia="zh-CN"/>
              </w:rPr>
            </w:pPr>
            <w:r>
              <w:rPr>
                <w:rFonts w:hint="default"/>
                <w:color w:val="auto"/>
                <w:highlight w:val="none"/>
              </w:rPr>
              <w:drawing>
                <wp:anchor distT="0" distB="0" distL="114300" distR="114300" simplePos="0" relativeHeight="251663360" behindDoc="1" locked="0" layoutInCell="1" allowOverlap="1">
                  <wp:simplePos x="0" y="0"/>
                  <wp:positionH relativeFrom="column">
                    <wp:posOffset>624205</wp:posOffset>
                  </wp:positionH>
                  <wp:positionV relativeFrom="paragraph">
                    <wp:posOffset>40005</wp:posOffset>
                  </wp:positionV>
                  <wp:extent cx="3609975" cy="4382135"/>
                  <wp:effectExtent l="0" t="0" r="9525" b="18415"/>
                  <wp:wrapNone/>
                  <wp:docPr id="2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
                          <pic:cNvPicPr>
                            <a:picLocks noChangeAspect="1"/>
                          </pic:cNvPicPr>
                        </pic:nvPicPr>
                        <pic:blipFill>
                          <a:blip r:embed="rId15"/>
                          <a:srcRect t="2229" b="2470"/>
                          <a:stretch>
                            <a:fillRect/>
                          </a:stretch>
                        </pic:blipFill>
                        <pic:spPr>
                          <a:xfrm>
                            <a:off x="0" y="0"/>
                            <a:ext cx="3609975" cy="4382135"/>
                          </a:xfrm>
                          <a:prstGeom prst="rect">
                            <a:avLst/>
                          </a:prstGeom>
                          <a:noFill/>
                          <a:ln>
                            <a:noFill/>
                          </a:ln>
                        </pic:spPr>
                      </pic:pic>
                    </a:graphicData>
                  </a:graphic>
                </wp:anchor>
              </w:drawing>
            </w:r>
          </w:p>
          <w:p w14:paraId="3D8D7FC5">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37E3B727">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0F8D69FF">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0C12AD38">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75406414">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4B0A57BA">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67E472C9">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0D860829">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79FAA6FC">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12BBD7D1">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71D58927">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23E7CB81">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469BD395">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2AB0E878">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Cs/>
                <w:color w:val="auto"/>
                <w:sz w:val="24"/>
                <w:szCs w:val="24"/>
                <w:highlight w:val="none"/>
                <w:lang w:val="en-US" w:eastAsia="zh-CN"/>
              </w:rPr>
            </w:pPr>
          </w:p>
          <w:p w14:paraId="7BC433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图2-</w:t>
            </w:r>
            <w:r>
              <w:rPr>
                <w:rFonts w:hint="eastAsia" w:cs="Times New Roman"/>
                <w:b/>
                <w:bCs/>
                <w:color w:val="auto"/>
                <w:kern w:val="2"/>
                <w:sz w:val="21"/>
                <w:szCs w:val="21"/>
                <w:highlight w:val="none"/>
                <w:lang w:val="en-US" w:eastAsia="zh-CN" w:bidi="ar-SA"/>
              </w:rPr>
              <w:t>2</w:t>
            </w:r>
            <w:r>
              <w:rPr>
                <w:rFonts w:hint="default" w:ascii="Times New Roman" w:hAnsi="Times New Roman" w:eastAsia="宋体" w:cs="Times New Roman"/>
                <w:b/>
                <w:bCs/>
                <w:color w:val="auto"/>
                <w:kern w:val="2"/>
                <w:sz w:val="21"/>
                <w:szCs w:val="21"/>
                <w:highlight w:val="none"/>
                <w:lang w:val="en-US" w:eastAsia="zh-CN" w:bidi="ar-SA"/>
              </w:rPr>
              <w:t xml:space="preserve">  生产工艺流程及产污环节图</w:t>
            </w:r>
          </w:p>
          <w:p w14:paraId="6BF059E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val="0"/>
                <w:color w:val="auto"/>
                <w:sz w:val="24"/>
                <w:szCs w:val="24"/>
                <w:highlight w:val="none"/>
                <w:lang w:val="en-US" w:eastAsia="zh-CN"/>
              </w:rPr>
              <w:t>2、主要污染工序</w:t>
            </w:r>
          </w:p>
          <w:p w14:paraId="51861BB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（1）</w:t>
            </w:r>
            <w:r>
              <w:rPr>
                <w:rFonts w:hint="default" w:ascii="Times New Roman" w:hAnsi="Times New Roman" w:cs="Times New Roman"/>
                <w:b w:val="0"/>
                <w:bCs w:val="0"/>
                <w:color w:val="auto"/>
                <w:sz w:val="24"/>
                <w:highlight w:val="none"/>
                <w:lang w:val="en-US" w:eastAsia="zh-CN"/>
              </w:rPr>
              <w:t>大气污染环节</w:t>
            </w:r>
          </w:p>
          <w:p w14:paraId="5E490FE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b w:val="0"/>
                <w:bCs w:val="0"/>
                <w:color w:val="auto"/>
                <w:sz w:val="24"/>
                <w:highlight w:val="none"/>
                <w:lang w:val="en-US" w:eastAsia="zh-CN"/>
              </w:rPr>
            </w:pPr>
            <w:r>
              <w:rPr>
                <w:rFonts w:hint="eastAsia" w:cs="Times New Roman"/>
                <w:b w:val="0"/>
                <w:bCs w:val="0"/>
                <w:color w:val="auto"/>
                <w:sz w:val="24"/>
                <w:highlight w:val="none"/>
                <w:lang w:val="en-US" w:eastAsia="zh-CN"/>
              </w:rPr>
              <w:t>①道路运输产生的废气，主要污染物为颗粒物；</w:t>
            </w:r>
          </w:p>
          <w:p w14:paraId="78C8522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b w:val="0"/>
                <w:bCs w:val="0"/>
                <w:color w:val="auto"/>
                <w:sz w:val="24"/>
                <w:highlight w:val="none"/>
                <w:lang w:val="en-US" w:eastAsia="zh-CN"/>
              </w:rPr>
            </w:pPr>
            <w:r>
              <w:rPr>
                <w:rFonts w:hint="eastAsia" w:cs="Times New Roman"/>
                <w:b w:val="0"/>
                <w:bCs w:val="0"/>
                <w:color w:val="auto"/>
                <w:sz w:val="24"/>
                <w:highlight w:val="none"/>
                <w:lang w:val="en-US" w:eastAsia="zh-CN"/>
              </w:rPr>
              <w:t>②上料过程产生的废气，主要污染物为颗粒物；</w:t>
            </w:r>
          </w:p>
          <w:p w14:paraId="2ECF847C">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b w:val="0"/>
                <w:bCs w:val="0"/>
                <w:color w:val="auto"/>
                <w:sz w:val="24"/>
                <w:highlight w:val="none"/>
                <w:lang w:val="en-US" w:eastAsia="zh-CN"/>
              </w:rPr>
            </w:pPr>
            <w:r>
              <w:rPr>
                <w:rFonts w:hint="eastAsia" w:cs="Times New Roman"/>
                <w:b w:val="0"/>
                <w:bCs w:val="0"/>
                <w:color w:val="auto"/>
                <w:sz w:val="24"/>
                <w:highlight w:val="none"/>
                <w:lang w:val="en-US" w:eastAsia="zh-CN"/>
              </w:rPr>
              <w:t>③加热过程</w:t>
            </w:r>
            <w:r>
              <w:rPr>
                <w:rFonts w:hint="default"/>
                <w:b w:val="0"/>
                <w:bCs w:val="0"/>
                <w:color w:val="auto"/>
                <w:sz w:val="24"/>
                <w:highlight w:val="none"/>
              </w:rPr>
              <w:t>产生的</w:t>
            </w:r>
            <w:r>
              <w:rPr>
                <w:rFonts w:hint="eastAsia" w:cs="Times New Roman"/>
                <w:b w:val="0"/>
                <w:bCs w:val="0"/>
                <w:color w:val="auto"/>
                <w:sz w:val="24"/>
                <w:highlight w:val="none"/>
                <w:lang w:val="en-US" w:eastAsia="zh-CN"/>
              </w:rPr>
              <w:t>烟气</w:t>
            </w:r>
            <w:r>
              <w:rPr>
                <w:rFonts w:hint="eastAsia" w:ascii="Times New Roman" w:hAnsi="Times New Roman" w:cs="Times New Roman"/>
                <w:b w:val="0"/>
                <w:bCs w:val="0"/>
                <w:color w:val="auto"/>
                <w:sz w:val="24"/>
                <w:highlight w:val="none"/>
                <w:lang w:val="en-US" w:eastAsia="zh-CN"/>
              </w:rPr>
              <w:t>，</w:t>
            </w:r>
            <w:r>
              <w:rPr>
                <w:rFonts w:hint="eastAsia" w:ascii="Times New Roman" w:hAnsi="Times New Roman" w:cs="Times New Roman"/>
                <w:b w:val="0"/>
                <w:bCs w:val="0"/>
                <w:color w:val="auto"/>
                <w:sz w:val="24"/>
                <w:szCs w:val="24"/>
                <w:highlight w:val="none"/>
                <w:lang w:val="en-US" w:eastAsia="zh-CN"/>
              </w:rPr>
              <w:t>主要污染物为颗粒物</w:t>
            </w:r>
            <w:r>
              <w:rPr>
                <w:rFonts w:hint="eastAsia" w:cs="Times New Roman"/>
                <w:b w:val="0"/>
                <w:bCs w:val="0"/>
                <w:color w:val="auto"/>
                <w:sz w:val="24"/>
                <w:szCs w:val="24"/>
                <w:highlight w:val="none"/>
                <w:lang w:val="en-US" w:eastAsia="zh-CN"/>
              </w:rPr>
              <w:t>、SO</w:t>
            </w:r>
            <w:r>
              <w:rPr>
                <w:rFonts w:hint="eastAsia" w:cs="Times New Roman"/>
                <w:b w:val="0"/>
                <w:bCs w:val="0"/>
                <w:color w:val="auto"/>
                <w:sz w:val="24"/>
                <w:szCs w:val="24"/>
                <w:highlight w:val="none"/>
                <w:vertAlign w:val="subscript"/>
                <w:lang w:val="en-US" w:eastAsia="zh-CN"/>
              </w:rPr>
              <w:t>2</w:t>
            </w:r>
            <w:r>
              <w:rPr>
                <w:rFonts w:hint="eastAsia" w:cs="Times New Roman"/>
                <w:b w:val="0"/>
                <w:bCs w:val="0"/>
                <w:color w:val="auto"/>
                <w:sz w:val="24"/>
                <w:szCs w:val="24"/>
                <w:highlight w:val="none"/>
                <w:lang w:val="en-US" w:eastAsia="zh-CN"/>
              </w:rPr>
              <w:t>、NOx；</w:t>
            </w:r>
          </w:p>
          <w:p w14:paraId="2AAC165B">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b w:val="0"/>
                <w:bCs w:val="0"/>
                <w:color w:val="auto"/>
                <w:sz w:val="24"/>
                <w:highlight w:val="none"/>
                <w:lang w:val="en-US" w:eastAsia="zh-CN"/>
              </w:rPr>
            </w:pPr>
            <w:r>
              <w:rPr>
                <w:rFonts w:hint="eastAsia" w:cs="Times New Roman"/>
                <w:b w:val="0"/>
                <w:bCs w:val="0"/>
                <w:color w:val="auto"/>
                <w:sz w:val="24"/>
                <w:highlight w:val="none"/>
                <w:lang w:val="en-US" w:eastAsia="zh-CN"/>
              </w:rPr>
              <w:t>④热压成型产生的废气，主要污染物为颗粒物；</w:t>
            </w:r>
          </w:p>
          <w:p w14:paraId="7E1B79F7">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⑤出料过程产生的废气，</w:t>
            </w:r>
            <w:r>
              <w:rPr>
                <w:rFonts w:hint="eastAsia" w:cs="Times New Roman"/>
                <w:b w:val="0"/>
                <w:bCs w:val="0"/>
                <w:color w:val="auto"/>
                <w:sz w:val="24"/>
                <w:highlight w:val="none"/>
                <w:lang w:val="en-US" w:eastAsia="zh-CN"/>
              </w:rPr>
              <w:t>主要污染物为颗粒物</w:t>
            </w:r>
            <w:r>
              <w:rPr>
                <w:rFonts w:hint="eastAsia" w:cs="Times New Roman"/>
                <w:b w:val="0"/>
                <w:bCs w:val="0"/>
                <w:color w:val="auto"/>
                <w:sz w:val="24"/>
                <w:szCs w:val="24"/>
                <w:highlight w:val="none"/>
                <w:lang w:val="en-US" w:eastAsia="zh-CN"/>
              </w:rPr>
              <w:t>。</w:t>
            </w:r>
          </w:p>
          <w:p w14:paraId="2CC276E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（2）</w:t>
            </w:r>
            <w:r>
              <w:rPr>
                <w:rFonts w:hint="eastAsia" w:ascii="Times New Roman" w:hAnsi="Times New Roman" w:cs="Times New Roman"/>
                <w:b w:val="0"/>
                <w:bCs w:val="0"/>
                <w:color w:val="auto"/>
                <w:sz w:val="24"/>
                <w:highlight w:val="none"/>
                <w:lang w:val="en-US" w:eastAsia="zh-CN"/>
              </w:rPr>
              <w:t>水</w:t>
            </w:r>
            <w:r>
              <w:rPr>
                <w:rFonts w:hint="default" w:ascii="Times New Roman" w:hAnsi="Times New Roman" w:cs="Times New Roman"/>
                <w:b w:val="0"/>
                <w:bCs w:val="0"/>
                <w:color w:val="auto"/>
                <w:sz w:val="24"/>
                <w:highlight w:val="none"/>
                <w:lang w:val="en-US" w:eastAsia="zh-CN"/>
              </w:rPr>
              <w:t>污染环节</w:t>
            </w:r>
          </w:p>
          <w:p w14:paraId="6F498B5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bCs/>
                <w:color w:val="auto"/>
                <w:sz w:val="24"/>
                <w:szCs w:val="24"/>
                <w:highlight w:val="none"/>
                <w:lang w:val="en-US" w:eastAsia="zh-CN"/>
              </w:rPr>
            </w:pPr>
            <w:r>
              <w:rPr>
                <w:rFonts w:hint="eastAsia" w:cs="Times New Roman"/>
                <w:color w:val="auto"/>
                <w:sz w:val="24"/>
                <w:highlight w:val="none"/>
                <w:lang w:val="en-US" w:eastAsia="zh-CN"/>
              </w:rPr>
              <w:t>①</w:t>
            </w:r>
            <w:r>
              <w:rPr>
                <w:rFonts w:hint="eastAsia" w:cs="Times New Roman"/>
                <w:bCs/>
                <w:color w:val="auto"/>
                <w:sz w:val="24"/>
                <w:szCs w:val="24"/>
                <w:highlight w:val="none"/>
                <w:lang w:val="en-US" w:eastAsia="zh-CN"/>
              </w:rPr>
              <w:t>生活污水；</w:t>
            </w:r>
          </w:p>
          <w:p w14:paraId="0570DDB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bCs/>
                <w:color w:val="auto"/>
                <w:sz w:val="24"/>
                <w:szCs w:val="24"/>
                <w:highlight w:val="none"/>
                <w:lang w:val="en-US" w:eastAsia="zh-CN"/>
              </w:rPr>
            </w:pPr>
            <w:r>
              <w:rPr>
                <w:rFonts w:hint="eastAsia" w:cs="Times New Roman"/>
                <w:b w:val="0"/>
                <w:bCs w:val="0"/>
                <w:color w:val="auto"/>
                <w:sz w:val="24"/>
                <w:highlight w:val="none"/>
                <w:lang w:val="en-US" w:eastAsia="zh-CN"/>
              </w:rPr>
              <w:t>②</w:t>
            </w:r>
            <w:r>
              <w:rPr>
                <w:rFonts w:hint="eastAsia" w:cs="Times New Roman"/>
                <w:color w:val="auto"/>
                <w:sz w:val="24"/>
                <w:highlight w:val="none"/>
                <w:lang w:val="en-US" w:eastAsia="zh-CN"/>
              </w:rPr>
              <w:t>冷却系统排污水</w:t>
            </w:r>
            <w:r>
              <w:rPr>
                <w:rFonts w:hint="eastAsia" w:cs="Times New Roman"/>
                <w:bCs/>
                <w:color w:val="auto"/>
                <w:sz w:val="24"/>
                <w:szCs w:val="24"/>
                <w:highlight w:val="none"/>
                <w:lang w:val="en-US" w:eastAsia="zh-CN"/>
              </w:rPr>
              <w:t>。</w:t>
            </w:r>
          </w:p>
          <w:p w14:paraId="6DA363D0">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噪声污染</w:t>
            </w:r>
            <w:r>
              <w:rPr>
                <w:rFonts w:hint="eastAsia" w:ascii="Times New Roman" w:hAnsi="Times New Roman" w:eastAsia="宋体" w:cs="Times New Roman"/>
                <w:b w:val="0"/>
                <w:bCs w:val="0"/>
                <w:color w:val="auto"/>
                <w:sz w:val="24"/>
                <w:szCs w:val="24"/>
                <w:highlight w:val="none"/>
                <w:lang w:val="en-US" w:eastAsia="zh-CN"/>
              </w:rPr>
              <w:t>环节</w:t>
            </w:r>
          </w:p>
          <w:p w14:paraId="64BF77CE">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ascii="Times New Roman" w:hAnsi="Times New Roman" w:eastAsia="宋体" w:cs="Times New Roman"/>
                <w:bCs/>
                <w:color w:val="auto"/>
                <w:sz w:val="24"/>
                <w:szCs w:val="24"/>
                <w:highlight w:val="none"/>
                <w:lang w:val="en-US" w:eastAsia="zh-CN"/>
              </w:rPr>
            </w:pPr>
            <w:r>
              <w:rPr>
                <w:rFonts w:hint="default" w:ascii="Times New Roman" w:hAnsi="Times New Roman" w:cs="Times New Roman"/>
                <w:color w:val="auto"/>
                <w:sz w:val="24"/>
                <w:szCs w:val="24"/>
                <w:highlight w:val="none"/>
              </w:rPr>
              <w:t>项目运营期噪声源主要是各种设备运行产生的噪声</w:t>
            </w:r>
            <w:r>
              <w:rPr>
                <w:rFonts w:hint="eastAsia" w:ascii="Times New Roman" w:hAnsi="Times New Roman" w:eastAsia="宋体" w:cs="Times New Roman"/>
                <w:bCs/>
                <w:color w:val="auto"/>
                <w:sz w:val="24"/>
                <w:szCs w:val="24"/>
                <w:highlight w:val="none"/>
                <w:lang w:val="en-US" w:eastAsia="zh-CN"/>
              </w:rPr>
              <w:t>。</w:t>
            </w:r>
          </w:p>
          <w:p w14:paraId="2801512C">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（4）</w:t>
            </w:r>
            <w:r>
              <w:rPr>
                <w:rFonts w:hint="default" w:ascii="Times New Roman" w:hAnsi="Times New Roman" w:eastAsia="宋体" w:cs="Times New Roman"/>
                <w:b w:val="0"/>
                <w:bCs w:val="0"/>
                <w:color w:val="auto"/>
                <w:sz w:val="24"/>
                <w:highlight w:val="none"/>
                <w:lang w:val="en-US" w:eastAsia="zh-CN"/>
              </w:rPr>
              <w:t>固体废物污染</w:t>
            </w:r>
            <w:r>
              <w:rPr>
                <w:rFonts w:hint="eastAsia" w:ascii="Times New Roman" w:hAnsi="Times New Roman" w:eastAsia="宋体" w:cs="Times New Roman"/>
                <w:b w:val="0"/>
                <w:bCs w:val="0"/>
                <w:color w:val="auto"/>
                <w:sz w:val="24"/>
                <w:highlight w:val="none"/>
                <w:lang w:val="en-US" w:eastAsia="zh-CN"/>
              </w:rPr>
              <w:t>环节</w:t>
            </w:r>
          </w:p>
          <w:p w14:paraId="5036AEC9">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b w:val="0"/>
                <w:bCs w:val="0"/>
                <w:color w:val="auto"/>
                <w:sz w:val="24"/>
                <w:highlight w:val="none"/>
              </w:rPr>
            </w:pPr>
            <w:r>
              <w:rPr>
                <w:rFonts w:hint="eastAsia" w:cs="Times New Roman"/>
                <w:b w:val="0"/>
                <w:bCs w:val="0"/>
                <w:color w:val="auto"/>
                <w:sz w:val="24"/>
                <w:highlight w:val="none"/>
                <w:lang w:val="en-US" w:eastAsia="zh-CN"/>
              </w:rPr>
              <w:t>①生活垃圾</w:t>
            </w:r>
            <w:r>
              <w:rPr>
                <w:rFonts w:hint="default" w:ascii="Times New Roman" w:hAnsi="Times New Roman" w:cs="Times New Roman"/>
                <w:b w:val="0"/>
                <w:bCs w:val="0"/>
                <w:color w:val="auto"/>
                <w:sz w:val="24"/>
                <w:highlight w:val="none"/>
              </w:rPr>
              <w:t>；</w:t>
            </w:r>
          </w:p>
          <w:p w14:paraId="7D65F79A">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ascii="Times New Roman" w:hAnsi="Times New Roman" w:cs="Times New Roman"/>
                <w:bCs/>
                <w:color w:val="auto"/>
                <w:sz w:val="24"/>
                <w:highlight w:val="none"/>
                <w:lang w:val="en-US" w:eastAsia="zh-CN"/>
              </w:rPr>
            </w:pPr>
            <w:r>
              <w:rPr>
                <w:rFonts w:hint="eastAsia" w:cs="Times New Roman"/>
                <w:color w:val="auto"/>
                <w:sz w:val="24"/>
                <w:highlight w:val="none"/>
                <w:lang w:val="en-US" w:eastAsia="zh-CN"/>
              </w:rPr>
              <w:t>②</w:t>
            </w:r>
            <w:r>
              <w:rPr>
                <w:rFonts w:hint="default" w:ascii="Times New Roman" w:hAnsi="Times New Roman" w:cs="Times New Roman"/>
                <w:bCs/>
                <w:color w:val="auto"/>
                <w:sz w:val="24"/>
                <w:highlight w:val="none"/>
              </w:rPr>
              <w:t>除尘器</w:t>
            </w:r>
            <w:r>
              <w:rPr>
                <w:rFonts w:hint="default" w:ascii="Times New Roman" w:hAnsi="Times New Roman" w:cs="Times New Roman"/>
                <w:bCs/>
                <w:color w:val="auto"/>
                <w:sz w:val="24"/>
                <w:highlight w:val="none"/>
                <w:lang w:val="en-US" w:eastAsia="zh-CN"/>
              </w:rPr>
              <w:t>除尘灰</w:t>
            </w:r>
            <w:r>
              <w:rPr>
                <w:rFonts w:hint="eastAsia" w:ascii="Times New Roman" w:hAnsi="Times New Roman" w:cs="Times New Roman"/>
                <w:bCs/>
                <w:color w:val="auto"/>
                <w:sz w:val="24"/>
                <w:highlight w:val="none"/>
                <w:lang w:val="en-US" w:eastAsia="zh-CN"/>
              </w:rPr>
              <w:t>；</w:t>
            </w:r>
          </w:p>
          <w:p w14:paraId="33330F11">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eastAsia="宋体" w:cs="Times New Roman"/>
                <w:bCs/>
                <w:color w:val="auto"/>
                <w:sz w:val="24"/>
                <w:highlight w:val="none"/>
                <w:lang w:val="en-US" w:eastAsia="zh-CN"/>
              </w:rPr>
            </w:pPr>
            <w:r>
              <w:rPr>
                <w:rFonts w:hint="eastAsia" w:cs="Times New Roman"/>
                <w:bCs/>
                <w:color w:val="auto"/>
                <w:sz w:val="24"/>
                <w:highlight w:val="none"/>
                <w:lang w:val="en-US" w:eastAsia="zh-CN"/>
              </w:rPr>
              <w:t>③</w:t>
            </w:r>
            <w:r>
              <w:rPr>
                <w:rFonts w:hint="default" w:ascii="Times New Roman" w:hAnsi="Times New Roman" w:cs="Times New Roman"/>
                <w:bCs/>
                <w:color w:val="auto"/>
                <w:sz w:val="24"/>
                <w:highlight w:val="none"/>
              </w:rPr>
              <w:t>除尘器</w:t>
            </w:r>
            <w:r>
              <w:rPr>
                <w:rFonts w:hint="eastAsia" w:cs="Times New Roman"/>
                <w:bCs/>
                <w:color w:val="auto"/>
                <w:sz w:val="24"/>
                <w:highlight w:val="none"/>
                <w:lang w:val="en-US" w:eastAsia="zh-CN"/>
              </w:rPr>
              <w:t>废布袋；</w:t>
            </w:r>
          </w:p>
          <w:p w14:paraId="6F80508A">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cs="Times New Roman"/>
                <w:bCs/>
                <w:color w:val="auto"/>
                <w:sz w:val="24"/>
                <w:highlight w:val="none"/>
                <w:lang w:val="en-US" w:eastAsia="zh-CN"/>
              </w:rPr>
            </w:pPr>
            <w:r>
              <w:rPr>
                <w:rFonts w:hint="eastAsia" w:cs="Times New Roman"/>
                <w:bCs/>
                <w:color w:val="auto"/>
                <w:sz w:val="24"/>
                <w:highlight w:val="none"/>
                <w:lang w:val="en-US" w:eastAsia="zh-CN"/>
              </w:rPr>
              <w:t>④热压成型产生的废边角料；</w:t>
            </w:r>
          </w:p>
          <w:p w14:paraId="47E61D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r>
              <w:rPr>
                <w:rFonts w:hint="eastAsia" w:cs="Times New Roman"/>
                <w:color w:val="auto"/>
                <w:sz w:val="24"/>
                <w:szCs w:val="24"/>
                <w:highlight w:val="none"/>
                <w:lang w:val="en-US" w:eastAsia="zh-CN"/>
              </w:rPr>
              <w:t>⑤</w:t>
            </w:r>
            <w:r>
              <w:rPr>
                <w:rFonts w:hint="default" w:ascii="Times New Roman" w:hAnsi="Times New Roman" w:cs="Times New Roman"/>
                <w:color w:val="auto"/>
                <w:sz w:val="24"/>
                <w:szCs w:val="24"/>
                <w:highlight w:val="none"/>
              </w:rPr>
              <w:t>设备维修使用产生的</w:t>
            </w:r>
            <w:r>
              <w:rPr>
                <w:rFonts w:hint="default" w:ascii="Times New Roman" w:hAnsi="Times New Roman" w:cs="Times New Roman"/>
                <w:bCs/>
                <w:color w:val="auto"/>
                <w:sz w:val="24"/>
                <w:highlight w:val="none"/>
                <w:lang w:val="en-US" w:eastAsia="zh-CN"/>
              </w:rPr>
              <w:t>废矿物油</w:t>
            </w:r>
            <w:r>
              <w:rPr>
                <w:rFonts w:hint="eastAsia" w:ascii="Times New Roman" w:hAnsi="Times New Roman" w:cs="Times New Roman"/>
                <w:bCs/>
                <w:color w:val="auto"/>
                <w:sz w:val="24"/>
                <w:highlight w:val="none"/>
                <w:lang w:val="en-US" w:eastAsia="zh-CN"/>
              </w:rPr>
              <w:t>、</w:t>
            </w:r>
            <w:r>
              <w:rPr>
                <w:rFonts w:hint="eastAsia" w:cs="Times New Roman"/>
                <w:bCs/>
                <w:color w:val="auto"/>
                <w:sz w:val="24"/>
                <w:highlight w:val="none"/>
                <w:lang w:val="en-US" w:eastAsia="zh-CN"/>
              </w:rPr>
              <w:t>废液压油、废润滑油、</w:t>
            </w:r>
            <w:r>
              <w:rPr>
                <w:rFonts w:hint="eastAsia" w:ascii="Times New Roman" w:hAnsi="Times New Roman" w:cs="Times New Roman"/>
                <w:bCs/>
                <w:color w:val="auto"/>
                <w:sz w:val="24"/>
                <w:highlight w:val="none"/>
                <w:lang w:val="en-US" w:eastAsia="zh-CN"/>
              </w:rPr>
              <w:t>废油桶</w:t>
            </w:r>
            <w:r>
              <w:rPr>
                <w:rFonts w:hint="default" w:ascii="Times New Roman" w:hAnsi="Times New Roman" w:eastAsia="宋体" w:cs="Times New Roman"/>
                <w:bCs/>
                <w:color w:val="auto"/>
                <w:sz w:val="24"/>
                <w:szCs w:val="24"/>
                <w:highlight w:val="none"/>
                <w:lang w:val="en-US" w:eastAsia="zh-CN"/>
              </w:rPr>
              <w:t>。</w:t>
            </w:r>
          </w:p>
          <w:p w14:paraId="1C6C3F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2007B1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304BDE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6E1BE5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6F1149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5A5615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674B06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140972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70527B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742CE1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03474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3678EC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332DC5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5BAA92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6ABAC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2604E6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785DA2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310D5C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198C38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54A9A8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0C7986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2C18B3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2DDEDD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p w14:paraId="20AB25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Cs/>
                <w:color w:val="auto"/>
                <w:sz w:val="24"/>
                <w:szCs w:val="24"/>
                <w:highlight w:val="none"/>
                <w:lang w:val="en-US" w:eastAsia="zh-CN"/>
              </w:rPr>
            </w:pPr>
          </w:p>
        </w:tc>
      </w:tr>
      <w:tr w14:paraId="243FD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326" w:type="pct"/>
            <w:vAlign w:val="center"/>
          </w:tcPr>
          <w:p w14:paraId="7E28612D">
            <w:pPr>
              <w:pStyle w:val="27"/>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0"/>
                <w:sz w:val="24"/>
                <w:szCs w:val="24"/>
                <w:highlight w:val="none"/>
                <w:lang w:val="en-US" w:eastAsia="zh-CN" w:bidi="ar-SA"/>
              </w:rPr>
            </w:pPr>
            <w:r>
              <w:rPr>
                <w:rFonts w:hint="default" w:ascii="Times New Roman" w:hAnsi="Times New Roman" w:cs="Times New Roman"/>
                <w:b w:val="0"/>
                <w:bCs w:val="0"/>
                <w:color w:val="auto"/>
                <w:kern w:val="2"/>
                <w:sz w:val="21"/>
                <w:szCs w:val="21"/>
                <w:highlight w:val="none"/>
              </w:rPr>
              <w:t>与项目有关的原有环境污染问题</w:t>
            </w:r>
          </w:p>
        </w:tc>
        <w:tc>
          <w:tcPr>
            <w:tcW w:w="4673" w:type="pct"/>
            <w:vAlign w:val="center"/>
          </w:tcPr>
          <w:p w14:paraId="60CCA2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2" w:firstLineChars="200"/>
              <w:jc w:val="both"/>
              <w:textAlignment w:val="auto"/>
              <w:rPr>
                <w:rFonts w:hint="default" w:cs="Times New Roman"/>
                <w:b/>
                <w:bCs w:val="0"/>
                <w:color w:val="auto"/>
                <w:spacing w:val="0"/>
                <w:sz w:val="24"/>
                <w:szCs w:val="24"/>
                <w:highlight w:val="none"/>
                <w:lang w:val="en-US" w:eastAsia="zh-CN"/>
              </w:rPr>
            </w:pPr>
            <w:r>
              <w:rPr>
                <w:rFonts w:hint="eastAsia" w:cs="Times New Roman"/>
                <w:b/>
                <w:bCs w:val="0"/>
                <w:color w:val="auto"/>
                <w:spacing w:val="0"/>
                <w:sz w:val="24"/>
                <w:szCs w:val="24"/>
                <w:highlight w:val="none"/>
                <w:lang w:val="en-US" w:eastAsia="zh-CN"/>
              </w:rPr>
              <w:t>1、</w:t>
            </w:r>
            <w:r>
              <w:rPr>
                <w:rFonts w:hint="eastAsia"/>
                <w:b/>
                <w:bCs w:val="0"/>
                <w:color w:val="auto"/>
                <w:sz w:val="24"/>
                <w:highlight w:val="none"/>
              </w:rPr>
              <w:t>现</w:t>
            </w:r>
            <w:r>
              <w:rPr>
                <w:rFonts w:hint="default"/>
                <w:b/>
                <w:bCs w:val="0"/>
                <w:color w:val="auto"/>
                <w:sz w:val="24"/>
                <w:highlight w:val="none"/>
              </w:rPr>
              <w:t>有工程</w:t>
            </w:r>
            <w:r>
              <w:rPr>
                <w:rFonts w:hint="eastAsia"/>
                <w:b/>
                <w:bCs w:val="0"/>
                <w:color w:val="auto"/>
                <w:sz w:val="24"/>
                <w:highlight w:val="none"/>
                <w:lang w:val="en-US" w:eastAsia="zh-CN"/>
              </w:rPr>
              <w:t>污染物排放情况</w:t>
            </w:r>
          </w:p>
          <w:p w14:paraId="0415E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eastAsia" w:eastAsia="宋体"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（1）</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p>
          <w:p w14:paraId="4C50A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eastAsia"/>
                <w:b w:val="0"/>
                <w:bCs/>
                <w:color w:val="auto"/>
                <w:sz w:val="24"/>
                <w:highlight w:val="none"/>
                <w:lang w:val="en-US" w:eastAsia="zh-CN"/>
              </w:rPr>
            </w:pPr>
            <w:r>
              <w:rPr>
                <w:rFonts w:hint="eastAsia"/>
                <w:b w:val="0"/>
                <w:bCs/>
                <w:color w:val="auto"/>
                <w:sz w:val="24"/>
                <w:highlight w:val="none"/>
                <w:lang w:val="en-US" w:eastAsia="zh-CN"/>
              </w:rPr>
              <w:t>①废气</w:t>
            </w:r>
          </w:p>
          <w:p w14:paraId="16A7BBF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eastAsia"/>
                <w:b w:val="0"/>
                <w:bCs/>
                <w:color w:val="auto"/>
                <w:sz w:val="24"/>
                <w:highlight w:val="none"/>
                <w:lang w:val="en-US" w:eastAsia="zh-CN"/>
              </w:rPr>
            </w:pPr>
            <w:r>
              <w:rPr>
                <w:rFonts w:hint="eastAsia"/>
                <w:b w:val="0"/>
                <w:bCs/>
                <w:color w:val="auto"/>
                <w:sz w:val="24"/>
                <w:highlight w:val="none"/>
                <w:lang w:val="en-US" w:eastAsia="zh-CN"/>
              </w:rPr>
              <w:t>1）破碎、剪切粉尘</w:t>
            </w:r>
          </w:p>
          <w:p w14:paraId="7C901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eastAsia"/>
                <w:b w:val="0"/>
                <w:bCs/>
                <w:color w:val="auto"/>
                <w:sz w:val="24"/>
                <w:highlight w:val="none"/>
                <w:lang w:val="en-US" w:eastAsia="zh-CN"/>
              </w:rPr>
            </w:pPr>
            <w:r>
              <w:rPr>
                <w:rFonts w:hint="eastAsia"/>
                <w:b w:val="0"/>
                <w:bCs/>
                <w:color w:val="auto"/>
                <w:sz w:val="24"/>
                <w:highlight w:val="none"/>
                <w:lang w:val="en-US" w:eastAsia="zh-CN"/>
              </w:rPr>
              <w:t>破碎机、剪切机上方分别安装集气罩，粉尘经集气罩收集后，由袋式除尘器进行处理，经1根19m高排气筒排放。</w:t>
            </w:r>
          </w:p>
          <w:p w14:paraId="400E2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b w:val="0"/>
                <w:bCs/>
                <w:color w:val="auto"/>
                <w:sz w:val="24"/>
                <w:highlight w:val="none"/>
                <w:lang w:val="en-US" w:eastAsia="zh-CN"/>
              </w:rPr>
            </w:pPr>
            <w:r>
              <w:rPr>
                <w:rFonts w:hint="eastAsia"/>
                <w:b w:val="0"/>
                <w:bCs/>
                <w:color w:val="auto"/>
                <w:sz w:val="24"/>
                <w:highlight w:val="none"/>
                <w:lang w:val="en-US" w:eastAsia="zh-CN"/>
              </w:rPr>
              <w:t>2）打包粉尘</w:t>
            </w:r>
          </w:p>
          <w:p w14:paraId="68B1209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color w:val="auto"/>
                <w:sz w:val="24"/>
                <w:szCs w:val="32"/>
                <w:highlight w:val="none"/>
                <w:lang w:val="en-US" w:eastAsia="zh-CN"/>
              </w:rPr>
            </w:pPr>
            <w:r>
              <w:rPr>
                <w:rFonts w:hint="default"/>
                <w:color w:val="auto"/>
                <w:sz w:val="24"/>
                <w:szCs w:val="32"/>
                <w:highlight w:val="none"/>
                <w:lang w:val="en-US" w:eastAsia="zh-CN"/>
              </w:rPr>
              <w:t>生产车间全封闭，同时车间加装排风扇等强制通风设施，加强车间通风</w:t>
            </w:r>
            <w:r>
              <w:rPr>
                <w:rFonts w:hint="eastAsia"/>
                <w:color w:val="auto"/>
                <w:sz w:val="24"/>
                <w:szCs w:val="32"/>
                <w:highlight w:val="none"/>
                <w:lang w:val="en-US" w:eastAsia="zh-CN"/>
              </w:rPr>
              <w:t>。</w:t>
            </w:r>
          </w:p>
          <w:p w14:paraId="31602B48">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color w:val="auto"/>
                <w:sz w:val="24"/>
                <w:szCs w:val="32"/>
                <w:highlight w:val="none"/>
                <w:lang w:val="en-US" w:eastAsia="zh-CN"/>
              </w:rPr>
            </w:pPr>
            <w:r>
              <w:rPr>
                <w:rFonts w:hint="eastAsia"/>
                <w:color w:val="auto"/>
                <w:sz w:val="24"/>
                <w:szCs w:val="32"/>
                <w:highlight w:val="none"/>
                <w:lang w:val="en-US" w:eastAsia="zh-CN"/>
              </w:rPr>
              <w:t>3）汽车运输扬尘</w:t>
            </w:r>
          </w:p>
          <w:p w14:paraId="7C42C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szCs w:val="32"/>
                <w:highlight w:val="none"/>
                <w:lang w:val="en-US" w:eastAsia="zh-CN"/>
              </w:rPr>
            </w:pPr>
            <w:r>
              <w:rPr>
                <w:rFonts w:hint="default"/>
                <w:color w:val="auto"/>
                <w:sz w:val="24"/>
                <w:szCs w:val="32"/>
                <w:highlight w:val="none"/>
                <w:lang w:val="en-US" w:eastAsia="zh-CN"/>
              </w:rPr>
              <w:t>建设单位应对厂区道路进行硬化；派专人对厂区及外围道路进行洒水抑尘；在运输过程中要求运输车辆车斗应用苫布覆盖，以防止原料洒落。</w:t>
            </w:r>
          </w:p>
          <w:p w14:paraId="64A99E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cs="Times New Roman"/>
                <w:b w:val="0"/>
                <w:bCs/>
                <w:color w:val="auto"/>
                <w:sz w:val="24"/>
                <w:szCs w:val="24"/>
                <w:highlight w:val="none"/>
                <w:lang w:val="en-US" w:eastAsia="zh-CN"/>
              </w:rPr>
              <w:t>②</w:t>
            </w:r>
            <w:r>
              <w:rPr>
                <w:rFonts w:hint="eastAsia" w:ascii="Times New Roman" w:hAnsi="Times New Roman" w:eastAsia="宋体" w:cs="Times New Roman"/>
                <w:b w:val="0"/>
                <w:bCs/>
                <w:color w:val="auto"/>
                <w:sz w:val="24"/>
                <w:szCs w:val="24"/>
                <w:highlight w:val="none"/>
                <w:lang w:val="en-US" w:eastAsia="zh-CN"/>
              </w:rPr>
              <w:t>废水</w:t>
            </w:r>
          </w:p>
          <w:p w14:paraId="75717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生活污水：排入园区污水管网，进入屯留区污水处理厂处理。</w:t>
            </w:r>
          </w:p>
          <w:p w14:paraId="7CC678F9">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初期雨水：</w:t>
            </w:r>
            <w:r>
              <w:rPr>
                <w:rFonts w:hint="default"/>
                <w:bCs/>
                <w:color w:val="auto"/>
                <w:sz w:val="24"/>
                <w:szCs w:val="24"/>
                <w:highlight w:val="none"/>
              </w:rPr>
              <w:t>现有厂区东南角设置1座初期雨水收集池，容积为300m</w:t>
            </w:r>
            <w:r>
              <w:rPr>
                <w:rFonts w:hint="default"/>
                <w:bCs/>
                <w:color w:val="auto"/>
                <w:sz w:val="24"/>
                <w:szCs w:val="24"/>
                <w:highlight w:val="none"/>
                <w:vertAlign w:val="superscript"/>
              </w:rPr>
              <w:t>3</w:t>
            </w:r>
            <w:r>
              <w:rPr>
                <w:rFonts w:hint="default"/>
                <w:bCs/>
                <w:color w:val="auto"/>
                <w:sz w:val="24"/>
                <w:szCs w:val="24"/>
                <w:highlight w:val="none"/>
              </w:rPr>
              <w:t>，用于收集厂区前15min的初期雨水，后期雨水排入园区雨水管网</w:t>
            </w:r>
            <w:r>
              <w:rPr>
                <w:rFonts w:hint="eastAsia"/>
                <w:bCs/>
                <w:color w:val="auto"/>
                <w:sz w:val="24"/>
                <w:szCs w:val="24"/>
                <w:highlight w:val="none"/>
                <w:lang w:eastAsia="zh-CN"/>
              </w:rPr>
              <w:t>。</w:t>
            </w:r>
          </w:p>
          <w:p w14:paraId="655064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cs="Times New Roman"/>
                <w:b w:val="0"/>
                <w:bCs/>
                <w:color w:val="auto"/>
                <w:sz w:val="24"/>
                <w:szCs w:val="24"/>
                <w:highlight w:val="none"/>
                <w:lang w:val="en-US" w:eastAsia="zh-CN"/>
              </w:rPr>
              <w:t>③</w:t>
            </w:r>
            <w:r>
              <w:rPr>
                <w:rFonts w:hint="eastAsia" w:ascii="Times New Roman" w:hAnsi="Times New Roman" w:eastAsia="宋体" w:cs="Times New Roman"/>
                <w:b w:val="0"/>
                <w:bCs/>
                <w:color w:val="auto"/>
                <w:sz w:val="24"/>
                <w:szCs w:val="24"/>
                <w:highlight w:val="none"/>
                <w:lang w:val="en-US" w:eastAsia="zh-CN"/>
              </w:rPr>
              <w:t>噪声</w:t>
            </w:r>
          </w:p>
          <w:p w14:paraId="509A03F0">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宋体"/>
                <w:b w:val="0"/>
                <w:bCs/>
                <w:color w:val="auto"/>
                <w:sz w:val="24"/>
                <w:szCs w:val="24"/>
                <w:highlight w:val="none"/>
                <w:lang w:val="en-US" w:eastAsia="zh-CN"/>
              </w:rPr>
            </w:pPr>
            <w:r>
              <w:rPr>
                <w:rFonts w:hint="default" w:ascii="Times New Roman" w:hAnsi="Times New Roman" w:eastAsia="宋体" w:cs="宋体"/>
                <w:b w:val="0"/>
                <w:bCs/>
                <w:color w:val="auto"/>
                <w:sz w:val="24"/>
                <w:szCs w:val="24"/>
                <w:highlight w:val="none"/>
                <w:lang w:val="en-US" w:eastAsia="zh-CN"/>
              </w:rPr>
              <w:t>使用低噪声设备，基础减振，厂房隔音、绿化降噪等</w:t>
            </w:r>
            <w:r>
              <w:rPr>
                <w:rFonts w:hint="eastAsia" w:ascii="Times New Roman" w:hAnsi="Times New Roman" w:eastAsia="宋体" w:cs="宋体"/>
                <w:b w:val="0"/>
                <w:bCs/>
                <w:color w:val="auto"/>
                <w:sz w:val="24"/>
                <w:szCs w:val="24"/>
                <w:highlight w:val="none"/>
                <w:lang w:val="en-US" w:eastAsia="zh-CN"/>
              </w:rPr>
              <w:t>。</w:t>
            </w:r>
          </w:p>
          <w:p w14:paraId="398446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cs="Times New Roman"/>
                <w:b w:val="0"/>
                <w:bCs/>
                <w:color w:val="auto"/>
                <w:sz w:val="24"/>
                <w:szCs w:val="24"/>
                <w:highlight w:val="none"/>
                <w:lang w:val="en-US" w:eastAsia="zh-CN"/>
              </w:rPr>
              <w:t>④</w:t>
            </w:r>
            <w:r>
              <w:rPr>
                <w:rFonts w:hint="eastAsia" w:ascii="Times New Roman" w:hAnsi="Times New Roman" w:eastAsia="宋体" w:cs="Times New Roman"/>
                <w:b w:val="0"/>
                <w:bCs/>
                <w:color w:val="auto"/>
                <w:sz w:val="24"/>
                <w:szCs w:val="24"/>
                <w:highlight w:val="none"/>
                <w:lang w:val="en-US" w:eastAsia="zh-CN"/>
              </w:rPr>
              <w:t>固废</w:t>
            </w:r>
          </w:p>
          <w:p w14:paraId="3A5A4E23">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1）</w:t>
            </w:r>
            <w:r>
              <w:rPr>
                <w:rFonts w:hint="default" w:ascii="Times New Roman" w:hAnsi="Times New Roman" w:eastAsia="宋体" w:cs="宋体"/>
                <w:color w:val="auto"/>
                <w:sz w:val="24"/>
                <w:szCs w:val="24"/>
                <w:highlight w:val="none"/>
                <w:lang w:val="en-US" w:eastAsia="zh-CN"/>
              </w:rPr>
              <w:t>渣土等非金属夹杂物</w:t>
            </w:r>
          </w:p>
          <w:p w14:paraId="1F386369">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宋体"/>
                <w:color w:val="auto"/>
                <w:sz w:val="24"/>
                <w:szCs w:val="24"/>
                <w:highlight w:val="none"/>
                <w:lang w:val="en-US" w:eastAsia="zh-CN"/>
              </w:rPr>
            </w:pPr>
            <w:r>
              <w:rPr>
                <w:rFonts w:hint="default" w:ascii="Times New Roman" w:hAnsi="Times New Roman" w:eastAsia="宋体" w:cs="宋体"/>
                <w:color w:val="auto"/>
                <w:sz w:val="24"/>
                <w:szCs w:val="24"/>
                <w:highlight w:val="none"/>
                <w:lang w:val="en-US" w:eastAsia="zh-CN"/>
              </w:rPr>
              <w:t>人工分拣阶段会产生渣土等非金属夹杂物，产生量约为 20t/a，集中收集后暂存于库房内定期外售。</w:t>
            </w:r>
          </w:p>
          <w:p w14:paraId="006304C9">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2）</w:t>
            </w:r>
            <w:r>
              <w:rPr>
                <w:rFonts w:hint="eastAsia" w:ascii="Times New Roman" w:hAnsi="Times New Roman" w:eastAsia="宋体" w:cs="宋体"/>
                <w:color w:val="auto"/>
                <w:sz w:val="24"/>
                <w:szCs w:val="24"/>
                <w:highlight w:val="none"/>
                <w:lang w:val="en-US" w:eastAsia="zh-CN"/>
              </w:rPr>
              <w:t>有色金属和塑料等杂质</w:t>
            </w:r>
          </w:p>
          <w:p w14:paraId="5F6B123F">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本项目磁选产生废弃物主要包括有色金属和废塑料、废橡胶等。</w:t>
            </w:r>
          </w:p>
          <w:p w14:paraId="692118C7">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eastAsia="宋体" w:cs="宋体"/>
                <w:color w:val="auto"/>
                <w:sz w:val="24"/>
                <w:szCs w:val="24"/>
                <w:highlight w:val="none"/>
                <w:lang w:val="en-US" w:eastAsia="zh-CN"/>
              </w:rPr>
              <w:t>在破碎生产线中，利用磁选机将废钢被吸起送到堆料输送机上，其它物料经其下部的料斗落入非磁性物质输送机上归堆，从垃圾出料带输出。磁选产生的有色金属约为150t/a，废塑料产生量约为50/a，集中收集后暂存于库房内定期外售。</w:t>
            </w:r>
          </w:p>
          <w:p w14:paraId="4757928F">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eastAsia" w:ascii="Times New Roman" w:hAnsi="Times New Roman" w:eastAsia="宋体"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3）</w:t>
            </w:r>
            <w:r>
              <w:rPr>
                <w:rFonts w:hint="eastAsia" w:ascii="Times New Roman" w:hAnsi="Times New Roman" w:eastAsia="宋体" w:cs="宋体"/>
                <w:color w:val="auto"/>
                <w:sz w:val="24"/>
                <w:szCs w:val="24"/>
                <w:highlight w:val="none"/>
                <w:lang w:val="en-US" w:eastAsia="zh-CN"/>
              </w:rPr>
              <w:t>生活垃圾</w:t>
            </w:r>
          </w:p>
          <w:p w14:paraId="6232AD45">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宋体"/>
                <w:color w:val="auto"/>
                <w:sz w:val="24"/>
                <w:szCs w:val="24"/>
                <w:highlight w:val="none"/>
                <w:lang w:val="en-US" w:eastAsia="zh-CN"/>
              </w:rPr>
            </w:pPr>
            <w:r>
              <w:rPr>
                <w:rFonts w:hint="default" w:ascii="Times New Roman" w:hAnsi="Times New Roman" w:eastAsia="宋体" w:cs="宋体"/>
                <w:color w:val="auto"/>
                <w:sz w:val="24"/>
                <w:szCs w:val="24"/>
                <w:highlight w:val="none"/>
                <w:lang w:val="en-US" w:eastAsia="zh-CN"/>
              </w:rPr>
              <w:t>生活垃圾产生量为12/a。建设单位在厂区内及办公室设置生活垃圾箱，将职工产生的生活垃圾集中收集，运至环卫部门指定地点，不得长期堆存，随意倾倒，以免对周围环境造成影响。</w:t>
            </w:r>
          </w:p>
          <w:p w14:paraId="558461B0">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4）</w:t>
            </w:r>
            <w:r>
              <w:rPr>
                <w:rFonts w:hint="eastAsia" w:ascii="Times New Roman" w:hAnsi="Times New Roman" w:eastAsia="宋体" w:cs="宋体"/>
                <w:color w:val="auto"/>
                <w:sz w:val="24"/>
                <w:szCs w:val="24"/>
                <w:highlight w:val="none"/>
                <w:lang w:val="en-US" w:eastAsia="zh-CN"/>
              </w:rPr>
              <w:t>除尘灰</w:t>
            </w:r>
          </w:p>
          <w:p w14:paraId="106319A3">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eastAsia="新宋体"/>
                <w:color w:val="auto"/>
                <w:sz w:val="24"/>
                <w:szCs w:val="22"/>
                <w:highlight w:val="none"/>
                <w:lang w:val="en-US" w:eastAsia="zh-CN"/>
              </w:rPr>
            </w:pPr>
            <w:r>
              <w:rPr>
                <w:rFonts w:hint="eastAsia" w:eastAsia="新宋体"/>
                <w:color w:val="auto"/>
                <w:sz w:val="24"/>
                <w:szCs w:val="22"/>
                <w:highlight w:val="none"/>
                <w:lang w:val="en-US" w:eastAsia="zh-CN"/>
              </w:rPr>
              <w:t>本项目除尘灰的产生量约514.017t/a，收集于固废暂存间，作为建筑材料，综合利用。</w:t>
            </w:r>
          </w:p>
          <w:p w14:paraId="4BA05C4D">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default" w:eastAsia="新宋体"/>
                <w:color w:val="auto"/>
                <w:sz w:val="24"/>
                <w:szCs w:val="22"/>
                <w:highlight w:val="none"/>
                <w:lang w:val="en-US" w:eastAsia="zh-CN"/>
              </w:rPr>
            </w:pPr>
            <w:r>
              <w:rPr>
                <w:rFonts w:hint="eastAsia" w:eastAsia="新宋体"/>
                <w:color w:val="auto"/>
                <w:sz w:val="24"/>
                <w:szCs w:val="22"/>
                <w:highlight w:val="none"/>
                <w:lang w:val="en-US" w:eastAsia="zh-CN"/>
              </w:rPr>
              <w:t>5）废液压油、废油桶</w:t>
            </w:r>
          </w:p>
          <w:p w14:paraId="1507350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宋体" w:cs="Times New Roman"/>
                <w:color w:val="auto"/>
                <w:sz w:val="24"/>
                <w:szCs w:val="24"/>
                <w:highlight w:val="none"/>
                <w:lang w:val="en-US" w:eastAsia="zh-CN"/>
              </w:rPr>
            </w:pPr>
            <w:r>
              <w:rPr>
                <w:rFonts w:hint="default"/>
                <w:color w:val="auto"/>
                <w:sz w:val="24"/>
                <w:szCs w:val="22"/>
                <w:highlight w:val="none"/>
                <w:lang w:val="en-US" w:eastAsia="zh-CN"/>
              </w:rPr>
              <w:t>本项目废液压油的产生量为0.5t/a，</w:t>
            </w:r>
            <w:r>
              <w:rPr>
                <w:rFonts w:hint="eastAsia"/>
                <w:color w:val="auto"/>
                <w:sz w:val="24"/>
                <w:szCs w:val="22"/>
                <w:highlight w:val="none"/>
                <w:lang w:val="en-US" w:eastAsia="zh-CN"/>
              </w:rPr>
              <w:t>废油桶产生量为0.1</w:t>
            </w:r>
            <w:r>
              <w:rPr>
                <w:rFonts w:hint="default"/>
                <w:color w:val="auto"/>
                <w:sz w:val="24"/>
                <w:szCs w:val="22"/>
                <w:highlight w:val="none"/>
                <w:lang w:val="en-US" w:eastAsia="zh-CN"/>
              </w:rPr>
              <w:t>t/a</w:t>
            </w:r>
            <w:r>
              <w:rPr>
                <w:rFonts w:hint="eastAsia"/>
                <w:color w:val="auto"/>
                <w:sz w:val="24"/>
                <w:szCs w:val="22"/>
                <w:highlight w:val="none"/>
                <w:lang w:val="en-US" w:eastAsia="zh-CN"/>
              </w:rPr>
              <w:t>，分区暂存</w:t>
            </w:r>
            <w:r>
              <w:rPr>
                <w:rFonts w:hint="default"/>
                <w:color w:val="auto"/>
                <w:sz w:val="24"/>
                <w:szCs w:val="22"/>
                <w:highlight w:val="none"/>
                <w:lang w:val="en-US" w:eastAsia="zh-CN"/>
              </w:rPr>
              <w:t>于危废</w:t>
            </w:r>
            <w:r>
              <w:rPr>
                <w:rFonts w:hint="eastAsia"/>
                <w:color w:val="auto"/>
                <w:sz w:val="24"/>
                <w:szCs w:val="22"/>
                <w:highlight w:val="none"/>
                <w:lang w:val="en-US" w:eastAsia="zh-CN"/>
              </w:rPr>
              <w:t>贮存库内</w:t>
            </w:r>
            <w:r>
              <w:rPr>
                <w:rFonts w:hint="default"/>
                <w:color w:val="auto"/>
                <w:sz w:val="24"/>
                <w:szCs w:val="22"/>
                <w:highlight w:val="none"/>
                <w:lang w:val="en-US" w:eastAsia="zh-CN"/>
              </w:rPr>
              <w:t>，定期交由有资质的单位处理。</w:t>
            </w:r>
          </w:p>
          <w:p w14:paraId="5E3623C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（2）报废汽车回收拆解项目</w:t>
            </w:r>
          </w:p>
          <w:p w14:paraId="2E384E4C">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①废气</w:t>
            </w:r>
          </w:p>
          <w:p w14:paraId="206B1EE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1）无组织废气</w:t>
            </w:r>
          </w:p>
          <w:p w14:paraId="01818994">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拆解车间全封闭，车间顶部等间距设4部轴流屋顶风机。</w:t>
            </w:r>
          </w:p>
          <w:p w14:paraId="2CA2FA6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2）拆解废气</w:t>
            </w:r>
          </w:p>
          <w:p w14:paraId="2413125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将油液抽取及拆油箱等有非甲烷总烃挥发的岗位进行固定操作，并在工作岗位侧向设置集气罩，废气统一收集后由引风管引入活性炭吸附装置进行净化处理，活性炭装置的净化效率为70%，排气筒高度为15m。</w:t>
            </w:r>
          </w:p>
          <w:p w14:paraId="7E5F632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eastAsia" w:ascii="Times New Roman" w:hAnsi="Times New Roman" w:cs="Times New Roman"/>
                <w:b w:val="0"/>
                <w:bCs/>
                <w:color w:val="auto"/>
                <w:sz w:val="24"/>
                <w:szCs w:val="24"/>
                <w:highlight w:val="none"/>
                <w:lang w:val="en-US" w:eastAsia="zh-CN"/>
              </w:rPr>
              <w:t>②</w:t>
            </w:r>
            <w:r>
              <w:rPr>
                <w:rFonts w:hint="eastAsia" w:ascii="Times New Roman" w:hAnsi="Times New Roman" w:eastAsia="宋体" w:cs="Times New Roman"/>
                <w:b w:val="0"/>
                <w:bCs/>
                <w:color w:val="auto"/>
                <w:sz w:val="24"/>
                <w:szCs w:val="24"/>
                <w:highlight w:val="none"/>
                <w:lang w:val="en-US" w:eastAsia="zh-CN"/>
              </w:rPr>
              <w:t>废水</w:t>
            </w:r>
          </w:p>
          <w:p w14:paraId="26F57C4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1）清洗废水</w:t>
            </w:r>
          </w:p>
          <w:p w14:paraId="49B296C4">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拆解车间清洗水及零件清洗水采用油水分离后用于厂区洒水，不外排</w:t>
            </w:r>
            <w:r>
              <w:rPr>
                <w:rFonts w:hint="eastAsia" w:cs="Times New Roman"/>
                <w:color w:val="auto"/>
                <w:sz w:val="24"/>
                <w:szCs w:val="24"/>
                <w:highlight w:val="none"/>
                <w:lang w:val="en-US" w:eastAsia="zh-CN"/>
              </w:rPr>
              <w:t>。</w:t>
            </w:r>
          </w:p>
          <w:p w14:paraId="4EAA0D1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2）生活污水、初期雨水</w:t>
            </w:r>
          </w:p>
          <w:p w14:paraId="3A356C86">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厂区东侧设置300m</w:t>
            </w:r>
            <w:r>
              <w:rPr>
                <w:rFonts w:hint="eastAsia" w:cs="Times New Roman"/>
                <w:color w:val="auto"/>
                <w:sz w:val="24"/>
                <w:szCs w:val="24"/>
                <w:highlight w:val="none"/>
                <w:vertAlign w:val="superscript"/>
                <w:lang w:val="en-US" w:eastAsia="zh-CN"/>
              </w:rPr>
              <w:t>3</w:t>
            </w:r>
            <w:r>
              <w:rPr>
                <w:rFonts w:hint="default" w:cs="Times New Roman"/>
                <w:color w:val="auto"/>
                <w:sz w:val="24"/>
                <w:szCs w:val="24"/>
                <w:highlight w:val="none"/>
                <w:lang w:val="en-US" w:eastAsia="zh-CN"/>
              </w:rPr>
              <w:t>的初期雨水收集池（地面进行硬化及防渗处理，池体内安装油水分离装置），收集的雨水、生产废水经油水分离后再经一体化污水处理设施处理后用于厂区洒水和绿化。一体化污水处理设施处理规模为30m</w:t>
            </w:r>
            <w:r>
              <w:rPr>
                <w:rFonts w:hint="eastAsia" w:cs="Times New Roman"/>
                <w:color w:val="auto"/>
                <w:sz w:val="24"/>
                <w:szCs w:val="24"/>
                <w:highlight w:val="none"/>
                <w:vertAlign w:val="superscript"/>
                <w:lang w:val="en-US" w:eastAsia="zh-CN"/>
              </w:rPr>
              <w:t>3</w:t>
            </w:r>
            <w:r>
              <w:rPr>
                <w:rFonts w:hint="default" w:cs="Times New Roman"/>
                <w:color w:val="auto"/>
                <w:sz w:val="24"/>
                <w:szCs w:val="24"/>
                <w:highlight w:val="none"/>
                <w:lang w:val="en-US" w:eastAsia="zh-CN"/>
              </w:rPr>
              <w:t>/d，处理工艺为</w:t>
            </w:r>
            <w:r>
              <w:rPr>
                <w:rFonts w:hint="eastAsia" w:cs="Times New Roman"/>
                <w:color w:val="auto"/>
                <w:sz w:val="24"/>
                <w:szCs w:val="24"/>
                <w:highlight w:val="none"/>
                <w:lang w:val="en-US" w:eastAsia="zh-CN"/>
              </w:rPr>
              <w:t>“</w:t>
            </w:r>
            <w:r>
              <w:rPr>
                <w:rFonts w:hint="default" w:cs="Times New Roman"/>
                <w:color w:val="auto"/>
                <w:sz w:val="24"/>
                <w:szCs w:val="24"/>
                <w:highlight w:val="none"/>
                <w:lang w:val="en-US" w:eastAsia="zh-CN"/>
              </w:rPr>
              <w:t>调节+接触氧化</w:t>
            </w:r>
            <w:r>
              <w:rPr>
                <w:rFonts w:hint="eastAsia" w:cs="Times New Roman"/>
                <w:color w:val="auto"/>
                <w:sz w:val="24"/>
                <w:szCs w:val="24"/>
                <w:highlight w:val="none"/>
                <w:lang w:val="en-US" w:eastAsia="zh-CN"/>
              </w:rPr>
              <w:t>”</w:t>
            </w:r>
            <w:r>
              <w:rPr>
                <w:rFonts w:hint="default" w:cs="Times New Roman"/>
                <w:color w:val="auto"/>
                <w:sz w:val="24"/>
                <w:szCs w:val="24"/>
                <w:highlight w:val="none"/>
                <w:lang w:val="en-US" w:eastAsia="zh-CN"/>
              </w:rPr>
              <w:t>。</w:t>
            </w:r>
          </w:p>
          <w:p w14:paraId="4B57145C">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生活污水排入园区污水管网进入</w:t>
            </w:r>
            <w:r>
              <w:rPr>
                <w:rFonts w:hint="eastAsia" w:cs="Times New Roman"/>
                <w:color w:val="auto"/>
                <w:sz w:val="24"/>
                <w:szCs w:val="24"/>
                <w:highlight w:val="none"/>
                <w:lang w:val="en-US" w:eastAsia="zh-CN"/>
              </w:rPr>
              <w:t>屯留区污水处理厂。</w:t>
            </w:r>
          </w:p>
          <w:p w14:paraId="385DE9C9">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③噪声</w:t>
            </w:r>
          </w:p>
          <w:p w14:paraId="54D96E1F">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采用低噪声设备，设备室内安装，基础减振，隔声吸声等措施。</w:t>
            </w:r>
          </w:p>
          <w:p w14:paraId="3B87B47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④固废</w:t>
            </w:r>
          </w:p>
          <w:p w14:paraId="04980514">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位于拆解车间东北侧，占地面积200m</w:t>
            </w:r>
            <w:r>
              <w:rPr>
                <w:rFonts w:hint="eastAsia" w:cs="Times New Roman"/>
                <w:color w:val="auto"/>
                <w:sz w:val="24"/>
                <w:szCs w:val="24"/>
                <w:highlight w:val="none"/>
                <w:vertAlign w:val="superscript"/>
                <w:lang w:val="en-US" w:eastAsia="zh-CN"/>
              </w:rPr>
              <w:t>2</w:t>
            </w:r>
            <w:r>
              <w:rPr>
                <w:rFonts w:hint="eastAsia" w:cs="Times New Roman"/>
                <w:color w:val="auto"/>
                <w:sz w:val="24"/>
                <w:szCs w:val="24"/>
                <w:highlight w:val="none"/>
                <w:lang w:val="en-US" w:eastAsia="zh-CN"/>
              </w:rPr>
              <w:t>，主要储存无法利用的碎玻璃、橡胶、塑料等，集中收集后外售当地的物资回收部门进行综合利用。</w:t>
            </w:r>
          </w:p>
          <w:p w14:paraId="39E4DE9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厂区内设垃圾收集箱若干，生活垃圾分类集中收集后运至环卫部门指定的地点统一处置。</w:t>
            </w:r>
          </w:p>
          <w:p w14:paraId="239887F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default" w:cs="Times New Roman"/>
                <w:color w:val="auto"/>
                <w:sz w:val="24"/>
                <w:szCs w:val="24"/>
                <w:highlight w:val="none"/>
                <w:lang w:val="en-US" w:eastAsia="zh-CN"/>
              </w:rPr>
              <w:t>地面进行硬化及防渗处理，废旧汽车拆解后的危险废物采用专用的收集容器收集后委托</w:t>
            </w:r>
            <w:r>
              <w:rPr>
                <w:rFonts w:hint="eastAsia" w:cs="Times New Roman"/>
                <w:color w:val="auto"/>
                <w:sz w:val="24"/>
                <w:szCs w:val="24"/>
                <w:highlight w:val="none"/>
                <w:lang w:val="en-US" w:eastAsia="zh-CN"/>
              </w:rPr>
              <w:t>有资质单位清运处置</w:t>
            </w:r>
            <w:r>
              <w:rPr>
                <w:rFonts w:hint="default" w:cs="Times New Roman"/>
                <w:color w:val="auto"/>
                <w:sz w:val="24"/>
                <w:szCs w:val="24"/>
                <w:highlight w:val="none"/>
                <w:lang w:val="en-US" w:eastAsia="zh-CN"/>
              </w:rPr>
              <w:t>。</w:t>
            </w:r>
          </w:p>
          <w:p w14:paraId="1B8EF2AC">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（3）</w:t>
            </w:r>
            <w:r>
              <w:rPr>
                <w:rFonts w:hint="eastAsia"/>
                <w:bCs/>
                <w:color w:val="auto"/>
                <w:sz w:val="24"/>
                <w:highlight w:val="none"/>
                <w:lang w:val="en-US" w:eastAsia="zh-CN"/>
              </w:rPr>
              <w:t>新能源汽车回收拆解项目</w:t>
            </w:r>
          </w:p>
          <w:p w14:paraId="6492780C">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①废气</w:t>
            </w:r>
          </w:p>
          <w:p w14:paraId="033654F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1）废油液及制冷剂收集过程中散发出的有机废气</w:t>
            </w:r>
          </w:p>
          <w:p w14:paraId="6134AB07">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将回收废油液及制冷剂有非甲烷总烃挥发的岗位进行固定操作（共2个工位），并在工作岗位侧向分别设置集气罩，废气统一收集后由引风管引入1套二级活性炭吸附装置进行净化处理，活性炭装置净化效率达83.5%，排气筒高度为15m。</w:t>
            </w:r>
          </w:p>
          <w:p w14:paraId="69EA63C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2）危废库废油液贮存工产生的有机废气</w:t>
            </w:r>
          </w:p>
          <w:p w14:paraId="70821C5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在废油液贮存区上方设置集气罩，废气由引风管引入一套活性炭吸附装置进行净化处理后经15m高排气筒排放，集气效率取95%，活性炭装置净化效率取70%。</w:t>
            </w:r>
          </w:p>
          <w:p w14:paraId="7ABA965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②废水</w:t>
            </w:r>
          </w:p>
          <w:p w14:paraId="15D1E77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default" w:cs="Times New Roman"/>
                <w:color w:val="auto"/>
                <w:sz w:val="24"/>
                <w:szCs w:val="24"/>
                <w:highlight w:val="none"/>
                <w:lang w:val="en-US" w:eastAsia="zh-CN"/>
              </w:rPr>
              <w:t>生活污水排入园区污水管网进入</w:t>
            </w:r>
            <w:r>
              <w:rPr>
                <w:rFonts w:hint="eastAsia" w:cs="Times New Roman"/>
                <w:color w:val="auto"/>
                <w:sz w:val="24"/>
                <w:szCs w:val="24"/>
                <w:highlight w:val="none"/>
                <w:lang w:val="en-US" w:eastAsia="zh-CN"/>
              </w:rPr>
              <w:t>屯留区污水处理厂。</w:t>
            </w:r>
          </w:p>
          <w:p w14:paraId="261A024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车间冲洗废水送现有生产废水处理站，经处理后回用，不外排。</w:t>
            </w:r>
          </w:p>
          <w:p w14:paraId="62188ECE">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③噪声</w:t>
            </w:r>
          </w:p>
          <w:p w14:paraId="0815F1E7">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选用低噪声设备，隔声、基础减振。</w:t>
            </w:r>
          </w:p>
          <w:p w14:paraId="6D331220">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④固废</w:t>
            </w:r>
          </w:p>
          <w:p w14:paraId="6585160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宋体" w:cs="Times New Roman"/>
                <w:color w:val="auto"/>
                <w:spacing w:val="0"/>
                <w:sz w:val="24"/>
                <w:szCs w:val="24"/>
                <w:highlight w:val="none"/>
                <w:lang w:val="en-US" w:eastAsia="zh-CN"/>
              </w:rPr>
            </w:pPr>
            <w:r>
              <w:rPr>
                <w:rFonts w:hint="default"/>
                <w:color w:val="auto"/>
                <w:sz w:val="24"/>
                <w:szCs w:val="24"/>
                <w:highlight w:val="none"/>
              </w:rPr>
              <w:t>废动力蓄电池暂存于</w:t>
            </w:r>
            <w:r>
              <w:rPr>
                <w:rFonts w:hint="default"/>
                <w:color w:val="auto"/>
                <w:kern w:val="0"/>
                <w:sz w:val="24"/>
                <w:szCs w:val="24"/>
                <w:highlight w:val="none"/>
              </w:rPr>
              <w:t>动力蓄电池贮存区</w:t>
            </w:r>
            <w:r>
              <w:rPr>
                <w:rFonts w:hint="default"/>
                <w:color w:val="auto"/>
                <w:sz w:val="24"/>
                <w:szCs w:val="24"/>
                <w:highlight w:val="none"/>
              </w:rPr>
              <w:t>，定期交由电动汽车生产企业建立的动力蓄电池回收服务网点处理</w:t>
            </w:r>
            <w:r>
              <w:rPr>
                <w:rFonts w:hint="eastAsia"/>
                <w:color w:val="auto"/>
                <w:sz w:val="24"/>
                <w:szCs w:val="24"/>
                <w:highlight w:val="none"/>
                <w:lang w:eastAsia="zh-CN"/>
              </w:rPr>
              <w:t>。</w:t>
            </w:r>
            <w:r>
              <w:rPr>
                <w:rFonts w:hint="default"/>
                <w:color w:val="auto"/>
                <w:sz w:val="24"/>
                <w:szCs w:val="24"/>
                <w:highlight w:val="none"/>
              </w:rPr>
              <w:t>废制冷剂</w:t>
            </w:r>
            <w:r>
              <w:rPr>
                <w:rFonts w:hint="default"/>
                <w:bCs/>
                <w:color w:val="auto"/>
                <w:sz w:val="24"/>
                <w:szCs w:val="24"/>
                <w:highlight w:val="none"/>
              </w:rPr>
              <w:t>采用专用的容器收集后</w:t>
            </w:r>
            <w:r>
              <w:rPr>
                <w:rFonts w:hint="default"/>
                <w:color w:val="auto"/>
                <w:kern w:val="0"/>
                <w:sz w:val="24"/>
                <w:szCs w:val="24"/>
                <w:highlight w:val="none"/>
              </w:rPr>
              <w:t>暂存于现有一般废物暂存库，定期交相关回收单位处理</w:t>
            </w:r>
            <w:r>
              <w:rPr>
                <w:rFonts w:hint="eastAsia"/>
                <w:color w:val="auto"/>
                <w:kern w:val="0"/>
                <w:sz w:val="24"/>
                <w:szCs w:val="24"/>
                <w:highlight w:val="none"/>
                <w:lang w:eastAsia="zh-CN"/>
              </w:rPr>
              <w:t>。</w:t>
            </w:r>
            <w:r>
              <w:rPr>
                <w:rFonts w:hint="eastAsia"/>
                <w:color w:val="auto"/>
                <w:kern w:val="0"/>
                <w:sz w:val="24"/>
                <w:szCs w:val="24"/>
                <w:highlight w:val="none"/>
                <w:lang w:val="en-US" w:eastAsia="zh-CN"/>
              </w:rPr>
              <w:t>废冷却液</w:t>
            </w:r>
            <w:r>
              <w:rPr>
                <w:rFonts w:hint="default"/>
                <w:bCs/>
                <w:color w:val="auto"/>
                <w:sz w:val="24"/>
                <w:szCs w:val="24"/>
                <w:highlight w:val="none"/>
              </w:rPr>
              <w:t>采用专用的容器收集后</w:t>
            </w:r>
            <w:r>
              <w:rPr>
                <w:rFonts w:hint="default"/>
                <w:color w:val="auto"/>
                <w:kern w:val="0"/>
                <w:sz w:val="24"/>
                <w:szCs w:val="24"/>
                <w:highlight w:val="none"/>
              </w:rPr>
              <w:t>暂存于现有</w:t>
            </w:r>
            <w:r>
              <w:rPr>
                <w:rFonts w:hint="default"/>
                <w:bCs/>
                <w:color w:val="auto"/>
                <w:sz w:val="24"/>
                <w:szCs w:val="24"/>
                <w:highlight w:val="none"/>
              </w:rPr>
              <w:t>危废库</w:t>
            </w:r>
            <w:r>
              <w:rPr>
                <w:rFonts w:hint="default"/>
                <w:color w:val="auto"/>
                <w:kern w:val="0"/>
                <w:sz w:val="24"/>
                <w:szCs w:val="24"/>
                <w:highlight w:val="none"/>
              </w:rPr>
              <w:t>，定期交相关回收单位处理</w:t>
            </w:r>
            <w:r>
              <w:rPr>
                <w:rFonts w:hint="eastAsia"/>
                <w:color w:val="auto"/>
                <w:kern w:val="0"/>
                <w:sz w:val="24"/>
                <w:szCs w:val="24"/>
                <w:highlight w:val="none"/>
                <w:lang w:eastAsia="zh-CN"/>
              </w:rPr>
              <w:t>。</w:t>
            </w:r>
            <w:r>
              <w:rPr>
                <w:rFonts w:hint="eastAsia"/>
                <w:color w:val="auto"/>
                <w:kern w:val="0"/>
                <w:sz w:val="24"/>
                <w:szCs w:val="24"/>
                <w:highlight w:val="none"/>
                <w:lang w:val="en-US" w:eastAsia="zh-CN"/>
              </w:rPr>
              <w:t>废油液</w:t>
            </w:r>
            <w:r>
              <w:rPr>
                <w:rFonts w:hint="default"/>
                <w:bCs/>
                <w:color w:val="auto"/>
                <w:sz w:val="24"/>
                <w:szCs w:val="24"/>
                <w:highlight w:val="none"/>
              </w:rPr>
              <w:t>采用专用的容器收集后暂存于现有危废库，定期交有资质单位处理</w:t>
            </w:r>
            <w:r>
              <w:rPr>
                <w:rFonts w:hint="eastAsia"/>
                <w:bCs/>
                <w:color w:val="auto"/>
                <w:sz w:val="24"/>
                <w:szCs w:val="24"/>
                <w:highlight w:val="none"/>
                <w:lang w:eastAsia="zh-CN"/>
              </w:rPr>
              <w:t>。厂区设垃圾箱，</w:t>
            </w:r>
            <w:r>
              <w:rPr>
                <w:rFonts w:hint="eastAsia"/>
                <w:bCs/>
                <w:color w:val="auto"/>
                <w:sz w:val="24"/>
                <w:szCs w:val="24"/>
                <w:highlight w:val="none"/>
                <w:lang w:val="en-US" w:eastAsia="zh-CN"/>
              </w:rPr>
              <w:t>生活垃圾</w:t>
            </w:r>
            <w:r>
              <w:rPr>
                <w:rFonts w:hint="eastAsia"/>
                <w:bCs/>
                <w:color w:val="auto"/>
                <w:sz w:val="24"/>
                <w:szCs w:val="24"/>
                <w:highlight w:val="none"/>
                <w:lang w:eastAsia="zh-CN"/>
              </w:rPr>
              <w:t>集中收集后由环卫部门统一清运处置。</w:t>
            </w:r>
          </w:p>
          <w:p w14:paraId="038D7BD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eastAsia"/>
                <w:b w:val="0"/>
                <w:bCs/>
                <w:color w:val="auto"/>
                <w:sz w:val="24"/>
                <w:highlight w:val="none"/>
                <w:lang w:val="en-US" w:eastAsia="zh-CN"/>
              </w:rPr>
            </w:pPr>
            <w:r>
              <w:rPr>
                <w:rFonts w:hint="eastAsia"/>
                <w:b w:val="0"/>
                <w:bCs/>
                <w:color w:val="auto"/>
                <w:sz w:val="24"/>
                <w:highlight w:val="none"/>
                <w:lang w:val="en-US" w:eastAsia="zh-CN"/>
              </w:rPr>
              <w:t>根据《</w:t>
            </w:r>
            <w:r>
              <w:rPr>
                <w:rFonts w:hint="eastAsia" w:eastAsia="宋体" w:cs="Times New Roman"/>
                <w:b w:val="0"/>
                <w:bCs/>
                <w:color w:val="auto"/>
                <w:sz w:val="24"/>
                <w:szCs w:val="24"/>
                <w:highlight w:val="none"/>
                <w:lang w:val="en-US" w:eastAsia="zh-CN"/>
              </w:rPr>
              <w:t>山西瑞赛格废弃资源综合利用有限公司</w:t>
            </w:r>
            <w:r>
              <w:rPr>
                <w:rFonts w:hint="eastAsia" w:cs="Times New Roman"/>
                <w:b w:val="0"/>
                <w:bCs/>
                <w:color w:val="auto"/>
                <w:sz w:val="24"/>
                <w:szCs w:val="24"/>
                <w:highlight w:val="none"/>
                <w:lang w:val="en-US" w:eastAsia="zh-CN"/>
              </w:rPr>
              <w:t>第三季度自行监测报告</w:t>
            </w:r>
            <w:r>
              <w:rPr>
                <w:rFonts w:hint="eastAsia"/>
                <w:b w:val="0"/>
                <w:bCs/>
                <w:color w:val="auto"/>
                <w:sz w:val="24"/>
                <w:highlight w:val="none"/>
                <w:lang w:val="en-US" w:eastAsia="zh-CN"/>
              </w:rPr>
              <w:t>》，蓝源成环监（普）字（2025）第10872号，2025年7月21日，监测数据见下表。</w:t>
            </w:r>
          </w:p>
          <w:p w14:paraId="4EBAEB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cs="Times New Roman"/>
                <w:b/>
                <w:bCs w:val="0"/>
                <w:color w:val="auto"/>
                <w:spacing w:val="0"/>
                <w:kern w:val="2"/>
                <w:sz w:val="21"/>
                <w:szCs w:val="21"/>
                <w:highlight w:val="none"/>
                <w:lang w:val="en-US" w:eastAsia="zh-CN" w:bidi="ar-SA"/>
              </w:rPr>
            </w:pPr>
            <w:r>
              <w:rPr>
                <w:rFonts w:hint="eastAsia" w:cs="Times New Roman"/>
                <w:b/>
                <w:bCs w:val="0"/>
                <w:color w:val="auto"/>
                <w:spacing w:val="0"/>
                <w:kern w:val="2"/>
                <w:sz w:val="21"/>
                <w:szCs w:val="21"/>
                <w:highlight w:val="none"/>
                <w:lang w:val="en-US" w:eastAsia="zh-CN" w:bidi="ar-SA"/>
              </w:rPr>
              <w:t xml:space="preserve">表2-11  </w:t>
            </w:r>
            <w:r>
              <w:rPr>
                <w:rFonts w:hint="eastAsia"/>
                <w:b/>
                <w:color w:val="auto"/>
                <w:sz w:val="21"/>
                <w:szCs w:val="21"/>
                <w:highlight w:val="none"/>
                <w:lang w:val="en-US" w:eastAsia="zh-CN"/>
              </w:rPr>
              <w:t>龙门剪切车间除尘出口监测结果</w:t>
            </w:r>
            <w:r>
              <w:rPr>
                <w:rFonts w:hint="default"/>
                <w:b/>
                <w:color w:val="auto"/>
                <w:sz w:val="21"/>
                <w:szCs w:val="21"/>
                <w:highlight w:val="none"/>
              </w:rPr>
              <w:t>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677"/>
              <w:gridCol w:w="1474"/>
              <w:gridCol w:w="1563"/>
              <w:gridCol w:w="1510"/>
              <w:gridCol w:w="1508"/>
            </w:tblGrid>
            <w:tr w14:paraId="4515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restart"/>
                  <w:vAlign w:val="center"/>
                </w:tcPr>
                <w:p w14:paraId="2DCD83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监测点位</w:t>
                  </w:r>
                </w:p>
              </w:tc>
              <w:tc>
                <w:tcPr>
                  <w:tcW w:w="926" w:type="pct"/>
                  <w:vMerge w:val="restart"/>
                  <w:vAlign w:val="center"/>
                </w:tcPr>
                <w:p w14:paraId="7EFE7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监测日期</w:t>
                  </w:r>
                </w:p>
              </w:tc>
              <w:tc>
                <w:tcPr>
                  <w:tcW w:w="814" w:type="pct"/>
                  <w:vMerge w:val="restart"/>
                  <w:vAlign w:val="center"/>
                </w:tcPr>
                <w:p w14:paraId="01269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频次</w:t>
                  </w:r>
                </w:p>
              </w:tc>
              <w:tc>
                <w:tcPr>
                  <w:tcW w:w="863" w:type="pct"/>
                  <w:vMerge w:val="restart"/>
                  <w:vAlign w:val="center"/>
                </w:tcPr>
                <w:p w14:paraId="3B08DC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标态排放量Nm</w:t>
                  </w:r>
                  <w:r>
                    <w:rPr>
                      <w:rFonts w:hint="eastAsia"/>
                      <w:b/>
                      <w:bCs w:val="0"/>
                      <w:color w:val="auto"/>
                      <w:sz w:val="21"/>
                      <w:szCs w:val="21"/>
                      <w:highlight w:val="none"/>
                      <w:vertAlign w:val="superscript"/>
                      <w:lang w:val="en-US" w:eastAsia="zh-CN"/>
                    </w:rPr>
                    <w:t>3</w:t>
                  </w:r>
                  <w:r>
                    <w:rPr>
                      <w:rFonts w:hint="eastAsia"/>
                      <w:b/>
                      <w:bCs w:val="0"/>
                      <w:color w:val="auto"/>
                      <w:sz w:val="21"/>
                      <w:szCs w:val="21"/>
                      <w:highlight w:val="none"/>
                      <w:vertAlign w:val="baseline"/>
                      <w:lang w:val="en-US" w:eastAsia="zh-CN"/>
                    </w:rPr>
                    <w:t>/h</w:t>
                  </w:r>
                </w:p>
              </w:tc>
              <w:tc>
                <w:tcPr>
                  <w:tcW w:w="1666" w:type="pct"/>
                  <w:gridSpan w:val="2"/>
                  <w:vAlign w:val="center"/>
                </w:tcPr>
                <w:p w14:paraId="1C6ADE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颗粒物</w:t>
                  </w:r>
                </w:p>
              </w:tc>
            </w:tr>
            <w:tr w14:paraId="5A4C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182D2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926" w:type="pct"/>
                  <w:vMerge w:val="continue"/>
                  <w:vAlign w:val="center"/>
                </w:tcPr>
                <w:p w14:paraId="04F02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814" w:type="pct"/>
                  <w:vMerge w:val="continue"/>
                  <w:vAlign w:val="center"/>
                </w:tcPr>
                <w:p w14:paraId="13768A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863" w:type="pct"/>
                  <w:vMerge w:val="continue"/>
                  <w:vAlign w:val="center"/>
                </w:tcPr>
                <w:p w14:paraId="0AFA7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834" w:type="pct"/>
                  <w:vAlign w:val="center"/>
                </w:tcPr>
                <w:p w14:paraId="4900D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r>
                    <w:rPr>
                      <w:rFonts w:hint="eastAsia" w:ascii="宋体" w:hAnsi="宋体" w:eastAsia="宋体"/>
                      <w:b/>
                      <w:bCs w:val="0"/>
                      <w:color w:val="auto"/>
                      <w:sz w:val="18"/>
                      <w:highlight w:val="none"/>
                      <w:lang w:val="en-US" w:eastAsia="zh-CN"/>
                    </w:rPr>
                    <w:t>实</w:t>
                  </w:r>
                  <w:r>
                    <w:rPr>
                      <w:rFonts w:hint="eastAsia" w:ascii="宋体" w:hAnsi="宋体" w:eastAsia="宋体"/>
                      <w:b/>
                      <w:bCs w:val="0"/>
                      <w:color w:val="auto"/>
                      <w:sz w:val="18"/>
                      <w:highlight w:val="none"/>
                    </w:rPr>
                    <w:t>测浓度</w:t>
                  </w:r>
                  <w:r>
                    <w:rPr>
                      <w:rFonts w:hint="default" w:ascii="Times New Roman" w:hAnsi="Times New Roman" w:eastAsia="Times New Roman"/>
                      <w:b/>
                      <w:bCs w:val="0"/>
                      <w:color w:val="auto"/>
                      <w:sz w:val="18"/>
                      <w:highlight w:val="none"/>
                    </w:rPr>
                    <w:t>mg/m</w:t>
                  </w:r>
                  <w:r>
                    <w:rPr>
                      <w:rFonts w:hint="default" w:ascii="Times New Roman" w:hAnsi="Times New Roman" w:eastAsia="Times New Roman"/>
                      <w:b/>
                      <w:bCs w:val="0"/>
                      <w:color w:val="auto"/>
                      <w:position w:val="6"/>
                      <w:sz w:val="11"/>
                      <w:highlight w:val="none"/>
                    </w:rPr>
                    <w:t>3</w:t>
                  </w:r>
                </w:p>
              </w:tc>
              <w:tc>
                <w:tcPr>
                  <w:tcW w:w="832" w:type="pct"/>
                  <w:vAlign w:val="center"/>
                </w:tcPr>
                <w:p w14:paraId="49AC6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排放量</w:t>
                  </w:r>
                  <w:r>
                    <w:rPr>
                      <w:rFonts w:hint="default" w:ascii="Times New Roman" w:hAnsi="Times New Roman" w:eastAsia="Times New Roman"/>
                      <w:b/>
                      <w:bCs w:val="0"/>
                      <w:color w:val="auto"/>
                      <w:sz w:val="18"/>
                      <w:highlight w:val="none"/>
                    </w:rPr>
                    <w:t>kg/h</w:t>
                  </w:r>
                </w:p>
              </w:tc>
            </w:tr>
            <w:tr w14:paraId="0141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restart"/>
                  <w:vAlign w:val="center"/>
                </w:tcPr>
                <w:p w14:paraId="185AB2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龙门剪切车间除尘出口</w:t>
                  </w:r>
                </w:p>
              </w:tc>
              <w:tc>
                <w:tcPr>
                  <w:tcW w:w="926" w:type="pct"/>
                  <w:vMerge w:val="restart"/>
                  <w:vAlign w:val="center"/>
                </w:tcPr>
                <w:p w14:paraId="1BCF8F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2025.7.2</w:t>
                  </w:r>
                </w:p>
              </w:tc>
              <w:tc>
                <w:tcPr>
                  <w:tcW w:w="814" w:type="pct"/>
                  <w:vAlign w:val="center"/>
                </w:tcPr>
                <w:p w14:paraId="6F4C25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第一次</w:t>
                  </w:r>
                </w:p>
              </w:tc>
              <w:tc>
                <w:tcPr>
                  <w:tcW w:w="863" w:type="pct"/>
                  <w:vAlign w:val="center"/>
                </w:tcPr>
                <w:p w14:paraId="497E0A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2944</w:t>
                  </w:r>
                </w:p>
              </w:tc>
              <w:tc>
                <w:tcPr>
                  <w:tcW w:w="834" w:type="pct"/>
                  <w:vAlign w:val="center"/>
                </w:tcPr>
                <w:p w14:paraId="0A213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3.4</w:t>
                  </w:r>
                </w:p>
              </w:tc>
              <w:tc>
                <w:tcPr>
                  <w:tcW w:w="832" w:type="pct"/>
                  <w:vAlign w:val="center"/>
                </w:tcPr>
                <w:p w14:paraId="011A6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0.01</w:t>
                  </w:r>
                </w:p>
              </w:tc>
            </w:tr>
            <w:tr w14:paraId="6992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4BF70E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926" w:type="pct"/>
                  <w:vMerge w:val="continue"/>
                  <w:vAlign w:val="center"/>
                </w:tcPr>
                <w:p w14:paraId="2EB88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814" w:type="pct"/>
                  <w:vAlign w:val="center"/>
                </w:tcPr>
                <w:p w14:paraId="453CA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第二次</w:t>
                  </w:r>
                </w:p>
              </w:tc>
              <w:tc>
                <w:tcPr>
                  <w:tcW w:w="863" w:type="pct"/>
                  <w:vAlign w:val="center"/>
                </w:tcPr>
                <w:p w14:paraId="06A0CC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3043</w:t>
                  </w:r>
                </w:p>
              </w:tc>
              <w:tc>
                <w:tcPr>
                  <w:tcW w:w="834" w:type="pct"/>
                  <w:vAlign w:val="center"/>
                </w:tcPr>
                <w:p w14:paraId="08E2F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2.5</w:t>
                  </w:r>
                </w:p>
              </w:tc>
              <w:tc>
                <w:tcPr>
                  <w:tcW w:w="832" w:type="pct"/>
                  <w:vAlign w:val="center"/>
                </w:tcPr>
                <w:p w14:paraId="5E476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0.08</w:t>
                  </w:r>
                </w:p>
              </w:tc>
            </w:tr>
            <w:tr w14:paraId="102E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3C1113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926" w:type="pct"/>
                  <w:vMerge w:val="continue"/>
                  <w:vAlign w:val="center"/>
                </w:tcPr>
                <w:p w14:paraId="7784C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814" w:type="pct"/>
                  <w:vAlign w:val="center"/>
                </w:tcPr>
                <w:p w14:paraId="04A3C9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第三次</w:t>
                  </w:r>
                </w:p>
              </w:tc>
              <w:tc>
                <w:tcPr>
                  <w:tcW w:w="863" w:type="pct"/>
                  <w:vAlign w:val="center"/>
                </w:tcPr>
                <w:p w14:paraId="006D9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2983</w:t>
                  </w:r>
                </w:p>
              </w:tc>
              <w:tc>
                <w:tcPr>
                  <w:tcW w:w="834" w:type="pct"/>
                  <w:vAlign w:val="center"/>
                </w:tcPr>
                <w:p w14:paraId="17620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4.9</w:t>
                  </w:r>
                </w:p>
              </w:tc>
              <w:tc>
                <w:tcPr>
                  <w:tcW w:w="832" w:type="pct"/>
                  <w:vAlign w:val="center"/>
                </w:tcPr>
                <w:p w14:paraId="744522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0.015</w:t>
                  </w:r>
                </w:p>
              </w:tc>
            </w:tr>
            <w:tr w14:paraId="3B57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7B79F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926" w:type="pct"/>
                  <w:vMerge w:val="continue"/>
                  <w:vAlign w:val="center"/>
                </w:tcPr>
                <w:p w14:paraId="40B15B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814" w:type="pct"/>
                  <w:vAlign w:val="center"/>
                </w:tcPr>
                <w:p w14:paraId="55E9E3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平均值</w:t>
                  </w:r>
                </w:p>
              </w:tc>
              <w:tc>
                <w:tcPr>
                  <w:tcW w:w="863" w:type="pct"/>
                  <w:vAlign w:val="center"/>
                </w:tcPr>
                <w:p w14:paraId="1E149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2990</w:t>
                  </w:r>
                </w:p>
              </w:tc>
              <w:tc>
                <w:tcPr>
                  <w:tcW w:w="834" w:type="pct"/>
                  <w:vAlign w:val="center"/>
                </w:tcPr>
                <w:p w14:paraId="7F5133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3.6</w:t>
                  </w:r>
                </w:p>
              </w:tc>
              <w:tc>
                <w:tcPr>
                  <w:tcW w:w="832" w:type="pct"/>
                  <w:vAlign w:val="center"/>
                </w:tcPr>
                <w:p w14:paraId="19EB9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0.011</w:t>
                  </w:r>
                </w:p>
              </w:tc>
            </w:tr>
            <w:tr w14:paraId="6973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Align w:val="center"/>
                </w:tcPr>
                <w:p w14:paraId="18570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标准限值</w:t>
                  </w:r>
                </w:p>
              </w:tc>
              <w:tc>
                <w:tcPr>
                  <w:tcW w:w="1740" w:type="pct"/>
                  <w:gridSpan w:val="2"/>
                  <w:vAlign w:val="center"/>
                </w:tcPr>
                <w:p w14:paraId="483B1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63" w:type="pct"/>
                  <w:vAlign w:val="center"/>
                </w:tcPr>
                <w:p w14:paraId="372A3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34" w:type="pct"/>
                  <w:vAlign w:val="center"/>
                </w:tcPr>
                <w:p w14:paraId="7976C8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10</w:t>
                  </w:r>
                </w:p>
              </w:tc>
              <w:tc>
                <w:tcPr>
                  <w:tcW w:w="832" w:type="pct"/>
                  <w:vAlign w:val="center"/>
                </w:tcPr>
                <w:p w14:paraId="439CE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r>
            <w:tr w14:paraId="11E4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Align w:val="center"/>
                </w:tcPr>
                <w:p w14:paraId="0C1201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达标情况</w:t>
                  </w:r>
                </w:p>
              </w:tc>
              <w:tc>
                <w:tcPr>
                  <w:tcW w:w="1740" w:type="pct"/>
                  <w:gridSpan w:val="2"/>
                  <w:vAlign w:val="center"/>
                </w:tcPr>
                <w:p w14:paraId="6F5728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63" w:type="pct"/>
                  <w:vAlign w:val="center"/>
                </w:tcPr>
                <w:p w14:paraId="43F25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34" w:type="pct"/>
                  <w:vAlign w:val="center"/>
                </w:tcPr>
                <w:p w14:paraId="164C8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达标</w:t>
                  </w:r>
                </w:p>
              </w:tc>
              <w:tc>
                <w:tcPr>
                  <w:tcW w:w="832" w:type="pct"/>
                  <w:vAlign w:val="center"/>
                </w:tcPr>
                <w:p w14:paraId="2C759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r>
            <w:tr w14:paraId="601C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Align w:val="center"/>
                </w:tcPr>
                <w:p w14:paraId="321BBF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监测点位示意图</w:t>
                  </w:r>
                </w:p>
              </w:tc>
              <w:tc>
                <w:tcPr>
                  <w:tcW w:w="4270" w:type="pct"/>
                  <w:gridSpan w:val="5"/>
                  <w:vAlign w:val="center"/>
                </w:tcPr>
                <w:p w14:paraId="620038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default"/>
                      <w:color w:val="auto"/>
                      <w:highlight w:val="none"/>
                    </w:rPr>
                    <w:drawing>
                      <wp:inline distT="0" distB="0" distL="114300" distR="114300">
                        <wp:extent cx="3592830" cy="2496185"/>
                        <wp:effectExtent l="0" t="0" r="7620" b="1841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16"/>
                                <a:stretch>
                                  <a:fillRect/>
                                </a:stretch>
                              </pic:blipFill>
                              <pic:spPr>
                                <a:xfrm>
                                  <a:off x="0" y="0"/>
                                  <a:ext cx="3592830" cy="2496185"/>
                                </a:xfrm>
                                <a:prstGeom prst="rect">
                                  <a:avLst/>
                                </a:prstGeom>
                                <a:noFill/>
                                <a:ln>
                                  <a:noFill/>
                                </a:ln>
                              </pic:spPr>
                            </pic:pic>
                          </a:graphicData>
                        </a:graphic>
                      </wp:inline>
                    </w:drawing>
                  </w:r>
                </w:p>
              </w:tc>
            </w:tr>
          </w:tbl>
          <w:p w14:paraId="42B514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cs="Times New Roman"/>
                <w:b/>
                <w:bCs w:val="0"/>
                <w:color w:val="auto"/>
                <w:spacing w:val="0"/>
                <w:kern w:val="2"/>
                <w:sz w:val="21"/>
                <w:szCs w:val="21"/>
                <w:highlight w:val="none"/>
                <w:lang w:val="en-US" w:eastAsia="zh-CN" w:bidi="ar-SA"/>
              </w:rPr>
            </w:pPr>
            <w:r>
              <w:rPr>
                <w:rFonts w:hint="eastAsia" w:cs="Times New Roman"/>
                <w:b/>
                <w:bCs w:val="0"/>
                <w:color w:val="auto"/>
                <w:spacing w:val="0"/>
                <w:kern w:val="2"/>
                <w:sz w:val="21"/>
                <w:szCs w:val="21"/>
                <w:highlight w:val="none"/>
                <w:lang w:val="en-US" w:eastAsia="zh-CN" w:bidi="ar-SA"/>
              </w:rPr>
              <w:t xml:space="preserve">表2-12  </w:t>
            </w:r>
            <w:r>
              <w:rPr>
                <w:rFonts w:hint="eastAsia"/>
                <w:b/>
                <w:color w:val="auto"/>
                <w:sz w:val="21"/>
                <w:szCs w:val="21"/>
                <w:highlight w:val="none"/>
                <w:lang w:val="en-US" w:eastAsia="zh-CN"/>
              </w:rPr>
              <w:t>预处理车间净化装置排气筒出口监测结果表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677"/>
              <w:gridCol w:w="1474"/>
              <w:gridCol w:w="1563"/>
              <w:gridCol w:w="1510"/>
              <w:gridCol w:w="1508"/>
            </w:tblGrid>
            <w:tr w14:paraId="11A9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restart"/>
                  <w:vAlign w:val="center"/>
                </w:tcPr>
                <w:p w14:paraId="48411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监测点位</w:t>
                  </w:r>
                </w:p>
              </w:tc>
              <w:tc>
                <w:tcPr>
                  <w:tcW w:w="926" w:type="pct"/>
                  <w:vMerge w:val="restart"/>
                  <w:vAlign w:val="center"/>
                </w:tcPr>
                <w:p w14:paraId="11E9E4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监测日期</w:t>
                  </w:r>
                </w:p>
              </w:tc>
              <w:tc>
                <w:tcPr>
                  <w:tcW w:w="814" w:type="pct"/>
                  <w:vMerge w:val="restart"/>
                  <w:vAlign w:val="center"/>
                </w:tcPr>
                <w:p w14:paraId="47F26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频次</w:t>
                  </w:r>
                </w:p>
              </w:tc>
              <w:tc>
                <w:tcPr>
                  <w:tcW w:w="863" w:type="pct"/>
                  <w:vMerge w:val="restart"/>
                  <w:vAlign w:val="center"/>
                </w:tcPr>
                <w:p w14:paraId="237209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标态排放量Nm</w:t>
                  </w:r>
                  <w:r>
                    <w:rPr>
                      <w:rFonts w:hint="eastAsia"/>
                      <w:b/>
                      <w:bCs w:val="0"/>
                      <w:color w:val="auto"/>
                      <w:sz w:val="21"/>
                      <w:szCs w:val="21"/>
                      <w:highlight w:val="none"/>
                      <w:vertAlign w:val="superscript"/>
                      <w:lang w:val="en-US" w:eastAsia="zh-CN"/>
                    </w:rPr>
                    <w:t>3</w:t>
                  </w:r>
                  <w:r>
                    <w:rPr>
                      <w:rFonts w:hint="eastAsia"/>
                      <w:b/>
                      <w:bCs w:val="0"/>
                      <w:color w:val="auto"/>
                      <w:sz w:val="21"/>
                      <w:szCs w:val="21"/>
                      <w:highlight w:val="none"/>
                      <w:vertAlign w:val="baseline"/>
                      <w:lang w:val="en-US" w:eastAsia="zh-CN"/>
                    </w:rPr>
                    <w:t>/h</w:t>
                  </w:r>
                </w:p>
              </w:tc>
              <w:tc>
                <w:tcPr>
                  <w:tcW w:w="1666" w:type="pct"/>
                  <w:gridSpan w:val="2"/>
                  <w:vAlign w:val="center"/>
                </w:tcPr>
                <w:p w14:paraId="20797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颗粒物</w:t>
                  </w:r>
                </w:p>
              </w:tc>
            </w:tr>
            <w:tr w14:paraId="66B0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115E7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926" w:type="pct"/>
                  <w:vMerge w:val="continue"/>
                  <w:vAlign w:val="center"/>
                </w:tcPr>
                <w:p w14:paraId="24FB9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814" w:type="pct"/>
                  <w:vMerge w:val="continue"/>
                  <w:vAlign w:val="center"/>
                </w:tcPr>
                <w:p w14:paraId="38437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863" w:type="pct"/>
                  <w:vMerge w:val="continue"/>
                  <w:vAlign w:val="center"/>
                </w:tcPr>
                <w:p w14:paraId="28C91B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p>
              </w:tc>
              <w:tc>
                <w:tcPr>
                  <w:tcW w:w="834" w:type="pct"/>
                  <w:vAlign w:val="center"/>
                </w:tcPr>
                <w:p w14:paraId="2D3D15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val="0"/>
                      <w:color w:val="auto"/>
                      <w:sz w:val="21"/>
                      <w:szCs w:val="21"/>
                      <w:highlight w:val="none"/>
                      <w:vertAlign w:val="baseline"/>
                      <w:lang w:val="en-US" w:eastAsia="zh-CN"/>
                    </w:rPr>
                  </w:pPr>
                  <w:r>
                    <w:rPr>
                      <w:rFonts w:hint="eastAsia" w:ascii="宋体" w:hAnsi="宋体" w:eastAsia="宋体"/>
                      <w:b/>
                      <w:bCs w:val="0"/>
                      <w:color w:val="auto"/>
                      <w:sz w:val="18"/>
                      <w:highlight w:val="none"/>
                      <w:lang w:val="en-US" w:eastAsia="zh-CN"/>
                    </w:rPr>
                    <w:t>实</w:t>
                  </w:r>
                  <w:r>
                    <w:rPr>
                      <w:rFonts w:hint="eastAsia" w:ascii="宋体" w:hAnsi="宋体" w:eastAsia="宋体"/>
                      <w:b/>
                      <w:bCs w:val="0"/>
                      <w:color w:val="auto"/>
                      <w:sz w:val="18"/>
                      <w:highlight w:val="none"/>
                    </w:rPr>
                    <w:t>测浓度</w:t>
                  </w:r>
                  <w:r>
                    <w:rPr>
                      <w:rFonts w:hint="default" w:ascii="Times New Roman" w:hAnsi="Times New Roman" w:eastAsia="Times New Roman"/>
                      <w:b/>
                      <w:bCs w:val="0"/>
                      <w:color w:val="auto"/>
                      <w:sz w:val="18"/>
                      <w:highlight w:val="none"/>
                    </w:rPr>
                    <w:t>mg/m</w:t>
                  </w:r>
                  <w:r>
                    <w:rPr>
                      <w:rFonts w:hint="default" w:ascii="Times New Roman" w:hAnsi="Times New Roman" w:eastAsia="Times New Roman"/>
                      <w:b/>
                      <w:bCs w:val="0"/>
                      <w:color w:val="auto"/>
                      <w:position w:val="6"/>
                      <w:sz w:val="11"/>
                      <w:highlight w:val="none"/>
                    </w:rPr>
                    <w:t>3</w:t>
                  </w:r>
                </w:p>
              </w:tc>
              <w:tc>
                <w:tcPr>
                  <w:tcW w:w="832" w:type="pct"/>
                  <w:vAlign w:val="center"/>
                </w:tcPr>
                <w:p w14:paraId="33C9B8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21"/>
                      <w:szCs w:val="21"/>
                      <w:highlight w:val="none"/>
                      <w:vertAlign w:val="baseline"/>
                      <w:lang w:val="en-US" w:eastAsia="zh-CN"/>
                    </w:rPr>
                  </w:pPr>
                  <w:r>
                    <w:rPr>
                      <w:rFonts w:hint="eastAsia"/>
                      <w:b/>
                      <w:bCs w:val="0"/>
                      <w:color w:val="auto"/>
                      <w:sz w:val="21"/>
                      <w:szCs w:val="21"/>
                      <w:highlight w:val="none"/>
                      <w:vertAlign w:val="baseline"/>
                      <w:lang w:val="en-US" w:eastAsia="zh-CN"/>
                    </w:rPr>
                    <w:t>排放量</w:t>
                  </w:r>
                  <w:r>
                    <w:rPr>
                      <w:rFonts w:hint="default" w:ascii="Times New Roman" w:hAnsi="Times New Roman" w:eastAsia="Times New Roman"/>
                      <w:b/>
                      <w:bCs w:val="0"/>
                      <w:color w:val="auto"/>
                      <w:sz w:val="18"/>
                      <w:highlight w:val="none"/>
                    </w:rPr>
                    <w:t>kg/h</w:t>
                  </w:r>
                </w:p>
              </w:tc>
            </w:tr>
            <w:tr w14:paraId="7965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restart"/>
                  <w:vAlign w:val="center"/>
                </w:tcPr>
                <w:p w14:paraId="67F2E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default"/>
                      <w:b w:val="0"/>
                      <w:bCs/>
                      <w:color w:val="auto"/>
                      <w:sz w:val="21"/>
                      <w:szCs w:val="21"/>
                      <w:highlight w:val="none"/>
                      <w:vertAlign w:val="baseline"/>
                      <w:lang w:val="en-US" w:eastAsia="zh-CN"/>
                    </w:rPr>
                    <w:t>预处理车间净化装置排气筒出口</w:t>
                  </w:r>
                </w:p>
              </w:tc>
              <w:tc>
                <w:tcPr>
                  <w:tcW w:w="926" w:type="pct"/>
                  <w:vMerge w:val="restart"/>
                  <w:vAlign w:val="center"/>
                </w:tcPr>
                <w:p w14:paraId="29928B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2025.7.2</w:t>
                  </w:r>
                </w:p>
              </w:tc>
              <w:tc>
                <w:tcPr>
                  <w:tcW w:w="814" w:type="pct"/>
                  <w:vAlign w:val="center"/>
                </w:tcPr>
                <w:p w14:paraId="0AF6F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第一次</w:t>
                  </w:r>
                </w:p>
              </w:tc>
              <w:tc>
                <w:tcPr>
                  <w:tcW w:w="863" w:type="pct"/>
                  <w:vAlign w:val="center"/>
                </w:tcPr>
                <w:p w14:paraId="7E184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14231</w:t>
                  </w:r>
                </w:p>
              </w:tc>
              <w:tc>
                <w:tcPr>
                  <w:tcW w:w="834" w:type="pct"/>
                  <w:vAlign w:val="center"/>
                </w:tcPr>
                <w:p w14:paraId="5344A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2.23</w:t>
                  </w:r>
                </w:p>
              </w:tc>
              <w:tc>
                <w:tcPr>
                  <w:tcW w:w="832" w:type="pct"/>
                  <w:vAlign w:val="center"/>
                </w:tcPr>
                <w:p w14:paraId="182ABD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0.032</w:t>
                  </w:r>
                </w:p>
              </w:tc>
            </w:tr>
            <w:tr w14:paraId="442D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52F95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926" w:type="pct"/>
                  <w:vMerge w:val="continue"/>
                  <w:vAlign w:val="center"/>
                </w:tcPr>
                <w:p w14:paraId="0D1C12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814" w:type="pct"/>
                  <w:vAlign w:val="center"/>
                </w:tcPr>
                <w:p w14:paraId="1E6EE8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第二次</w:t>
                  </w:r>
                </w:p>
              </w:tc>
              <w:tc>
                <w:tcPr>
                  <w:tcW w:w="863" w:type="pct"/>
                  <w:vAlign w:val="center"/>
                </w:tcPr>
                <w:p w14:paraId="3368F1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14222</w:t>
                  </w:r>
                </w:p>
              </w:tc>
              <w:tc>
                <w:tcPr>
                  <w:tcW w:w="834" w:type="pct"/>
                  <w:vAlign w:val="center"/>
                </w:tcPr>
                <w:p w14:paraId="65FCA2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2.53</w:t>
                  </w:r>
                </w:p>
              </w:tc>
              <w:tc>
                <w:tcPr>
                  <w:tcW w:w="832" w:type="pct"/>
                  <w:vAlign w:val="center"/>
                </w:tcPr>
                <w:p w14:paraId="228183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0.036</w:t>
                  </w:r>
                </w:p>
              </w:tc>
            </w:tr>
            <w:tr w14:paraId="14DE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2A3469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926" w:type="pct"/>
                  <w:vMerge w:val="continue"/>
                  <w:vAlign w:val="center"/>
                </w:tcPr>
                <w:p w14:paraId="4BB71B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814" w:type="pct"/>
                  <w:vAlign w:val="center"/>
                </w:tcPr>
                <w:p w14:paraId="5A4C90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第三次</w:t>
                  </w:r>
                </w:p>
              </w:tc>
              <w:tc>
                <w:tcPr>
                  <w:tcW w:w="863" w:type="pct"/>
                  <w:vAlign w:val="center"/>
                </w:tcPr>
                <w:p w14:paraId="3E653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14220</w:t>
                  </w:r>
                </w:p>
              </w:tc>
              <w:tc>
                <w:tcPr>
                  <w:tcW w:w="834" w:type="pct"/>
                  <w:vAlign w:val="center"/>
                </w:tcPr>
                <w:p w14:paraId="29014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2.35</w:t>
                  </w:r>
                </w:p>
              </w:tc>
              <w:tc>
                <w:tcPr>
                  <w:tcW w:w="832" w:type="pct"/>
                  <w:vAlign w:val="center"/>
                </w:tcPr>
                <w:p w14:paraId="2824E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0.033</w:t>
                  </w:r>
                </w:p>
              </w:tc>
            </w:tr>
            <w:tr w14:paraId="125B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Merge w:val="continue"/>
                  <w:vAlign w:val="center"/>
                </w:tcPr>
                <w:p w14:paraId="1766BE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926" w:type="pct"/>
                  <w:vMerge w:val="continue"/>
                  <w:vAlign w:val="center"/>
                </w:tcPr>
                <w:p w14:paraId="5AD0C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p>
              </w:tc>
              <w:tc>
                <w:tcPr>
                  <w:tcW w:w="814" w:type="pct"/>
                  <w:vAlign w:val="center"/>
                </w:tcPr>
                <w:p w14:paraId="519E2F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平均值</w:t>
                  </w:r>
                </w:p>
              </w:tc>
              <w:tc>
                <w:tcPr>
                  <w:tcW w:w="863" w:type="pct"/>
                  <w:vAlign w:val="center"/>
                </w:tcPr>
                <w:p w14:paraId="3F20B8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14224</w:t>
                  </w:r>
                </w:p>
              </w:tc>
              <w:tc>
                <w:tcPr>
                  <w:tcW w:w="834" w:type="pct"/>
                  <w:vAlign w:val="center"/>
                </w:tcPr>
                <w:p w14:paraId="720DB2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2.37</w:t>
                  </w:r>
                </w:p>
              </w:tc>
              <w:tc>
                <w:tcPr>
                  <w:tcW w:w="832" w:type="pct"/>
                  <w:vAlign w:val="center"/>
                </w:tcPr>
                <w:p w14:paraId="7B1B8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0.034</w:t>
                  </w:r>
                </w:p>
              </w:tc>
            </w:tr>
            <w:tr w14:paraId="57DD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Align w:val="center"/>
                </w:tcPr>
                <w:p w14:paraId="64CF35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标准限值</w:t>
                  </w:r>
                </w:p>
              </w:tc>
              <w:tc>
                <w:tcPr>
                  <w:tcW w:w="1740" w:type="pct"/>
                  <w:gridSpan w:val="2"/>
                  <w:vAlign w:val="center"/>
                </w:tcPr>
                <w:p w14:paraId="518CA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63" w:type="pct"/>
                  <w:vAlign w:val="center"/>
                </w:tcPr>
                <w:p w14:paraId="778558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34" w:type="pct"/>
                  <w:vAlign w:val="center"/>
                </w:tcPr>
                <w:p w14:paraId="33C22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50</w:t>
                  </w:r>
                </w:p>
              </w:tc>
              <w:tc>
                <w:tcPr>
                  <w:tcW w:w="832" w:type="pct"/>
                  <w:vAlign w:val="center"/>
                </w:tcPr>
                <w:p w14:paraId="576951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1.5</w:t>
                  </w:r>
                </w:p>
              </w:tc>
            </w:tr>
            <w:tr w14:paraId="774F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Align w:val="center"/>
                </w:tcPr>
                <w:p w14:paraId="1A9DA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达标情况</w:t>
                  </w:r>
                </w:p>
              </w:tc>
              <w:tc>
                <w:tcPr>
                  <w:tcW w:w="1740" w:type="pct"/>
                  <w:gridSpan w:val="2"/>
                  <w:vAlign w:val="center"/>
                </w:tcPr>
                <w:p w14:paraId="5C54DD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63" w:type="pct"/>
                  <w:vAlign w:val="center"/>
                </w:tcPr>
                <w:p w14:paraId="24C30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c>
                <w:tcPr>
                  <w:tcW w:w="834" w:type="pct"/>
                  <w:vAlign w:val="center"/>
                </w:tcPr>
                <w:p w14:paraId="17FF1B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达标</w:t>
                  </w:r>
                </w:p>
              </w:tc>
              <w:tc>
                <w:tcPr>
                  <w:tcW w:w="832" w:type="pct"/>
                  <w:vAlign w:val="center"/>
                </w:tcPr>
                <w:p w14:paraId="37B16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w:t>
                  </w:r>
                </w:p>
              </w:tc>
            </w:tr>
            <w:tr w14:paraId="48E8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29" w:type="pct"/>
                  <w:vAlign w:val="center"/>
                </w:tcPr>
                <w:p w14:paraId="606781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监测点位示意图</w:t>
                  </w:r>
                </w:p>
              </w:tc>
              <w:tc>
                <w:tcPr>
                  <w:tcW w:w="4270" w:type="pct"/>
                  <w:gridSpan w:val="5"/>
                  <w:vAlign w:val="center"/>
                </w:tcPr>
                <w:p w14:paraId="6EA985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color w:val="auto"/>
                      <w:sz w:val="21"/>
                      <w:szCs w:val="21"/>
                      <w:highlight w:val="none"/>
                      <w:vertAlign w:val="baseline"/>
                      <w:lang w:val="en-US" w:eastAsia="zh-CN"/>
                    </w:rPr>
                  </w:pPr>
                  <w:r>
                    <w:rPr>
                      <w:rFonts w:hint="default"/>
                      <w:color w:val="auto"/>
                      <w:highlight w:val="none"/>
                    </w:rPr>
                    <w:drawing>
                      <wp:inline distT="0" distB="0" distL="114300" distR="114300">
                        <wp:extent cx="4006850" cy="2250440"/>
                        <wp:effectExtent l="0" t="0" r="12700" b="16510"/>
                        <wp:docPr id="2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
                                <pic:cNvPicPr>
                                  <a:picLocks noChangeAspect="1"/>
                                </pic:cNvPicPr>
                              </pic:nvPicPr>
                              <pic:blipFill>
                                <a:blip r:embed="rId17"/>
                                <a:stretch>
                                  <a:fillRect/>
                                </a:stretch>
                              </pic:blipFill>
                              <pic:spPr>
                                <a:xfrm>
                                  <a:off x="0" y="0"/>
                                  <a:ext cx="4006850" cy="2250440"/>
                                </a:xfrm>
                                <a:prstGeom prst="rect">
                                  <a:avLst/>
                                </a:prstGeom>
                                <a:noFill/>
                                <a:ln>
                                  <a:noFill/>
                                </a:ln>
                              </pic:spPr>
                            </pic:pic>
                          </a:graphicData>
                        </a:graphic>
                      </wp:inline>
                    </w:drawing>
                  </w:r>
                </w:p>
              </w:tc>
            </w:tr>
          </w:tbl>
          <w:p w14:paraId="290548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cs="Times New Roman"/>
                <w:b w:val="0"/>
                <w:bCs/>
                <w:color w:val="auto"/>
                <w:spacing w:val="0"/>
                <w:kern w:val="2"/>
                <w:sz w:val="24"/>
                <w:szCs w:val="24"/>
                <w:highlight w:val="none"/>
                <w:lang w:val="en-US" w:eastAsia="zh-CN" w:bidi="ar-SA"/>
              </w:rPr>
            </w:pPr>
            <w:r>
              <w:rPr>
                <w:rFonts w:hint="eastAsia" w:cs="Times New Roman"/>
                <w:b w:val="0"/>
                <w:bCs/>
                <w:color w:val="auto"/>
                <w:spacing w:val="0"/>
                <w:kern w:val="2"/>
                <w:sz w:val="24"/>
                <w:szCs w:val="24"/>
                <w:highlight w:val="none"/>
                <w:lang w:val="en-US" w:eastAsia="zh-CN" w:bidi="ar-SA"/>
              </w:rPr>
              <w:t>根据《山西瑞赛格废弃资源综合利用有限公司新能源汽车回收拆解项目竣工环境保护验收报告表》中验收监测报告，报告编号：SY202502177，监测时间2025年02月17日，验收监测数据见下表。</w:t>
            </w:r>
          </w:p>
          <w:p w14:paraId="7DE731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cs="Times New Roman"/>
                <w:b/>
                <w:bCs w:val="0"/>
                <w:color w:val="auto"/>
                <w:spacing w:val="0"/>
                <w:kern w:val="2"/>
                <w:sz w:val="21"/>
                <w:szCs w:val="21"/>
                <w:highlight w:val="none"/>
                <w:lang w:val="en-US" w:eastAsia="zh-CN" w:bidi="ar-SA"/>
              </w:rPr>
            </w:pPr>
            <w:r>
              <w:rPr>
                <w:rFonts w:hint="eastAsia" w:cs="Times New Roman"/>
                <w:b/>
                <w:bCs w:val="0"/>
                <w:color w:val="auto"/>
                <w:spacing w:val="0"/>
                <w:kern w:val="2"/>
                <w:sz w:val="21"/>
                <w:szCs w:val="21"/>
                <w:highlight w:val="none"/>
                <w:lang w:val="en-US" w:eastAsia="zh-CN" w:bidi="ar-SA"/>
              </w:rPr>
              <w:t xml:space="preserve">表2-13  </w:t>
            </w:r>
            <w:r>
              <w:rPr>
                <w:rFonts w:hint="eastAsia"/>
                <w:b/>
                <w:color w:val="auto"/>
                <w:sz w:val="21"/>
                <w:szCs w:val="21"/>
                <w:highlight w:val="none"/>
                <w:lang w:val="en-US" w:eastAsia="zh-CN"/>
              </w:rPr>
              <w:t>危废油气处理设施排气筒监测结果表</w:t>
            </w:r>
          </w:p>
          <w:tbl>
            <w:tblPr>
              <w:tblStyle w:val="32"/>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96"/>
              <w:gridCol w:w="727"/>
              <w:gridCol w:w="727"/>
              <w:gridCol w:w="784"/>
              <w:gridCol w:w="1454"/>
              <w:gridCol w:w="1812"/>
              <w:gridCol w:w="1638"/>
            </w:tblGrid>
            <w:tr w14:paraId="48E3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34817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点位名称</w:t>
                  </w:r>
                </w:p>
              </w:tc>
              <w:tc>
                <w:tcPr>
                  <w:tcW w:w="1096" w:type="dxa"/>
                  <w:vAlign w:val="center"/>
                </w:tcPr>
                <w:p w14:paraId="2379B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检测日期</w:t>
                  </w:r>
                </w:p>
              </w:tc>
              <w:tc>
                <w:tcPr>
                  <w:tcW w:w="727" w:type="dxa"/>
                  <w:vAlign w:val="center"/>
                </w:tcPr>
                <w:p w14:paraId="630BBE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检测周期</w:t>
                  </w:r>
                </w:p>
              </w:tc>
              <w:tc>
                <w:tcPr>
                  <w:tcW w:w="727" w:type="dxa"/>
                  <w:vAlign w:val="center"/>
                </w:tcPr>
                <w:p w14:paraId="0180B4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检测位置</w:t>
                  </w:r>
                </w:p>
              </w:tc>
              <w:tc>
                <w:tcPr>
                  <w:tcW w:w="784" w:type="dxa"/>
                  <w:vAlign w:val="center"/>
                </w:tcPr>
                <w:p w14:paraId="2F45C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检测频次</w:t>
                  </w:r>
                </w:p>
              </w:tc>
              <w:tc>
                <w:tcPr>
                  <w:tcW w:w="1454" w:type="dxa"/>
                  <w:vAlign w:val="center"/>
                </w:tcPr>
                <w:p w14:paraId="1A06B9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标干流量（Nm</w:t>
                  </w:r>
                  <w:r>
                    <w:rPr>
                      <w:rFonts w:hint="eastAsia" w:cs="Times New Roman"/>
                      <w:b/>
                      <w:bCs w:val="0"/>
                      <w:color w:val="auto"/>
                      <w:spacing w:val="0"/>
                      <w:kern w:val="2"/>
                      <w:sz w:val="21"/>
                      <w:szCs w:val="21"/>
                      <w:highlight w:val="none"/>
                      <w:vertAlign w:val="superscript"/>
                      <w:lang w:val="en-US" w:eastAsia="zh-CN" w:bidi="ar-SA"/>
                    </w:rPr>
                    <w:t>3</w:t>
                  </w:r>
                  <w:r>
                    <w:rPr>
                      <w:rFonts w:hint="eastAsia" w:cs="Times New Roman"/>
                      <w:b/>
                      <w:bCs w:val="0"/>
                      <w:color w:val="auto"/>
                      <w:spacing w:val="0"/>
                      <w:kern w:val="2"/>
                      <w:sz w:val="21"/>
                      <w:szCs w:val="21"/>
                      <w:highlight w:val="none"/>
                      <w:vertAlign w:val="baseline"/>
                      <w:lang w:val="en-US" w:eastAsia="zh-CN" w:bidi="ar-SA"/>
                    </w:rPr>
                    <w:t>/h）</w:t>
                  </w:r>
                </w:p>
              </w:tc>
              <w:tc>
                <w:tcPr>
                  <w:tcW w:w="1812" w:type="dxa"/>
                  <w:vAlign w:val="center"/>
                </w:tcPr>
                <w:p w14:paraId="29B2F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非甲烷总烃排放浓度（mg/m</w:t>
                  </w:r>
                  <w:r>
                    <w:rPr>
                      <w:rFonts w:hint="eastAsia" w:cs="Times New Roman"/>
                      <w:b/>
                      <w:bCs w:val="0"/>
                      <w:color w:val="auto"/>
                      <w:spacing w:val="0"/>
                      <w:kern w:val="2"/>
                      <w:sz w:val="21"/>
                      <w:szCs w:val="21"/>
                      <w:highlight w:val="none"/>
                      <w:vertAlign w:val="superscript"/>
                      <w:lang w:val="en-US" w:eastAsia="zh-CN" w:bidi="ar-SA"/>
                    </w:rPr>
                    <w:t>3</w:t>
                  </w:r>
                  <w:r>
                    <w:rPr>
                      <w:rFonts w:hint="eastAsia" w:cs="Times New Roman"/>
                      <w:b/>
                      <w:bCs w:val="0"/>
                      <w:color w:val="auto"/>
                      <w:spacing w:val="0"/>
                      <w:kern w:val="2"/>
                      <w:sz w:val="21"/>
                      <w:szCs w:val="21"/>
                      <w:highlight w:val="none"/>
                      <w:vertAlign w:val="baseline"/>
                      <w:lang w:val="en-US" w:eastAsia="zh-CN" w:bidi="ar-SA"/>
                    </w:rPr>
                    <w:t>）</w:t>
                  </w:r>
                </w:p>
              </w:tc>
              <w:tc>
                <w:tcPr>
                  <w:tcW w:w="1638" w:type="dxa"/>
                  <w:vAlign w:val="center"/>
                </w:tcPr>
                <w:p w14:paraId="2B05B5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非甲烷总烃排放速率（kg/h）</w:t>
                  </w:r>
                </w:p>
              </w:tc>
            </w:tr>
            <w:tr w14:paraId="142E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restart"/>
                  <w:vAlign w:val="center"/>
                </w:tcPr>
                <w:p w14:paraId="62649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lang w:val="en-US" w:eastAsia="zh-CN"/>
                    </w:rPr>
                    <w:t>危废油气处理设施</w:t>
                  </w:r>
                </w:p>
              </w:tc>
              <w:tc>
                <w:tcPr>
                  <w:tcW w:w="1096" w:type="dxa"/>
                  <w:vMerge w:val="restart"/>
                  <w:vAlign w:val="center"/>
                </w:tcPr>
                <w:p w14:paraId="5105CC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2025.2.11</w:t>
                  </w:r>
                </w:p>
              </w:tc>
              <w:tc>
                <w:tcPr>
                  <w:tcW w:w="727" w:type="dxa"/>
                  <w:vMerge w:val="restart"/>
                  <w:vAlign w:val="center"/>
                </w:tcPr>
                <w:p w14:paraId="7504BC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ascii="宋体" w:hAnsi="宋体" w:eastAsia="宋体" w:cs="宋体"/>
                      <w:b w:val="0"/>
                      <w:bCs/>
                      <w:color w:val="auto"/>
                      <w:spacing w:val="0"/>
                      <w:kern w:val="2"/>
                      <w:sz w:val="21"/>
                      <w:szCs w:val="21"/>
                      <w:highlight w:val="none"/>
                      <w:vertAlign w:val="baseline"/>
                      <w:lang w:val="en-US" w:eastAsia="zh-CN" w:bidi="ar-SA"/>
                    </w:rPr>
                    <w:t>Ⅰ</w:t>
                  </w:r>
                </w:p>
              </w:tc>
              <w:tc>
                <w:tcPr>
                  <w:tcW w:w="727" w:type="dxa"/>
                  <w:vMerge w:val="restart"/>
                  <w:vAlign w:val="center"/>
                </w:tcPr>
                <w:p w14:paraId="1A514F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进口</w:t>
                  </w:r>
                </w:p>
              </w:tc>
              <w:tc>
                <w:tcPr>
                  <w:tcW w:w="784" w:type="dxa"/>
                  <w:vAlign w:val="center"/>
                </w:tcPr>
                <w:p w14:paraId="1ACEEB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w:t>
                  </w:r>
                </w:p>
              </w:tc>
              <w:tc>
                <w:tcPr>
                  <w:tcW w:w="1454" w:type="dxa"/>
                  <w:vAlign w:val="center"/>
                </w:tcPr>
                <w:p w14:paraId="02603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4.01×10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04C3CF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104</w:t>
                  </w:r>
                </w:p>
              </w:tc>
              <w:tc>
                <w:tcPr>
                  <w:tcW w:w="1638" w:type="dxa"/>
                  <w:vAlign w:val="center"/>
                </w:tcPr>
                <w:p w14:paraId="49B098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0.417</w:t>
                  </w:r>
                </w:p>
              </w:tc>
            </w:tr>
            <w:tr w14:paraId="72B9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60571C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19E47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28C7BC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009FB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5011F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w:t>
                  </w:r>
                </w:p>
              </w:tc>
              <w:tc>
                <w:tcPr>
                  <w:tcW w:w="1454" w:type="dxa"/>
                  <w:vAlign w:val="center"/>
                </w:tcPr>
                <w:p w14:paraId="3860E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3.91×10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072D6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101</w:t>
                  </w:r>
                </w:p>
              </w:tc>
              <w:tc>
                <w:tcPr>
                  <w:tcW w:w="1638" w:type="dxa"/>
                  <w:vAlign w:val="center"/>
                </w:tcPr>
                <w:p w14:paraId="461D8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0.395</w:t>
                  </w:r>
                </w:p>
              </w:tc>
            </w:tr>
            <w:tr w14:paraId="627B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211CF8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44095F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6224C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6B0E96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3283C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w:t>
                  </w:r>
                </w:p>
              </w:tc>
              <w:tc>
                <w:tcPr>
                  <w:tcW w:w="1454" w:type="dxa"/>
                  <w:vAlign w:val="center"/>
                </w:tcPr>
                <w:p w14:paraId="280C08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4.09×10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28C50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119</w:t>
                  </w:r>
                </w:p>
              </w:tc>
              <w:tc>
                <w:tcPr>
                  <w:tcW w:w="1638" w:type="dxa"/>
                  <w:vAlign w:val="center"/>
                </w:tcPr>
                <w:p w14:paraId="693015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0.487</w:t>
                  </w:r>
                </w:p>
              </w:tc>
            </w:tr>
            <w:tr w14:paraId="1EDA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06780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51D132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3485C2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193772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6BCE4C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均值</w:t>
                  </w:r>
                </w:p>
              </w:tc>
              <w:tc>
                <w:tcPr>
                  <w:tcW w:w="1454" w:type="dxa"/>
                  <w:vAlign w:val="center"/>
                </w:tcPr>
                <w:p w14:paraId="1B06C3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4.00×10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10475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108</w:t>
                  </w:r>
                </w:p>
              </w:tc>
              <w:tc>
                <w:tcPr>
                  <w:tcW w:w="1638" w:type="dxa"/>
                  <w:vAlign w:val="center"/>
                </w:tcPr>
                <w:p w14:paraId="73F7F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0.432</w:t>
                  </w:r>
                </w:p>
              </w:tc>
            </w:tr>
            <w:tr w14:paraId="2E9E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04295E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64792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7A630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restart"/>
                  <w:vAlign w:val="center"/>
                </w:tcPr>
                <w:p w14:paraId="26BB5A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出口</w:t>
                  </w:r>
                </w:p>
              </w:tc>
              <w:tc>
                <w:tcPr>
                  <w:tcW w:w="784" w:type="dxa"/>
                  <w:vAlign w:val="center"/>
                </w:tcPr>
                <w:p w14:paraId="0964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w:t>
                  </w:r>
                </w:p>
              </w:tc>
              <w:tc>
                <w:tcPr>
                  <w:tcW w:w="1454" w:type="dxa"/>
                  <w:vAlign w:val="center"/>
                </w:tcPr>
                <w:p w14:paraId="6FB48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4.75×10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51C5E4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15.1</w:t>
                  </w:r>
                </w:p>
              </w:tc>
              <w:tc>
                <w:tcPr>
                  <w:tcW w:w="1638" w:type="dxa"/>
                  <w:vAlign w:val="center"/>
                </w:tcPr>
                <w:p w14:paraId="4B2A6F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0.0717</w:t>
                  </w:r>
                </w:p>
              </w:tc>
            </w:tr>
            <w:tr w14:paraId="6788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00227B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22DCC8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5472F4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73C198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7702B8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w:t>
                  </w:r>
                </w:p>
              </w:tc>
              <w:tc>
                <w:tcPr>
                  <w:tcW w:w="1454" w:type="dxa"/>
                  <w:vAlign w:val="center"/>
                </w:tcPr>
                <w:p w14:paraId="329D5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4.90×10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3A96D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14.3</w:t>
                  </w:r>
                </w:p>
              </w:tc>
              <w:tc>
                <w:tcPr>
                  <w:tcW w:w="1638" w:type="dxa"/>
                  <w:vAlign w:val="center"/>
                </w:tcPr>
                <w:p w14:paraId="454C51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0.0701</w:t>
                  </w:r>
                </w:p>
              </w:tc>
            </w:tr>
            <w:tr w14:paraId="7470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6BF631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02EC20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0E98FC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34CFA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4BC894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w:t>
                  </w:r>
                </w:p>
              </w:tc>
              <w:tc>
                <w:tcPr>
                  <w:tcW w:w="1454" w:type="dxa"/>
                  <w:vAlign w:val="center"/>
                </w:tcPr>
                <w:p w14:paraId="52397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4.81×10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1D5C5D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11.8</w:t>
                  </w:r>
                </w:p>
              </w:tc>
              <w:tc>
                <w:tcPr>
                  <w:tcW w:w="1638" w:type="dxa"/>
                  <w:vAlign w:val="center"/>
                </w:tcPr>
                <w:p w14:paraId="15D2A4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0.0568</w:t>
                  </w:r>
                </w:p>
              </w:tc>
            </w:tr>
            <w:tr w14:paraId="04ED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1FA62C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4BC03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6681B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3ECE56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53E10F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均值</w:t>
                  </w:r>
                </w:p>
              </w:tc>
              <w:tc>
                <w:tcPr>
                  <w:tcW w:w="1454" w:type="dxa"/>
                  <w:vAlign w:val="center"/>
                </w:tcPr>
                <w:p w14:paraId="70077F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4.82×10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32A361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13.7</w:t>
                  </w:r>
                </w:p>
              </w:tc>
              <w:tc>
                <w:tcPr>
                  <w:tcW w:w="1638" w:type="dxa"/>
                  <w:vAlign w:val="center"/>
                </w:tcPr>
                <w:p w14:paraId="2A3BF5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0.0662</w:t>
                  </w:r>
                </w:p>
              </w:tc>
            </w:tr>
            <w:tr w14:paraId="46F8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45AEF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Align w:val="center"/>
                </w:tcPr>
                <w:p w14:paraId="145972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vertAlign w:val="baseline"/>
                      <w:lang w:val="en-US" w:eastAsia="zh-CN"/>
                    </w:rPr>
                    <w:t>标准限值</w:t>
                  </w:r>
                </w:p>
              </w:tc>
              <w:tc>
                <w:tcPr>
                  <w:tcW w:w="727" w:type="dxa"/>
                  <w:vAlign w:val="center"/>
                </w:tcPr>
                <w:p w14:paraId="0998D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27" w:type="dxa"/>
                  <w:vAlign w:val="center"/>
                </w:tcPr>
                <w:p w14:paraId="10554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84" w:type="dxa"/>
                  <w:vAlign w:val="center"/>
                </w:tcPr>
                <w:p w14:paraId="35B0A1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454" w:type="dxa"/>
                  <w:vAlign w:val="center"/>
                </w:tcPr>
                <w:p w14:paraId="22B15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812" w:type="dxa"/>
                  <w:vAlign w:val="center"/>
                </w:tcPr>
                <w:p w14:paraId="6076D2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30</w:t>
                  </w:r>
                </w:p>
              </w:tc>
              <w:tc>
                <w:tcPr>
                  <w:tcW w:w="1638" w:type="dxa"/>
                  <w:vAlign w:val="center"/>
                </w:tcPr>
                <w:p w14:paraId="5EC66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w:t>
                  </w:r>
                </w:p>
              </w:tc>
            </w:tr>
            <w:tr w14:paraId="4A20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51E11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Align w:val="center"/>
                </w:tcPr>
                <w:p w14:paraId="7D1108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vertAlign w:val="baseline"/>
                      <w:lang w:val="en-US" w:eastAsia="zh-CN"/>
                    </w:rPr>
                    <w:t>达标情况</w:t>
                  </w:r>
                </w:p>
              </w:tc>
              <w:tc>
                <w:tcPr>
                  <w:tcW w:w="727" w:type="dxa"/>
                  <w:vAlign w:val="center"/>
                </w:tcPr>
                <w:p w14:paraId="27F4A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27" w:type="dxa"/>
                  <w:vAlign w:val="center"/>
                </w:tcPr>
                <w:p w14:paraId="3523A2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84" w:type="dxa"/>
                  <w:vAlign w:val="center"/>
                </w:tcPr>
                <w:p w14:paraId="157FD0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454" w:type="dxa"/>
                  <w:vAlign w:val="center"/>
                </w:tcPr>
                <w:p w14:paraId="58A535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812" w:type="dxa"/>
                  <w:vAlign w:val="center"/>
                </w:tcPr>
                <w:p w14:paraId="16BF9A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达标</w:t>
                  </w:r>
                </w:p>
              </w:tc>
              <w:tc>
                <w:tcPr>
                  <w:tcW w:w="1638" w:type="dxa"/>
                  <w:vAlign w:val="center"/>
                </w:tcPr>
                <w:p w14:paraId="18F0A8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达标</w:t>
                  </w:r>
                </w:p>
              </w:tc>
            </w:tr>
            <w:tr w14:paraId="7635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4974A9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restart"/>
                  <w:vAlign w:val="center"/>
                </w:tcPr>
                <w:p w14:paraId="79B409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2025.2.12</w:t>
                  </w:r>
                </w:p>
              </w:tc>
              <w:tc>
                <w:tcPr>
                  <w:tcW w:w="727" w:type="dxa"/>
                  <w:vMerge w:val="restart"/>
                  <w:vAlign w:val="center"/>
                </w:tcPr>
                <w:p w14:paraId="41082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Ⅱ</w:t>
                  </w:r>
                </w:p>
              </w:tc>
              <w:tc>
                <w:tcPr>
                  <w:tcW w:w="727" w:type="dxa"/>
                  <w:vMerge w:val="restart"/>
                  <w:vAlign w:val="center"/>
                </w:tcPr>
                <w:p w14:paraId="41830E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进口</w:t>
                  </w:r>
                </w:p>
              </w:tc>
              <w:tc>
                <w:tcPr>
                  <w:tcW w:w="784" w:type="dxa"/>
                  <w:vAlign w:val="center"/>
                </w:tcPr>
                <w:p w14:paraId="56A8D5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w:t>
                  </w:r>
                </w:p>
              </w:tc>
              <w:tc>
                <w:tcPr>
                  <w:tcW w:w="1454" w:type="dxa"/>
                  <w:vAlign w:val="center"/>
                </w:tcPr>
                <w:p w14:paraId="527C4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4.14×10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7A970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116</w:t>
                  </w:r>
                </w:p>
              </w:tc>
              <w:tc>
                <w:tcPr>
                  <w:tcW w:w="1638" w:type="dxa"/>
                  <w:vAlign w:val="center"/>
                </w:tcPr>
                <w:p w14:paraId="51F1B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0.480</w:t>
                  </w:r>
                </w:p>
              </w:tc>
            </w:tr>
            <w:tr w14:paraId="3232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789B2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0F145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155133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78AD1B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55630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w:t>
                  </w:r>
                </w:p>
              </w:tc>
              <w:tc>
                <w:tcPr>
                  <w:tcW w:w="1454" w:type="dxa"/>
                  <w:vAlign w:val="center"/>
                </w:tcPr>
                <w:p w14:paraId="5D4B3F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4.00×10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24623F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111</w:t>
                  </w:r>
                </w:p>
              </w:tc>
              <w:tc>
                <w:tcPr>
                  <w:tcW w:w="1638" w:type="dxa"/>
                  <w:vAlign w:val="center"/>
                </w:tcPr>
                <w:p w14:paraId="5CC47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0.444</w:t>
                  </w:r>
                </w:p>
              </w:tc>
            </w:tr>
            <w:tr w14:paraId="3121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5DE8CA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5B78BA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27CEC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250A4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3218F6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w:t>
                  </w:r>
                </w:p>
              </w:tc>
              <w:tc>
                <w:tcPr>
                  <w:tcW w:w="1454" w:type="dxa"/>
                  <w:vAlign w:val="center"/>
                </w:tcPr>
                <w:p w14:paraId="0FEC38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4.02×10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76345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119</w:t>
                  </w:r>
                </w:p>
              </w:tc>
              <w:tc>
                <w:tcPr>
                  <w:tcW w:w="1638" w:type="dxa"/>
                  <w:vAlign w:val="center"/>
                </w:tcPr>
                <w:p w14:paraId="05FA10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0.478</w:t>
                  </w:r>
                </w:p>
              </w:tc>
            </w:tr>
            <w:tr w14:paraId="4E01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28E1A3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4B147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474739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76F47B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66522B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均值</w:t>
                  </w:r>
                </w:p>
              </w:tc>
              <w:tc>
                <w:tcPr>
                  <w:tcW w:w="1454" w:type="dxa"/>
                  <w:vAlign w:val="center"/>
                </w:tcPr>
                <w:p w14:paraId="4A4C2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4.05×10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577D74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115</w:t>
                  </w:r>
                </w:p>
              </w:tc>
              <w:tc>
                <w:tcPr>
                  <w:tcW w:w="1638" w:type="dxa"/>
                  <w:vAlign w:val="center"/>
                </w:tcPr>
                <w:p w14:paraId="44E903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0.467</w:t>
                  </w:r>
                </w:p>
              </w:tc>
            </w:tr>
            <w:tr w14:paraId="521F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68F82B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447D1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2E886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restart"/>
                  <w:vAlign w:val="center"/>
                </w:tcPr>
                <w:p w14:paraId="0D9AA0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出口</w:t>
                  </w:r>
                </w:p>
              </w:tc>
              <w:tc>
                <w:tcPr>
                  <w:tcW w:w="784" w:type="dxa"/>
                  <w:vAlign w:val="center"/>
                </w:tcPr>
                <w:p w14:paraId="23279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w:t>
                  </w:r>
                </w:p>
              </w:tc>
              <w:tc>
                <w:tcPr>
                  <w:tcW w:w="1454" w:type="dxa"/>
                  <w:vAlign w:val="center"/>
                </w:tcPr>
                <w:p w14:paraId="7613E6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4.08×10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7635AF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18.0</w:t>
                  </w:r>
                </w:p>
              </w:tc>
              <w:tc>
                <w:tcPr>
                  <w:tcW w:w="1638" w:type="dxa"/>
                  <w:vAlign w:val="center"/>
                </w:tcPr>
                <w:p w14:paraId="3BB0DD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0.0864</w:t>
                  </w:r>
                </w:p>
              </w:tc>
            </w:tr>
            <w:tr w14:paraId="0F9B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2945C9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7216D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75449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755CE9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193225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w:t>
                  </w:r>
                </w:p>
              </w:tc>
              <w:tc>
                <w:tcPr>
                  <w:tcW w:w="1454" w:type="dxa"/>
                  <w:vAlign w:val="center"/>
                </w:tcPr>
                <w:p w14:paraId="6826DA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4.98×10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188C0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14.8</w:t>
                  </w:r>
                </w:p>
              </w:tc>
              <w:tc>
                <w:tcPr>
                  <w:tcW w:w="1638" w:type="dxa"/>
                  <w:vAlign w:val="center"/>
                </w:tcPr>
                <w:p w14:paraId="490D7D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0.0737</w:t>
                  </w:r>
                </w:p>
              </w:tc>
            </w:tr>
            <w:tr w14:paraId="7547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3DEC0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1EF3A8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10209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59F1B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74356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w:t>
                  </w:r>
                </w:p>
              </w:tc>
              <w:tc>
                <w:tcPr>
                  <w:tcW w:w="1454" w:type="dxa"/>
                  <w:vAlign w:val="center"/>
                </w:tcPr>
                <w:p w14:paraId="5B603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4.79×10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2346D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14.7</w:t>
                  </w:r>
                </w:p>
              </w:tc>
              <w:tc>
                <w:tcPr>
                  <w:tcW w:w="1638" w:type="dxa"/>
                  <w:vAlign w:val="center"/>
                </w:tcPr>
                <w:p w14:paraId="5091EA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0.0704</w:t>
                  </w:r>
                </w:p>
              </w:tc>
            </w:tr>
            <w:tr w14:paraId="2D6D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3A519A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Merge w:val="continue"/>
                  <w:vAlign w:val="center"/>
                </w:tcPr>
                <w:p w14:paraId="6CD9FC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25AE1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27" w:type="dxa"/>
                  <w:vMerge w:val="continue"/>
                  <w:vAlign w:val="center"/>
                </w:tcPr>
                <w:p w14:paraId="58BFC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784" w:type="dxa"/>
                  <w:vAlign w:val="center"/>
                </w:tcPr>
                <w:p w14:paraId="25C49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均值</w:t>
                  </w:r>
                </w:p>
              </w:tc>
              <w:tc>
                <w:tcPr>
                  <w:tcW w:w="1454" w:type="dxa"/>
                  <w:vAlign w:val="center"/>
                </w:tcPr>
                <w:p w14:paraId="4FF61E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4.86×10</w:t>
                  </w:r>
                  <w:r>
                    <w:rPr>
                      <w:rFonts w:hint="eastAsia" w:cs="Times New Roman"/>
                      <w:b w:val="0"/>
                      <w:bCs/>
                      <w:color w:val="auto"/>
                      <w:spacing w:val="0"/>
                      <w:kern w:val="2"/>
                      <w:sz w:val="21"/>
                      <w:szCs w:val="21"/>
                      <w:highlight w:val="none"/>
                      <w:vertAlign w:val="superscript"/>
                      <w:lang w:val="en-US" w:eastAsia="zh-CN" w:bidi="ar-SA"/>
                    </w:rPr>
                    <w:t>3</w:t>
                  </w:r>
                </w:p>
              </w:tc>
              <w:tc>
                <w:tcPr>
                  <w:tcW w:w="1812" w:type="dxa"/>
                  <w:vAlign w:val="center"/>
                </w:tcPr>
                <w:p w14:paraId="0046C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15.8</w:t>
                  </w:r>
                </w:p>
              </w:tc>
              <w:tc>
                <w:tcPr>
                  <w:tcW w:w="1638" w:type="dxa"/>
                  <w:vAlign w:val="center"/>
                </w:tcPr>
                <w:p w14:paraId="529D7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0.0769</w:t>
                  </w:r>
                </w:p>
              </w:tc>
            </w:tr>
            <w:tr w14:paraId="3559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7C2D3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Align w:val="center"/>
                </w:tcPr>
                <w:p w14:paraId="633E2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vertAlign w:val="baseline"/>
                      <w:lang w:val="en-US" w:eastAsia="zh-CN"/>
                    </w:rPr>
                    <w:t>标准限值</w:t>
                  </w:r>
                </w:p>
              </w:tc>
              <w:tc>
                <w:tcPr>
                  <w:tcW w:w="727" w:type="dxa"/>
                  <w:vAlign w:val="center"/>
                </w:tcPr>
                <w:p w14:paraId="025A6B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27" w:type="dxa"/>
                  <w:vAlign w:val="center"/>
                </w:tcPr>
                <w:p w14:paraId="32605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84" w:type="dxa"/>
                  <w:vAlign w:val="center"/>
                </w:tcPr>
                <w:p w14:paraId="383090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454" w:type="dxa"/>
                  <w:vAlign w:val="center"/>
                </w:tcPr>
                <w:p w14:paraId="1CEDC1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812" w:type="dxa"/>
                  <w:vAlign w:val="center"/>
                </w:tcPr>
                <w:p w14:paraId="27510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30</w:t>
                  </w:r>
                </w:p>
              </w:tc>
              <w:tc>
                <w:tcPr>
                  <w:tcW w:w="1638" w:type="dxa"/>
                  <w:vAlign w:val="center"/>
                </w:tcPr>
                <w:p w14:paraId="6A0983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1.1</w:t>
                  </w:r>
                </w:p>
              </w:tc>
            </w:tr>
            <w:tr w14:paraId="7EB2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Merge w:val="continue"/>
                  <w:vAlign w:val="center"/>
                </w:tcPr>
                <w:p w14:paraId="5602CB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p>
              </w:tc>
              <w:tc>
                <w:tcPr>
                  <w:tcW w:w="1096" w:type="dxa"/>
                  <w:vAlign w:val="center"/>
                </w:tcPr>
                <w:p w14:paraId="21C9C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vertAlign w:val="baseline"/>
                      <w:lang w:val="en-US" w:eastAsia="zh-CN"/>
                    </w:rPr>
                    <w:t>达标情况</w:t>
                  </w:r>
                </w:p>
              </w:tc>
              <w:tc>
                <w:tcPr>
                  <w:tcW w:w="727" w:type="dxa"/>
                  <w:vAlign w:val="center"/>
                </w:tcPr>
                <w:p w14:paraId="6701D8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27" w:type="dxa"/>
                  <w:vAlign w:val="center"/>
                </w:tcPr>
                <w:p w14:paraId="267583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784" w:type="dxa"/>
                  <w:vAlign w:val="center"/>
                </w:tcPr>
                <w:p w14:paraId="658657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454" w:type="dxa"/>
                  <w:vAlign w:val="center"/>
                </w:tcPr>
                <w:p w14:paraId="1B7B4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w:t>
                  </w:r>
                </w:p>
              </w:tc>
              <w:tc>
                <w:tcPr>
                  <w:tcW w:w="1812" w:type="dxa"/>
                  <w:vAlign w:val="center"/>
                </w:tcPr>
                <w:p w14:paraId="287F02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达标</w:t>
                  </w:r>
                </w:p>
              </w:tc>
              <w:tc>
                <w:tcPr>
                  <w:tcW w:w="1638" w:type="dxa"/>
                  <w:vAlign w:val="center"/>
                </w:tcPr>
                <w:p w14:paraId="59DAB6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达标</w:t>
                  </w:r>
                </w:p>
              </w:tc>
            </w:tr>
            <w:tr w14:paraId="2AC5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vAlign w:val="center"/>
                </w:tcPr>
                <w:p w14:paraId="66AB6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监测点位图</w:t>
                  </w:r>
                </w:p>
              </w:tc>
              <w:tc>
                <w:tcPr>
                  <w:tcW w:w="8238" w:type="dxa"/>
                  <w:gridSpan w:val="7"/>
                  <w:vAlign w:val="center"/>
                </w:tcPr>
                <w:p w14:paraId="7DF7D8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default"/>
                      <w:color w:val="auto"/>
                      <w:highlight w:val="none"/>
                    </w:rPr>
                    <w:drawing>
                      <wp:inline distT="0" distB="0" distL="114300" distR="114300">
                        <wp:extent cx="4548505" cy="2489200"/>
                        <wp:effectExtent l="0" t="0" r="4445" b="6350"/>
                        <wp:docPr id="2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3"/>
                                <pic:cNvPicPr>
                                  <a:picLocks noChangeAspect="1"/>
                                </pic:cNvPicPr>
                              </pic:nvPicPr>
                              <pic:blipFill>
                                <a:blip r:embed="rId18"/>
                                <a:stretch>
                                  <a:fillRect/>
                                </a:stretch>
                              </pic:blipFill>
                              <pic:spPr>
                                <a:xfrm>
                                  <a:off x="0" y="0"/>
                                  <a:ext cx="4548505" cy="2489200"/>
                                </a:xfrm>
                                <a:prstGeom prst="rect">
                                  <a:avLst/>
                                </a:prstGeom>
                                <a:noFill/>
                                <a:ln>
                                  <a:noFill/>
                                </a:ln>
                              </pic:spPr>
                            </pic:pic>
                          </a:graphicData>
                        </a:graphic>
                      </wp:inline>
                    </w:drawing>
                  </w:r>
                </w:p>
              </w:tc>
            </w:tr>
          </w:tbl>
          <w:p w14:paraId="16010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cs="Times New Roman"/>
                <w:b/>
                <w:bCs w:val="0"/>
                <w:color w:val="auto"/>
                <w:spacing w:val="0"/>
                <w:kern w:val="2"/>
                <w:sz w:val="21"/>
                <w:szCs w:val="21"/>
                <w:highlight w:val="none"/>
                <w:lang w:val="en-US" w:eastAsia="zh-CN" w:bidi="ar-SA"/>
              </w:rPr>
            </w:pPr>
            <w:r>
              <w:rPr>
                <w:rFonts w:hint="eastAsia" w:cs="Times New Roman"/>
                <w:b/>
                <w:bCs w:val="0"/>
                <w:color w:val="auto"/>
                <w:spacing w:val="0"/>
                <w:kern w:val="2"/>
                <w:sz w:val="21"/>
                <w:szCs w:val="21"/>
                <w:highlight w:val="none"/>
                <w:lang w:val="en-US" w:eastAsia="zh-CN" w:bidi="ar-SA"/>
              </w:rPr>
              <w:t xml:space="preserve">表2-14  </w:t>
            </w:r>
            <w:r>
              <w:rPr>
                <w:rFonts w:hint="eastAsia"/>
                <w:b/>
                <w:color w:val="auto"/>
                <w:sz w:val="21"/>
                <w:szCs w:val="21"/>
                <w:highlight w:val="none"/>
                <w:lang w:val="en-US" w:eastAsia="zh-CN"/>
              </w:rPr>
              <w:t>现有工程排放总量统计</w:t>
            </w:r>
            <w:r>
              <w:rPr>
                <w:rFonts w:hint="default"/>
                <w:b/>
                <w:color w:val="auto"/>
                <w:sz w:val="21"/>
                <w:szCs w:val="21"/>
                <w:highlight w:val="none"/>
              </w:rPr>
              <w:t>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873"/>
              <w:gridCol w:w="1268"/>
              <w:gridCol w:w="1130"/>
              <w:gridCol w:w="1279"/>
              <w:gridCol w:w="1270"/>
              <w:gridCol w:w="933"/>
              <w:gridCol w:w="914"/>
            </w:tblGrid>
            <w:tr w14:paraId="0E84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64" w:type="pct"/>
                  <w:vAlign w:val="center"/>
                </w:tcPr>
                <w:p w14:paraId="2561E972">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项目</w:t>
                  </w:r>
                </w:p>
              </w:tc>
              <w:tc>
                <w:tcPr>
                  <w:tcW w:w="482" w:type="pct"/>
                  <w:vAlign w:val="center"/>
                </w:tcPr>
                <w:p w14:paraId="4260EF28">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污染物</w:t>
                  </w:r>
                </w:p>
              </w:tc>
              <w:tc>
                <w:tcPr>
                  <w:tcW w:w="700" w:type="pct"/>
                  <w:vAlign w:val="center"/>
                </w:tcPr>
                <w:p w14:paraId="19FF0BCA">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环保设施</w:t>
                  </w:r>
                </w:p>
              </w:tc>
              <w:tc>
                <w:tcPr>
                  <w:tcW w:w="624" w:type="pct"/>
                  <w:vAlign w:val="center"/>
                </w:tcPr>
                <w:p w14:paraId="657F2EC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年工作时间（h/a）</w:t>
                  </w:r>
                </w:p>
              </w:tc>
              <w:tc>
                <w:tcPr>
                  <w:tcW w:w="706" w:type="pct"/>
                  <w:vAlign w:val="center"/>
                </w:tcPr>
                <w:p w14:paraId="14DCD73F">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实际排放速率（kg/h）</w:t>
                  </w:r>
                </w:p>
              </w:tc>
              <w:tc>
                <w:tcPr>
                  <w:tcW w:w="701" w:type="pct"/>
                  <w:vAlign w:val="center"/>
                </w:tcPr>
                <w:p w14:paraId="5CF84810">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实际年排放总量（t/a）</w:t>
                  </w:r>
                </w:p>
              </w:tc>
              <w:tc>
                <w:tcPr>
                  <w:tcW w:w="515" w:type="pct"/>
                  <w:vAlign w:val="center"/>
                </w:tcPr>
                <w:p w14:paraId="11FFFFE7">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总量指标（t/a）</w:t>
                  </w:r>
                </w:p>
              </w:tc>
              <w:tc>
                <w:tcPr>
                  <w:tcW w:w="504" w:type="pct"/>
                  <w:vAlign w:val="center"/>
                </w:tcPr>
                <w:p w14:paraId="583B405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eastAsia" w:cs="Times New Roman"/>
                      <w:b/>
                      <w:bCs w:val="0"/>
                      <w:color w:val="auto"/>
                      <w:spacing w:val="0"/>
                      <w:kern w:val="2"/>
                      <w:sz w:val="21"/>
                      <w:szCs w:val="21"/>
                      <w:highlight w:val="none"/>
                      <w:vertAlign w:val="baseline"/>
                      <w:lang w:val="en-US" w:eastAsia="zh-CN" w:bidi="ar-SA"/>
                    </w:rPr>
                    <w:t>是否满足要求</w:t>
                  </w:r>
                </w:p>
              </w:tc>
            </w:tr>
            <w:tr w14:paraId="133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64" w:type="pct"/>
                  <w:vAlign w:val="center"/>
                </w:tcPr>
                <w:p w14:paraId="762D5CCF">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lang w:val="en-US" w:eastAsia="zh-CN"/>
                    </w:rPr>
                    <w:t>龙门剪切车间除尘出口</w:t>
                  </w:r>
                </w:p>
              </w:tc>
              <w:tc>
                <w:tcPr>
                  <w:tcW w:w="482" w:type="pct"/>
                  <w:vAlign w:val="center"/>
                </w:tcPr>
                <w:p w14:paraId="100FD92E">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颗粒物</w:t>
                  </w:r>
                </w:p>
              </w:tc>
              <w:tc>
                <w:tcPr>
                  <w:tcW w:w="700" w:type="pct"/>
                  <w:vAlign w:val="center"/>
                </w:tcPr>
                <w:p w14:paraId="4B86C51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布袋除尘器</w:t>
                  </w:r>
                </w:p>
              </w:tc>
              <w:tc>
                <w:tcPr>
                  <w:tcW w:w="624" w:type="pct"/>
                  <w:vAlign w:val="center"/>
                </w:tcPr>
                <w:p w14:paraId="5C15C1FA">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2400</w:t>
                  </w:r>
                </w:p>
              </w:tc>
              <w:tc>
                <w:tcPr>
                  <w:tcW w:w="706" w:type="pct"/>
                  <w:vAlign w:val="center"/>
                </w:tcPr>
                <w:p w14:paraId="24F2656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vertAlign w:val="baseline"/>
                      <w:lang w:val="en-US" w:eastAsia="zh-CN"/>
                    </w:rPr>
                    <w:t>0.011</w:t>
                  </w:r>
                </w:p>
              </w:tc>
              <w:tc>
                <w:tcPr>
                  <w:tcW w:w="701" w:type="pct"/>
                  <w:vAlign w:val="center"/>
                </w:tcPr>
                <w:p w14:paraId="40BBA92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0.026</w:t>
                  </w:r>
                </w:p>
              </w:tc>
              <w:tc>
                <w:tcPr>
                  <w:tcW w:w="515" w:type="pct"/>
                  <w:vAlign w:val="center"/>
                </w:tcPr>
                <w:p w14:paraId="55780AB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2.58</w:t>
                  </w:r>
                </w:p>
              </w:tc>
              <w:tc>
                <w:tcPr>
                  <w:tcW w:w="504" w:type="pct"/>
                  <w:vAlign w:val="center"/>
                </w:tcPr>
                <w:p w14:paraId="19A70F0A">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是</w:t>
                  </w:r>
                </w:p>
              </w:tc>
            </w:tr>
            <w:tr w14:paraId="5B9D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64" w:type="pct"/>
                  <w:vAlign w:val="center"/>
                </w:tcPr>
                <w:p w14:paraId="4F93E3B7">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default"/>
                      <w:b w:val="0"/>
                      <w:bCs/>
                      <w:color w:val="auto"/>
                      <w:sz w:val="21"/>
                      <w:szCs w:val="21"/>
                      <w:highlight w:val="none"/>
                      <w:vertAlign w:val="baseline"/>
                      <w:lang w:val="en-US" w:eastAsia="zh-CN"/>
                    </w:rPr>
                    <w:t>预处理车间净化装置排气筒出口</w:t>
                  </w:r>
                </w:p>
              </w:tc>
              <w:tc>
                <w:tcPr>
                  <w:tcW w:w="482" w:type="pct"/>
                  <w:vAlign w:val="center"/>
                </w:tcPr>
                <w:p w14:paraId="688FD23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非甲烷总烃</w:t>
                  </w:r>
                </w:p>
              </w:tc>
              <w:tc>
                <w:tcPr>
                  <w:tcW w:w="700" w:type="pct"/>
                  <w:vAlign w:val="center"/>
                </w:tcPr>
                <w:p w14:paraId="4589AD9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活性炭吸附</w:t>
                  </w:r>
                </w:p>
              </w:tc>
              <w:tc>
                <w:tcPr>
                  <w:tcW w:w="624" w:type="pct"/>
                  <w:vAlign w:val="center"/>
                </w:tcPr>
                <w:p w14:paraId="019E0F4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2400</w:t>
                  </w:r>
                </w:p>
              </w:tc>
              <w:tc>
                <w:tcPr>
                  <w:tcW w:w="706" w:type="pct"/>
                  <w:vAlign w:val="center"/>
                </w:tcPr>
                <w:p w14:paraId="4D5B968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0.034</w:t>
                  </w:r>
                </w:p>
              </w:tc>
              <w:tc>
                <w:tcPr>
                  <w:tcW w:w="701" w:type="pct"/>
                  <w:vAlign w:val="center"/>
                </w:tcPr>
                <w:p w14:paraId="1C86001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0.082</w:t>
                  </w:r>
                </w:p>
              </w:tc>
              <w:tc>
                <w:tcPr>
                  <w:tcW w:w="515" w:type="pct"/>
                  <w:vMerge w:val="restart"/>
                  <w:vAlign w:val="center"/>
                </w:tcPr>
                <w:p w14:paraId="47575F7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0.283</w:t>
                  </w:r>
                </w:p>
              </w:tc>
              <w:tc>
                <w:tcPr>
                  <w:tcW w:w="504" w:type="pct"/>
                  <w:vAlign w:val="center"/>
                </w:tcPr>
                <w:p w14:paraId="09E30EB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是</w:t>
                  </w:r>
                </w:p>
              </w:tc>
            </w:tr>
            <w:tr w14:paraId="1DD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64" w:type="pct"/>
                  <w:vAlign w:val="center"/>
                </w:tcPr>
                <w:p w14:paraId="6CEB740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b w:val="0"/>
                      <w:bCs/>
                      <w:color w:val="auto"/>
                      <w:sz w:val="21"/>
                      <w:szCs w:val="21"/>
                      <w:highlight w:val="none"/>
                      <w:lang w:val="en-US" w:eastAsia="zh-CN"/>
                    </w:rPr>
                    <w:t>危废油气处理设施</w:t>
                  </w:r>
                </w:p>
              </w:tc>
              <w:tc>
                <w:tcPr>
                  <w:tcW w:w="482" w:type="pct"/>
                  <w:vAlign w:val="center"/>
                </w:tcPr>
                <w:p w14:paraId="59E5266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非甲烷总烃</w:t>
                  </w:r>
                </w:p>
              </w:tc>
              <w:tc>
                <w:tcPr>
                  <w:tcW w:w="700" w:type="pct"/>
                  <w:vAlign w:val="center"/>
                </w:tcPr>
                <w:p w14:paraId="3787D16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活性炭吸附</w:t>
                  </w:r>
                </w:p>
              </w:tc>
              <w:tc>
                <w:tcPr>
                  <w:tcW w:w="624" w:type="pct"/>
                  <w:vAlign w:val="center"/>
                </w:tcPr>
                <w:p w14:paraId="2153A4BA">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2400</w:t>
                  </w:r>
                </w:p>
              </w:tc>
              <w:tc>
                <w:tcPr>
                  <w:tcW w:w="706" w:type="pct"/>
                  <w:vAlign w:val="center"/>
                </w:tcPr>
                <w:p w14:paraId="558DB3DD">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color w:val="auto"/>
                      <w:sz w:val="21"/>
                      <w:szCs w:val="21"/>
                      <w:highlight w:val="none"/>
                      <w:vertAlign w:val="baseline"/>
                      <w:lang w:val="en-US" w:eastAsia="zh-CN"/>
                    </w:rPr>
                  </w:pPr>
                  <w:r>
                    <w:rPr>
                      <w:rFonts w:hint="eastAsia"/>
                      <w:b w:val="0"/>
                      <w:bCs/>
                      <w:color w:val="auto"/>
                      <w:sz w:val="21"/>
                      <w:szCs w:val="21"/>
                      <w:highlight w:val="none"/>
                      <w:vertAlign w:val="baseline"/>
                      <w:lang w:val="en-US" w:eastAsia="zh-CN"/>
                    </w:rPr>
                    <w:t>0.0716</w:t>
                  </w:r>
                </w:p>
              </w:tc>
              <w:tc>
                <w:tcPr>
                  <w:tcW w:w="701" w:type="pct"/>
                  <w:vAlign w:val="center"/>
                </w:tcPr>
                <w:p w14:paraId="54B53C5F">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0.172</w:t>
                  </w:r>
                </w:p>
              </w:tc>
              <w:tc>
                <w:tcPr>
                  <w:tcW w:w="515" w:type="pct"/>
                  <w:vMerge w:val="continue"/>
                  <w:vAlign w:val="center"/>
                </w:tcPr>
                <w:p w14:paraId="4F6604B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b w:val="0"/>
                      <w:bCs/>
                      <w:color w:val="auto"/>
                      <w:spacing w:val="0"/>
                      <w:kern w:val="2"/>
                      <w:sz w:val="21"/>
                      <w:szCs w:val="21"/>
                      <w:highlight w:val="none"/>
                      <w:vertAlign w:val="baseline"/>
                      <w:lang w:val="en-US" w:eastAsia="zh-CN" w:bidi="ar-SA"/>
                    </w:rPr>
                  </w:pPr>
                </w:p>
              </w:tc>
              <w:tc>
                <w:tcPr>
                  <w:tcW w:w="504" w:type="pct"/>
                  <w:vAlign w:val="center"/>
                </w:tcPr>
                <w:p w14:paraId="3DA68B35">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是</w:t>
                  </w:r>
                </w:p>
              </w:tc>
            </w:tr>
          </w:tbl>
          <w:p w14:paraId="226554A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82" w:firstLineChars="200"/>
              <w:textAlignment w:val="auto"/>
              <w:rPr>
                <w:rFonts w:hint="eastAsia" w:cs="Times New Roman"/>
                <w:b/>
                <w:bCs w:val="0"/>
                <w:color w:val="auto"/>
                <w:spacing w:val="0"/>
                <w:kern w:val="2"/>
                <w:sz w:val="24"/>
                <w:szCs w:val="24"/>
                <w:highlight w:val="none"/>
                <w:lang w:val="en-US" w:eastAsia="zh-CN" w:bidi="ar-SA"/>
              </w:rPr>
            </w:pPr>
            <w:r>
              <w:rPr>
                <w:rFonts w:hint="eastAsia" w:cs="Times New Roman"/>
                <w:b/>
                <w:bCs w:val="0"/>
                <w:color w:val="auto"/>
                <w:spacing w:val="0"/>
                <w:kern w:val="2"/>
                <w:sz w:val="24"/>
                <w:szCs w:val="24"/>
                <w:highlight w:val="none"/>
                <w:lang w:val="en-US" w:eastAsia="zh-CN" w:bidi="ar-SA"/>
              </w:rPr>
              <w:t>2、存在的环境问题及整改措施</w:t>
            </w:r>
          </w:p>
          <w:p w14:paraId="3E28A3E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pacing w:val="0"/>
                <w:sz w:val="24"/>
                <w:szCs w:val="20"/>
                <w:highlight w:val="none"/>
                <w:lang w:val="en-US" w:eastAsia="zh-CN"/>
              </w:rPr>
            </w:pPr>
            <w:r>
              <w:rPr>
                <w:rFonts w:hint="eastAsia" w:cs="Times New Roman"/>
                <w:b w:val="0"/>
                <w:bCs/>
                <w:color w:val="auto"/>
                <w:spacing w:val="0"/>
                <w:kern w:val="2"/>
                <w:sz w:val="24"/>
                <w:szCs w:val="24"/>
                <w:highlight w:val="none"/>
                <w:lang w:val="en-US" w:eastAsia="zh-CN" w:bidi="ar-SA"/>
              </w:rPr>
              <w:t>根据现场踏勘，</w:t>
            </w:r>
            <w:r>
              <w:rPr>
                <w:rFonts w:hint="eastAsia" w:cs="Times New Roman"/>
                <w:color w:val="auto"/>
                <w:spacing w:val="0"/>
                <w:sz w:val="24"/>
                <w:szCs w:val="20"/>
                <w:highlight w:val="none"/>
                <w:lang w:val="en-US" w:eastAsia="zh-CN"/>
              </w:rPr>
              <w:t>本项目占地位于现有1#厂房北侧，1#厂房为钢混结构，</w:t>
            </w:r>
            <w:r>
              <w:rPr>
                <w:rFonts w:hint="eastAsia" w:cs="Times New Roman"/>
                <w:color w:val="auto"/>
                <w:spacing w:val="0"/>
                <w:sz w:val="24"/>
                <w:szCs w:val="20"/>
                <w:highlight w:val="none"/>
                <w:vertAlign w:val="baseline"/>
                <w:lang w:val="en-US" w:eastAsia="zh-CN"/>
              </w:rPr>
              <w:t>厂房</w:t>
            </w:r>
            <w:r>
              <w:rPr>
                <w:rFonts w:hint="eastAsia" w:eastAsia="新宋体" w:cs="Times New Roman"/>
                <w:color w:val="auto"/>
                <w:sz w:val="24"/>
                <w:szCs w:val="24"/>
                <w:highlight w:val="none"/>
                <w:lang w:val="en-US" w:eastAsia="zh-CN"/>
              </w:rPr>
              <w:t>内现</w:t>
            </w:r>
            <w:r>
              <w:rPr>
                <w:rFonts w:hint="default" w:ascii="Times New Roman" w:hAnsi="Times New Roman" w:eastAsia="新宋体" w:cs="Times New Roman"/>
                <w:color w:val="auto"/>
                <w:sz w:val="24"/>
                <w:szCs w:val="24"/>
                <w:highlight w:val="none"/>
              </w:rPr>
              <w:t>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r>
              <w:rPr>
                <w:rFonts w:hint="eastAsia" w:cs="Times New Roman"/>
                <w:color w:val="auto"/>
                <w:spacing w:val="0"/>
                <w:sz w:val="24"/>
                <w:szCs w:val="20"/>
                <w:highlight w:val="none"/>
                <w:vertAlign w:val="baseline"/>
                <w:lang w:val="en-US" w:eastAsia="zh-CN"/>
              </w:rPr>
              <w:t>车间内设有原料储存区、剪切区、破碎区和成品堆放区</w:t>
            </w:r>
            <w:r>
              <w:rPr>
                <w:rFonts w:hint="eastAsia" w:eastAsia="宋体" w:cs="Times New Roman"/>
                <w:color w:val="auto"/>
                <w:sz w:val="24"/>
                <w:szCs w:val="24"/>
                <w:highlight w:val="none"/>
                <w:lang w:eastAsia="zh-CN"/>
              </w:rPr>
              <w:t>。</w:t>
            </w:r>
            <w:r>
              <w:rPr>
                <w:rFonts w:hint="eastAsia" w:cs="Times New Roman"/>
                <w:color w:val="auto"/>
                <w:spacing w:val="0"/>
                <w:sz w:val="24"/>
                <w:szCs w:val="20"/>
                <w:highlight w:val="none"/>
                <w:lang w:val="en-US" w:eastAsia="zh-CN"/>
              </w:rPr>
              <w:t>本项目拟在现有1#厂房北侧占地进行建设，不新增占地。项目占地原为</w:t>
            </w:r>
            <w:r>
              <w:rPr>
                <w:rFonts w:hint="default" w:ascii="Times New Roman" w:hAnsi="Times New Roman" w:eastAsia="宋体" w:cs="Times New Roman"/>
                <w:color w:val="auto"/>
                <w:sz w:val="24"/>
                <w:szCs w:val="24"/>
                <w:highlight w:val="none"/>
              </w:rPr>
              <w:t>年回收利用废钢铁</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0万吨</w:t>
            </w:r>
            <w:r>
              <w:rPr>
                <w:rFonts w:hint="eastAsia" w:ascii="Times New Roman" w:hAnsi="Times New Roman" w:eastAsia="宋体" w:cs="Times New Roman"/>
                <w:color w:val="auto"/>
                <w:sz w:val="24"/>
                <w:szCs w:val="24"/>
                <w:highlight w:val="none"/>
                <w:lang w:val="en-US" w:eastAsia="zh-CN"/>
              </w:rPr>
              <w:t>项目</w:t>
            </w:r>
            <w:r>
              <w:rPr>
                <w:rFonts w:hint="eastAsia" w:eastAsia="新宋体" w:cs="Times New Roman"/>
                <w:color w:val="auto"/>
                <w:sz w:val="24"/>
                <w:szCs w:val="24"/>
                <w:highlight w:val="none"/>
                <w:lang w:val="en-US" w:eastAsia="zh-CN"/>
              </w:rPr>
              <w:t>的</w:t>
            </w:r>
            <w:r>
              <w:rPr>
                <w:rFonts w:hint="eastAsia" w:cs="Times New Roman"/>
                <w:color w:val="auto"/>
                <w:spacing w:val="0"/>
                <w:sz w:val="24"/>
                <w:szCs w:val="20"/>
                <w:highlight w:val="none"/>
                <w:lang w:val="en-US" w:eastAsia="zh-CN"/>
              </w:rPr>
              <w:t>产品堆放区，根据现场踏勘，车间内地面已做硬化处理。</w:t>
            </w:r>
          </w:p>
          <w:p w14:paraId="12197E32">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pacing w:val="0"/>
                <w:sz w:val="24"/>
                <w:szCs w:val="20"/>
                <w:highlight w:val="none"/>
                <w:lang w:val="en-US" w:eastAsia="zh-CN"/>
              </w:rPr>
            </w:pPr>
            <w:r>
              <w:rPr>
                <w:rFonts w:hint="eastAsia" w:cs="Times New Roman"/>
                <w:color w:val="auto"/>
                <w:spacing w:val="0"/>
                <w:sz w:val="24"/>
                <w:szCs w:val="20"/>
                <w:highlight w:val="none"/>
                <w:lang w:val="en-US" w:eastAsia="zh-CN"/>
              </w:rPr>
              <w:t>厂区需要整改的内容见下表。</w:t>
            </w:r>
          </w:p>
          <w:p w14:paraId="501367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cs="Times New Roman"/>
                <w:b w:val="0"/>
                <w:bCs/>
                <w:color w:val="auto"/>
                <w:spacing w:val="0"/>
                <w:kern w:val="2"/>
                <w:sz w:val="24"/>
                <w:szCs w:val="24"/>
                <w:highlight w:val="none"/>
                <w:lang w:val="en-US" w:eastAsia="zh-CN" w:bidi="ar-SA"/>
              </w:rPr>
            </w:pPr>
            <w:r>
              <w:rPr>
                <w:rFonts w:hint="default" w:ascii="Times New Roman" w:hAnsi="Times New Roman" w:eastAsia="宋体" w:cs="Times New Roman"/>
                <w:b/>
                <w:bCs w:val="0"/>
                <w:color w:val="auto"/>
                <w:spacing w:val="0"/>
                <w:position w:val="0"/>
                <w:sz w:val="21"/>
                <w:szCs w:val="16"/>
                <w:highlight w:val="none"/>
              </w:rPr>
              <w:t>表</w:t>
            </w:r>
            <w:r>
              <w:rPr>
                <w:rFonts w:hint="eastAsia" w:cs="Times New Roman"/>
                <w:b/>
                <w:bCs w:val="0"/>
                <w:color w:val="auto"/>
                <w:spacing w:val="0"/>
                <w:position w:val="0"/>
                <w:sz w:val="21"/>
                <w:szCs w:val="16"/>
                <w:highlight w:val="none"/>
                <w:lang w:val="en-US" w:eastAsia="zh-CN"/>
              </w:rPr>
              <w:t>2</w:t>
            </w:r>
            <w:r>
              <w:rPr>
                <w:rFonts w:hint="eastAsia" w:ascii="Times New Roman" w:hAnsi="Times New Roman" w:eastAsia="宋体" w:cs="Times New Roman"/>
                <w:b/>
                <w:bCs w:val="0"/>
                <w:color w:val="auto"/>
                <w:spacing w:val="0"/>
                <w:position w:val="0"/>
                <w:sz w:val="21"/>
                <w:szCs w:val="16"/>
                <w:highlight w:val="none"/>
                <w:lang w:val="en-US" w:eastAsia="zh-CN"/>
              </w:rPr>
              <w:t>-</w:t>
            </w:r>
            <w:r>
              <w:rPr>
                <w:rFonts w:hint="eastAsia" w:cs="Times New Roman"/>
                <w:b/>
                <w:bCs w:val="0"/>
                <w:color w:val="auto"/>
                <w:spacing w:val="0"/>
                <w:position w:val="0"/>
                <w:sz w:val="21"/>
                <w:szCs w:val="16"/>
                <w:highlight w:val="none"/>
                <w:lang w:val="en-US" w:eastAsia="zh-CN"/>
              </w:rPr>
              <w:t>15</w:t>
            </w:r>
            <w:r>
              <w:rPr>
                <w:rFonts w:hint="eastAsia" w:ascii="Times New Roman" w:hAnsi="Times New Roman" w:eastAsia="宋体" w:cs="Times New Roman"/>
                <w:b/>
                <w:bCs w:val="0"/>
                <w:color w:val="auto"/>
                <w:spacing w:val="0"/>
                <w:position w:val="0"/>
                <w:sz w:val="21"/>
                <w:szCs w:val="16"/>
                <w:highlight w:val="none"/>
              </w:rPr>
              <w:t xml:space="preserve">  </w:t>
            </w:r>
            <w:r>
              <w:rPr>
                <w:rFonts w:hint="eastAsia" w:cs="Times New Roman"/>
                <w:b/>
                <w:bCs w:val="0"/>
                <w:color w:val="auto"/>
                <w:spacing w:val="0"/>
                <w:position w:val="0"/>
                <w:sz w:val="21"/>
                <w:szCs w:val="16"/>
                <w:highlight w:val="none"/>
                <w:lang w:val="en-US" w:eastAsia="zh-CN"/>
              </w:rPr>
              <w:t>已建设施存在的环境问题及整改要求</w:t>
            </w:r>
            <w:r>
              <w:rPr>
                <w:rFonts w:hint="eastAsia" w:ascii="Times New Roman" w:hAnsi="Times New Roman" w:eastAsia="宋体" w:cs="Times New Roman"/>
                <w:b/>
                <w:bCs w:val="0"/>
                <w:color w:val="auto"/>
                <w:spacing w:val="0"/>
                <w:position w:val="0"/>
                <w:sz w:val="21"/>
                <w:szCs w:val="16"/>
                <w:highlight w:val="none"/>
              </w:rPr>
              <w:t>一览表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4091"/>
              <w:gridCol w:w="4153"/>
            </w:tblGrid>
            <w:tr w14:paraId="208B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14:paraId="49DF45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default" w:ascii="Times New Roman" w:hAnsi="Times New Roman" w:cs="Times New Roman"/>
                      <w:b/>
                      <w:bCs w:val="0"/>
                      <w:color w:val="auto"/>
                      <w:spacing w:val="0"/>
                      <w:kern w:val="2"/>
                      <w:sz w:val="21"/>
                      <w:szCs w:val="21"/>
                      <w:highlight w:val="none"/>
                      <w:vertAlign w:val="baseline"/>
                      <w:lang w:val="en-US" w:eastAsia="zh-CN" w:bidi="ar-SA"/>
                    </w:rPr>
                    <w:t>序号</w:t>
                  </w:r>
                </w:p>
              </w:tc>
              <w:tc>
                <w:tcPr>
                  <w:tcW w:w="2259" w:type="pct"/>
                  <w:vAlign w:val="center"/>
                </w:tcPr>
                <w:p w14:paraId="6CF19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default" w:ascii="Times New Roman" w:hAnsi="Times New Roman" w:cs="Times New Roman"/>
                      <w:b/>
                      <w:bCs w:val="0"/>
                      <w:color w:val="auto"/>
                      <w:spacing w:val="0"/>
                      <w:kern w:val="2"/>
                      <w:sz w:val="21"/>
                      <w:szCs w:val="21"/>
                      <w:highlight w:val="none"/>
                      <w:vertAlign w:val="baseline"/>
                      <w:lang w:val="en-US" w:eastAsia="zh-CN" w:bidi="ar-SA"/>
                    </w:rPr>
                    <w:t>已建设施存在的环境问题</w:t>
                  </w:r>
                </w:p>
              </w:tc>
              <w:tc>
                <w:tcPr>
                  <w:tcW w:w="2293" w:type="pct"/>
                  <w:vAlign w:val="center"/>
                </w:tcPr>
                <w:p w14:paraId="13DC09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val="0"/>
                      <w:color w:val="auto"/>
                      <w:spacing w:val="0"/>
                      <w:kern w:val="2"/>
                      <w:sz w:val="21"/>
                      <w:szCs w:val="21"/>
                      <w:highlight w:val="none"/>
                      <w:vertAlign w:val="baseline"/>
                      <w:lang w:val="en-US" w:eastAsia="zh-CN" w:bidi="ar-SA"/>
                    </w:rPr>
                  </w:pPr>
                  <w:r>
                    <w:rPr>
                      <w:rFonts w:hint="default" w:ascii="Times New Roman" w:hAnsi="Times New Roman" w:cs="Times New Roman"/>
                      <w:b/>
                      <w:bCs w:val="0"/>
                      <w:color w:val="auto"/>
                      <w:spacing w:val="0"/>
                      <w:kern w:val="2"/>
                      <w:sz w:val="21"/>
                      <w:szCs w:val="21"/>
                      <w:highlight w:val="none"/>
                      <w:vertAlign w:val="baseline"/>
                      <w:lang w:val="en-US" w:eastAsia="zh-CN" w:bidi="ar-SA"/>
                    </w:rPr>
                    <w:t>整改要求及整改时限</w:t>
                  </w:r>
                </w:p>
              </w:tc>
            </w:tr>
            <w:tr w14:paraId="402E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14:paraId="657F49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1</w:t>
                  </w:r>
                </w:p>
              </w:tc>
              <w:tc>
                <w:tcPr>
                  <w:tcW w:w="2259" w:type="pct"/>
                  <w:vAlign w:val="center"/>
                </w:tcPr>
                <w:p w14:paraId="5484D3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现有危废贮存</w:t>
                  </w:r>
                  <w:r>
                    <w:rPr>
                      <w:rFonts w:hint="eastAsia" w:cs="Times New Roman"/>
                      <w:b w:val="0"/>
                      <w:bCs/>
                      <w:color w:val="auto"/>
                      <w:spacing w:val="0"/>
                      <w:kern w:val="2"/>
                      <w:sz w:val="21"/>
                      <w:szCs w:val="21"/>
                      <w:highlight w:val="none"/>
                      <w:vertAlign w:val="baseline"/>
                      <w:lang w:val="en-US" w:eastAsia="zh-CN" w:bidi="ar-SA"/>
                    </w:rPr>
                    <w:t>库内危险废物表面未张贴危废标识</w:t>
                  </w:r>
                </w:p>
              </w:tc>
              <w:tc>
                <w:tcPr>
                  <w:tcW w:w="2293" w:type="pct"/>
                  <w:vAlign w:val="center"/>
                </w:tcPr>
                <w:p w14:paraId="647F2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完善危废贮存</w:t>
                  </w:r>
                  <w:r>
                    <w:rPr>
                      <w:rFonts w:hint="eastAsia" w:cs="Times New Roman"/>
                      <w:b w:val="0"/>
                      <w:bCs/>
                      <w:color w:val="auto"/>
                      <w:spacing w:val="0"/>
                      <w:kern w:val="2"/>
                      <w:sz w:val="21"/>
                      <w:szCs w:val="21"/>
                      <w:highlight w:val="none"/>
                      <w:vertAlign w:val="baseline"/>
                      <w:lang w:val="en-US" w:eastAsia="zh-CN" w:bidi="ar-SA"/>
                    </w:rPr>
                    <w:t>库</w:t>
                  </w:r>
                  <w:r>
                    <w:rPr>
                      <w:rFonts w:hint="default" w:ascii="Times New Roman" w:hAnsi="Times New Roman" w:cs="Times New Roman"/>
                      <w:b w:val="0"/>
                      <w:bCs/>
                      <w:color w:val="auto"/>
                      <w:spacing w:val="0"/>
                      <w:kern w:val="2"/>
                      <w:sz w:val="21"/>
                      <w:szCs w:val="21"/>
                      <w:highlight w:val="none"/>
                      <w:vertAlign w:val="baseline"/>
                      <w:lang w:val="en-US" w:eastAsia="zh-CN" w:bidi="ar-SA"/>
                    </w:rPr>
                    <w:t>内各项标识、标志，</w:t>
                  </w:r>
                </w:p>
                <w:p w14:paraId="29806C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整改期限2个月</w:t>
                  </w:r>
                </w:p>
              </w:tc>
            </w:tr>
            <w:tr w14:paraId="4996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14:paraId="72B3A3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2</w:t>
                  </w:r>
                </w:p>
              </w:tc>
              <w:tc>
                <w:tcPr>
                  <w:tcW w:w="2259" w:type="pct"/>
                  <w:vAlign w:val="center"/>
                </w:tcPr>
                <w:p w14:paraId="7399E6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废气标识牌</w:t>
                  </w:r>
                  <w:r>
                    <w:rPr>
                      <w:rFonts w:hint="eastAsia" w:cs="Times New Roman"/>
                      <w:b w:val="0"/>
                      <w:bCs/>
                      <w:color w:val="auto"/>
                      <w:spacing w:val="0"/>
                      <w:kern w:val="2"/>
                      <w:sz w:val="21"/>
                      <w:szCs w:val="21"/>
                      <w:highlight w:val="none"/>
                      <w:vertAlign w:val="baseline"/>
                      <w:lang w:val="en-US" w:eastAsia="zh-CN" w:bidi="ar-SA"/>
                    </w:rPr>
                    <w:t>破旧</w:t>
                  </w:r>
                  <w:r>
                    <w:rPr>
                      <w:rFonts w:hint="default" w:ascii="Times New Roman" w:hAnsi="Times New Roman" w:cs="Times New Roman"/>
                      <w:b w:val="0"/>
                      <w:bCs/>
                      <w:color w:val="auto"/>
                      <w:spacing w:val="0"/>
                      <w:kern w:val="2"/>
                      <w:sz w:val="21"/>
                      <w:szCs w:val="21"/>
                      <w:highlight w:val="none"/>
                      <w:vertAlign w:val="baseline"/>
                      <w:lang w:val="en-US" w:eastAsia="zh-CN" w:bidi="ar-SA"/>
                    </w:rPr>
                    <w:t>不规范</w:t>
                  </w:r>
                </w:p>
              </w:tc>
              <w:tc>
                <w:tcPr>
                  <w:tcW w:w="2293" w:type="pct"/>
                  <w:vAlign w:val="center"/>
                </w:tcPr>
                <w:p w14:paraId="60F46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eastAsia" w:cs="Times New Roman"/>
                      <w:b w:val="0"/>
                      <w:bCs/>
                      <w:color w:val="auto"/>
                      <w:spacing w:val="0"/>
                      <w:kern w:val="2"/>
                      <w:sz w:val="21"/>
                      <w:szCs w:val="21"/>
                      <w:highlight w:val="none"/>
                      <w:vertAlign w:val="baseline"/>
                      <w:lang w:val="en-US" w:eastAsia="zh-CN" w:bidi="ar-SA"/>
                    </w:rPr>
                    <w:t>重新制作并张贴</w:t>
                  </w:r>
                  <w:r>
                    <w:rPr>
                      <w:rFonts w:hint="default" w:ascii="Times New Roman" w:hAnsi="Times New Roman" w:cs="Times New Roman"/>
                      <w:b w:val="0"/>
                      <w:bCs/>
                      <w:color w:val="auto"/>
                      <w:spacing w:val="0"/>
                      <w:kern w:val="2"/>
                      <w:sz w:val="21"/>
                      <w:szCs w:val="21"/>
                      <w:highlight w:val="none"/>
                      <w:vertAlign w:val="baseline"/>
                      <w:lang w:val="en-US" w:eastAsia="zh-CN" w:bidi="ar-SA"/>
                    </w:rPr>
                    <w:t>废气排气筒标识牌，</w:t>
                  </w:r>
                </w:p>
                <w:p w14:paraId="4B2CBB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color w:val="auto"/>
                      <w:spacing w:val="0"/>
                      <w:kern w:val="2"/>
                      <w:sz w:val="21"/>
                      <w:szCs w:val="21"/>
                      <w:highlight w:val="none"/>
                      <w:vertAlign w:val="baseline"/>
                      <w:lang w:val="en-US" w:eastAsia="zh-CN" w:bidi="ar-SA"/>
                    </w:rPr>
                  </w:pPr>
                  <w:r>
                    <w:rPr>
                      <w:rFonts w:hint="default" w:ascii="Times New Roman" w:hAnsi="Times New Roman" w:cs="Times New Roman"/>
                      <w:b w:val="0"/>
                      <w:bCs/>
                      <w:color w:val="auto"/>
                      <w:spacing w:val="0"/>
                      <w:kern w:val="2"/>
                      <w:sz w:val="21"/>
                      <w:szCs w:val="21"/>
                      <w:highlight w:val="none"/>
                      <w:vertAlign w:val="baseline"/>
                      <w:lang w:val="en-US" w:eastAsia="zh-CN" w:bidi="ar-SA"/>
                    </w:rPr>
                    <w:t>整改期限1个月</w:t>
                  </w:r>
                </w:p>
              </w:tc>
            </w:tr>
          </w:tbl>
          <w:p w14:paraId="1C0DBED1">
            <w:pPr>
              <w:pStyle w:val="41"/>
              <w:keepNext w:val="0"/>
              <w:keepLines w:val="0"/>
              <w:suppressLineNumbers w:val="0"/>
              <w:spacing w:before="0" w:beforeAutospacing="0" w:after="0" w:afterAutospacing="0"/>
              <w:ind w:left="0" w:leftChars="0" w:right="0" w:firstLine="0" w:firstLineChars="0"/>
              <w:rPr>
                <w:rFonts w:hint="default"/>
                <w:color w:val="auto"/>
                <w:sz w:val="24"/>
                <w:highlight w:val="none"/>
                <w:lang w:val="en-US" w:eastAsia="zh-CN"/>
              </w:rPr>
            </w:pPr>
          </w:p>
          <w:p w14:paraId="2D21554B">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09C0DD10">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02F5C1EC">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01927D8F">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0318E61A">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18D9C1A7">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4C69FB04">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00EA68FF">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14EEF0F3">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51187B8D">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28842C92">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754897AD">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2B91E7A1">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14F082EC">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4ABAE6AE">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5EBC00C0">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341A137C">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0" w:firstLineChars="0"/>
              <w:textAlignment w:val="auto"/>
              <w:rPr>
                <w:rFonts w:hint="default"/>
                <w:color w:val="auto"/>
                <w:sz w:val="24"/>
                <w:highlight w:val="none"/>
                <w:lang w:val="en-US" w:eastAsia="zh-CN"/>
              </w:rPr>
            </w:pPr>
          </w:p>
          <w:p w14:paraId="1DBE0473">
            <w:pPr>
              <w:pStyle w:val="41"/>
              <w:keepNext w:val="0"/>
              <w:keepLines w:val="0"/>
              <w:suppressLineNumbers w:val="0"/>
              <w:spacing w:before="0" w:beforeAutospacing="0" w:after="0" w:afterAutospacing="0"/>
              <w:ind w:left="0" w:leftChars="0" w:right="0" w:firstLine="0" w:firstLineChars="0"/>
              <w:rPr>
                <w:rFonts w:hint="default"/>
                <w:color w:val="auto"/>
                <w:sz w:val="24"/>
                <w:highlight w:val="none"/>
                <w:lang w:val="en-US" w:eastAsia="zh-CN"/>
              </w:rPr>
            </w:pPr>
          </w:p>
        </w:tc>
      </w:tr>
    </w:tbl>
    <w:p w14:paraId="43B582B2">
      <w:pPr>
        <w:pStyle w:val="27"/>
        <w:jc w:val="center"/>
        <w:outlineLvl w:val="0"/>
        <w:rPr>
          <w:rFonts w:hint="default" w:ascii="Times New Roman" w:hAnsi="Times New Roman" w:eastAsia="黑体" w:cs="Times New Roman"/>
          <w:snapToGrid w:val="0"/>
          <w:color w:val="FF0000"/>
          <w:sz w:val="30"/>
          <w:szCs w:val="30"/>
          <w:highlight w:val="none"/>
        </w:rPr>
        <w:sectPr>
          <w:headerReference r:id="rId6" w:type="default"/>
          <w:pgSz w:w="11907" w:h="16840"/>
          <w:pgMar w:top="1440" w:right="1080" w:bottom="1440" w:left="1080" w:header="851" w:footer="850" w:gutter="0"/>
          <w:pgBorders>
            <w:top w:val="none" w:sz="0" w:space="0"/>
            <w:left w:val="none" w:sz="0" w:space="0"/>
            <w:bottom w:val="none" w:sz="0" w:space="0"/>
            <w:right w:val="none" w:sz="0" w:space="0"/>
          </w:pgBorders>
          <w:pgNumType w:fmt="decimal"/>
          <w:cols w:space="720" w:num="1"/>
          <w:docGrid w:linePitch="312" w:charSpace="0"/>
        </w:sectPr>
      </w:pPr>
      <w:bookmarkStart w:id="10" w:name="_Toc3155"/>
    </w:p>
    <w:p w14:paraId="788A9208">
      <w:pPr>
        <w:pStyle w:val="27"/>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三、区域环境质量现状、环境保护目标及评价标准</w:t>
      </w:r>
      <w:bookmarkEnd w:id="10"/>
    </w:p>
    <w:tbl>
      <w:tblPr>
        <w:tblStyle w:val="3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9303"/>
      </w:tblGrid>
      <w:tr w14:paraId="236D62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0" w:type="pct"/>
            <w:vAlign w:val="center"/>
          </w:tcPr>
          <w:p w14:paraId="776C5D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pacing w:val="0"/>
                <w:kern w:val="0"/>
                <w:position w:val="0"/>
                <w:szCs w:val="21"/>
                <w:highlight w:val="none"/>
              </w:rPr>
            </w:pPr>
            <w:r>
              <w:rPr>
                <w:rFonts w:hint="default" w:ascii="Times New Roman" w:hAnsi="Times New Roman" w:cs="Times New Roman"/>
                <w:b w:val="0"/>
                <w:bCs w:val="0"/>
                <w:color w:val="auto"/>
                <w:spacing w:val="0"/>
                <w:kern w:val="0"/>
                <w:position w:val="0"/>
                <w:szCs w:val="21"/>
                <w:highlight w:val="none"/>
              </w:rPr>
              <w:t>区域环境质量现状</w:t>
            </w:r>
          </w:p>
        </w:tc>
        <w:tc>
          <w:tcPr>
            <w:tcW w:w="4669" w:type="pct"/>
            <w:vAlign w:val="center"/>
          </w:tcPr>
          <w:p w14:paraId="7E76C8DF">
            <w:pPr>
              <w:keepNext w:val="0"/>
              <w:keepLines w:val="0"/>
              <w:suppressLineNumbers w:val="0"/>
              <w:spacing w:before="0" w:beforeAutospacing="0" w:after="0" w:afterAutospacing="0" w:line="480" w:lineRule="exact"/>
              <w:ind w:left="0" w:right="0" w:firstLine="480" w:firstLineChars="200"/>
              <w:rPr>
                <w:rFonts w:hint="default"/>
                <w:color w:val="auto"/>
                <w:sz w:val="24"/>
                <w:highlight w:val="none"/>
                <w:lang w:val="en-US" w:eastAsia="zh-CN"/>
              </w:rPr>
            </w:pPr>
            <w:r>
              <w:rPr>
                <w:rFonts w:hint="eastAsia" w:cs="Times New Roman"/>
                <w:b w:val="0"/>
                <w:bCs/>
                <w:color w:val="auto"/>
                <w:spacing w:val="0"/>
                <w:position w:val="0"/>
                <w:sz w:val="24"/>
                <w:szCs w:val="24"/>
                <w:highlight w:val="none"/>
                <w:lang w:val="en-US" w:eastAsia="zh-CN"/>
              </w:rPr>
              <w:t>略</w:t>
            </w:r>
          </w:p>
        </w:tc>
      </w:tr>
      <w:tr w14:paraId="09B71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4" w:hRule="atLeast"/>
          <w:jc w:val="center"/>
        </w:trPr>
        <w:tc>
          <w:tcPr>
            <w:tcW w:w="330" w:type="pct"/>
            <w:vAlign w:val="center"/>
          </w:tcPr>
          <w:p w14:paraId="2244B6E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pacing w:val="0"/>
                <w:kern w:val="0"/>
                <w:position w:val="0"/>
                <w:szCs w:val="21"/>
                <w:highlight w:val="none"/>
              </w:rPr>
            </w:pPr>
            <w:r>
              <w:rPr>
                <w:rFonts w:hint="default" w:ascii="Times New Roman" w:hAnsi="Times New Roman" w:cs="Times New Roman"/>
                <w:b w:val="0"/>
                <w:bCs w:val="0"/>
                <w:color w:val="auto"/>
                <w:spacing w:val="0"/>
                <w:kern w:val="0"/>
                <w:position w:val="0"/>
                <w:szCs w:val="21"/>
                <w:highlight w:val="none"/>
              </w:rPr>
              <w:t>环境保护目标</w:t>
            </w:r>
          </w:p>
        </w:tc>
        <w:tc>
          <w:tcPr>
            <w:tcW w:w="4669" w:type="pct"/>
            <w:vAlign w:val="center"/>
          </w:tcPr>
          <w:p w14:paraId="03B4680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80" w:firstLineChars="200"/>
              <w:textAlignment w:val="auto"/>
              <w:rPr>
                <w:rFonts w:hint="default"/>
                <w:color w:val="auto"/>
                <w:sz w:val="24"/>
                <w:highlight w:val="none"/>
              </w:rPr>
            </w:pPr>
            <w:r>
              <w:rPr>
                <w:rFonts w:hint="default"/>
                <w:color w:val="auto"/>
                <w:sz w:val="24"/>
                <w:highlight w:val="none"/>
              </w:rPr>
              <w:t>本项目厂界外500m范围内无自然保护区、风景名胜区、文化区，距离最近的居民区</w:t>
            </w:r>
            <w:r>
              <w:rPr>
                <w:rFonts w:hint="eastAsia"/>
                <w:color w:val="auto"/>
                <w:sz w:val="24"/>
                <w:highlight w:val="none"/>
                <w:lang w:val="en-US" w:eastAsia="zh-CN"/>
              </w:rPr>
              <w:t>为厂区南侧280m的</w:t>
            </w:r>
            <w:r>
              <w:rPr>
                <w:rFonts w:hint="default"/>
                <w:color w:val="auto"/>
                <w:sz w:val="24"/>
                <w:highlight w:val="none"/>
              </w:rPr>
              <w:t>康庄村；厂界外50m范围内无居民、学校、医院等声环境敏感保护目标；厂界周边距离最近的地表水体为</w:t>
            </w:r>
            <w:r>
              <w:rPr>
                <w:rFonts w:hint="eastAsia" w:eastAsia="宋体" w:cs="Times New Roman"/>
                <w:color w:val="auto"/>
                <w:spacing w:val="4"/>
                <w:sz w:val="24"/>
                <w:szCs w:val="24"/>
                <w:highlight w:val="none"/>
                <w:lang w:val="en-US" w:eastAsia="zh-CN"/>
              </w:rPr>
              <w:t>厂区南侧</w:t>
            </w:r>
            <w:r>
              <w:rPr>
                <w:rFonts w:hint="eastAsia" w:cs="Times New Roman"/>
                <w:color w:val="auto"/>
                <w:spacing w:val="4"/>
                <w:sz w:val="24"/>
                <w:szCs w:val="24"/>
                <w:highlight w:val="none"/>
                <w:lang w:val="en-US" w:eastAsia="zh-CN"/>
              </w:rPr>
              <w:t>约3.4</w:t>
            </w:r>
            <w:r>
              <w:rPr>
                <w:rFonts w:hint="eastAsia" w:eastAsia="宋体" w:cs="Times New Roman"/>
                <w:color w:val="auto"/>
                <w:spacing w:val="4"/>
                <w:sz w:val="24"/>
                <w:szCs w:val="24"/>
                <w:highlight w:val="none"/>
                <w:lang w:val="en-US" w:eastAsia="zh-CN"/>
              </w:rPr>
              <w:t>km外的</w:t>
            </w:r>
            <w:r>
              <w:rPr>
                <w:rFonts w:hint="eastAsia" w:cs="Times New Roman"/>
                <w:color w:val="auto"/>
                <w:spacing w:val="4"/>
                <w:sz w:val="24"/>
                <w:szCs w:val="24"/>
                <w:highlight w:val="none"/>
                <w:lang w:val="en-US" w:eastAsia="zh-CN"/>
              </w:rPr>
              <w:t>岚水</w:t>
            </w:r>
            <w:r>
              <w:rPr>
                <w:rFonts w:hint="eastAsia" w:eastAsia="宋体" w:cs="Times New Roman"/>
                <w:color w:val="auto"/>
                <w:spacing w:val="4"/>
                <w:sz w:val="24"/>
                <w:szCs w:val="24"/>
                <w:highlight w:val="none"/>
                <w:lang w:val="en-US" w:eastAsia="zh-CN"/>
              </w:rPr>
              <w:t>河</w:t>
            </w:r>
            <w:r>
              <w:rPr>
                <w:rFonts w:hint="default"/>
                <w:color w:val="auto"/>
                <w:sz w:val="24"/>
                <w:highlight w:val="none"/>
              </w:rPr>
              <w:t>；厂界外500米范围内无地下水集中式饮用水水源和热水、矿泉水、温泉等特殊地下水资源；项目占地为现有场地，无生态环境保护目标。</w:t>
            </w:r>
          </w:p>
          <w:p w14:paraId="652862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0"/>
                <w:kern w:val="0"/>
                <w:position w:val="0"/>
                <w:sz w:val="24"/>
                <w:szCs w:val="24"/>
                <w:highlight w:val="none"/>
                <w:lang w:val="en-US" w:eastAsia="zh-CN"/>
              </w:rPr>
            </w:pPr>
            <w:r>
              <w:rPr>
                <w:rFonts w:hint="eastAsia" w:ascii="Times New Roman" w:hAnsi="Times New Roman" w:eastAsia="宋体" w:cs="Times New Roman"/>
                <w:color w:val="auto"/>
                <w:sz w:val="24"/>
                <w:highlight w:val="none"/>
                <w:lang w:val="en-US" w:eastAsia="zh-CN"/>
              </w:rPr>
              <w:t>本项目环境保护目标见下表。</w:t>
            </w:r>
          </w:p>
          <w:p w14:paraId="2F01FE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cs="Times New Roman"/>
                <w:b/>
                <w:bCs w:val="0"/>
                <w:color w:val="auto"/>
                <w:spacing w:val="0"/>
                <w:position w:val="0"/>
                <w:sz w:val="21"/>
                <w:szCs w:val="16"/>
                <w:highlight w:val="none"/>
                <w:lang w:val="en-US" w:eastAsia="zh-CN"/>
              </w:rPr>
              <w:t>-3</w:t>
            </w:r>
            <w:r>
              <w:rPr>
                <w:rFonts w:hint="default" w:ascii="Times New Roman" w:hAnsi="Times New Roman" w:eastAsia="宋体" w:cs="Times New Roman"/>
                <w:b/>
                <w:bCs w:val="0"/>
                <w:color w:val="auto"/>
                <w:spacing w:val="0"/>
                <w:position w:val="0"/>
                <w:sz w:val="21"/>
                <w:szCs w:val="16"/>
                <w:highlight w:val="none"/>
                <w:lang w:val="en-US" w:eastAsia="zh-CN"/>
              </w:rPr>
              <w:t xml:space="preserve">  环境</w:t>
            </w:r>
            <w:r>
              <w:rPr>
                <w:rFonts w:hint="eastAsia" w:ascii="Times New Roman" w:hAnsi="Times New Roman" w:eastAsia="宋体" w:cs="Times New Roman"/>
                <w:b/>
                <w:bCs w:val="0"/>
                <w:color w:val="auto"/>
                <w:spacing w:val="0"/>
                <w:position w:val="0"/>
                <w:sz w:val="21"/>
                <w:szCs w:val="16"/>
                <w:highlight w:val="none"/>
                <w:lang w:val="en-US" w:eastAsia="zh-CN"/>
              </w:rPr>
              <w:t>保护</w:t>
            </w:r>
            <w:r>
              <w:rPr>
                <w:rFonts w:hint="default" w:ascii="Times New Roman" w:hAnsi="Times New Roman" w:eastAsia="宋体" w:cs="Times New Roman"/>
                <w:b/>
                <w:bCs w:val="0"/>
                <w:color w:val="auto"/>
                <w:spacing w:val="0"/>
                <w:position w:val="0"/>
                <w:sz w:val="21"/>
                <w:szCs w:val="16"/>
                <w:highlight w:val="none"/>
                <w:lang w:val="en-US" w:eastAsia="zh-CN"/>
              </w:rPr>
              <w:t>目标</w:t>
            </w:r>
            <w:r>
              <w:rPr>
                <w:rFonts w:hint="eastAsia" w:ascii="Times New Roman" w:hAnsi="Times New Roman" w:eastAsia="宋体" w:cs="Times New Roman"/>
                <w:b/>
                <w:bCs w:val="0"/>
                <w:color w:val="auto"/>
                <w:spacing w:val="0"/>
                <w:position w:val="0"/>
                <w:sz w:val="21"/>
                <w:szCs w:val="16"/>
                <w:highlight w:val="none"/>
                <w:lang w:val="en-US" w:eastAsia="zh-CN"/>
              </w:rPr>
              <w:t>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218"/>
              <w:gridCol w:w="1463"/>
              <w:gridCol w:w="955"/>
              <w:gridCol w:w="1152"/>
              <w:gridCol w:w="3120"/>
            </w:tblGrid>
            <w:tr w14:paraId="2F6E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2" w:type="pct"/>
                  <w:tcBorders>
                    <w:tl2br w:val="nil"/>
                    <w:tr2bl w:val="nil"/>
                  </w:tcBorders>
                  <w:vAlign w:val="center"/>
                </w:tcPr>
                <w:p w14:paraId="0590CB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cs="Times New Roman"/>
                      <w:b/>
                      <w:bCs/>
                      <w:color w:val="auto"/>
                      <w:spacing w:val="0"/>
                      <w:position w:val="0"/>
                      <w:sz w:val="21"/>
                      <w:szCs w:val="21"/>
                      <w:highlight w:val="none"/>
                      <w:lang w:val="en-US" w:eastAsia="zh-CN"/>
                    </w:rPr>
                    <w:t>类别</w:t>
                  </w:r>
                </w:p>
              </w:tc>
              <w:tc>
                <w:tcPr>
                  <w:tcW w:w="671" w:type="pct"/>
                  <w:tcBorders>
                    <w:tl2br w:val="nil"/>
                    <w:tr2bl w:val="nil"/>
                  </w:tcBorders>
                  <w:vAlign w:val="center"/>
                </w:tcPr>
                <w:p w14:paraId="4CA376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保护目标</w:t>
                  </w:r>
                </w:p>
              </w:tc>
              <w:tc>
                <w:tcPr>
                  <w:tcW w:w="806" w:type="pct"/>
                  <w:tcBorders>
                    <w:tl2br w:val="nil"/>
                    <w:tr2bl w:val="nil"/>
                  </w:tcBorders>
                  <w:vAlign w:val="center"/>
                </w:tcPr>
                <w:p w14:paraId="60A8F4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方位</w:t>
                  </w:r>
                </w:p>
                <w:p w14:paraId="1095BB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（相对厂区）</w:t>
                  </w:r>
                </w:p>
              </w:tc>
              <w:tc>
                <w:tcPr>
                  <w:tcW w:w="526" w:type="pct"/>
                  <w:tcBorders>
                    <w:tl2br w:val="nil"/>
                    <w:tr2bl w:val="nil"/>
                  </w:tcBorders>
                  <w:vAlign w:val="center"/>
                </w:tcPr>
                <w:p w14:paraId="1E3B5A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距离（</w:t>
                  </w:r>
                  <w:r>
                    <w:rPr>
                      <w:rFonts w:hint="eastAsia" w:cs="Times New Roman"/>
                      <w:b/>
                      <w:bCs/>
                      <w:color w:val="auto"/>
                      <w:spacing w:val="0"/>
                      <w:position w:val="0"/>
                      <w:sz w:val="21"/>
                      <w:szCs w:val="21"/>
                      <w:highlight w:val="none"/>
                      <w:lang w:val="en-US" w:eastAsia="zh-CN"/>
                    </w:rPr>
                    <w:t>k</w:t>
                  </w:r>
                  <w:r>
                    <w:rPr>
                      <w:rFonts w:hint="default" w:ascii="Times New Roman" w:hAnsi="Times New Roman" w:eastAsia="宋体" w:cs="Times New Roman"/>
                      <w:b/>
                      <w:bCs/>
                      <w:color w:val="auto"/>
                      <w:spacing w:val="0"/>
                      <w:position w:val="0"/>
                      <w:sz w:val="21"/>
                      <w:szCs w:val="21"/>
                      <w:highlight w:val="none"/>
                      <w:lang w:val="en-US" w:eastAsia="zh-CN"/>
                    </w:rPr>
                    <w:t>m）</w:t>
                  </w:r>
                </w:p>
              </w:tc>
              <w:tc>
                <w:tcPr>
                  <w:tcW w:w="635" w:type="pct"/>
                  <w:tcBorders>
                    <w:tl2br w:val="nil"/>
                    <w:tr2bl w:val="nil"/>
                  </w:tcBorders>
                  <w:vAlign w:val="center"/>
                </w:tcPr>
                <w:p w14:paraId="56D616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保护</w:t>
                  </w:r>
                  <w:r>
                    <w:rPr>
                      <w:rFonts w:hint="eastAsia" w:ascii="Times New Roman" w:hAnsi="Times New Roman" w:eastAsia="宋体" w:cs="Times New Roman"/>
                      <w:b/>
                      <w:bCs/>
                      <w:color w:val="auto"/>
                      <w:spacing w:val="0"/>
                      <w:position w:val="0"/>
                      <w:sz w:val="21"/>
                      <w:szCs w:val="21"/>
                      <w:highlight w:val="none"/>
                      <w:lang w:val="en-US" w:eastAsia="zh-CN"/>
                    </w:rPr>
                    <w:t>内容</w:t>
                  </w:r>
                </w:p>
              </w:tc>
              <w:tc>
                <w:tcPr>
                  <w:tcW w:w="1717" w:type="pct"/>
                  <w:tcBorders>
                    <w:tl2br w:val="nil"/>
                    <w:tr2bl w:val="nil"/>
                  </w:tcBorders>
                  <w:vAlign w:val="center"/>
                </w:tcPr>
                <w:p w14:paraId="4BE47D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b/>
                      <w:bCs/>
                      <w:color w:val="auto"/>
                      <w:spacing w:val="0"/>
                      <w:position w:val="0"/>
                      <w:sz w:val="21"/>
                      <w:szCs w:val="21"/>
                      <w:highlight w:val="none"/>
                      <w:lang w:val="en-US" w:eastAsia="zh-CN"/>
                    </w:rPr>
                  </w:pPr>
                  <w:r>
                    <w:rPr>
                      <w:rFonts w:hint="default" w:ascii="Times New Roman" w:hAnsi="Times New Roman" w:eastAsia="宋体" w:cs="Times New Roman"/>
                      <w:b/>
                      <w:bCs/>
                      <w:color w:val="auto"/>
                      <w:spacing w:val="0"/>
                      <w:position w:val="0"/>
                      <w:sz w:val="21"/>
                      <w:szCs w:val="21"/>
                      <w:highlight w:val="none"/>
                      <w:lang w:val="en-US" w:eastAsia="zh-CN"/>
                    </w:rPr>
                    <w:t>保护级别</w:t>
                  </w:r>
                </w:p>
              </w:tc>
            </w:tr>
            <w:tr w14:paraId="7024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2" w:type="pct"/>
                  <w:tcBorders>
                    <w:tl2br w:val="nil"/>
                    <w:tr2bl w:val="nil"/>
                  </w:tcBorders>
                  <w:vAlign w:val="center"/>
                </w:tcPr>
                <w:p w14:paraId="71FD5A3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pacing w:val="0"/>
                      <w:position w:val="0"/>
                      <w:sz w:val="21"/>
                      <w:szCs w:val="21"/>
                      <w:highlight w:val="none"/>
                      <w:lang w:val="en-US" w:eastAsia="zh-CN"/>
                    </w:rPr>
                  </w:pPr>
                  <w:r>
                    <w:rPr>
                      <w:rFonts w:hint="default"/>
                      <w:color w:val="auto"/>
                      <w:szCs w:val="21"/>
                      <w:highlight w:val="none"/>
                    </w:rPr>
                    <w:t>环境空气</w:t>
                  </w:r>
                </w:p>
              </w:tc>
              <w:tc>
                <w:tcPr>
                  <w:tcW w:w="671" w:type="pct"/>
                  <w:tcBorders>
                    <w:tl2br w:val="nil"/>
                    <w:tr2bl w:val="nil"/>
                  </w:tcBorders>
                  <w:vAlign w:val="center"/>
                </w:tcPr>
                <w:p w14:paraId="4E1BF03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pacing w:val="0"/>
                      <w:position w:val="0"/>
                      <w:sz w:val="21"/>
                      <w:szCs w:val="21"/>
                      <w:highlight w:val="none"/>
                      <w:lang w:val="en-US" w:eastAsia="zh-CN"/>
                    </w:rPr>
                  </w:pPr>
                  <w:r>
                    <w:rPr>
                      <w:rFonts w:hint="default"/>
                      <w:color w:val="auto"/>
                      <w:szCs w:val="21"/>
                      <w:highlight w:val="none"/>
                    </w:rPr>
                    <w:t>康庄村</w:t>
                  </w:r>
                </w:p>
              </w:tc>
              <w:tc>
                <w:tcPr>
                  <w:tcW w:w="806" w:type="pct"/>
                  <w:tcBorders>
                    <w:tl2br w:val="nil"/>
                    <w:tr2bl w:val="nil"/>
                  </w:tcBorders>
                  <w:vAlign w:val="center"/>
                </w:tcPr>
                <w:p w14:paraId="3942E04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pacing w:val="0"/>
                      <w:position w:val="0"/>
                      <w:sz w:val="21"/>
                      <w:szCs w:val="21"/>
                      <w:highlight w:val="none"/>
                      <w:lang w:val="en-US" w:eastAsia="zh-CN"/>
                    </w:rPr>
                  </w:pPr>
                  <w:r>
                    <w:rPr>
                      <w:rFonts w:hint="default"/>
                      <w:color w:val="auto"/>
                      <w:szCs w:val="21"/>
                      <w:highlight w:val="none"/>
                    </w:rPr>
                    <w:t>S</w:t>
                  </w:r>
                </w:p>
              </w:tc>
              <w:tc>
                <w:tcPr>
                  <w:tcW w:w="526" w:type="pct"/>
                  <w:tcBorders>
                    <w:tl2br w:val="nil"/>
                    <w:tr2bl w:val="nil"/>
                  </w:tcBorders>
                  <w:vAlign w:val="center"/>
                </w:tcPr>
                <w:p w14:paraId="58DBFA3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0.28</w:t>
                  </w:r>
                </w:p>
              </w:tc>
              <w:tc>
                <w:tcPr>
                  <w:tcW w:w="635" w:type="pct"/>
                  <w:tcBorders>
                    <w:tl2br w:val="nil"/>
                    <w:tr2bl w:val="nil"/>
                  </w:tcBorders>
                  <w:vAlign w:val="center"/>
                </w:tcPr>
                <w:p w14:paraId="1BE3A6A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pacing w:val="0"/>
                      <w:position w:val="0"/>
                      <w:sz w:val="21"/>
                      <w:szCs w:val="21"/>
                      <w:highlight w:val="none"/>
                      <w:lang w:val="en-US" w:eastAsia="zh-CN"/>
                    </w:rPr>
                  </w:pPr>
                  <w:r>
                    <w:rPr>
                      <w:rFonts w:hint="default"/>
                      <w:color w:val="auto"/>
                      <w:szCs w:val="21"/>
                      <w:highlight w:val="none"/>
                    </w:rPr>
                    <w:t>居民</w:t>
                  </w:r>
                </w:p>
              </w:tc>
              <w:tc>
                <w:tcPr>
                  <w:tcW w:w="1717" w:type="pct"/>
                  <w:tcBorders>
                    <w:tl2br w:val="nil"/>
                    <w:tr2bl w:val="nil"/>
                  </w:tcBorders>
                  <w:vAlign w:val="center"/>
                </w:tcPr>
                <w:p w14:paraId="377E05F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spacing w:val="0"/>
                      <w:position w:val="0"/>
                      <w:sz w:val="21"/>
                      <w:szCs w:val="21"/>
                      <w:highlight w:val="none"/>
                      <w:lang w:val="en-US" w:eastAsia="zh-CN"/>
                    </w:rPr>
                  </w:pPr>
                  <w:r>
                    <w:rPr>
                      <w:rFonts w:hint="default"/>
                      <w:color w:val="auto"/>
                      <w:szCs w:val="21"/>
                      <w:highlight w:val="none"/>
                    </w:rPr>
                    <w:t>《环境空气质量标准》（GB3095-20</w:t>
                  </w:r>
                  <w:r>
                    <w:rPr>
                      <w:rFonts w:hint="eastAsia"/>
                      <w:color w:val="auto"/>
                      <w:szCs w:val="21"/>
                      <w:highlight w:val="none"/>
                      <w:lang w:val="en-US" w:eastAsia="zh-CN"/>
                    </w:rPr>
                    <w:t>26</w:t>
                  </w:r>
                  <w:r>
                    <w:rPr>
                      <w:rFonts w:hint="default"/>
                      <w:color w:val="auto"/>
                      <w:szCs w:val="21"/>
                      <w:highlight w:val="none"/>
                    </w:rPr>
                    <w:t>）二级标准</w:t>
                  </w:r>
                </w:p>
              </w:tc>
            </w:tr>
            <w:tr w14:paraId="1AE2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2" w:type="pct"/>
                  <w:tcBorders>
                    <w:tl2br w:val="nil"/>
                    <w:tr2bl w:val="nil"/>
                  </w:tcBorders>
                  <w:vAlign w:val="center"/>
                </w:tcPr>
                <w:p w14:paraId="6E903F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auto"/>
                      <w:spacing w:val="0"/>
                      <w:position w:val="0"/>
                      <w:sz w:val="21"/>
                      <w:szCs w:val="21"/>
                      <w:highlight w:val="none"/>
                      <w:lang w:val="en-US" w:eastAsia="zh-CN"/>
                    </w:rPr>
                  </w:pPr>
                  <w:r>
                    <w:rPr>
                      <w:rFonts w:hint="default"/>
                      <w:color w:val="auto"/>
                      <w:kern w:val="0"/>
                      <w:szCs w:val="21"/>
                      <w:highlight w:val="none"/>
                    </w:rPr>
                    <w:t>声环境</w:t>
                  </w:r>
                </w:p>
              </w:tc>
              <w:tc>
                <w:tcPr>
                  <w:tcW w:w="4357" w:type="pct"/>
                  <w:gridSpan w:val="5"/>
                  <w:tcBorders>
                    <w:tl2br w:val="nil"/>
                    <w:tr2bl w:val="nil"/>
                  </w:tcBorders>
                  <w:vAlign w:val="center"/>
                </w:tcPr>
                <w:p w14:paraId="543054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color w:val="auto"/>
                      <w:spacing w:val="0"/>
                      <w:position w:val="0"/>
                      <w:sz w:val="21"/>
                      <w:szCs w:val="21"/>
                      <w:highlight w:val="none"/>
                      <w:lang w:val="en-US" w:eastAsia="zh-CN"/>
                    </w:rPr>
                  </w:pPr>
                  <w:r>
                    <w:rPr>
                      <w:rFonts w:hint="default"/>
                      <w:color w:val="auto"/>
                      <w:szCs w:val="21"/>
                      <w:highlight w:val="none"/>
                    </w:rPr>
                    <w:t>厂界外50m无声环境保护目标</w:t>
                  </w:r>
                </w:p>
              </w:tc>
            </w:tr>
            <w:tr w14:paraId="183F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2" w:type="pct"/>
                  <w:tcBorders>
                    <w:tl2br w:val="nil"/>
                    <w:tr2bl w:val="nil"/>
                  </w:tcBorders>
                  <w:vAlign w:val="center"/>
                </w:tcPr>
                <w:p w14:paraId="781E2C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auto"/>
                      <w:spacing w:val="0"/>
                      <w:position w:val="0"/>
                      <w:sz w:val="21"/>
                      <w:szCs w:val="21"/>
                      <w:highlight w:val="none"/>
                      <w:lang w:val="en-US" w:eastAsia="zh-CN"/>
                    </w:rPr>
                  </w:pPr>
                  <w:r>
                    <w:rPr>
                      <w:rFonts w:hint="default"/>
                      <w:color w:val="auto"/>
                      <w:kern w:val="0"/>
                      <w:szCs w:val="21"/>
                      <w:highlight w:val="none"/>
                    </w:rPr>
                    <w:t>地下水</w:t>
                  </w:r>
                </w:p>
              </w:tc>
              <w:tc>
                <w:tcPr>
                  <w:tcW w:w="4357" w:type="pct"/>
                  <w:gridSpan w:val="5"/>
                  <w:tcBorders>
                    <w:tl2br w:val="nil"/>
                    <w:tr2bl w:val="nil"/>
                  </w:tcBorders>
                  <w:vAlign w:val="center"/>
                </w:tcPr>
                <w:p w14:paraId="26CA95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cs="Times New Roman"/>
                      <w:color w:val="auto"/>
                      <w:spacing w:val="0"/>
                      <w:position w:val="0"/>
                      <w:sz w:val="21"/>
                      <w:szCs w:val="21"/>
                      <w:highlight w:val="none"/>
                      <w:lang w:val="en-US" w:eastAsia="zh-CN"/>
                    </w:rPr>
                  </w:pPr>
                  <w:r>
                    <w:rPr>
                      <w:rFonts w:hint="default"/>
                      <w:color w:val="auto"/>
                      <w:szCs w:val="21"/>
                      <w:highlight w:val="none"/>
                    </w:rPr>
                    <w:t>厂界外500米范围内无地下水集中式饮用水水源和热水、矿泉水、温泉等特殊地下水资源</w:t>
                  </w:r>
                </w:p>
              </w:tc>
            </w:tr>
            <w:tr w14:paraId="07B9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2" w:type="pct"/>
                  <w:tcBorders>
                    <w:tl2br w:val="nil"/>
                    <w:tr2bl w:val="nil"/>
                  </w:tcBorders>
                  <w:vAlign w:val="center"/>
                </w:tcPr>
                <w:p w14:paraId="20ECD2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auto"/>
                      <w:spacing w:val="0"/>
                      <w:position w:val="0"/>
                      <w:sz w:val="21"/>
                      <w:szCs w:val="21"/>
                      <w:highlight w:val="none"/>
                      <w:lang w:val="en-US" w:eastAsia="zh-CN"/>
                    </w:rPr>
                  </w:pPr>
                  <w:r>
                    <w:rPr>
                      <w:rFonts w:hint="default"/>
                      <w:color w:val="auto"/>
                      <w:kern w:val="0"/>
                      <w:szCs w:val="21"/>
                      <w:highlight w:val="none"/>
                    </w:rPr>
                    <w:t>生态环境</w:t>
                  </w:r>
                </w:p>
              </w:tc>
              <w:tc>
                <w:tcPr>
                  <w:tcW w:w="4357" w:type="pct"/>
                  <w:gridSpan w:val="5"/>
                  <w:tcBorders>
                    <w:tl2br w:val="nil"/>
                    <w:tr2bl w:val="nil"/>
                  </w:tcBorders>
                  <w:vAlign w:val="center"/>
                </w:tcPr>
                <w:p w14:paraId="396F7F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color w:val="auto"/>
                      <w:spacing w:val="0"/>
                      <w:position w:val="0"/>
                      <w:sz w:val="21"/>
                      <w:szCs w:val="21"/>
                      <w:highlight w:val="none"/>
                      <w:lang w:val="en-US" w:eastAsia="zh-CN"/>
                    </w:rPr>
                  </w:pPr>
                  <w:r>
                    <w:rPr>
                      <w:rFonts w:hint="default"/>
                      <w:color w:val="auto"/>
                      <w:highlight w:val="none"/>
                    </w:rPr>
                    <w:t>项目</w:t>
                  </w:r>
                  <w:r>
                    <w:rPr>
                      <w:rFonts w:hint="default"/>
                      <w:color w:val="auto"/>
                      <w:szCs w:val="21"/>
                      <w:highlight w:val="none"/>
                    </w:rPr>
                    <w:t>占地为现有场地，</w:t>
                  </w:r>
                  <w:r>
                    <w:rPr>
                      <w:rFonts w:hint="default"/>
                      <w:color w:val="auto"/>
                      <w:highlight w:val="none"/>
                    </w:rPr>
                    <w:t>无生态环境保护目标</w:t>
                  </w:r>
                </w:p>
              </w:tc>
            </w:tr>
          </w:tbl>
          <w:p w14:paraId="662C63A7">
            <w:pPr>
              <w:pStyle w:val="41"/>
              <w:keepNext w:val="0"/>
              <w:keepLines w:val="0"/>
              <w:suppressLineNumbers w:val="0"/>
              <w:spacing w:before="0" w:beforeAutospacing="0" w:after="0" w:afterAutospacing="0"/>
              <w:ind w:left="0" w:right="0"/>
              <w:rPr>
                <w:rFonts w:hint="default" w:ascii="Times New Roman" w:hAnsi="Times New Roman" w:eastAsia="宋体" w:cs="Times New Roman"/>
                <w:color w:val="auto"/>
                <w:spacing w:val="0"/>
                <w:kern w:val="0"/>
                <w:position w:val="0"/>
                <w:szCs w:val="21"/>
                <w:highlight w:val="none"/>
                <w:lang w:eastAsia="zh-CN"/>
              </w:rPr>
            </w:pPr>
          </w:p>
        </w:tc>
      </w:tr>
      <w:tr w14:paraId="0F5030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0" w:type="pct"/>
            <w:tcMar>
              <w:left w:w="28" w:type="dxa"/>
              <w:right w:w="28" w:type="dxa"/>
            </w:tcMar>
            <w:vAlign w:val="center"/>
          </w:tcPr>
          <w:p w14:paraId="6E9C2D9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pacing w:val="0"/>
                <w:kern w:val="0"/>
                <w:position w:val="0"/>
                <w:szCs w:val="21"/>
                <w:highlight w:val="none"/>
              </w:rPr>
            </w:pPr>
            <w:r>
              <w:rPr>
                <w:rFonts w:hint="default" w:ascii="Times New Roman" w:hAnsi="Times New Roman" w:cs="Times New Roman"/>
                <w:b w:val="0"/>
                <w:bCs w:val="0"/>
                <w:color w:val="auto"/>
                <w:spacing w:val="0"/>
                <w:kern w:val="0"/>
                <w:position w:val="0"/>
                <w:szCs w:val="21"/>
                <w:highlight w:val="none"/>
              </w:rPr>
              <w:t>污染物排放控制标准</w:t>
            </w:r>
          </w:p>
        </w:tc>
        <w:tc>
          <w:tcPr>
            <w:tcW w:w="4669" w:type="pct"/>
            <w:vAlign w:val="center"/>
          </w:tcPr>
          <w:p w14:paraId="361B5B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rPr>
            </w:pPr>
            <w:r>
              <w:rPr>
                <w:rFonts w:hint="eastAsia" w:cs="Times New Roman"/>
                <w:b/>
                <w:bCs w:val="0"/>
                <w:color w:val="auto"/>
                <w:spacing w:val="0"/>
                <w:position w:val="0"/>
                <w:sz w:val="24"/>
                <w:szCs w:val="24"/>
                <w:highlight w:val="none"/>
                <w:lang w:val="en-US" w:eastAsia="zh-CN"/>
              </w:rPr>
              <w:t>1、</w:t>
            </w:r>
            <w:r>
              <w:rPr>
                <w:rFonts w:hint="default" w:ascii="Times New Roman" w:hAnsi="Times New Roman" w:eastAsia="宋体" w:cs="Times New Roman"/>
                <w:b/>
                <w:bCs/>
                <w:color w:val="auto"/>
                <w:spacing w:val="0"/>
                <w:kern w:val="0"/>
                <w:position w:val="0"/>
                <w:sz w:val="24"/>
                <w:szCs w:val="24"/>
                <w:highlight w:val="none"/>
                <w:lang w:val="en-US" w:eastAsia="zh-CN"/>
              </w:rPr>
              <w:t>废气</w:t>
            </w:r>
          </w:p>
          <w:p w14:paraId="245FCF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本项目上料、热压成型、出料废气产生的颗粒物</w:t>
            </w:r>
            <w:bookmarkStart w:id="11" w:name="_Hlk152863342"/>
            <w:r>
              <w:rPr>
                <w:rFonts w:hint="default"/>
                <w:color w:val="auto"/>
                <w:sz w:val="24"/>
                <w:highlight w:val="none"/>
                <w:lang w:val="zh-CN"/>
              </w:rPr>
              <w:t>参照执行《钢铁工业大气污染物排放标准》</w:t>
            </w:r>
            <w:r>
              <w:rPr>
                <w:rFonts w:hint="eastAsia"/>
                <w:color w:val="auto"/>
                <w:sz w:val="24"/>
                <w:highlight w:val="none"/>
                <w:lang w:val="zh-CN"/>
              </w:rPr>
              <w:t>（</w:t>
            </w:r>
            <w:r>
              <w:rPr>
                <w:rFonts w:hint="default"/>
                <w:color w:val="auto"/>
                <w:sz w:val="24"/>
                <w:highlight w:val="none"/>
                <w:lang w:val="zh-CN"/>
              </w:rPr>
              <w:t>DB14/2249-2020</w:t>
            </w:r>
            <w:r>
              <w:rPr>
                <w:rFonts w:hint="eastAsia"/>
                <w:color w:val="auto"/>
                <w:sz w:val="24"/>
                <w:highlight w:val="none"/>
                <w:lang w:val="zh-CN"/>
              </w:rPr>
              <w:t>）</w:t>
            </w:r>
            <w:r>
              <w:rPr>
                <w:rFonts w:hint="default"/>
                <w:color w:val="auto"/>
                <w:sz w:val="24"/>
                <w:highlight w:val="none"/>
                <w:lang w:val="zh-CN"/>
              </w:rPr>
              <w:t>表1炼钢其他生产设施排放限值</w:t>
            </w:r>
            <w:bookmarkEnd w:id="11"/>
            <w:r>
              <w:rPr>
                <w:rFonts w:hint="eastAsia"/>
                <w:color w:val="auto"/>
                <w:sz w:val="24"/>
                <w:highlight w:val="none"/>
                <w:lang w:val="zh-CN"/>
              </w:rPr>
              <w:t>。</w:t>
            </w:r>
          </w:p>
          <w:p w14:paraId="250489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pacing w:val="0"/>
                <w:position w:val="0"/>
                <w:sz w:val="24"/>
                <w:highlight w:val="none"/>
              </w:rPr>
            </w:pPr>
            <w:r>
              <w:rPr>
                <w:rFonts w:hint="default" w:ascii="Times New Roman" w:hAnsi="Times New Roman" w:cs="Times New Roman"/>
                <w:color w:val="auto"/>
                <w:sz w:val="24"/>
                <w:szCs w:val="24"/>
                <w:highlight w:val="none"/>
                <w:lang w:val="en-US" w:eastAsia="zh-CN"/>
              </w:rPr>
              <w:t>回转窑</w:t>
            </w:r>
            <w:r>
              <w:rPr>
                <w:rFonts w:hint="eastAsia" w:ascii="Times New Roman" w:hAnsi="Times New Roman" w:cs="Times New Roman"/>
                <w:color w:val="auto"/>
                <w:sz w:val="24"/>
                <w:szCs w:val="24"/>
                <w:highlight w:val="none"/>
                <w:lang w:val="en-US" w:eastAsia="zh-CN"/>
              </w:rPr>
              <w:t>加热产生的</w:t>
            </w:r>
            <w:r>
              <w:rPr>
                <w:rFonts w:hint="default" w:ascii="Times New Roman" w:hAnsi="Times New Roman" w:cs="Times New Roman"/>
                <w:color w:val="auto"/>
                <w:sz w:val="24"/>
                <w:szCs w:val="24"/>
                <w:highlight w:val="none"/>
                <w:lang w:val="en-US" w:eastAsia="zh-CN"/>
              </w:rPr>
              <w:t>颗粒物、SO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、NOx</w:t>
            </w:r>
            <w:r>
              <w:rPr>
                <w:rFonts w:hint="default" w:ascii="Times New Roman" w:hAnsi="Times New Roman" w:cs="Times New Roman"/>
                <w:color w:val="auto"/>
                <w:sz w:val="24"/>
                <w:szCs w:val="24"/>
                <w:highlight w:val="none"/>
                <w:lang w:val="zh-CN"/>
              </w:rPr>
              <w:t>排放浓度参照执行《长治市人民政府办公室关于印发长治市大气和水污染物排放管控要求的通知》（长政办规〔2023〕1号）</w:t>
            </w:r>
            <w:r>
              <w:rPr>
                <w:rFonts w:hint="default" w:ascii="Times New Roman" w:hAnsi="Times New Roman" w:cs="Times New Roman"/>
                <w:color w:val="auto"/>
                <w:sz w:val="24"/>
                <w:szCs w:val="24"/>
                <w:highlight w:val="none"/>
                <w:lang w:val="en-US" w:eastAsia="zh-CN"/>
              </w:rPr>
              <w:t>钢铁</w:t>
            </w:r>
            <w:r>
              <w:rPr>
                <w:rFonts w:hint="default" w:ascii="Times New Roman" w:hAnsi="Times New Roman" w:cs="Times New Roman"/>
                <w:color w:val="auto"/>
                <w:sz w:val="24"/>
                <w:szCs w:val="24"/>
                <w:highlight w:val="none"/>
                <w:lang w:val="zh-CN"/>
              </w:rPr>
              <w:t>行业管控要求</w:t>
            </w:r>
            <w:r>
              <w:rPr>
                <w:rFonts w:hint="default" w:ascii="Times New Roman" w:hAnsi="Times New Roman" w:cs="Times New Roman"/>
                <w:color w:val="auto"/>
                <w:sz w:val="24"/>
                <w:szCs w:val="24"/>
                <w:highlight w:val="none"/>
                <w:lang w:val="en-US" w:eastAsia="zh-CN"/>
              </w:rPr>
              <w:t>加热炉</w:t>
            </w:r>
            <w:r>
              <w:rPr>
                <w:rFonts w:hint="default" w:ascii="Times New Roman" w:hAnsi="Times New Roman" w:cs="Times New Roman"/>
                <w:color w:val="auto"/>
                <w:sz w:val="24"/>
                <w:szCs w:val="24"/>
                <w:highlight w:val="none"/>
                <w:lang w:val="zh-CN"/>
              </w:rPr>
              <w:t>限值要求，</w:t>
            </w:r>
            <w:r>
              <w:rPr>
                <w:rFonts w:hint="default"/>
                <w:color w:val="auto"/>
                <w:sz w:val="24"/>
                <w:highlight w:val="none"/>
                <w:lang w:val="zh-CN"/>
              </w:rPr>
              <w:t>具体数值见表3-</w:t>
            </w:r>
            <w:r>
              <w:rPr>
                <w:rFonts w:hint="eastAsia"/>
                <w:color w:val="auto"/>
                <w:sz w:val="24"/>
                <w:highlight w:val="none"/>
                <w:lang w:val="en-US" w:eastAsia="zh-CN"/>
              </w:rPr>
              <w:t>4、表3-5</w:t>
            </w:r>
            <w:r>
              <w:rPr>
                <w:rFonts w:hint="default"/>
                <w:color w:val="auto"/>
                <w:sz w:val="24"/>
                <w:highlight w:val="none"/>
                <w:lang w:val="zh-CN"/>
              </w:rPr>
              <w:t>。</w:t>
            </w:r>
          </w:p>
          <w:p w14:paraId="2837A3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cs="Times New Roman"/>
                <w:b/>
                <w:bCs w:val="0"/>
                <w:color w:val="auto"/>
                <w:spacing w:val="0"/>
                <w:position w:val="0"/>
                <w:sz w:val="21"/>
                <w:szCs w:val="16"/>
                <w:highlight w:val="none"/>
                <w:lang w:val="en-US" w:eastAsia="zh-CN"/>
              </w:rPr>
              <w:t>-4  《钢铁工业大气污染物排放标准》（DB14/2249-2020）</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5"/>
              <w:gridCol w:w="3026"/>
              <w:gridCol w:w="3026"/>
            </w:tblGrid>
            <w:tr w14:paraId="3870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25" w:type="dxa"/>
                  <w:vAlign w:val="center"/>
                </w:tcPr>
                <w:p w14:paraId="44B5F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vertAlign w:val="baseline"/>
                      <w:lang w:val="en-US" w:eastAsia="zh-CN"/>
                    </w:rPr>
                  </w:pPr>
                  <w:r>
                    <w:rPr>
                      <w:rFonts w:hint="default" w:ascii="Times New Roman" w:hAnsi="Times New Roman" w:cs="Times New Roman"/>
                      <w:b/>
                      <w:bCs w:val="0"/>
                      <w:color w:val="auto"/>
                      <w:spacing w:val="0"/>
                      <w:position w:val="0"/>
                      <w:sz w:val="21"/>
                      <w:szCs w:val="16"/>
                      <w:highlight w:val="none"/>
                      <w:vertAlign w:val="baseline"/>
                      <w:lang w:val="en-US" w:eastAsia="zh-CN"/>
                    </w:rPr>
                    <w:t>生产工序</w:t>
                  </w:r>
                </w:p>
              </w:tc>
              <w:tc>
                <w:tcPr>
                  <w:tcW w:w="3026" w:type="dxa"/>
                  <w:vAlign w:val="center"/>
                </w:tcPr>
                <w:p w14:paraId="3100C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default" w:ascii="Times New Roman" w:hAnsi="Times New Roman" w:cs="Times New Roman"/>
                      <w:b/>
                      <w:bCs w:val="0"/>
                      <w:color w:val="auto"/>
                      <w:spacing w:val="0"/>
                      <w:position w:val="0"/>
                      <w:sz w:val="21"/>
                      <w:szCs w:val="16"/>
                      <w:highlight w:val="none"/>
                      <w:vertAlign w:val="baseline"/>
                      <w:lang w:val="en-US" w:eastAsia="zh-CN"/>
                    </w:rPr>
                  </w:pPr>
                  <w:r>
                    <w:rPr>
                      <w:rFonts w:hint="default" w:ascii="Times New Roman" w:hAnsi="Times New Roman" w:cs="Times New Roman"/>
                      <w:b/>
                      <w:bCs w:val="0"/>
                      <w:color w:val="auto"/>
                      <w:spacing w:val="0"/>
                      <w:position w:val="0"/>
                      <w:sz w:val="21"/>
                      <w:szCs w:val="16"/>
                      <w:highlight w:val="none"/>
                      <w:vertAlign w:val="baseline"/>
                      <w:lang w:val="en-US" w:eastAsia="zh-CN"/>
                    </w:rPr>
                    <w:t>污染物</w:t>
                  </w:r>
                </w:p>
              </w:tc>
              <w:tc>
                <w:tcPr>
                  <w:tcW w:w="3026" w:type="dxa"/>
                  <w:vAlign w:val="center"/>
                </w:tcPr>
                <w:p w14:paraId="6CB70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vertAlign w:val="baseline"/>
                      <w:lang w:val="en-US" w:eastAsia="zh-CN"/>
                    </w:rPr>
                  </w:pPr>
                  <w:r>
                    <w:rPr>
                      <w:rFonts w:hint="default" w:ascii="Times New Roman" w:hAnsi="Times New Roman" w:cs="Times New Roman"/>
                      <w:b/>
                      <w:bCs w:val="0"/>
                      <w:color w:val="auto"/>
                      <w:spacing w:val="0"/>
                      <w:position w:val="0"/>
                      <w:sz w:val="21"/>
                      <w:szCs w:val="16"/>
                      <w:highlight w:val="none"/>
                      <w:vertAlign w:val="baseline"/>
                      <w:lang w:val="en-US" w:eastAsia="zh-CN"/>
                    </w:rPr>
                    <w:t>排放限值</w:t>
                  </w:r>
                  <w:r>
                    <w:rPr>
                      <w:rFonts w:hint="default" w:ascii="Times New Roman" w:hAnsi="Times New Roman" w:cs="Times New Roman"/>
                      <w:b/>
                      <w:bCs/>
                      <w:color w:val="auto"/>
                      <w:spacing w:val="0"/>
                      <w:position w:val="0"/>
                      <w:sz w:val="21"/>
                      <w:szCs w:val="21"/>
                      <w:highlight w:val="none"/>
                      <w:lang w:val="en-US" w:eastAsia="zh-CN"/>
                    </w:rPr>
                    <w:t>（mg/m</w:t>
                  </w:r>
                  <w:r>
                    <w:rPr>
                      <w:rFonts w:hint="default" w:ascii="Times New Roman" w:hAnsi="Times New Roman" w:cs="Times New Roman"/>
                      <w:b/>
                      <w:bCs/>
                      <w:color w:val="auto"/>
                      <w:spacing w:val="0"/>
                      <w:position w:val="0"/>
                      <w:sz w:val="21"/>
                      <w:szCs w:val="21"/>
                      <w:highlight w:val="none"/>
                      <w:vertAlign w:val="superscript"/>
                      <w:lang w:val="en-US" w:eastAsia="zh-CN"/>
                    </w:rPr>
                    <w:t>3</w:t>
                  </w:r>
                  <w:r>
                    <w:rPr>
                      <w:rFonts w:hint="default" w:ascii="Times New Roman" w:hAnsi="Times New Roman" w:cs="Times New Roman"/>
                      <w:b/>
                      <w:bCs/>
                      <w:color w:val="auto"/>
                      <w:spacing w:val="0"/>
                      <w:position w:val="0"/>
                      <w:sz w:val="21"/>
                      <w:szCs w:val="21"/>
                      <w:highlight w:val="none"/>
                      <w:lang w:val="en-US" w:eastAsia="zh-CN"/>
                    </w:rPr>
                    <w:t>）</w:t>
                  </w:r>
                </w:p>
              </w:tc>
            </w:tr>
            <w:tr w14:paraId="19B9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25" w:type="dxa"/>
                  <w:vAlign w:val="center"/>
                </w:tcPr>
                <w:p w14:paraId="494A33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vertAlign w:val="baseline"/>
                      <w:lang w:val="en-US" w:eastAsia="zh-CN"/>
                    </w:rPr>
                  </w:pPr>
                  <w:r>
                    <w:rPr>
                      <w:rFonts w:hint="default" w:ascii="Times New Roman" w:hAnsi="Times New Roman" w:cs="Times New Roman"/>
                      <w:b w:val="0"/>
                      <w:bCs/>
                      <w:color w:val="auto"/>
                      <w:spacing w:val="0"/>
                      <w:position w:val="0"/>
                      <w:sz w:val="21"/>
                      <w:szCs w:val="16"/>
                      <w:highlight w:val="none"/>
                      <w:vertAlign w:val="baseline"/>
                      <w:lang w:val="en-US" w:eastAsia="zh-CN"/>
                    </w:rPr>
                    <w:t>上料、热压成型、出料</w:t>
                  </w:r>
                </w:p>
              </w:tc>
              <w:tc>
                <w:tcPr>
                  <w:tcW w:w="3026" w:type="dxa"/>
                  <w:vAlign w:val="center"/>
                </w:tcPr>
                <w:p w14:paraId="5BFAD8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vertAlign w:val="baseline"/>
                      <w:lang w:val="en-US" w:eastAsia="zh-CN"/>
                    </w:rPr>
                  </w:pPr>
                  <w:r>
                    <w:rPr>
                      <w:rFonts w:hint="default" w:ascii="Times New Roman" w:hAnsi="Times New Roman" w:cs="Times New Roman"/>
                      <w:color w:val="auto"/>
                      <w:highlight w:val="none"/>
                    </w:rPr>
                    <w:t>颗粒物</w:t>
                  </w:r>
                </w:p>
              </w:tc>
              <w:tc>
                <w:tcPr>
                  <w:tcW w:w="3026" w:type="dxa"/>
                  <w:vAlign w:val="center"/>
                </w:tcPr>
                <w:p w14:paraId="76E49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vertAlign w:val="baseline"/>
                      <w:lang w:val="en-US" w:eastAsia="zh-CN"/>
                    </w:rPr>
                  </w:pPr>
                  <w:r>
                    <w:rPr>
                      <w:rFonts w:hint="default" w:ascii="Times New Roman" w:hAnsi="Times New Roman" w:cs="Times New Roman"/>
                      <w:b w:val="0"/>
                      <w:bCs/>
                      <w:color w:val="auto"/>
                      <w:spacing w:val="0"/>
                      <w:position w:val="0"/>
                      <w:sz w:val="21"/>
                      <w:szCs w:val="16"/>
                      <w:highlight w:val="none"/>
                      <w:vertAlign w:val="baseline"/>
                      <w:lang w:val="en-US" w:eastAsia="zh-CN"/>
                    </w:rPr>
                    <w:t>10</w:t>
                  </w:r>
                </w:p>
              </w:tc>
            </w:tr>
          </w:tbl>
          <w:p w14:paraId="40ED5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cs="Times New Roman"/>
                <w:b/>
                <w:bCs w:val="0"/>
                <w:color w:val="auto"/>
                <w:spacing w:val="0"/>
                <w:position w:val="0"/>
                <w:sz w:val="21"/>
                <w:szCs w:val="16"/>
                <w:highlight w:val="none"/>
                <w:lang w:val="en-US" w:eastAsia="zh-CN"/>
              </w:rPr>
              <w:t>-5</w:t>
            </w:r>
            <w:r>
              <w:rPr>
                <w:rFonts w:hint="default" w:ascii="Times New Roman" w:hAnsi="Times New Roman" w:eastAsia="宋体" w:cs="Times New Roman"/>
                <w:b/>
                <w:bCs w:val="0"/>
                <w:color w:val="auto"/>
                <w:spacing w:val="0"/>
                <w:position w:val="0"/>
                <w:sz w:val="21"/>
                <w:szCs w:val="16"/>
                <w:highlight w:val="none"/>
                <w:lang w:val="en-US" w:eastAsia="zh-CN"/>
              </w:rPr>
              <w:t xml:space="preserve">  （长政办规〔2023〕1号）钢铁行业管控要求加热炉限值要求</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486"/>
              <w:gridCol w:w="2018"/>
              <w:gridCol w:w="3730"/>
            </w:tblGrid>
            <w:tr w14:paraId="203C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3" w:type="pct"/>
                  <w:tcBorders>
                    <w:tl2br w:val="nil"/>
                    <w:tr2bl w:val="nil"/>
                  </w:tcBorders>
                  <w:vAlign w:val="center"/>
                </w:tcPr>
                <w:p w14:paraId="6C0FD3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firstLine="0" w:firstLineChars="0"/>
                    <w:jc w:val="center"/>
                    <w:textAlignment w:val="auto"/>
                    <w:outlineLvl w:val="9"/>
                    <w:rPr>
                      <w:rFonts w:hint="eastAsia" w:ascii="Times New Roman" w:hAnsi="Times New Roman" w:eastAsia="宋体" w:cs="Times New Roman"/>
                      <w:b/>
                      <w:bCs/>
                      <w:color w:val="auto"/>
                      <w:spacing w:val="0"/>
                      <w:kern w:val="2"/>
                      <w:position w:val="0"/>
                      <w:sz w:val="21"/>
                      <w:szCs w:val="21"/>
                      <w:highlight w:val="none"/>
                      <w:lang w:val="en-US" w:eastAsia="zh-CN" w:bidi="ar-SA"/>
                    </w:rPr>
                  </w:pPr>
                  <w:r>
                    <w:rPr>
                      <w:rFonts w:hint="eastAsia"/>
                      <w:b/>
                      <w:bCs/>
                      <w:color w:val="auto"/>
                      <w:highlight w:val="none"/>
                      <w:lang w:val="en-US" w:eastAsia="zh-CN"/>
                    </w:rPr>
                    <w:t>类别</w:t>
                  </w:r>
                </w:p>
              </w:tc>
              <w:tc>
                <w:tcPr>
                  <w:tcW w:w="819" w:type="pct"/>
                  <w:tcBorders>
                    <w:tl2br w:val="nil"/>
                    <w:tr2bl w:val="nil"/>
                  </w:tcBorders>
                  <w:vAlign w:val="center"/>
                </w:tcPr>
                <w:p w14:paraId="4D72B6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firstLine="0" w:firstLineChars="0"/>
                    <w:jc w:val="center"/>
                    <w:textAlignment w:val="auto"/>
                    <w:outlineLvl w:val="9"/>
                    <w:rPr>
                      <w:rFonts w:hint="default"/>
                      <w:b/>
                      <w:bCs/>
                      <w:color w:val="auto"/>
                      <w:highlight w:val="none"/>
                      <w:lang w:val="en-US" w:eastAsia="zh-CN"/>
                    </w:rPr>
                  </w:pPr>
                  <w:r>
                    <w:rPr>
                      <w:rFonts w:hint="eastAsia"/>
                      <w:b/>
                      <w:bCs/>
                      <w:color w:val="auto"/>
                      <w:highlight w:val="none"/>
                      <w:lang w:val="en-US" w:eastAsia="zh-CN"/>
                    </w:rPr>
                    <w:t>工段</w:t>
                  </w:r>
                </w:p>
              </w:tc>
              <w:tc>
                <w:tcPr>
                  <w:tcW w:w="1112" w:type="pct"/>
                  <w:tcBorders>
                    <w:tl2br w:val="nil"/>
                    <w:tr2bl w:val="nil"/>
                  </w:tcBorders>
                  <w:vAlign w:val="center"/>
                </w:tcPr>
                <w:p w14:paraId="33BCD8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
                      <w:position w:val="0"/>
                      <w:sz w:val="21"/>
                      <w:szCs w:val="21"/>
                      <w:highlight w:val="none"/>
                      <w:lang w:val="en-US" w:eastAsia="zh-CN" w:bidi="ar-SA"/>
                    </w:rPr>
                  </w:pPr>
                  <w:r>
                    <w:rPr>
                      <w:rFonts w:hint="default" w:ascii="Times New Roman" w:hAnsi="Times New Roman" w:cs="Times New Roman"/>
                      <w:b/>
                      <w:bCs/>
                      <w:color w:val="auto"/>
                      <w:spacing w:val="0"/>
                      <w:position w:val="0"/>
                      <w:sz w:val="21"/>
                      <w:szCs w:val="21"/>
                      <w:highlight w:val="none"/>
                    </w:rPr>
                    <w:t>污染物</w:t>
                  </w:r>
                </w:p>
              </w:tc>
              <w:tc>
                <w:tcPr>
                  <w:tcW w:w="2055" w:type="pct"/>
                  <w:tcBorders>
                    <w:tl2br w:val="nil"/>
                    <w:tr2bl w:val="nil"/>
                  </w:tcBorders>
                  <w:vAlign w:val="center"/>
                </w:tcPr>
                <w:p w14:paraId="5A25D0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leftChars="0" w:right="0" w:rightChars="0" w:firstLine="0" w:firstLineChars="0"/>
                    <w:jc w:val="center"/>
                    <w:textAlignment w:val="auto"/>
                    <w:outlineLvl w:val="9"/>
                    <w:rPr>
                      <w:rFonts w:hint="default" w:ascii="Times New Roman" w:hAnsi="Times New Roman" w:eastAsia="宋体" w:cs="Times New Roman"/>
                      <w:b/>
                      <w:bCs/>
                      <w:color w:val="auto"/>
                      <w:spacing w:val="0"/>
                      <w:kern w:val="2"/>
                      <w:position w:val="0"/>
                      <w:sz w:val="21"/>
                      <w:szCs w:val="21"/>
                      <w:highlight w:val="none"/>
                      <w:lang w:val="en-US" w:eastAsia="zh-CN" w:bidi="ar-SA"/>
                    </w:rPr>
                  </w:pPr>
                  <w:r>
                    <w:rPr>
                      <w:rFonts w:hint="eastAsia" w:cs="Times New Roman"/>
                      <w:b/>
                      <w:bCs/>
                      <w:color w:val="auto"/>
                      <w:spacing w:val="0"/>
                      <w:position w:val="0"/>
                      <w:sz w:val="21"/>
                      <w:szCs w:val="21"/>
                      <w:highlight w:val="none"/>
                      <w:lang w:val="en-US" w:eastAsia="zh-CN"/>
                    </w:rPr>
                    <w:t>最高允许</w:t>
                  </w:r>
                  <w:r>
                    <w:rPr>
                      <w:rFonts w:hint="default" w:ascii="Times New Roman" w:hAnsi="Times New Roman" w:cs="Times New Roman"/>
                      <w:b/>
                      <w:bCs/>
                      <w:color w:val="auto"/>
                      <w:spacing w:val="0"/>
                      <w:position w:val="0"/>
                      <w:sz w:val="21"/>
                      <w:szCs w:val="21"/>
                      <w:highlight w:val="none"/>
                      <w:lang w:val="en-US" w:eastAsia="zh-CN"/>
                    </w:rPr>
                    <w:t>排放浓度（mg/m</w:t>
                  </w:r>
                  <w:r>
                    <w:rPr>
                      <w:rFonts w:hint="default" w:ascii="Times New Roman" w:hAnsi="Times New Roman" w:cs="Times New Roman"/>
                      <w:b/>
                      <w:bCs/>
                      <w:color w:val="auto"/>
                      <w:spacing w:val="0"/>
                      <w:position w:val="0"/>
                      <w:sz w:val="21"/>
                      <w:szCs w:val="21"/>
                      <w:highlight w:val="none"/>
                      <w:vertAlign w:val="superscript"/>
                      <w:lang w:val="en-US" w:eastAsia="zh-CN"/>
                    </w:rPr>
                    <w:t>3</w:t>
                  </w:r>
                  <w:r>
                    <w:rPr>
                      <w:rFonts w:hint="default" w:ascii="Times New Roman" w:hAnsi="Times New Roman" w:cs="Times New Roman"/>
                      <w:b/>
                      <w:bCs/>
                      <w:color w:val="auto"/>
                      <w:spacing w:val="0"/>
                      <w:position w:val="0"/>
                      <w:sz w:val="21"/>
                      <w:szCs w:val="21"/>
                      <w:highlight w:val="none"/>
                      <w:lang w:val="en-US" w:eastAsia="zh-CN"/>
                    </w:rPr>
                    <w:t>）</w:t>
                  </w:r>
                </w:p>
              </w:tc>
            </w:tr>
            <w:tr w14:paraId="310D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3" w:type="pct"/>
                  <w:vMerge w:val="restart"/>
                  <w:tcBorders>
                    <w:tl2br w:val="nil"/>
                    <w:tr2bl w:val="nil"/>
                  </w:tcBorders>
                  <w:vAlign w:val="center"/>
                </w:tcPr>
                <w:p w14:paraId="06885950">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b w:val="0"/>
                      <w:bCs w:val="0"/>
                      <w:color w:val="auto"/>
                      <w:spacing w:val="0"/>
                      <w:position w:val="0"/>
                      <w:sz w:val="21"/>
                      <w:szCs w:val="21"/>
                      <w:highlight w:val="none"/>
                      <w:lang w:val="en-US" w:eastAsia="zh-CN"/>
                    </w:rPr>
                  </w:pPr>
                  <w:r>
                    <w:rPr>
                      <w:rFonts w:hint="eastAsia" w:cs="Times New Roman"/>
                      <w:b w:val="0"/>
                      <w:bCs w:val="0"/>
                      <w:color w:val="auto"/>
                      <w:spacing w:val="0"/>
                      <w:position w:val="0"/>
                      <w:sz w:val="21"/>
                      <w:szCs w:val="21"/>
                      <w:highlight w:val="none"/>
                      <w:lang w:val="en-US" w:eastAsia="zh-CN"/>
                    </w:rPr>
                    <w:t>有组织排放要求</w:t>
                  </w:r>
                </w:p>
              </w:tc>
              <w:tc>
                <w:tcPr>
                  <w:tcW w:w="819" w:type="pct"/>
                  <w:vMerge w:val="restart"/>
                  <w:tcBorders>
                    <w:tl2br w:val="nil"/>
                    <w:tr2bl w:val="nil"/>
                  </w:tcBorders>
                  <w:vAlign w:val="center"/>
                </w:tcPr>
                <w:p w14:paraId="41F2EAAE">
                  <w:pPr>
                    <w:keepNext w:val="0"/>
                    <w:keepLines w:val="0"/>
                    <w:suppressLineNumbers w:val="0"/>
                    <w:adjustRightInd w:val="0"/>
                    <w:spacing w:before="0" w:beforeAutospacing="0" w:after="0" w:afterAutospacing="0"/>
                    <w:ind w:left="0" w:right="0"/>
                    <w:jc w:val="center"/>
                    <w:rPr>
                      <w:rFonts w:hint="default" w:cs="Times New Roman"/>
                      <w:b w:val="0"/>
                      <w:bCs w:val="0"/>
                      <w:color w:val="auto"/>
                      <w:spacing w:val="0"/>
                      <w:position w:val="0"/>
                      <w:sz w:val="21"/>
                      <w:szCs w:val="21"/>
                      <w:highlight w:val="none"/>
                      <w:lang w:val="en-US" w:eastAsia="zh-CN"/>
                    </w:rPr>
                  </w:pPr>
                  <w:r>
                    <w:rPr>
                      <w:rFonts w:hint="eastAsia" w:cs="Times New Roman"/>
                      <w:b w:val="0"/>
                      <w:bCs w:val="0"/>
                      <w:color w:val="auto"/>
                      <w:spacing w:val="0"/>
                      <w:position w:val="0"/>
                      <w:sz w:val="21"/>
                      <w:szCs w:val="21"/>
                      <w:highlight w:val="none"/>
                      <w:lang w:val="en-US" w:eastAsia="zh-CN"/>
                    </w:rPr>
                    <w:t>加热炉</w:t>
                  </w:r>
                </w:p>
              </w:tc>
              <w:tc>
                <w:tcPr>
                  <w:tcW w:w="1112" w:type="pct"/>
                  <w:tcBorders>
                    <w:tl2br w:val="nil"/>
                    <w:tr2bl w:val="nil"/>
                  </w:tcBorders>
                  <w:vAlign w:val="center"/>
                </w:tcPr>
                <w:p w14:paraId="1B36B045">
                  <w:pPr>
                    <w:keepNext w:val="0"/>
                    <w:keepLines w:val="0"/>
                    <w:suppressLineNumbers w:val="0"/>
                    <w:adjustRightInd w:val="0"/>
                    <w:spacing w:before="0" w:beforeAutospacing="0" w:after="0" w:afterAutospacing="0"/>
                    <w:ind w:left="0" w:right="0"/>
                    <w:jc w:val="center"/>
                    <w:rPr>
                      <w:rFonts w:hint="eastAsia" w:eastAsia="宋体" w:cs="Times New Roman"/>
                      <w:b/>
                      <w:bCs/>
                      <w:color w:val="auto"/>
                      <w:spacing w:val="0"/>
                      <w:position w:val="0"/>
                      <w:sz w:val="21"/>
                      <w:szCs w:val="21"/>
                      <w:highlight w:val="none"/>
                      <w:lang w:val="en-US" w:eastAsia="zh-CN"/>
                    </w:rPr>
                  </w:pPr>
                  <w:r>
                    <w:rPr>
                      <w:rFonts w:hint="eastAsia"/>
                      <w:color w:val="auto"/>
                      <w:highlight w:val="none"/>
                      <w:lang w:val="en-US" w:eastAsia="zh-CN"/>
                    </w:rPr>
                    <w:t>烟尘</w:t>
                  </w:r>
                </w:p>
              </w:tc>
              <w:tc>
                <w:tcPr>
                  <w:tcW w:w="2055" w:type="pct"/>
                  <w:tcBorders>
                    <w:tl2br w:val="nil"/>
                    <w:tr2bl w:val="nil"/>
                  </w:tcBorders>
                  <w:vAlign w:val="center"/>
                </w:tcPr>
                <w:p w14:paraId="484F3B1D">
                  <w:pPr>
                    <w:keepNext w:val="0"/>
                    <w:keepLines w:val="0"/>
                    <w:suppressLineNumbers w:val="0"/>
                    <w:adjustRightInd w:val="0"/>
                    <w:spacing w:before="0" w:beforeAutospacing="0" w:after="0" w:afterAutospacing="0"/>
                    <w:ind w:left="0" w:right="0"/>
                    <w:jc w:val="center"/>
                    <w:rPr>
                      <w:rFonts w:hint="eastAsia" w:ascii="Times New Roman" w:hAnsi="Times New Roman" w:eastAsia="宋体" w:cs="Times New Roman"/>
                      <w:b/>
                      <w:bCs/>
                      <w:color w:val="auto"/>
                      <w:spacing w:val="0"/>
                      <w:position w:val="0"/>
                      <w:sz w:val="21"/>
                      <w:szCs w:val="21"/>
                      <w:highlight w:val="none"/>
                      <w:lang w:val="en-US" w:eastAsia="zh-CN"/>
                    </w:rPr>
                  </w:pPr>
                  <w:r>
                    <w:rPr>
                      <w:rFonts w:hint="eastAsia"/>
                      <w:color w:val="auto"/>
                      <w:highlight w:val="none"/>
                      <w:lang w:val="en-US" w:eastAsia="zh-CN"/>
                    </w:rPr>
                    <w:t>5</w:t>
                  </w:r>
                </w:p>
              </w:tc>
            </w:tr>
            <w:tr w14:paraId="2697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3" w:type="pct"/>
                  <w:vMerge w:val="continue"/>
                  <w:tcBorders>
                    <w:tl2br w:val="nil"/>
                    <w:tr2bl w:val="nil"/>
                  </w:tcBorders>
                  <w:vAlign w:val="center"/>
                </w:tcPr>
                <w:p w14:paraId="5442A96E">
                  <w:pPr>
                    <w:keepNext w:val="0"/>
                    <w:keepLines w:val="0"/>
                    <w:suppressLineNumbers w:val="0"/>
                    <w:adjustRightInd w:val="0"/>
                    <w:spacing w:before="0" w:beforeAutospacing="0" w:after="0" w:afterAutospacing="0"/>
                    <w:ind w:left="0" w:right="0"/>
                    <w:jc w:val="center"/>
                    <w:rPr>
                      <w:rFonts w:hint="default" w:ascii="Times New Roman" w:hAnsi="Times New Roman" w:cs="Times New Roman"/>
                      <w:b w:val="0"/>
                      <w:bCs w:val="0"/>
                      <w:color w:val="auto"/>
                      <w:spacing w:val="0"/>
                      <w:position w:val="0"/>
                      <w:sz w:val="21"/>
                      <w:szCs w:val="21"/>
                      <w:highlight w:val="none"/>
                    </w:rPr>
                  </w:pPr>
                </w:p>
              </w:tc>
              <w:tc>
                <w:tcPr>
                  <w:tcW w:w="819" w:type="pct"/>
                  <w:vMerge w:val="continue"/>
                  <w:tcBorders>
                    <w:tl2br w:val="nil"/>
                    <w:tr2bl w:val="nil"/>
                  </w:tcBorders>
                  <w:vAlign w:val="center"/>
                </w:tcPr>
                <w:p w14:paraId="635A7BF1">
                  <w:pPr>
                    <w:keepNext w:val="0"/>
                    <w:keepLines w:val="0"/>
                    <w:suppressLineNumbers w:val="0"/>
                    <w:adjustRightInd w:val="0"/>
                    <w:spacing w:before="0" w:beforeAutospacing="0" w:after="0" w:afterAutospacing="0"/>
                    <w:ind w:left="0" w:right="0"/>
                    <w:jc w:val="center"/>
                    <w:rPr>
                      <w:rFonts w:hint="default" w:ascii="Times New Roman" w:hAnsi="Times New Roman" w:cs="Times New Roman"/>
                      <w:b w:val="0"/>
                      <w:bCs w:val="0"/>
                      <w:color w:val="auto"/>
                      <w:spacing w:val="0"/>
                      <w:position w:val="0"/>
                      <w:sz w:val="21"/>
                      <w:szCs w:val="21"/>
                      <w:highlight w:val="none"/>
                    </w:rPr>
                  </w:pPr>
                </w:p>
              </w:tc>
              <w:tc>
                <w:tcPr>
                  <w:tcW w:w="1112" w:type="pct"/>
                  <w:tcBorders>
                    <w:tl2br w:val="nil"/>
                    <w:tr2bl w:val="nil"/>
                  </w:tcBorders>
                  <w:vAlign w:val="center"/>
                </w:tcPr>
                <w:p w14:paraId="77F9052C">
                  <w:pPr>
                    <w:keepNext w:val="0"/>
                    <w:keepLines w:val="0"/>
                    <w:suppressLineNumbers w:val="0"/>
                    <w:adjustRightInd w:val="0"/>
                    <w:spacing w:before="0" w:beforeAutospacing="0" w:after="0" w:afterAutospacing="0"/>
                    <w:ind w:left="0" w:right="0"/>
                    <w:jc w:val="center"/>
                    <w:rPr>
                      <w:rFonts w:hint="eastAsia" w:cs="Times New Roman"/>
                      <w:b/>
                      <w:bCs/>
                      <w:color w:val="auto"/>
                      <w:spacing w:val="0"/>
                      <w:position w:val="0"/>
                      <w:sz w:val="21"/>
                      <w:szCs w:val="21"/>
                      <w:highlight w:val="none"/>
                      <w:lang w:val="en-US" w:eastAsia="zh-CN"/>
                    </w:rPr>
                  </w:pPr>
                  <w:r>
                    <w:rPr>
                      <w:rFonts w:hint="default"/>
                      <w:color w:val="auto"/>
                      <w:highlight w:val="none"/>
                    </w:rPr>
                    <w:t>SO</w:t>
                  </w:r>
                  <w:r>
                    <w:rPr>
                      <w:rFonts w:hint="default"/>
                      <w:color w:val="auto"/>
                      <w:highlight w:val="none"/>
                      <w:vertAlign w:val="subscript"/>
                    </w:rPr>
                    <w:t>2</w:t>
                  </w:r>
                </w:p>
              </w:tc>
              <w:tc>
                <w:tcPr>
                  <w:tcW w:w="2055" w:type="pct"/>
                  <w:tcBorders>
                    <w:tl2br w:val="nil"/>
                    <w:tr2bl w:val="nil"/>
                  </w:tcBorders>
                  <w:vAlign w:val="center"/>
                </w:tcPr>
                <w:p w14:paraId="6F2C8934">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b/>
                      <w:bCs/>
                      <w:color w:val="auto"/>
                      <w:spacing w:val="0"/>
                      <w:position w:val="0"/>
                      <w:sz w:val="21"/>
                      <w:szCs w:val="21"/>
                      <w:highlight w:val="none"/>
                      <w:lang w:val="en-US" w:eastAsia="zh-CN"/>
                    </w:rPr>
                  </w:pPr>
                  <w:r>
                    <w:rPr>
                      <w:rFonts w:hint="eastAsia"/>
                      <w:color w:val="auto"/>
                      <w:highlight w:val="none"/>
                      <w:lang w:val="en-US" w:eastAsia="zh-CN"/>
                    </w:rPr>
                    <w:t>15</w:t>
                  </w:r>
                </w:p>
              </w:tc>
            </w:tr>
            <w:tr w14:paraId="11DD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3" w:type="pct"/>
                  <w:vMerge w:val="continue"/>
                  <w:tcBorders>
                    <w:tl2br w:val="nil"/>
                    <w:tr2bl w:val="nil"/>
                  </w:tcBorders>
                  <w:vAlign w:val="center"/>
                </w:tcPr>
                <w:p w14:paraId="76D8DA1A">
                  <w:pPr>
                    <w:keepNext w:val="0"/>
                    <w:keepLines w:val="0"/>
                    <w:suppressLineNumbers w:val="0"/>
                    <w:adjustRightInd w:val="0"/>
                    <w:spacing w:before="0" w:beforeAutospacing="0" w:after="0" w:afterAutospacing="0"/>
                    <w:ind w:left="0" w:right="0"/>
                    <w:jc w:val="center"/>
                    <w:rPr>
                      <w:rFonts w:hint="default" w:ascii="Times New Roman" w:hAnsi="Times New Roman" w:cs="Times New Roman"/>
                      <w:b w:val="0"/>
                      <w:bCs w:val="0"/>
                      <w:color w:val="auto"/>
                      <w:spacing w:val="0"/>
                      <w:position w:val="0"/>
                      <w:sz w:val="21"/>
                      <w:szCs w:val="21"/>
                      <w:highlight w:val="none"/>
                    </w:rPr>
                  </w:pPr>
                </w:p>
              </w:tc>
              <w:tc>
                <w:tcPr>
                  <w:tcW w:w="819" w:type="pct"/>
                  <w:vMerge w:val="continue"/>
                  <w:tcBorders>
                    <w:tl2br w:val="nil"/>
                    <w:tr2bl w:val="nil"/>
                  </w:tcBorders>
                  <w:vAlign w:val="center"/>
                </w:tcPr>
                <w:p w14:paraId="3C0D9D9F">
                  <w:pPr>
                    <w:keepNext w:val="0"/>
                    <w:keepLines w:val="0"/>
                    <w:suppressLineNumbers w:val="0"/>
                    <w:adjustRightInd w:val="0"/>
                    <w:spacing w:before="0" w:beforeAutospacing="0" w:after="0" w:afterAutospacing="0"/>
                    <w:ind w:left="0" w:right="0"/>
                    <w:jc w:val="center"/>
                    <w:rPr>
                      <w:rFonts w:hint="default" w:ascii="Times New Roman" w:hAnsi="Times New Roman" w:cs="Times New Roman"/>
                      <w:b w:val="0"/>
                      <w:bCs w:val="0"/>
                      <w:color w:val="auto"/>
                      <w:spacing w:val="0"/>
                      <w:position w:val="0"/>
                      <w:sz w:val="21"/>
                      <w:szCs w:val="21"/>
                      <w:highlight w:val="none"/>
                    </w:rPr>
                  </w:pPr>
                </w:p>
              </w:tc>
              <w:tc>
                <w:tcPr>
                  <w:tcW w:w="1112" w:type="pct"/>
                  <w:tcBorders>
                    <w:tl2br w:val="nil"/>
                    <w:tr2bl w:val="nil"/>
                  </w:tcBorders>
                  <w:vAlign w:val="center"/>
                </w:tcPr>
                <w:p w14:paraId="05E175BF">
                  <w:pPr>
                    <w:keepNext w:val="0"/>
                    <w:keepLines w:val="0"/>
                    <w:suppressLineNumbers w:val="0"/>
                    <w:adjustRightInd w:val="0"/>
                    <w:spacing w:before="0" w:beforeAutospacing="0" w:after="0" w:afterAutospacing="0"/>
                    <w:ind w:left="0" w:right="0"/>
                    <w:jc w:val="center"/>
                    <w:rPr>
                      <w:rFonts w:hint="eastAsia" w:cs="Times New Roman"/>
                      <w:b/>
                      <w:bCs/>
                      <w:color w:val="auto"/>
                      <w:spacing w:val="0"/>
                      <w:position w:val="0"/>
                      <w:sz w:val="21"/>
                      <w:szCs w:val="21"/>
                      <w:highlight w:val="none"/>
                      <w:lang w:val="en-US" w:eastAsia="zh-CN"/>
                    </w:rPr>
                  </w:pPr>
                  <w:r>
                    <w:rPr>
                      <w:rFonts w:hint="default"/>
                      <w:color w:val="auto"/>
                      <w:highlight w:val="none"/>
                    </w:rPr>
                    <w:t>NOx</w:t>
                  </w:r>
                </w:p>
              </w:tc>
              <w:tc>
                <w:tcPr>
                  <w:tcW w:w="2055" w:type="pct"/>
                  <w:tcBorders>
                    <w:tl2br w:val="nil"/>
                    <w:tr2bl w:val="nil"/>
                  </w:tcBorders>
                  <w:vAlign w:val="center"/>
                </w:tcPr>
                <w:p w14:paraId="6738A32A">
                  <w:pPr>
                    <w:keepNext w:val="0"/>
                    <w:keepLines w:val="0"/>
                    <w:suppressLineNumbers w:val="0"/>
                    <w:adjustRightInd w:val="0"/>
                    <w:spacing w:before="0" w:beforeAutospacing="0" w:after="0" w:afterAutospacing="0"/>
                    <w:ind w:left="0" w:right="0"/>
                    <w:jc w:val="center"/>
                    <w:rPr>
                      <w:rFonts w:hint="default" w:ascii="Times New Roman" w:hAnsi="Times New Roman" w:eastAsia="宋体" w:cs="Times New Roman"/>
                      <w:b/>
                      <w:bCs/>
                      <w:color w:val="auto"/>
                      <w:spacing w:val="0"/>
                      <w:position w:val="0"/>
                      <w:sz w:val="21"/>
                      <w:szCs w:val="21"/>
                      <w:highlight w:val="none"/>
                      <w:lang w:val="en-US" w:eastAsia="zh-CN"/>
                    </w:rPr>
                  </w:pPr>
                  <w:r>
                    <w:rPr>
                      <w:rFonts w:hint="eastAsia"/>
                      <w:color w:val="auto"/>
                      <w:highlight w:val="none"/>
                      <w:lang w:val="en-US" w:eastAsia="zh-CN"/>
                    </w:rPr>
                    <w:t>100</w:t>
                  </w:r>
                </w:p>
              </w:tc>
            </w:tr>
            <w:tr w14:paraId="00E8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13" w:type="pct"/>
                  <w:tcBorders>
                    <w:tl2br w:val="nil"/>
                    <w:tr2bl w:val="nil"/>
                  </w:tcBorders>
                  <w:vAlign w:val="center"/>
                </w:tcPr>
                <w:p w14:paraId="5B6B8460">
                  <w:pPr>
                    <w:keepNext w:val="0"/>
                    <w:keepLines w:val="0"/>
                    <w:suppressLineNumbers w:val="0"/>
                    <w:adjustRightInd w:val="0"/>
                    <w:spacing w:before="0" w:beforeAutospacing="0" w:after="0" w:afterAutospacing="0"/>
                    <w:ind w:left="0" w:right="0"/>
                    <w:jc w:val="center"/>
                    <w:rPr>
                      <w:rFonts w:hint="eastAsia" w:ascii="Times New Roman" w:hAnsi="Times New Roman" w:eastAsia="宋体" w:cs="Times New Roman"/>
                      <w:b w:val="0"/>
                      <w:bCs w:val="0"/>
                      <w:color w:val="auto"/>
                      <w:spacing w:val="0"/>
                      <w:position w:val="0"/>
                      <w:sz w:val="21"/>
                      <w:szCs w:val="21"/>
                      <w:highlight w:val="none"/>
                      <w:lang w:val="en-US" w:eastAsia="zh-CN"/>
                    </w:rPr>
                  </w:pPr>
                  <w:r>
                    <w:rPr>
                      <w:rFonts w:hint="eastAsia" w:cs="Times New Roman"/>
                      <w:b w:val="0"/>
                      <w:bCs w:val="0"/>
                      <w:color w:val="auto"/>
                      <w:spacing w:val="0"/>
                      <w:position w:val="0"/>
                      <w:sz w:val="21"/>
                      <w:szCs w:val="21"/>
                      <w:highlight w:val="none"/>
                      <w:lang w:val="en-US" w:eastAsia="zh-CN"/>
                    </w:rPr>
                    <w:t>无组织排放要求</w:t>
                  </w:r>
                </w:p>
              </w:tc>
              <w:tc>
                <w:tcPr>
                  <w:tcW w:w="819" w:type="pct"/>
                  <w:tcBorders>
                    <w:tl2br w:val="nil"/>
                    <w:tr2bl w:val="nil"/>
                  </w:tcBorders>
                  <w:vAlign w:val="center"/>
                </w:tcPr>
                <w:p w14:paraId="777410D9">
                  <w:pPr>
                    <w:keepNext w:val="0"/>
                    <w:keepLines w:val="0"/>
                    <w:suppressLineNumbers w:val="0"/>
                    <w:adjustRightInd w:val="0"/>
                    <w:spacing w:before="0" w:beforeAutospacing="0" w:after="0" w:afterAutospacing="0"/>
                    <w:ind w:left="0" w:right="0"/>
                    <w:jc w:val="center"/>
                    <w:rPr>
                      <w:rFonts w:hint="default" w:cs="Times New Roman"/>
                      <w:b w:val="0"/>
                      <w:bCs w:val="0"/>
                      <w:color w:val="auto"/>
                      <w:spacing w:val="0"/>
                      <w:position w:val="0"/>
                      <w:sz w:val="21"/>
                      <w:szCs w:val="21"/>
                      <w:highlight w:val="none"/>
                      <w:lang w:val="en-US" w:eastAsia="zh-CN"/>
                    </w:rPr>
                  </w:pPr>
                  <w:r>
                    <w:rPr>
                      <w:rFonts w:hint="eastAsia" w:cs="Times New Roman"/>
                      <w:b w:val="0"/>
                      <w:bCs w:val="0"/>
                      <w:color w:val="auto"/>
                      <w:spacing w:val="0"/>
                      <w:position w:val="0"/>
                      <w:sz w:val="21"/>
                      <w:szCs w:val="21"/>
                      <w:highlight w:val="none"/>
                      <w:lang w:val="en-US" w:eastAsia="zh-CN"/>
                    </w:rPr>
                    <w:t>厂界</w:t>
                  </w:r>
                </w:p>
              </w:tc>
              <w:tc>
                <w:tcPr>
                  <w:tcW w:w="1112" w:type="pct"/>
                  <w:tcBorders>
                    <w:tl2br w:val="nil"/>
                    <w:tr2bl w:val="nil"/>
                  </w:tcBorders>
                  <w:vAlign w:val="center"/>
                </w:tcPr>
                <w:p w14:paraId="0BE6E252">
                  <w:pPr>
                    <w:keepNext w:val="0"/>
                    <w:keepLines w:val="0"/>
                    <w:suppressLineNumbers w:val="0"/>
                    <w:adjustRightInd w:val="0"/>
                    <w:spacing w:before="0" w:beforeAutospacing="0" w:after="0" w:afterAutospacing="0"/>
                    <w:ind w:left="0" w:right="0"/>
                    <w:jc w:val="center"/>
                    <w:rPr>
                      <w:rFonts w:hint="default"/>
                      <w:color w:val="auto"/>
                      <w:highlight w:val="none"/>
                    </w:rPr>
                  </w:pPr>
                  <w:r>
                    <w:rPr>
                      <w:rFonts w:hint="default"/>
                      <w:color w:val="auto"/>
                      <w:highlight w:val="none"/>
                    </w:rPr>
                    <w:t>颗粒物</w:t>
                  </w:r>
                </w:p>
              </w:tc>
              <w:tc>
                <w:tcPr>
                  <w:tcW w:w="2055" w:type="pct"/>
                  <w:tcBorders>
                    <w:tl2br w:val="nil"/>
                    <w:tr2bl w:val="nil"/>
                  </w:tcBorders>
                  <w:vAlign w:val="center"/>
                </w:tcPr>
                <w:p w14:paraId="707E1A4F">
                  <w:pPr>
                    <w:keepNext w:val="0"/>
                    <w:keepLines w:val="0"/>
                    <w:suppressLineNumbers w:val="0"/>
                    <w:adjustRightInd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1</w:t>
                  </w:r>
                </w:p>
              </w:tc>
            </w:tr>
          </w:tbl>
          <w:p w14:paraId="1B4CC2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eastAsia" w:cs="Times New Roman"/>
                <w:b/>
                <w:bCs w:val="0"/>
                <w:color w:val="auto"/>
                <w:spacing w:val="0"/>
                <w:position w:val="0"/>
                <w:sz w:val="24"/>
                <w:szCs w:val="24"/>
                <w:highlight w:val="none"/>
                <w:lang w:val="en-US" w:eastAsia="zh-CN"/>
              </w:rPr>
            </w:pPr>
            <w:r>
              <w:rPr>
                <w:rFonts w:hint="eastAsia" w:cs="Times New Roman"/>
                <w:b/>
                <w:bCs w:val="0"/>
                <w:color w:val="auto"/>
                <w:spacing w:val="0"/>
                <w:position w:val="0"/>
                <w:sz w:val="24"/>
                <w:szCs w:val="24"/>
                <w:highlight w:val="none"/>
                <w:lang w:val="en-US" w:eastAsia="zh-CN"/>
              </w:rPr>
              <w:t>2、废水</w:t>
            </w:r>
          </w:p>
          <w:p w14:paraId="2901AB50">
            <w:pPr>
              <w:keepNext w:val="0"/>
              <w:keepLines w:val="0"/>
              <w:suppressLineNumbers w:val="0"/>
              <w:snapToGrid w:val="0"/>
              <w:spacing w:before="0" w:beforeAutospacing="0" w:after="0" w:afterAutospacing="0" w:line="460" w:lineRule="exact"/>
              <w:ind w:left="0" w:right="0" w:firstLine="480" w:firstLineChars="200"/>
              <w:rPr>
                <w:rFonts w:hint="default"/>
                <w:color w:val="auto"/>
                <w:sz w:val="24"/>
                <w:highlight w:val="none"/>
              </w:rPr>
            </w:pPr>
            <w:r>
              <w:rPr>
                <w:rFonts w:hint="eastAsia"/>
                <w:color w:val="auto"/>
                <w:sz w:val="24"/>
                <w:highlight w:val="none"/>
                <w:lang w:val="en-US" w:eastAsia="zh-CN"/>
              </w:rPr>
              <w:t>冷却系统排污水和</w:t>
            </w:r>
            <w:r>
              <w:rPr>
                <w:rFonts w:hint="default"/>
                <w:color w:val="auto"/>
                <w:sz w:val="24"/>
                <w:highlight w:val="none"/>
              </w:rPr>
              <w:t>生活污水排入园区污水管网，最后进入</w:t>
            </w:r>
            <w:r>
              <w:rPr>
                <w:rFonts w:hint="eastAsia"/>
                <w:color w:val="auto"/>
                <w:kern w:val="0"/>
                <w:sz w:val="24"/>
                <w:highlight w:val="none"/>
                <w:lang w:val="en-US" w:eastAsia="zh-CN"/>
              </w:rPr>
              <w:t>屯留区污水处理厂</w:t>
            </w:r>
            <w:r>
              <w:rPr>
                <w:rFonts w:hint="default"/>
                <w:color w:val="auto"/>
                <w:sz w:val="24"/>
                <w:highlight w:val="none"/>
              </w:rPr>
              <w:t>进行处理，排水水质执行《污水排入城镇下水道水质标准》（GB/T31962-2015）A等级标准。</w:t>
            </w:r>
            <w:r>
              <w:rPr>
                <w:rFonts w:hint="default"/>
                <w:color w:val="auto"/>
                <w:sz w:val="24"/>
                <w:highlight w:val="none"/>
                <w:lang w:val="zh-CN"/>
              </w:rPr>
              <w:t>具体数值见表3-</w:t>
            </w:r>
            <w:r>
              <w:rPr>
                <w:rFonts w:hint="eastAsia"/>
                <w:color w:val="auto"/>
                <w:sz w:val="24"/>
                <w:highlight w:val="none"/>
                <w:lang w:val="en-US" w:eastAsia="zh-CN"/>
              </w:rPr>
              <w:t>6</w:t>
            </w:r>
            <w:r>
              <w:rPr>
                <w:rFonts w:hint="default"/>
                <w:color w:val="auto"/>
                <w:sz w:val="24"/>
                <w:highlight w:val="none"/>
                <w:lang w:val="zh-CN"/>
              </w:rPr>
              <w:t>。</w:t>
            </w:r>
          </w:p>
          <w:p w14:paraId="4B345C3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0" w:firstLineChars="0"/>
              <w:jc w:val="center"/>
              <w:textAlignment w:val="auto"/>
              <w:rPr>
                <w:rFonts w:hint="eastAsia" w:cs="Times New Roman"/>
                <w:b/>
                <w:bCs w:val="0"/>
                <w:color w:val="auto"/>
                <w:spacing w:val="0"/>
                <w:position w:val="0"/>
                <w:sz w:val="24"/>
                <w:szCs w:val="24"/>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cs="Times New Roman"/>
                <w:b/>
                <w:bCs w:val="0"/>
                <w:color w:val="auto"/>
                <w:spacing w:val="0"/>
                <w:position w:val="0"/>
                <w:sz w:val="21"/>
                <w:szCs w:val="16"/>
                <w:highlight w:val="none"/>
                <w:lang w:val="en-US" w:eastAsia="zh-CN"/>
              </w:rPr>
              <w:t>-6</w:t>
            </w:r>
            <w:r>
              <w:rPr>
                <w:rFonts w:hint="default" w:ascii="Times New Roman" w:hAnsi="Times New Roman" w:eastAsia="宋体" w:cs="Times New Roman"/>
                <w:b/>
                <w:bCs w:val="0"/>
                <w:color w:val="auto"/>
                <w:spacing w:val="0"/>
                <w:position w:val="0"/>
                <w:sz w:val="21"/>
                <w:szCs w:val="16"/>
                <w:highlight w:val="none"/>
                <w:lang w:val="en-US" w:eastAsia="zh-CN"/>
              </w:rPr>
              <w:t xml:space="preserve">  《污水排入城镇下水道水质标准》</w:t>
            </w:r>
            <w:r>
              <w:rPr>
                <w:rFonts w:hint="eastAsia" w:cs="Times New Roman"/>
                <w:b/>
                <w:bCs w:val="0"/>
                <w:color w:val="auto"/>
                <w:spacing w:val="0"/>
                <w:position w:val="0"/>
                <w:sz w:val="21"/>
                <w:szCs w:val="16"/>
                <w:highlight w:val="none"/>
                <w:lang w:val="en-US" w:eastAsia="zh-CN"/>
              </w:rPr>
              <w:t>（</w:t>
            </w:r>
            <w:r>
              <w:rPr>
                <w:rFonts w:hint="default" w:ascii="Times New Roman" w:hAnsi="Times New Roman" w:eastAsia="宋体" w:cs="Times New Roman"/>
                <w:b/>
                <w:bCs w:val="0"/>
                <w:color w:val="auto"/>
                <w:spacing w:val="0"/>
                <w:position w:val="0"/>
                <w:sz w:val="21"/>
                <w:szCs w:val="16"/>
                <w:highlight w:val="none"/>
                <w:lang w:val="en-US" w:eastAsia="zh-CN"/>
              </w:rPr>
              <w:t>GB/T31962-2015</w:t>
            </w:r>
            <w:r>
              <w:rPr>
                <w:rFonts w:hint="eastAsia" w:cs="Times New Roman"/>
                <w:b/>
                <w:bCs w:val="0"/>
                <w:color w:val="auto"/>
                <w:spacing w:val="0"/>
                <w:position w:val="0"/>
                <w:sz w:val="21"/>
                <w:szCs w:val="16"/>
                <w:highlight w:val="none"/>
                <w:lang w:val="en-US" w:eastAsia="zh-CN"/>
              </w:rPr>
              <w:t>）</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32"/>
              <w:gridCol w:w="1332"/>
              <w:gridCol w:w="1386"/>
              <w:gridCol w:w="1508"/>
              <w:gridCol w:w="1510"/>
              <w:gridCol w:w="2009"/>
            </w:tblGrid>
            <w:tr w14:paraId="6314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3" w:type="pct"/>
                  <w:shd w:val="clear" w:color="auto" w:fill="auto"/>
                  <w:vAlign w:val="center"/>
                </w:tcPr>
                <w:p w14:paraId="0174FD22">
                  <w:pPr>
                    <w:keepNext w:val="0"/>
                    <w:keepLines w:val="0"/>
                    <w:suppressLineNumbers w:val="0"/>
                    <w:snapToGrid w:val="0"/>
                    <w:spacing w:before="0" w:beforeAutospacing="0" w:after="0" w:afterAutospacing="0"/>
                    <w:ind w:left="0" w:right="0"/>
                    <w:jc w:val="center"/>
                    <w:rPr>
                      <w:rFonts w:hint="default"/>
                      <w:color w:val="auto"/>
                      <w:szCs w:val="21"/>
                      <w:highlight w:val="none"/>
                    </w:rPr>
                  </w:pPr>
                  <w:r>
                    <w:rPr>
                      <w:rFonts w:hint="default"/>
                      <w:color w:val="auto"/>
                      <w:szCs w:val="21"/>
                      <w:highlight w:val="none"/>
                    </w:rPr>
                    <w:t>因子</w:t>
                  </w:r>
                </w:p>
              </w:tc>
              <w:tc>
                <w:tcPr>
                  <w:tcW w:w="733" w:type="pct"/>
                  <w:shd w:val="clear" w:color="auto" w:fill="auto"/>
                  <w:vAlign w:val="center"/>
                </w:tcPr>
                <w:p w14:paraId="001FAAB7">
                  <w:pPr>
                    <w:keepNext w:val="0"/>
                    <w:keepLines w:val="0"/>
                    <w:suppressLineNumbers w:val="0"/>
                    <w:snapToGrid w:val="0"/>
                    <w:spacing w:before="0" w:beforeAutospacing="0" w:after="0" w:afterAutospacing="0"/>
                    <w:ind w:left="0" w:right="0"/>
                    <w:jc w:val="center"/>
                    <w:rPr>
                      <w:rFonts w:hint="default"/>
                      <w:color w:val="auto"/>
                      <w:szCs w:val="21"/>
                      <w:highlight w:val="none"/>
                    </w:rPr>
                  </w:pPr>
                  <w:r>
                    <w:rPr>
                      <w:rFonts w:hint="default"/>
                      <w:color w:val="auto"/>
                      <w:szCs w:val="21"/>
                      <w:highlight w:val="none"/>
                    </w:rPr>
                    <w:t>COD</w:t>
                  </w:r>
                </w:p>
              </w:tc>
              <w:tc>
                <w:tcPr>
                  <w:tcW w:w="763" w:type="pct"/>
                  <w:shd w:val="clear" w:color="auto" w:fill="auto"/>
                  <w:vAlign w:val="center"/>
                </w:tcPr>
                <w:p w14:paraId="59E4EC25">
                  <w:pPr>
                    <w:keepNext w:val="0"/>
                    <w:keepLines w:val="0"/>
                    <w:suppressLineNumbers w:val="0"/>
                    <w:snapToGrid w:val="0"/>
                    <w:spacing w:before="0" w:beforeAutospacing="0" w:after="0" w:afterAutospacing="0"/>
                    <w:ind w:left="0" w:right="0"/>
                    <w:jc w:val="center"/>
                    <w:rPr>
                      <w:rFonts w:hint="default"/>
                      <w:color w:val="auto"/>
                      <w:szCs w:val="21"/>
                      <w:highlight w:val="none"/>
                      <w:lang w:val="en-GB"/>
                    </w:rPr>
                  </w:pPr>
                  <w:r>
                    <w:rPr>
                      <w:rFonts w:hint="default"/>
                      <w:color w:val="auto"/>
                      <w:szCs w:val="21"/>
                      <w:highlight w:val="none"/>
                    </w:rPr>
                    <w:t>BOD</w:t>
                  </w:r>
                  <w:r>
                    <w:rPr>
                      <w:rFonts w:hint="default"/>
                      <w:color w:val="auto"/>
                      <w:szCs w:val="21"/>
                      <w:highlight w:val="none"/>
                      <w:vertAlign w:val="subscript"/>
                    </w:rPr>
                    <w:t>5</w:t>
                  </w:r>
                </w:p>
              </w:tc>
              <w:tc>
                <w:tcPr>
                  <w:tcW w:w="830" w:type="pct"/>
                  <w:shd w:val="clear" w:color="auto" w:fill="auto"/>
                  <w:vAlign w:val="center"/>
                </w:tcPr>
                <w:p w14:paraId="3E443F96">
                  <w:pPr>
                    <w:keepNext w:val="0"/>
                    <w:keepLines w:val="0"/>
                    <w:suppressLineNumbers w:val="0"/>
                    <w:snapToGrid w:val="0"/>
                    <w:spacing w:before="0" w:beforeAutospacing="0" w:after="0" w:afterAutospacing="0"/>
                    <w:ind w:left="0" w:right="0"/>
                    <w:jc w:val="center"/>
                    <w:rPr>
                      <w:rFonts w:hint="default"/>
                      <w:color w:val="auto"/>
                      <w:szCs w:val="21"/>
                      <w:highlight w:val="none"/>
                      <w:lang w:val="en-GB"/>
                    </w:rPr>
                  </w:pPr>
                  <w:r>
                    <w:rPr>
                      <w:rFonts w:hint="default"/>
                      <w:color w:val="auto"/>
                      <w:szCs w:val="21"/>
                      <w:highlight w:val="none"/>
                      <w:lang w:val="en-GB"/>
                    </w:rPr>
                    <w:t>SS</w:t>
                  </w:r>
                </w:p>
              </w:tc>
              <w:tc>
                <w:tcPr>
                  <w:tcW w:w="831" w:type="pct"/>
                  <w:shd w:val="clear" w:color="auto" w:fill="auto"/>
                  <w:vAlign w:val="center"/>
                </w:tcPr>
                <w:p w14:paraId="5B484065">
                  <w:pPr>
                    <w:keepNext w:val="0"/>
                    <w:keepLines w:val="0"/>
                    <w:suppressLineNumbers w:val="0"/>
                    <w:snapToGrid w:val="0"/>
                    <w:spacing w:before="0" w:beforeAutospacing="0" w:after="0" w:afterAutospacing="0"/>
                    <w:ind w:left="0" w:right="0"/>
                    <w:jc w:val="center"/>
                    <w:rPr>
                      <w:rFonts w:hint="default"/>
                      <w:color w:val="auto"/>
                      <w:highlight w:val="none"/>
                      <w:lang w:val="en-GB"/>
                    </w:rPr>
                  </w:pPr>
                  <w:r>
                    <w:rPr>
                      <w:rFonts w:hint="default"/>
                      <w:color w:val="auto"/>
                      <w:highlight w:val="none"/>
                    </w:rPr>
                    <w:t>氨氮</w:t>
                  </w:r>
                </w:p>
              </w:tc>
              <w:tc>
                <w:tcPr>
                  <w:tcW w:w="1106" w:type="pct"/>
                  <w:shd w:val="clear" w:color="auto" w:fill="auto"/>
                  <w:vAlign w:val="center"/>
                </w:tcPr>
                <w:p w14:paraId="7DDB59E6">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highlight w:val="none"/>
                    </w:rPr>
                    <w:t>动植物油</w:t>
                  </w:r>
                </w:p>
              </w:tc>
            </w:tr>
            <w:tr w14:paraId="57B2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733" w:type="pct"/>
                  <w:shd w:val="clear" w:color="auto" w:fill="auto"/>
                  <w:vAlign w:val="center"/>
                </w:tcPr>
                <w:p w14:paraId="2FF1A0F2">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szCs w:val="21"/>
                      <w:highlight w:val="none"/>
                    </w:rPr>
                    <w:t>标准值</w:t>
                  </w:r>
                </w:p>
              </w:tc>
              <w:tc>
                <w:tcPr>
                  <w:tcW w:w="733" w:type="pct"/>
                  <w:shd w:val="clear" w:color="auto" w:fill="auto"/>
                  <w:vAlign w:val="center"/>
                </w:tcPr>
                <w:p w14:paraId="63B8397B">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highlight w:val="none"/>
                    </w:rPr>
                    <w:t>500</w:t>
                  </w:r>
                </w:p>
              </w:tc>
              <w:tc>
                <w:tcPr>
                  <w:tcW w:w="763" w:type="pct"/>
                  <w:shd w:val="clear" w:color="auto" w:fill="auto"/>
                  <w:vAlign w:val="center"/>
                </w:tcPr>
                <w:p w14:paraId="2D820E28">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highlight w:val="none"/>
                    </w:rPr>
                    <w:t>350</w:t>
                  </w:r>
                </w:p>
              </w:tc>
              <w:tc>
                <w:tcPr>
                  <w:tcW w:w="830" w:type="pct"/>
                  <w:shd w:val="clear" w:color="auto" w:fill="auto"/>
                  <w:vAlign w:val="center"/>
                </w:tcPr>
                <w:p w14:paraId="7165F2A3">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highlight w:val="none"/>
                    </w:rPr>
                    <w:t>400</w:t>
                  </w:r>
                </w:p>
              </w:tc>
              <w:tc>
                <w:tcPr>
                  <w:tcW w:w="831" w:type="pct"/>
                  <w:shd w:val="clear" w:color="auto" w:fill="auto"/>
                  <w:vAlign w:val="center"/>
                </w:tcPr>
                <w:p w14:paraId="6F1A5CCF">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szCs w:val="21"/>
                      <w:highlight w:val="none"/>
                    </w:rPr>
                    <w:t>45</w:t>
                  </w:r>
                </w:p>
              </w:tc>
              <w:tc>
                <w:tcPr>
                  <w:tcW w:w="1106" w:type="pct"/>
                  <w:shd w:val="clear" w:color="auto" w:fill="auto"/>
                  <w:vAlign w:val="center"/>
                </w:tcPr>
                <w:p w14:paraId="61676C4E">
                  <w:pPr>
                    <w:keepNext w:val="0"/>
                    <w:keepLines w:val="0"/>
                    <w:suppressLineNumbers w:val="0"/>
                    <w:snapToGrid w:val="0"/>
                    <w:spacing w:before="0" w:beforeAutospacing="0" w:after="0" w:afterAutospacing="0"/>
                    <w:ind w:left="0" w:right="0"/>
                    <w:jc w:val="center"/>
                    <w:rPr>
                      <w:rFonts w:hint="default"/>
                      <w:color w:val="auto"/>
                      <w:highlight w:val="none"/>
                    </w:rPr>
                  </w:pPr>
                  <w:r>
                    <w:rPr>
                      <w:rFonts w:hint="default"/>
                      <w:color w:val="auto"/>
                      <w:highlight w:val="none"/>
                    </w:rPr>
                    <w:t>100</w:t>
                  </w:r>
                </w:p>
              </w:tc>
            </w:tr>
          </w:tbl>
          <w:p w14:paraId="6C7EF6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rPr>
            </w:pPr>
            <w:r>
              <w:rPr>
                <w:rFonts w:hint="eastAsia" w:cs="Times New Roman"/>
                <w:b/>
                <w:bCs w:val="0"/>
                <w:color w:val="auto"/>
                <w:spacing w:val="0"/>
                <w:position w:val="0"/>
                <w:sz w:val="24"/>
                <w:szCs w:val="24"/>
                <w:highlight w:val="none"/>
                <w:lang w:val="en-US" w:eastAsia="zh-CN"/>
              </w:rPr>
              <w:t>3、</w:t>
            </w:r>
            <w:r>
              <w:rPr>
                <w:rFonts w:hint="default" w:ascii="Times New Roman" w:hAnsi="Times New Roman" w:eastAsia="宋体" w:cs="Times New Roman"/>
                <w:b/>
                <w:bCs/>
                <w:color w:val="auto"/>
                <w:spacing w:val="0"/>
                <w:kern w:val="0"/>
                <w:position w:val="0"/>
                <w:sz w:val="24"/>
                <w:szCs w:val="24"/>
                <w:highlight w:val="none"/>
                <w:lang w:val="en-US" w:eastAsia="zh-CN"/>
              </w:rPr>
              <w:t>噪声</w:t>
            </w:r>
          </w:p>
          <w:p w14:paraId="0C36E2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pacing w:val="0"/>
                <w:position w:val="0"/>
                <w:sz w:val="24"/>
                <w:highlight w:val="none"/>
                <w:lang w:val="en-US" w:eastAsia="zh-CN"/>
              </w:rPr>
            </w:pPr>
            <w:r>
              <w:rPr>
                <w:rFonts w:hint="default" w:ascii="Times New Roman" w:hAnsi="Times New Roman" w:cs="Times New Roman"/>
                <w:color w:val="auto"/>
                <w:sz w:val="24"/>
                <w:highlight w:val="none"/>
              </w:rPr>
              <w:t>本项目施工期噪声执行《建筑施工噪声排放标准》（GB12523-20</w:t>
            </w:r>
            <w:r>
              <w:rPr>
                <w:rFonts w:hint="eastAsia" w:cs="Times New Roman"/>
                <w:color w:val="auto"/>
                <w:sz w:val="24"/>
                <w:highlight w:val="none"/>
                <w:lang w:val="en-US" w:eastAsia="zh-CN"/>
              </w:rPr>
              <w:t>25</w:t>
            </w:r>
            <w:r>
              <w:rPr>
                <w:rFonts w:hint="default" w:ascii="Times New Roman" w:hAnsi="Times New Roman" w:cs="Times New Roman"/>
                <w:color w:val="auto"/>
                <w:sz w:val="24"/>
                <w:highlight w:val="none"/>
              </w:rPr>
              <w:t>）噪声排放限值</w:t>
            </w:r>
            <w:r>
              <w:rPr>
                <w:rFonts w:hint="eastAsia" w:cs="Times New Roman"/>
                <w:color w:val="auto"/>
                <w:sz w:val="24"/>
                <w:highlight w:val="none"/>
                <w:lang w:eastAsia="zh-CN"/>
              </w:rPr>
              <w:t>。</w:t>
            </w:r>
            <w:r>
              <w:rPr>
                <w:rFonts w:hint="eastAsia" w:cs="Times New Roman"/>
                <w:color w:val="auto"/>
                <w:sz w:val="24"/>
                <w:highlight w:val="none"/>
                <w:lang w:val="en-US" w:eastAsia="zh-CN"/>
              </w:rPr>
              <w:t>运营期</w:t>
            </w:r>
            <w:r>
              <w:rPr>
                <w:rFonts w:hint="default" w:ascii="Times New Roman" w:hAnsi="Times New Roman" w:eastAsia="宋体" w:cs="Times New Roman"/>
                <w:color w:val="auto"/>
                <w:spacing w:val="0"/>
                <w:position w:val="0"/>
                <w:sz w:val="24"/>
                <w:highlight w:val="none"/>
                <w:lang w:val="en-US" w:eastAsia="zh-CN"/>
              </w:rPr>
              <w:t>厂界</w:t>
            </w:r>
            <w:r>
              <w:rPr>
                <w:rFonts w:hint="eastAsia" w:cs="Times New Roman"/>
                <w:color w:val="auto"/>
                <w:spacing w:val="0"/>
                <w:position w:val="0"/>
                <w:sz w:val="24"/>
                <w:highlight w:val="none"/>
                <w:lang w:val="en-US" w:eastAsia="zh-CN"/>
              </w:rPr>
              <w:t>四周</w:t>
            </w:r>
            <w:r>
              <w:rPr>
                <w:rFonts w:hint="default" w:ascii="Times New Roman" w:hAnsi="Times New Roman" w:eastAsia="宋体" w:cs="Times New Roman"/>
                <w:color w:val="auto"/>
                <w:spacing w:val="0"/>
                <w:position w:val="0"/>
                <w:sz w:val="24"/>
                <w:highlight w:val="none"/>
                <w:lang w:val="en-US" w:eastAsia="zh-CN"/>
              </w:rPr>
              <w:t>噪声</w:t>
            </w:r>
            <w:r>
              <w:rPr>
                <w:rFonts w:hint="eastAsia" w:cs="Times New Roman"/>
                <w:color w:val="auto"/>
                <w:spacing w:val="0"/>
                <w:position w:val="0"/>
                <w:sz w:val="24"/>
                <w:highlight w:val="none"/>
                <w:lang w:val="en-US" w:eastAsia="zh-CN"/>
              </w:rPr>
              <w:t>均</w:t>
            </w:r>
            <w:r>
              <w:rPr>
                <w:rFonts w:hint="default" w:ascii="Times New Roman" w:hAnsi="Times New Roman" w:eastAsia="宋体" w:cs="Times New Roman"/>
                <w:color w:val="auto"/>
                <w:spacing w:val="0"/>
                <w:position w:val="0"/>
                <w:sz w:val="24"/>
                <w:highlight w:val="none"/>
                <w:lang w:val="en-US" w:eastAsia="zh-CN"/>
              </w:rPr>
              <w:t>执行《</w:t>
            </w:r>
            <w:r>
              <w:rPr>
                <w:rFonts w:hint="default" w:ascii="Times New Roman" w:hAnsi="Times New Roman" w:eastAsia="宋体" w:cs="Times New Roman"/>
                <w:color w:val="auto"/>
                <w:spacing w:val="0"/>
                <w:position w:val="0"/>
                <w:sz w:val="24"/>
                <w:highlight w:val="none"/>
                <w:lang w:val="en-US" w:eastAsia="zh-CN"/>
              </w:rPr>
              <w:fldChar w:fldCharType="begin"/>
            </w:r>
            <w:r>
              <w:rPr>
                <w:rFonts w:hint="default" w:ascii="Times New Roman" w:hAnsi="Times New Roman" w:eastAsia="宋体" w:cs="Times New Roman"/>
                <w:color w:val="auto"/>
                <w:spacing w:val="0"/>
                <w:position w:val="0"/>
                <w:sz w:val="24"/>
                <w:highlight w:val="none"/>
                <w:lang w:val="en-US" w:eastAsia="zh-CN"/>
              </w:rPr>
              <w:instrText xml:space="preserve"> HYPERLINK "http://www.mep.gov.cn/info/bgw/bgg/200809/W020081017399508921576.pdf" \t "_self" </w:instrText>
            </w:r>
            <w:r>
              <w:rPr>
                <w:rFonts w:hint="default" w:ascii="Times New Roman" w:hAnsi="Times New Roman" w:eastAsia="宋体" w:cs="Times New Roman"/>
                <w:color w:val="auto"/>
                <w:spacing w:val="0"/>
                <w:position w:val="0"/>
                <w:sz w:val="24"/>
                <w:highlight w:val="none"/>
                <w:lang w:val="en-US" w:eastAsia="zh-CN"/>
              </w:rPr>
              <w:fldChar w:fldCharType="separate"/>
            </w:r>
            <w:r>
              <w:rPr>
                <w:rFonts w:hint="default" w:ascii="Times New Roman" w:hAnsi="Times New Roman" w:eastAsia="宋体" w:cs="Times New Roman"/>
                <w:color w:val="auto"/>
                <w:spacing w:val="0"/>
                <w:position w:val="0"/>
                <w:sz w:val="24"/>
                <w:highlight w:val="none"/>
                <w:lang w:val="en-US" w:eastAsia="zh-CN"/>
              </w:rPr>
              <w:t>工业企业厂界环境噪声</w:t>
            </w:r>
            <w:r>
              <w:rPr>
                <w:rFonts w:hint="default" w:ascii="Times New Roman" w:hAnsi="Times New Roman" w:eastAsia="宋体" w:cs="Times New Roman"/>
                <w:color w:val="auto"/>
                <w:spacing w:val="0"/>
                <w:position w:val="0"/>
                <w:sz w:val="24"/>
                <w:highlight w:val="none"/>
                <w:lang w:val="en-US" w:eastAsia="zh-CN"/>
              </w:rPr>
              <w:fldChar w:fldCharType="end"/>
            </w:r>
            <w:r>
              <w:rPr>
                <w:rFonts w:hint="default" w:ascii="Times New Roman" w:hAnsi="Times New Roman" w:eastAsia="宋体" w:cs="Times New Roman"/>
                <w:color w:val="auto"/>
                <w:spacing w:val="0"/>
                <w:position w:val="0"/>
                <w:sz w:val="24"/>
                <w:highlight w:val="none"/>
                <w:lang w:val="en-US" w:eastAsia="zh-CN"/>
              </w:rPr>
              <w:t>排放标准》（GB12348-2008）中</w:t>
            </w:r>
            <w:r>
              <w:rPr>
                <w:rFonts w:hint="eastAsia" w:cs="Times New Roman"/>
                <w:color w:val="auto"/>
                <w:spacing w:val="0"/>
                <w:position w:val="0"/>
                <w:sz w:val="24"/>
                <w:highlight w:val="none"/>
                <w:lang w:val="en-US" w:eastAsia="zh-CN"/>
              </w:rPr>
              <w:t>2</w:t>
            </w:r>
            <w:r>
              <w:rPr>
                <w:rFonts w:hint="default" w:ascii="Times New Roman" w:hAnsi="Times New Roman" w:eastAsia="宋体" w:cs="Times New Roman"/>
                <w:color w:val="auto"/>
                <w:spacing w:val="0"/>
                <w:position w:val="0"/>
                <w:sz w:val="24"/>
                <w:highlight w:val="none"/>
                <w:lang w:val="en-US" w:eastAsia="zh-CN"/>
              </w:rPr>
              <w:t>类标准</w:t>
            </w:r>
            <w:r>
              <w:rPr>
                <w:rFonts w:hint="eastAsia" w:cs="Times New Roman"/>
                <w:color w:val="auto"/>
                <w:spacing w:val="0"/>
                <w:position w:val="0"/>
                <w:sz w:val="24"/>
                <w:highlight w:val="none"/>
                <w:lang w:val="en-US" w:eastAsia="zh-CN"/>
              </w:rPr>
              <w:t>，</w:t>
            </w:r>
            <w:r>
              <w:rPr>
                <w:rFonts w:hint="default" w:ascii="Times New Roman" w:hAnsi="Times New Roman" w:cs="Times New Roman"/>
                <w:color w:val="auto"/>
                <w:sz w:val="24"/>
                <w:highlight w:val="none"/>
              </w:rPr>
              <w:t>标准值见表</w:t>
            </w:r>
            <w:r>
              <w:rPr>
                <w:rFonts w:hint="default" w:ascii="Times New Roman" w:hAnsi="Times New Roman" w:cs="Times New Roman"/>
                <w:color w:val="auto"/>
                <w:sz w:val="24"/>
                <w:highlight w:val="none"/>
                <w:lang w:val="en-US" w:eastAsia="zh-CN"/>
              </w:rPr>
              <w:t>3</w:t>
            </w:r>
            <w:r>
              <w:rPr>
                <w:rFonts w:hint="eastAsia" w:cs="Times New Roman"/>
                <w:color w:val="auto"/>
                <w:sz w:val="24"/>
                <w:highlight w:val="none"/>
                <w:lang w:val="en-US" w:eastAsia="zh-CN"/>
              </w:rPr>
              <w:t>-7</w:t>
            </w:r>
            <w:r>
              <w:rPr>
                <w:rFonts w:hint="default" w:ascii="Times New Roman" w:hAnsi="Times New Roman" w:cs="Times New Roman"/>
                <w:color w:val="auto"/>
                <w:sz w:val="24"/>
                <w:highlight w:val="none"/>
              </w:rPr>
              <w:t>、表</w:t>
            </w:r>
            <w:r>
              <w:rPr>
                <w:rFonts w:hint="default" w:ascii="Times New Roman" w:hAnsi="Times New Roman" w:cs="Times New Roman"/>
                <w:color w:val="auto"/>
                <w:sz w:val="24"/>
                <w:highlight w:val="none"/>
                <w:lang w:val="en-US" w:eastAsia="zh-CN"/>
              </w:rPr>
              <w:t>3</w:t>
            </w:r>
            <w:r>
              <w:rPr>
                <w:rFonts w:hint="eastAsia" w:cs="Times New Roman"/>
                <w:color w:val="auto"/>
                <w:sz w:val="24"/>
                <w:highlight w:val="none"/>
                <w:lang w:val="en-US" w:eastAsia="zh-CN"/>
              </w:rPr>
              <w:t>-8</w:t>
            </w:r>
            <w:r>
              <w:rPr>
                <w:rFonts w:hint="default" w:ascii="Times New Roman" w:hAnsi="Times New Roman" w:eastAsia="宋体" w:cs="Times New Roman"/>
                <w:color w:val="auto"/>
                <w:spacing w:val="0"/>
                <w:position w:val="0"/>
                <w:sz w:val="24"/>
                <w:highlight w:val="none"/>
                <w:lang w:val="en-US" w:eastAsia="zh-CN"/>
              </w:rPr>
              <w:t>。</w:t>
            </w:r>
          </w:p>
          <w:p w14:paraId="476A3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cs="Times New Roman"/>
                <w:b/>
                <w:bCs w:val="0"/>
                <w:color w:val="auto"/>
                <w:spacing w:val="0"/>
                <w:position w:val="0"/>
                <w:sz w:val="21"/>
                <w:szCs w:val="16"/>
                <w:highlight w:val="none"/>
                <w:lang w:val="en-US" w:eastAsia="zh-CN"/>
              </w:rPr>
              <w:t>-7</w:t>
            </w:r>
            <w:r>
              <w:rPr>
                <w:rFonts w:hint="default" w:ascii="Times New Roman" w:hAnsi="Times New Roman" w:eastAsia="宋体" w:cs="Times New Roman"/>
                <w:b/>
                <w:bCs w:val="0"/>
                <w:color w:val="auto"/>
                <w:spacing w:val="0"/>
                <w:position w:val="0"/>
                <w:sz w:val="21"/>
                <w:szCs w:val="16"/>
                <w:highlight w:val="none"/>
                <w:lang w:val="en-US" w:eastAsia="zh-CN"/>
              </w:rPr>
              <w:t xml:space="preserve">  《建筑施工噪声排放标准》（GB12523-20</w:t>
            </w:r>
            <w:r>
              <w:rPr>
                <w:rFonts w:hint="eastAsia" w:ascii="Times New Roman" w:hAnsi="Times New Roman" w:eastAsia="宋体" w:cs="Times New Roman"/>
                <w:b/>
                <w:bCs w:val="0"/>
                <w:color w:val="auto"/>
                <w:spacing w:val="0"/>
                <w:position w:val="0"/>
                <w:sz w:val="21"/>
                <w:szCs w:val="16"/>
                <w:highlight w:val="none"/>
                <w:lang w:val="en-US" w:eastAsia="zh-CN"/>
              </w:rPr>
              <w:t>25</w:t>
            </w:r>
            <w:r>
              <w:rPr>
                <w:rFonts w:hint="default" w:ascii="Times New Roman" w:hAnsi="Times New Roman" w:eastAsia="宋体" w:cs="Times New Roman"/>
                <w:b/>
                <w:bCs w:val="0"/>
                <w:color w:val="auto"/>
                <w:spacing w:val="0"/>
                <w:position w:val="0"/>
                <w:sz w:val="21"/>
                <w:szCs w:val="16"/>
                <w:highlight w:val="none"/>
                <w:lang w:val="en-US" w:eastAsia="zh-CN"/>
              </w:rPr>
              <w:t>）</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5"/>
              <w:gridCol w:w="3026"/>
              <w:gridCol w:w="3026"/>
            </w:tblGrid>
            <w:tr w14:paraId="054B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tcBorders>
                    <w:tl2br w:val="nil"/>
                    <w:tr2bl w:val="nil"/>
                  </w:tcBorders>
                  <w:vAlign w:val="center"/>
                </w:tcPr>
                <w:p w14:paraId="6F2C8D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Times New Roman" w:hAnsi="Times New Roman" w:eastAsia="宋体" w:cs="Times New Roman"/>
                      <w:b/>
                      <w:bCs w:val="0"/>
                      <w:color w:val="auto"/>
                      <w:spacing w:val="0"/>
                      <w:position w:val="0"/>
                      <w:szCs w:val="21"/>
                      <w:highlight w:val="none"/>
                      <w:lang w:eastAsia="zh-CN"/>
                    </w:rPr>
                  </w:pPr>
                  <w:r>
                    <w:rPr>
                      <w:rFonts w:hint="eastAsia" w:cs="Times New Roman"/>
                      <w:b/>
                      <w:bCs w:val="0"/>
                      <w:color w:val="auto"/>
                      <w:spacing w:val="0"/>
                      <w:position w:val="0"/>
                      <w:szCs w:val="21"/>
                      <w:highlight w:val="none"/>
                      <w:lang w:val="en-US" w:eastAsia="zh-CN"/>
                    </w:rPr>
                    <w:t>时段</w:t>
                  </w:r>
                </w:p>
              </w:tc>
              <w:tc>
                <w:tcPr>
                  <w:tcW w:w="1666" w:type="pct"/>
                  <w:tcBorders>
                    <w:tl2br w:val="nil"/>
                    <w:tr2bl w:val="nil"/>
                  </w:tcBorders>
                  <w:vAlign w:val="center"/>
                </w:tcPr>
                <w:p w14:paraId="142725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b/>
                      <w:bCs w:val="0"/>
                      <w:color w:val="auto"/>
                      <w:spacing w:val="0"/>
                      <w:position w:val="0"/>
                      <w:szCs w:val="21"/>
                      <w:highlight w:val="none"/>
                    </w:rPr>
                  </w:pPr>
                  <w:r>
                    <w:rPr>
                      <w:rFonts w:hint="default" w:ascii="Times New Roman" w:hAnsi="Times New Roman" w:eastAsia="宋体" w:cs="Times New Roman"/>
                      <w:b/>
                      <w:bCs w:val="0"/>
                      <w:color w:val="auto"/>
                      <w:spacing w:val="0"/>
                      <w:position w:val="0"/>
                      <w:szCs w:val="21"/>
                      <w:highlight w:val="none"/>
                    </w:rPr>
                    <w:t>昼间dB</w:t>
                  </w:r>
                  <w:r>
                    <w:rPr>
                      <w:rFonts w:hint="eastAsia" w:cs="Times New Roman"/>
                      <w:b/>
                      <w:bCs w:val="0"/>
                      <w:color w:val="auto"/>
                      <w:spacing w:val="0"/>
                      <w:position w:val="0"/>
                      <w:szCs w:val="21"/>
                      <w:highlight w:val="none"/>
                      <w:lang w:eastAsia="zh-CN"/>
                    </w:rPr>
                    <w:t>（</w:t>
                  </w:r>
                  <w:r>
                    <w:rPr>
                      <w:rFonts w:hint="eastAsia" w:cs="Times New Roman"/>
                      <w:b/>
                      <w:bCs w:val="0"/>
                      <w:color w:val="auto"/>
                      <w:spacing w:val="0"/>
                      <w:position w:val="0"/>
                      <w:szCs w:val="21"/>
                      <w:highlight w:val="none"/>
                      <w:lang w:val="en-US" w:eastAsia="zh-CN"/>
                    </w:rPr>
                    <w:t>A</w:t>
                  </w:r>
                  <w:r>
                    <w:rPr>
                      <w:rFonts w:hint="eastAsia" w:cs="Times New Roman"/>
                      <w:b/>
                      <w:bCs w:val="0"/>
                      <w:color w:val="auto"/>
                      <w:spacing w:val="0"/>
                      <w:position w:val="0"/>
                      <w:szCs w:val="21"/>
                      <w:highlight w:val="none"/>
                      <w:lang w:eastAsia="zh-CN"/>
                    </w:rPr>
                    <w:t>）</w:t>
                  </w:r>
                </w:p>
              </w:tc>
              <w:tc>
                <w:tcPr>
                  <w:tcW w:w="1666" w:type="pct"/>
                  <w:tcBorders>
                    <w:tl2br w:val="nil"/>
                    <w:tr2bl w:val="nil"/>
                  </w:tcBorders>
                  <w:vAlign w:val="center"/>
                </w:tcPr>
                <w:p w14:paraId="490FC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Times New Roman" w:hAnsi="Times New Roman" w:eastAsia="宋体" w:cs="Times New Roman"/>
                      <w:b/>
                      <w:bCs w:val="0"/>
                      <w:color w:val="auto"/>
                      <w:spacing w:val="0"/>
                      <w:position w:val="0"/>
                      <w:szCs w:val="21"/>
                      <w:highlight w:val="none"/>
                      <w:lang w:eastAsia="zh-CN"/>
                    </w:rPr>
                  </w:pPr>
                  <w:r>
                    <w:rPr>
                      <w:rFonts w:hint="default" w:ascii="Times New Roman" w:hAnsi="Times New Roman" w:eastAsia="宋体" w:cs="Times New Roman"/>
                      <w:b/>
                      <w:bCs w:val="0"/>
                      <w:color w:val="auto"/>
                      <w:spacing w:val="0"/>
                      <w:position w:val="0"/>
                      <w:szCs w:val="21"/>
                      <w:highlight w:val="none"/>
                    </w:rPr>
                    <w:t>夜间dB</w:t>
                  </w:r>
                  <w:r>
                    <w:rPr>
                      <w:rFonts w:hint="eastAsia" w:cs="Times New Roman"/>
                      <w:b/>
                      <w:bCs w:val="0"/>
                      <w:color w:val="auto"/>
                      <w:spacing w:val="0"/>
                      <w:position w:val="0"/>
                      <w:szCs w:val="21"/>
                      <w:highlight w:val="none"/>
                      <w:lang w:eastAsia="zh-CN"/>
                    </w:rPr>
                    <w:t>（</w:t>
                  </w:r>
                  <w:r>
                    <w:rPr>
                      <w:rFonts w:hint="eastAsia" w:cs="Times New Roman"/>
                      <w:b/>
                      <w:bCs w:val="0"/>
                      <w:color w:val="auto"/>
                      <w:spacing w:val="0"/>
                      <w:position w:val="0"/>
                      <w:szCs w:val="21"/>
                      <w:highlight w:val="none"/>
                      <w:lang w:val="en-US" w:eastAsia="zh-CN"/>
                    </w:rPr>
                    <w:t>A</w:t>
                  </w:r>
                  <w:r>
                    <w:rPr>
                      <w:rFonts w:hint="eastAsia" w:cs="Times New Roman"/>
                      <w:b/>
                      <w:bCs w:val="0"/>
                      <w:color w:val="auto"/>
                      <w:spacing w:val="0"/>
                      <w:position w:val="0"/>
                      <w:szCs w:val="21"/>
                      <w:highlight w:val="none"/>
                      <w:lang w:eastAsia="zh-CN"/>
                    </w:rPr>
                    <w:t>）</w:t>
                  </w:r>
                </w:p>
              </w:tc>
            </w:tr>
            <w:tr w14:paraId="5E76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tcBorders>
                    <w:tl2br w:val="nil"/>
                    <w:tr2bl w:val="nil"/>
                  </w:tcBorders>
                  <w:vAlign w:val="center"/>
                </w:tcPr>
                <w:p w14:paraId="3DBE01AA">
                  <w:pPr>
                    <w:keepNext w:val="0"/>
                    <w:keepLines w:val="0"/>
                    <w:suppressLineNumbers w:val="0"/>
                    <w:spacing w:before="0" w:beforeAutospacing="0" w:after="0" w:afterAutospacing="0" w:line="320" w:lineRule="exact"/>
                    <w:ind w:left="0" w:right="0"/>
                    <w:jc w:val="center"/>
                    <w:rPr>
                      <w:rFonts w:hint="eastAsia" w:ascii="Times New Roman" w:hAnsi="Times New Roman" w:eastAsia="宋体" w:cs="Times New Roman"/>
                      <w:bCs/>
                      <w:color w:val="auto"/>
                      <w:spacing w:val="0"/>
                      <w:position w:val="0"/>
                      <w:szCs w:val="21"/>
                      <w:highlight w:val="none"/>
                      <w:lang w:eastAsia="zh-CN"/>
                    </w:rPr>
                  </w:pPr>
                  <w:r>
                    <w:rPr>
                      <w:rFonts w:hint="default" w:ascii="Times New Roman" w:hAnsi="Times New Roman" w:cs="Times New Roman"/>
                      <w:bCs/>
                      <w:color w:val="auto"/>
                      <w:szCs w:val="21"/>
                      <w:highlight w:val="none"/>
                    </w:rPr>
                    <w:t>噪声限值</w:t>
                  </w:r>
                </w:p>
              </w:tc>
              <w:tc>
                <w:tcPr>
                  <w:tcW w:w="1666" w:type="pct"/>
                  <w:tcBorders>
                    <w:tl2br w:val="nil"/>
                    <w:tr2bl w:val="nil"/>
                  </w:tcBorders>
                  <w:vAlign w:val="center"/>
                </w:tcPr>
                <w:p w14:paraId="09CFDFF9">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Cs/>
                      <w:color w:val="auto"/>
                      <w:spacing w:val="0"/>
                      <w:position w:val="0"/>
                      <w:szCs w:val="21"/>
                      <w:highlight w:val="none"/>
                      <w:lang w:val="en-US" w:eastAsia="zh-CN"/>
                    </w:rPr>
                  </w:pPr>
                  <w:r>
                    <w:rPr>
                      <w:rFonts w:hint="default" w:ascii="Times New Roman" w:hAnsi="Times New Roman" w:cs="Times New Roman"/>
                      <w:bCs/>
                      <w:color w:val="auto"/>
                      <w:szCs w:val="21"/>
                      <w:highlight w:val="none"/>
                    </w:rPr>
                    <w:t>70</w:t>
                  </w:r>
                </w:p>
              </w:tc>
              <w:tc>
                <w:tcPr>
                  <w:tcW w:w="1666" w:type="pct"/>
                  <w:tcBorders>
                    <w:tl2br w:val="nil"/>
                    <w:tr2bl w:val="nil"/>
                  </w:tcBorders>
                  <w:vAlign w:val="center"/>
                </w:tcPr>
                <w:p w14:paraId="4731D226">
                  <w:pPr>
                    <w:keepNext w:val="0"/>
                    <w:keepLines w:val="0"/>
                    <w:suppressLineNumbers w:val="0"/>
                    <w:spacing w:before="0" w:beforeAutospacing="0" w:after="0" w:afterAutospacing="0" w:line="320" w:lineRule="exact"/>
                    <w:ind w:left="0" w:right="0"/>
                    <w:jc w:val="center"/>
                    <w:rPr>
                      <w:rFonts w:hint="default" w:ascii="Times New Roman" w:hAnsi="Times New Roman" w:eastAsia="宋体" w:cs="Times New Roman"/>
                      <w:bCs/>
                      <w:color w:val="auto"/>
                      <w:spacing w:val="0"/>
                      <w:position w:val="0"/>
                      <w:szCs w:val="21"/>
                      <w:highlight w:val="none"/>
                      <w:lang w:val="en-US" w:eastAsia="zh-CN"/>
                    </w:rPr>
                  </w:pPr>
                  <w:r>
                    <w:rPr>
                      <w:rFonts w:hint="default" w:ascii="Times New Roman" w:hAnsi="Times New Roman" w:cs="Times New Roman"/>
                      <w:bCs/>
                      <w:color w:val="auto"/>
                      <w:szCs w:val="21"/>
                      <w:highlight w:val="none"/>
                    </w:rPr>
                    <w:t>55</w:t>
                  </w:r>
                </w:p>
              </w:tc>
            </w:tr>
          </w:tbl>
          <w:p w14:paraId="592B16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pacing w:val="0"/>
                <w:position w:val="0"/>
                <w:sz w:val="21"/>
                <w:szCs w:val="16"/>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ascii="Times New Roman" w:hAnsi="Times New Roman" w:eastAsia="宋体" w:cs="Times New Roman"/>
                <w:b/>
                <w:bCs w:val="0"/>
                <w:color w:val="auto"/>
                <w:spacing w:val="0"/>
                <w:position w:val="0"/>
                <w:sz w:val="21"/>
                <w:szCs w:val="16"/>
                <w:highlight w:val="none"/>
                <w:lang w:val="en-US" w:eastAsia="zh-CN"/>
              </w:rPr>
              <w:t>-</w:t>
            </w:r>
            <w:r>
              <w:rPr>
                <w:rFonts w:hint="eastAsia" w:cs="Times New Roman"/>
                <w:b/>
                <w:bCs w:val="0"/>
                <w:color w:val="auto"/>
                <w:spacing w:val="0"/>
                <w:position w:val="0"/>
                <w:sz w:val="21"/>
                <w:szCs w:val="16"/>
                <w:highlight w:val="none"/>
                <w:lang w:val="en-US" w:eastAsia="zh-CN"/>
              </w:rPr>
              <w:t>8</w:t>
            </w:r>
            <w:r>
              <w:rPr>
                <w:rFonts w:hint="default" w:ascii="Times New Roman" w:hAnsi="Times New Roman" w:eastAsia="宋体" w:cs="Times New Roman"/>
                <w:b/>
                <w:bCs w:val="0"/>
                <w:color w:val="auto"/>
                <w:spacing w:val="0"/>
                <w:position w:val="0"/>
                <w:sz w:val="21"/>
                <w:szCs w:val="16"/>
                <w:highlight w:val="none"/>
                <w:lang w:val="en-US" w:eastAsia="zh-CN"/>
              </w:rPr>
              <w:t xml:space="preserve">  《</w:t>
            </w:r>
            <w:r>
              <w:rPr>
                <w:rFonts w:hint="default" w:ascii="Times New Roman" w:hAnsi="Times New Roman" w:eastAsia="宋体" w:cs="Times New Roman"/>
                <w:b/>
                <w:bCs w:val="0"/>
                <w:color w:val="auto"/>
                <w:spacing w:val="0"/>
                <w:position w:val="0"/>
                <w:sz w:val="21"/>
                <w:szCs w:val="16"/>
                <w:highlight w:val="none"/>
                <w:lang w:val="en-US" w:eastAsia="zh-CN"/>
              </w:rPr>
              <w:fldChar w:fldCharType="begin"/>
            </w:r>
            <w:r>
              <w:rPr>
                <w:rFonts w:hint="default" w:ascii="Times New Roman" w:hAnsi="Times New Roman" w:eastAsia="宋体" w:cs="Times New Roman"/>
                <w:b/>
                <w:bCs w:val="0"/>
                <w:color w:val="auto"/>
                <w:spacing w:val="0"/>
                <w:position w:val="0"/>
                <w:sz w:val="21"/>
                <w:szCs w:val="16"/>
                <w:highlight w:val="none"/>
                <w:lang w:val="en-US" w:eastAsia="zh-CN"/>
              </w:rPr>
              <w:instrText xml:space="preserve"> HYPERLINK "http://www.mep.gov.cn/info/bgw/bgg/200809/W020081017399508921576.pdf" \t "_self" </w:instrText>
            </w:r>
            <w:r>
              <w:rPr>
                <w:rFonts w:hint="default" w:ascii="Times New Roman" w:hAnsi="Times New Roman" w:eastAsia="宋体" w:cs="Times New Roman"/>
                <w:b/>
                <w:bCs w:val="0"/>
                <w:color w:val="auto"/>
                <w:spacing w:val="0"/>
                <w:position w:val="0"/>
                <w:sz w:val="21"/>
                <w:szCs w:val="16"/>
                <w:highlight w:val="none"/>
                <w:lang w:val="en-US" w:eastAsia="zh-CN"/>
              </w:rPr>
              <w:fldChar w:fldCharType="separate"/>
            </w:r>
            <w:r>
              <w:rPr>
                <w:rFonts w:hint="default" w:ascii="Times New Roman" w:hAnsi="Times New Roman" w:eastAsia="宋体" w:cs="Times New Roman"/>
                <w:b/>
                <w:bCs w:val="0"/>
                <w:color w:val="auto"/>
                <w:spacing w:val="0"/>
                <w:position w:val="0"/>
                <w:sz w:val="21"/>
                <w:szCs w:val="16"/>
                <w:highlight w:val="none"/>
                <w:lang w:val="en-US" w:eastAsia="zh-CN"/>
              </w:rPr>
              <w:t>工业企业厂界环境噪声</w:t>
            </w:r>
            <w:r>
              <w:rPr>
                <w:rFonts w:hint="default" w:ascii="Times New Roman" w:hAnsi="Times New Roman" w:eastAsia="宋体" w:cs="Times New Roman"/>
                <w:b/>
                <w:bCs w:val="0"/>
                <w:color w:val="auto"/>
                <w:spacing w:val="0"/>
                <w:position w:val="0"/>
                <w:sz w:val="21"/>
                <w:szCs w:val="16"/>
                <w:highlight w:val="none"/>
                <w:lang w:val="en-US" w:eastAsia="zh-CN"/>
              </w:rPr>
              <w:fldChar w:fldCharType="end"/>
            </w:r>
            <w:r>
              <w:rPr>
                <w:rFonts w:hint="default" w:ascii="Times New Roman" w:hAnsi="Times New Roman" w:eastAsia="宋体" w:cs="Times New Roman"/>
                <w:b/>
                <w:bCs w:val="0"/>
                <w:color w:val="auto"/>
                <w:spacing w:val="0"/>
                <w:position w:val="0"/>
                <w:sz w:val="21"/>
                <w:szCs w:val="16"/>
                <w:highlight w:val="none"/>
                <w:lang w:val="en-US" w:eastAsia="zh-CN"/>
              </w:rPr>
              <w:t>排放标准》（GB12348-2008）</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5"/>
              <w:gridCol w:w="3026"/>
              <w:gridCol w:w="3026"/>
            </w:tblGrid>
            <w:tr w14:paraId="2255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tcBorders>
                    <w:tl2br w:val="nil"/>
                    <w:tr2bl w:val="nil"/>
                  </w:tcBorders>
                  <w:vAlign w:val="center"/>
                </w:tcPr>
                <w:p w14:paraId="1FBD85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b/>
                      <w:bCs w:val="0"/>
                      <w:color w:val="auto"/>
                      <w:spacing w:val="0"/>
                      <w:position w:val="0"/>
                      <w:szCs w:val="21"/>
                      <w:highlight w:val="none"/>
                    </w:rPr>
                  </w:pPr>
                  <w:r>
                    <w:rPr>
                      <w:rFonts w:hint="default" w:ascii="Times New Roman" w:hAnsi="Times New Roman" w:eastAsia="宋体" w:cs="Times New Roman"/>
                      <w:b/>
                      <w:bCs w:val="0"/>
                      <w:color w:val="auto"/>
                      <w:spacing w:val="0"/>
                      <w:position w:val="0"/>
                      <w:szCs w:val="21"/>
                      <w:highlight w:val="none"/>
                    </w:rPr>
                    <w:t>类别</w:t>
                  </w:r>
                </w:p>
              </w:tc>
              <w:tc>
                <w:tcPr>
                  <w:tcW w:w="1666" w:type="pct"/>
                  <w:tcBorders>
                    <w:tl2br w:val="nil"/>
                    <w:tr2bl w:val="nil"/>
                  </w:tcBorders>
                  <w:vAlign w:val="center"/>
                </w:tcPr>
                <w:p w14:paraId="238BFC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b/>
                      <w:bCs w:val="0"/>
                      <w:color w:val="auto"/>
                      <w:spacing w:val="0"/>
                      <w:position w:val="0"/>
                      <w:szCs w:val="21"/>
                      <w:highlight w:val="none"/>
                    </w:rPr>
                  </w:pPr>
                  <w:r>
                    <w:rPr>
                      <w:rFonts w:hint="default" w:ascii="Times New Roman" w:hAnsi="Times New Roman" w:eastAsia="宋体" w:cs="Times New Roman"/>
                      <w:b/>
                      <w:bCs w:val="0"/>
                      <w:color w:val="auto"/>
                      <w:spacing w:val="0"/>
                      <w:position w:val="0"/>
                      <w:szCs w:val="21"/>
                      <w:highlight w:val="none"/>
                    </w:rPr>
                    <w:t>昼间dB</w:t>
                  </w:r>
                  <w:r>
                    <w:rPr>
                      <w:rFonts w:hint="eastAsia" w:cs="Times New Roman"/>
                      <w:b/>
                      <w:bCs w:val="0"/>
                      <w:color w:val="auto"/>
                      <w:spacing w:val="0"/>
                      <w:position w:val="0"/>
                      <w:szCs w:val="21"/>
                      <w:highlight w:val="none"/>
                      <w:lang w:eastAsia="zh-CN"/>
                    </w:rPr>
                    <w:t>（</w:t>
                  </w:r>
                  <w:r>
                    <w:rPr>
                      <w:rFonts w:hint="eastAsia" w:cs="Times New Roman"/>
                      <w:b/>
                      <w:bCs w:val="0"/>
                      <w:color w:val="auto"/>
                      <w:spacing w:val="0"/>
                      <w:position w:val="0"/>
                      <w:szCs w:val="21"/>
                      <w:highlight w:val="none"/>
                      <w:lang w:val="en-US" w:eastAsia="zh-CN"/>
                    </w:rPr>
                    <w:t>A</w:t>
                  </w:r>
                  <w:r>
                    <w:rPr>
                      <w:rFonts w:hint="eastAsia" w:cs="Times New Roman"/>
                      <w:b/>
                      <w:bCs w:val="0"/>
                      <w:color w:val="auto"/>
                      <w:spacing w:val="0"/>
                      <w:position w:val="0"/>
                      <w:szCs w:val="21"/>
                      <w:highlight w:val="none"/>
                      <w:lang w:eastAsia="zh-CN"/>
                    </w:rPr>
                    <w:t>）</w:t>
                  </w:r>
                </w:p>
              </w:tc>
              <w:tc>
                <w:tcPr>
                  <w:tcW w:w="1666" w:type="pct"/>
                  <w:tcBorders>
                    <w:tl2br w:val="nil"/>
                    <w:tr2bl w:val="nil"/>
                  </w:tcBorders>
                  <w:vAlign w:val="center"/>
                </w:tcPr>
                <w:p w14:paraId="795747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Times New Roman" w:hAnsi="Times New Roman" w:eastAsia="宋体" w:cs="Times New Roman"/>
                      <w:b/>
                      <w:bCs w:val="0"/>
                      <w:color w:val="auto"/>
                      <w:spacing w:val="0"/>
                      <w:position w:val="0"/>
                      <w:szCs w:val="21"/>
                      <w:highlight w:val="none"/>
                      <w:lang w:eastAsia="zh-CN"/>
                    </w:rPr>
                  </w:pPr>
                  <w:r>
                    <w:rPr>
                      <w:rFonts w:hint="default" w:ascii="Times New Roman" w:hAnsi="Times New Roman" w:eastAsia="宋体" w:cs="Times New Roman"/>
                      <w:b/>
                      <w:bCs w:val="0"/>
                      <w:color w:val="auto"/>
                      <w:spacing w:val="0"/>
                      <w:position w:val="0"/>
                      <w:szCs w:val="21"/>
                      <w:highlight w:val="none"/>
                    </w:rPr>
                    <w:t>夜间dB</w:t>
                  </w:r>
                  <w:r>
                    <w:rPr>
                      <w:rFonts w:hint="eastAsia" w:cs="Times New Roman"/>
                      <w:b/>
                      <w:bCs w:val="0"/>
                      <w:color w:val="auto"/>
                      <w:spacing w:val="0"/>
                      <w:position w:val="0"/>
                      <w:szCs w:val="21"/>
                      <w:highlight w:val="none"/>
                      <w:lang w:eastAsia="zh-CN"/>
                    </w:rPr>
                    <w:t>（</w:t>
                  </w:r>
                  <w:r>
                    <w:rPr>
                      <w:rFonts w:hint="eastAsia" w:cs="Times New Roman"/>
                      <w:b/>
                      <w:bCs w:val="0"/>
                      <w:color w:val="auto"/>
                      <w:spacing w:val="0"/>
                      <w:position w:val="0"/>
                      <w:szCs w:val="21"/>
                      <w:highlight w:val="none"/>
                      <w:lang w:val="en-US" w:eastAsia="zh-CN"/>
                    </w:rPr>
                    <w:t>A</w:t>
                  </w:r>
                  <w:r>
                    <w:rPr>
                      <w:rFonts w:hint="eastAsia" w:cs="Times New Roman"/>
                      <w:b/>
                      <w:bCs w:val="0"/>
                      <w:color w:val="auto"/>
                      <w:spacing w:val="0"/>
                      <w:position w:val="0"/>
                      <w:szCs w:val="21"/>
                      <w:highlight w:val="none"/>
                      <w:lang w:eastAsia="zh-CN"/>
                    </w:rPr>
                    <w:t>）</w:t>
                  </w:r>
                </w:p>
              </w:tc>
            </w:tr>
            <w:tr w14:paraId="5ED5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tcBorders>
                    <w:tl2br w:val="nil"/>
                    <w:tr2bl w:val="nil"/>
                  </w:tcBorders>
                  <w:vAlign w:val="center"/>
                </w:tcPr>
                <w:p w14:paraId="0471C2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Times New Roman" w:hAnsi="Times New Roman" w:eastAsia="宋体" w:cs="Times New Roman"/>
                      <w:bCs/>
                      <w:color w:val="auto"/>
                      <w:spacing w:val="0"/>
                      <w:position w:val="0"/>
                      <w:szCs w:val="21"/>
                      <w:highlight w:val="none"/>
                      <w:lang w:eastAsia="zh-CN"/>
                    </w:rPr>
                  </w:pPr>
                  <w:r>
                    <w:rPr>
                      <w:rFonts w:hint="eastAsia" w:cs="Times New Roman"/>
                      <w:bCs/>
                      <w:color w:val="auto"/>
                      <w:spacing w:val="0"/>
                      <w:position w:val="0"/>
                      <w:szCs w:val="21"/>
                      <w:highlight w:val="none"/>
                      <w:lang w:val="en-US" w:eastAsia="zh-CN"/>
                    </w:rPr>
                    <w:t>2</w:t>
                  </w:r>
                </w:p>
              </w:tc>
              <w:tc>
                <w:tcPr>
                  <w:tcW w:w="1666" w:type="pct"/>
                  <w:tcBorders>
                    <w:tl2br w:val="nil"/>
                    <w:tr2bl w:val="nil"/>
                  </w:tcBorders>
                  <w:vAlign w:val="center"/>
                </w:tcPr>
                <w:p w14:paraId="617BEB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bCs/>
                      <w:color w:val="auto"/>
                      <w:spacing w:val="0"/>
                      <w:position w:val="0"/>
                      <w:szCs w:val="21"/>
                      <w:highlight w:val="none"/>
                      <w:lang w:val="en-US" w:eastAsia="zh-CN"/>
                    </w:rPr>
                  </w:pPr>
                  <w:r>
                    <w:rPr>
                      <w:rFonts w:hint="eastAsia" w:cs="Times New Roman"/>
                      <w:bCs/>
                      <w:color w:val="auto"/>
                      <w:spacing w:val="0"/>
                      <w:position w:val="0"/>
                      <w:szCs w:val="21"/>
                      <w:highlight w:val="none"/>
                      <w:lang w:val="en-US" w:eastAsia="zh-CN"/>
                    </w:rPr>
                    <w:t>60</w:t>
                  </w:r>
                </w:p>
              </w:tc>
              <w:tc>
                <w:tcPr>
                  <w:tcW w:w="1666" w:type="pct"/>
                  <w:tcBorders>
                    <w:tl2br w:val="nil"/>
                    <w:tr2bl w:val="nil"/>
                  </w:tcBorders>
                  <w:vAlign w:val="center"/>
                </w:tcPr>
                <w:p w14:paraId="436A23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default" w:ascii="Times New Roman" w:hAnsi="Times New Roman" w:eastAsia="宋体" w:cs="Times New Roman"/>
                      <w:bCs/>
                      <w:color w:val="auto"/>
                      <w:spacing w:val="0"/>
                      <w:position w:val="0"/>
                      <w:szCs w:val="21"/>
                      <w:highlight w:val="none"/>
                      <w:lang w:val="en-US" w:eastAsia="zh-CN"/>
                    </w:rPr>
                  </w:pPr>
                  <w:r>
                    <w:rPr>
                      <w:rFonts w:hint="eastAsia" w:cs="Times New Roman"/>
                      <w:bCs/>
                      <w:color w:val="auto"/>
                      <w:spacing w:val="0"/>
                      <w:position w:val="0"/>
                      <w:szCs w:val="21"/>
                      <w:highlight w:val="none"/>
                      <w:lang w:val="en-US" w:eastAsia="zh-CN"/>
                    </w:rPr>
                    <w:t>50</w:t>
                  </w:r>
                </w:p>
              </w:tc>
            </w:tr>
          </w:tbl>
          <w:p w14:paraId="3F8E3B6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80" w:lineRule="exact"/>
              <w:ind w:left="0" w:right="0" w:firstLine="482" w:firstLineChars="200"/>
              <w:jc w:val="both"/>
              <w:textAlignment w:val="auto"/>
              <w:rPr>
                <w:rFonts w:hint="default" w:ascii="Times New Roman" w:hAnsi="Times New Roman" w:eastAsia="宋体" w:cs="Times New Roman"/>
                <w:b/>
                <w:bCs/>
                <w:color w:val="auto"/>
                <w:spacing w:val="0"/>
                <w:kern w:val="0"/>
                <w:position w:val="0"/>
                <w:sz w:val="24"/>
                <w:szCs w:val="24"/>
                <w:highlight w:val="none"/>
                <w:lang w:val="en-US" w:eastAsia="zh-CN"/>
              </w:rPr>
            </w:pPr>
            <w:r>
              <w:rPr>
                <w:rFonts w:hint="eastAsia" w:cs="Times New Roman"/>
                <w:b/>
                <w:bCs w:val="0"/>
                <w:color w:val="auto"/>
                <w:spacing w:val="0"/>
                <w:position w:val="0"/>
                <w:sz w:val="24"/>
                <w:szCs w:val="24"/>
                <w:highlight w:val="none"/>
                <w:lang w:val="en-US" w:eastAsia="zh-CN"/>
              </w:rPr>
              <w:t>4、</w:t>
            </w:r>
            <w:r>
              <w:rPr>
                <w:rFonts w:hint="default" w:ascii="Times New Roman" w:hAnsi="Times New Roman" w:eastAsia="宋体" w:cs="Times New Roman"/>
                <w:b/>
                <w:bCs/>
                <w:color w:val="auto"/>
                <w:spacing w:val="0"/>
                <w:kern w:val="0"/>
                <w:position w:val="0"/>
                <w:sz w:val="24"/>
                <w:szCs w:val="24"/>
                <w:highlight w:val="none"/>
                <w:lang w:val="en-US" w:eastAsia="zh-CN"/>
              </w:rPr>
              <w:t>固体废物</w:t>
            </w:r>
          </w:p>
          <w:p w14:paraId="369EBAD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both"/>
              <w:textAlignment w:val="auto"/>
              <w:rPr>
                <w:rFonts w:hint="default"/>
                <w:color w:val="auto"/>
                <w:highlight w:val="none"/>
                <w:lang w:eastAsia="zh-CN"/>
              </w:rPr>
            </w:pPr>
            <w:r>
              <w:rPr>
                <w:rFonts w:hint="default" w:ascii="Times New Roman" w:hAnsi="Times New Roman" w:eastAsia="宋体" w:cs="Times New Roman"/>
                <w:color w:val="auto"/>
                <w:spacing w:val="0"/>
                <w:position w:val="0"/>
                <w:sz w:val="24"/>
                <w:highlight w:val="none"/>
                <w:lang w:val="en-US" w:eastAsia="zh-CN"/>
              </w:rPr>
              <w:t>一般固体废物执行《一般工业固体废物贮存和填埋污染控制标准》（GB18599-2020）中的有关规定；危险废物执行《危险废物贮存污染控制标准》（GB18597-2023）</w:t>
            </w:r>
            <w:r>
              <w:rPr>
                <w:rFonts w:hint="default" w:ascii="Times New Roman" w:hAnsi="Times New Roman" w:eastAsia="宋体" w:cs="Times New Roman"/>
                <w:color w:val="auto"/>
                <w:spacing w:val="0"/>
                <w:position w:val="0"/>
                <w:sz w:val="24"/>
                <w:highlight w:val="none"/>
              </w:rPr>
              <w:t>。</w:t>
            </w:r>
          </w:p>
        </w:tc>
      </w:tr>
      <w:tr w14:paraId="33C8B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4" w:hRule="atLeast"/>
          <w:jc w:val="center"/>
        </w:trPr>
        <w:tc>
          <w:tcPr>
            <w:tcW w:w="330" w:type="pct"/>
            <w:vAlign w:val="center"/>
          </w:tcPr>
          <w:p w14:paraId="2D11C77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pacing w:val="0"/>
                <w:kern w:val="0"/>
                <w:position w:val="0"/>
                <w:szCs w:val="21"/>
                <w:highlight w:val="none"/>
              </w:rPr>
            </w:pPr>
            <w:r>
              <w:rPr>
                <w:rFonts w:hint="default" w:ascii="Times New Roman" w:hAnsi="Times New Roman" w:cs="Times New Roman"/>
                <w:b w:val="0"/>
                <w:bCs w:val="0"/>
                <w:color w:val="auto"/>
                <w:spacing w:val="0"/>
                <w:kern w:val="0"/>
                <w:position w:val="0"/>
                <w:szCs w:val="21"/>
                <w:highlight w:val="none"/>
              </w:rPr>
              <w:t>总量</w:t>
            </w:r>
          </w:p>
          <w:p w14:paraId="478FDDB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spacing w:val="0"/>
                <w:kern w:val="0"/>
                <w:position w:val="0"/>
                <w:szCs w:val="21"/>
                <w:highlight w:val="none"/>
              </w:rPr>
            </w:pPr>
            <w:r>
              <w:rPr>
                <w:rFonts w:hint="default" w:ascii="Times New Roman" w:hAnsi="Times New Roman" w:cs="Times New Roman"/>
                <w:b w:val="0"/>
                <w:bCs w:val="0"/>
                <w:color w:val="auto"/>
                <w:spacing w:val="0"/>
                <w:kern w:val="0"/>
                <w:position w:val="0"/>
                <w:szCs w:val="21"/>
                <w:highlight w:val="none"/>
              </w:rPr>
              <w:t>控制</w:t>
            </w:r>
          </w:p>
          <w:p w14:paraId="699F36F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pacing w:val="0"/>
                <w:kern w:val="0"/>
                <w:position w:val="0"/>
                <w:szCs w:val="21"/>
                <w:highlight w:val="none"/>
              </w:rPr>
            </w:pPr>
            <w:r>
              <w:rPr>
                <w:rFonts w:hint="default" w:ascii="Times New Roman" w:hAnsi="Times New Roman" w:cs="Times New Roman"/>
                <w:b w:val="0"/>
                <w:bCs w:val="0"/>
                <w:color w:val="auto"/>
                <w:spacing w:val="0"/>
                <w:kern w:val="0"/>
                <w:position w:val="0"/>
                <w:szCs w:val="21"/>
                <w:highlight w:val="none"/>
              </w:rPr>
              <w:t>指标</w:t>
            </w:r>
          </w:p>
        </w:tc>
        <w:tc>
          <w:tcPr>
            <w:tcW w:w="4669" w:type="pct"/>
            <w:vAlign w:val="center"/>
          </w:tcPr>
          <w:p w14:paraId="60FEBD2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pacing w:val="0"/>
                <w:position w:val="0"/>
                <w:sz w:val="24"/>
                <w:highlight w:val="none"/>
                <w:lang w:val="en-US" w:eastAsia="zh-CN"/>
              </w:rPr>
            </w:pPr>
            <w:r>
              <w:rPr>
                <w:rFonts w:hint="default" w:ascii="Times New Roman" w:hAnsi="Times New Roman" w:eastAsia="宋体" w:cs="Times New Roman"/>
                <w:color w:val="auto"/>
                <w:spacing w:val="0"/>
                <w:position w:val="0"/>
                <w:sz w:val="24"/>
                <w:highlight w:val="none"/>
              </w:rPr>
              <w:t>根据山西省</w:t>
            </w:r>
            <w:r>
              <w:rPr>
                <w:rFonts w:hint="default" w:ascii="Times New Roman" w:hAnsi="Times New Roman" w:eastAsia="宋体" w:cs="Times New Roman"/>
                <w:color w:val="auto"/>
                <w:spacing w:val="0"/>
                <w:position w:val="0"/>
                <w:sz w:val="24"/>
                <w:highlight w:val="none"/>
                <w:lang w:val="en-US" w:eastAsia="zh-CN"/>
              </w:rPr>
              <w:t>生态环境厅</w:t>
            </w:r>
            <w:r>
              <w:rPr>
                <w:rFonts w:hint="default" w:ascii="Times New Roman" w:hAnsi="Times New Roman" w:eastAsia="宋体" w:cs="Times New Roman"/>
                <w:color w:val="auto"/>
                <w:spacing w:val="0"/>
                <w:position w:val="0"/>
                <w:sz w:val="24"/>
                <w:highlight w:val="none"/>
              </w:rPr>
              <w:t>《建设项目主要污染物排放总量指标核定暂行办法》（晋环规[2023]1号）文规定，</w:t>
            </w:r>
            <w:r>
              <w:rPr>
                <w:rFonts w:hint="eastAsia" w:cs="Times New Roman"/>
                <w:color w:val="auto"/>
                <w:spacing w:val="0"/>
                <w:position w:val="0"/>
                <w:sz w:val="24"/>
                <w:highlight w:val="none"/>
                <w:lang w:eastAsia="zh-CN"/>
              </w:rPr>
              <w:t>“</w:t>
            </w:r>
            <w:r>
              <w:rPr>
                <w:rFonts w:hint="default" w:ascii="Times New Roman" w:hAnsi="Times New Roman" w:eastAsia="宋体" w:cs="Times New Roman"/>
                <w:color w:val="auto"/>
                <w:spacing w:val="0"/>
                <w:position w:val="0"/>
                <w:sz w:val="24"/>
                <w:highlight w:val="none"/>
              </w:rPr>
              <w:t>实施排放总量控制的主要污染物包括氮氧化物、挥发性有机物、化学需氧量、氨氮等国家实施排放总量控制的主要污染物以及二氧化硫、颗粒物等山西省实施排放总量控制的主要污染物</w:t>
            </w:r>
            <w:r>
              <w:rPr>
                <w:rFonts w:hint="eastAsia" w:ascii="Times New Roman" w:hAnsi="Times New Roman" w:eastAsia="宋体" w:cs="Times New Roman"/>
                <w:color w:val="auto"/>
                <w:spacing w:val="0"/>
                <w:position w:val="0"/>
                <w:sz w:val="24"/>
                <w:highlight w:val="none"/>
                <w:lang w:eastAsia="zh-CN"/>
              </w:rPr>
              <w:t>”</w:t>
            </w:r>
            <w:r>
              <w:rPr>
                <w:rFonts w:hint="default" w:ascii="Times New Roman" w:hAnsi="Times New Roman" w:eastAsia="宋体" w:cs="Times New Roman"/>
                <w:color w:val="auto"/>
                <w:spacing w:val="0"/>
                <w:position w:val="0"/>
                <w:sz w:val="24"/>
                <w:highlight w:val="none"/>
              </w:rPr>
              <w:t>。</w:t>
            </w:r>
          </w:p>
          <w:p w14:paraId="4BDAD17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eastAsia"/>
                <w:color w:val="auto"/>
                <w:sz w:val="24"/>
                <w:highlight w:val="none"/>
                <w:lang w:val="en-US" w:eastAsia="zh-CN"/>
              </w:rPr>
            </w:pPr>
            <w:r>
              <w:rPr>
                <w:rFonts w:hint="eastAsia"/>
                <w:color w:val="auto"/>
                <w:sz w:val="24"/>
                <w:highlight w:val="none"/>
              </w:rPr>
              <w:t>本项目生产过程中有组织排放的大气污染物主要为颗粒物</w:t>
            </w:r>
            <w:r>
              <w:rPr>
                <w:rFonts w:hint="eastAsia"/>
                <w:color w:val="auto"/>
                <w:sz w:val="24"/>
                <w:highlight w:val="none"/>
                <w:lang w:eastAsia="zh-CN"/>
              </w:rPr>
              <w:t>、</w:t>
            </w:r>
            <w:r>
              <w:rPr>
                <w:rFonts w:hint="default"/>
                <w:color w:val="auto"/>
                <w:sz w:val="24"/>
                <w:szCs w:val="32"/>
                <w:highlight w:val="none"/>
              </w:rPr>
              <w:t>SO</w:t>
            </w:r>
            <w:r>
              <w:rPr>
                <w:rFonts w:hint="eastAsia"/>
                <w:color w:val="auto"/>
                <w:sz w:val="24"/>
                <w:szCs w:val="32"/>
                <w:highlight w:val="none"/>
                <w:vertAlign w:val="subscript"/>
                <w:lang w:val="en-US" w:eastAsia="zh-CN"/>
              </w:rPr>
              <w:t>2</w:t>
            </w:r>
            <w:r>
              <w:rPr>
                <w:rFonts w:hint="eastAsia"/>
                <w:color w:val="auto"/>
                <w:sz w:val="24"/>
                <w:szCs w:val="32"/>
                <w:highlight w:val="none"/>
                <w:lang w:val="en-US" w:eastAsia="zh-CN"/>
              </w:rPr>
              <w:t>、</w:t>
            </w:r>
            <w:r>
              <w:rPr>
                <w:rFonts w:hint="eastAsia"/>
                <w:color w:val="auto"/>
                <w:sz w:val="24"/>
                <w:szCs w:val="32"/>
                <w:highlight w:val="none"/>
                <w:vertAlign w:val="baseline"/>
                <w:lang w:val="en-US" w:eastAsia="zh-CN"/>
              </w:rPr>
              <w:t>NOx</w:t>
            </w:r>
            <w:r>
              <w:rPr>
                <w:rFonts w:hint="eastAsia"/>
                <w:color w:val="auto"/>
                <w:sz w:val="24"/>
                <w:highlight w:val="none"/>
              </w:rPr>
              <w:t>，</w:t>
            </w:r>
            <w:r>
              <w:rPr>
                <w:rFonts w:hint="eastAsia" w:cs="Times New Roman"/>
                <w:color w:val="auto"/>
                <w:spacing w:val="0"/>
                <w:position w:val="0"/>
                <w:sz w:val="24"/>
                <w:highlight w:val="none"/>
                <w:lang w:val="en-US" w:eastAsia="zh-CN"/>
              </w:rPr>
              <w:t>经计算，本项目</w:t>
            </w:r>
            <w:r>
              <w:rPr>
                <w:rFonts w:hint="eastAsia"/>
                <w:color w:val="auto"/>
                <w:sz w:val="24"/>
                <w:highlight w:val="none"/>
              </w:rPr>
              <w:t>需要申请总量指标</w:t>
            </w:r>
            <w:r>
              <w:rPr>
                <w:rFonts w:hint="eastAsia"/>
                <w:color w:val="auto"/>
                <w:sz w:val="24"/>
                <w:highlight w:val="none"/>
                <w:lang w:val="en-US" w:eastAsia="zh-CN"/>
              </w:rPr>
              <w:t>为：颗粒物</w:t>
            </w:r>
            <w:r>
              <w:rPr>
                <w:rFonts w:hint="eastAsia" w:cs="Times New Roman"/>
                <w:color w:val="auto"/>
                <w:spacing w:val="0"/>
                <w:position w:val="0"/>
                <w:sz w:val="24"/>
                <w:highlight w:val="none"/>
                <w:lang w:val="en-US" w:eastAsia="zh-CN"/>
              </w:rPr>
              <w:t>6.183</w:t>
            </w:r>
            <w:r>
              <w:rPr>
                <w:rFonts w:hint="eastAsia"/>
                <w:color w:val="auto"/>
                <w:sz w:val="24"/>
                <w:highlight w:val="none"/>
                <w:lang w:val="en-US" w:eastAsia="zh-CN"/>
              </w:rPr>
              <w:t>t/a、</w:t>
            </w:r>
            <w:r>
              <w:rPr>
                <w:rFonts w:hint="default"/>
                <w:color w:val="auto"/>
                <w:sz w:val="24"/>
                <w:szCs w:val="32"/>
                <w:highlight w:val="none"/>
              </w:rPr>
              <w:t>SO</w:t>
            </w:r>
            <w:r>
              <w:rPr>
                <w:rFonts w:hint="eastAsia"/>
                <w:color w:val="auto"/>
                <w:sz w:val="24"/>
                <w:szCs w:val="32"/>
                <w:highlight w:val="none"/>
                <w:vertAlign w:val="subscript"/>
                <w:lang w:val="en-US" w:eastAsia="zh-CN"/>
              </w:rPr>
              <w:t xml:space="preserve">2 </w:t>
            </w:r>
            <w:r>
              <w:rPr>
                <w:rFonts w:hint="eastAsia"/>
                <w:color w:val="auto"/>
                <w:sz w:val="24"/>
                <w:szCs w:val="32"/>
                <w:highlight w:val="none"/>
                <w:vertAlign w:val="baseline"/>
                <w:lang w:val="en-US" w:eastAsia="zh-CN"/>
              </w:rPr>
              <w:t>0.131</w:t>
            </w:r>
            <w:r>
              <w:rPr>
                <w:rFonts w:hint="eastAsia"/>
                <w:color w:val="auto"/>
                <w:sz w:val="24"/>
                <w:highlight w:val="none"/>
                <w:lang w:val="en-US" w:eastAsia="zh-CN"/>
              </w:rPr>
              <w:t>t/a</w:t>
            </w:r>
            <w:r>
              <w:rPr>
                <w:rFonts w:hint="eastAsia"/>
                <w:color w:val="auto"/>
                <w:sz w:val="24"/>
                <w:szCs w:val="32"/>
                <w:highlight w:val="none"/>
                <w:lang w:val="en-US" w:eastAsia="zh-CN"/>
              </w:rPr>
              <w:t>、</w:t>
            </w:r>
            <w:r>
              <w:rPr>
                <w:rFonts w:hint="eastAsia"/>
                <w:color w:val="auto"/>
                <w:sz w:val="24"/>
                <w:szCs w:val="32"/>
                <w:highlight w:val="none"/>
                <w:vertAlign w:val="baseline"/>
                <w:lang w:val="en-US" w:eastAsia="zh-CN"/>
              </w:rPr>
              <w:t>NOx 3.06t/a</w:t>
            </w:r>
            <w:r>
              <w:rPr>
                <w:rFonts w:hint="eastAsia"/>
                <w:color w:val="auto"/>
                <w:sz w:val="24"/>
                <w:highlight w:val="none"/>
                <w:lang w:val="en-US" w:eastAsia="zh-CN"/>
              </w:rPr>
              <w:t>。</w:t>
            </w:r>
          </w:p>
          <w:p w14:paraId="1F7D4A0C">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color w:val="auto"/>
                <w:sz w:val="24"/>
                <w:szCs w:val="22"/>
                <w:highlight w:val="none"/>
                <w:lang w:val="en-US" w:eastAsia="zh-CN"/>
              </w:rPr>
            </w:pPr>
            <w:r>
              <w:rPr>
                <w:rFonts w:hint="eastAsia" w:cs="Times New Roman"/>
                <w:color w:val="auto"/>
                <w:sz w:val="24"/>
                <w:szCs w:val="22"/>
                <w:highlight w:val="none"/>
                <w:lang w:val="en-US" w:eastAsia="zh-CN"/>
              </w:rPr>
              <w:t>2017年8月30日，原屯留县环境保护局以“屯环函[2017]114号”</w:t>
            </w:r>
            <w:r>
              <w:rPr>
                <w:rFonts w:hint="eastAsia" w:ascii="Times New Roman" w:hAnsi="Times New Roman" w:eastAsia="宋体" w:cs="Times New Roman"/>
                <w:color w:val="auto"/>
                <w:sz w:val="24"/>
                <w:szCs w:val="22"/>
                <w:highlight w:val="none"/>
                <w:lang w:val="en-US" w:eastAsia="zh-CN"/>
              </w:rPr>
              <w:t>文出具了“关于山西瑞赛格废弃资源综合利用有限公司再生资源循环利用园区项目</w:t>
            </w:r>
            <w:r>
              <w:rPr>
                <w:rFonts w:hint="eastAsia"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一期工程</w:t>
            </w:r>
            <w:r>
              <w:rPr>
                <w:rFonts w:hint="eastAsia"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污染物排放总量控制指标的核定意见”</w:t>
            </w:r>
            <w:r>
              <w:rPr>
                <w:rFonts w:hint="eastAsia" w:cs="Times New Roman"/>
                <w:color w:val="auto"/>
                <w:sz w:val="24"/>
                <w:szCs w:val="22"/>
                <w:highlight w:val="none"/>
                <w:lang w:val="en-US" w:eastAsia="zh-CN"/>
              </w:rPr>
              <w:t>（见附件），粉尘</w:t>
            </w:r>
            <w:r>
              <w:rPr>
                <w:rFonts w:hint="eastAsia" w:ascii="Times New Roman" w:hAnsi="Times New Roman" w:eastAsia="宋体" w:cs="Times New Roman"/>
                <w:color w:val="auto"/>
                <w:sz w:val="24"/>
                <w:szCs w:val="22"/>
                <w:highlight w:val="none"/>
                <w:lang w:val="en-US" w:eastAsia="zh-CN"/>
              </w:rPr>
              <w:t>：</w:t>
            </w:r>
            <w:r>
              <w:rPr>
                <w:rFonts w:hint="eastAsia" w:cs="Times New Roman"/>
                <w:color w:val="auto"/>
                <w:sz w:val="24"/>
                <w:szCs w:val="22"/>
                <w:highlight w:val="none"/>
                <w:lang w:val="en-US" w:eastAsia="zh-CN"/>
              </w:rPr>
              <w:t>2.58</w:t>
            </w:r>
            <w:r>
              <w:rPr>
                <w:rFonts w:hint="eastAsia" w:ascii="Times New Roman" w:hAnsi="Times New Roman" w:eastAsia="宋体" w:cs="Times New Roman"/>
                <w:color w:val="auto"/>
                <w:sz w:val="24"/>
                <w:szCs w:val="22"/>
                <w:highlight w:val="none"/>
                <w:lang w:val="en-US" w:eastAsia="zh-CN"/>
              </w:rPr>
              <w:t>t/a。</w:t>
            </w:r>
          </w:p>
          <w:p w14:paraId="5ABBBD9D">
            <w:pPr>
              <w:keepNext w:val="0"/>
              <w:keepLines w:val="0"/>
              <w:suppressLineNumbers w:val="0"/>
              <w:spacing w:before="0" w:beforeAutospacing="0" w:after="0" w:afterAutospacing="0" w:line="480" w:lineRule="exact"/>
              <w:ind w:left="0" w:right="0" w:firstLine="480" w:firstLineChars="200"/>
              <w:rPr>
                <w:rFonts w:hint="eastAsia"/>
                <w:color w:val="auto"/>
                <w:sz w:val="24"/>
                <w:szCs w:val="32"/>
                <w:highlight w:val="none"/>
                <w:vertAlign w:val="baseline"/>
                <w:lang w:val="en-US" w:eastAsia="zh-CN"/>
              </w:rPr>
            </w:pPr>
            <w:r>
              <w:rPr>
                <w:rFonts w:hint="eastAsia" w:cs="Times New Roman"/>
                <w:color w:val="auto"/>
                <w:sz w:val="24"/>
                <w:szCs w:val="22"/>
                <w:highlight w:val="none"/>
                <w:lang w:val="en-US" w:eastAsia="zh-CN"/>
              </w:rPr>
              <w:t>本次环评建设完成后，全厂</w:t>
            </w:r>
            <w:r>
              <w:rPr>
                <w:rFonts w:hint="eastAsia"/>
                <w:color w:val="auto"/>
                <w:sz w:val="24"/>
                <w:highlight w:val="none"/>
              </w:rPr>
              <w:t>颗粒物</w:t>
            </w:r>
            <w:r>
              <w:rPr>
                <w:rFonts w:hint="eastAsia"/>
                <w:color w:val="auto"/>
                <w:sz w:val="24"/>
                <w:highlight w:val="none"/>
                <w:lang w:eastAsia="zh-CN"/>
              </w:rPr>
              <w:t>、</w:t>
            </w:r>
            <w:r>
              <w:rPr>
                <w:rFonts w:hint="default"/>
                <w:color w:val="auto"/>
                <w:sz w:val="24"/>
                <w:szCs w:val="32"/>
                <w:highlight w:val="none"/>
              </w:rPr>
              <w:t>SO</w:t>
            </w:r>
            <w:r>
              <w:rPr>
                <w:rFonts w:hint="eastAsia"/>
                <w:color w:val="auto"/>
                <w:sz w:val="24"/>
                <w:szCs w:val="32"/>
                <w:highlight w:val="none"/>
                <w:vertAlign w:val="subscript"/>
                <w:lang w:val="en-US" w:eastAsia="zh-CN"/>
              </w:rPr>
              <w:t>2</w:t>
            </w:r>
            <w:r>
              <w:rPr>
                <w:rFonts w:hint="eastAsia"/>
                <w:color w:val="auto"/>
                <w:sz w:val="24"/>
                <w:szCs w:val="32"/>
                <w:highlight w:val="none"/>
                <w:lang w:val="en-US" w:eastAsia="zh-CN"/>
              </w:rPr>
              <w:t>、</w:t>
            </w:r>
            <w:r>
              <w:rPr>
                <w:rFonts w:hint="eastAsia"/>
                <w:color w:val="auto"/>
                <w:sz w:val="24"/>
                <w:szCs w:val="32"/>
                <w:highlight w:val="none"/>
                <w:vertAlign w:val="baseline"/>
                <w:lang w:val="en-US" w:eastAsia="zh-CN"/>
              </w:rPr>
              <w:t>NOx排放量见下表。</w:t>
            </w:r>
          </w:p>
          <w:p w14:paraId="7A7AE73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0" w:firstLineChars="0"/>
              <w:jc w:val="center"/>
              <w:textAlignment w:val="auto"/>
              <w:rPr>
                <w:rFonts w:hint="default" w:cs="Times New Roman"/>
                <w:color w:val="auto"/>
                <w:spacing w:val="0"/>
                <w:position w:val="0"/>
                <w:sz w:val="24"/>
                <w:highlight w:val="none"/>
                <w:lang w:val="en-US" w:eastAsia="zh-CN"/>
              </w:rPr>
            </w:pPr>
            <w:r>
              <w:rPr>
                <w:rFonts w:hint="default" w:ascii="Times New Roman" w:hAnsi="Times New Roman" w:eastAsia="宋体" w:cs="Times New Roman"/>
                <w:b/>
                <w:bCs w:val="0"/>
                <w:color w:val="auto"/>
                <w:spacing w:val="0"/>
                <w:position w:val="0"/>
                <w:sz w:val="21"/>
                <w:szCs w:val="16"/>
                <w:highlight w:val="none"/>
                <w:lang w:val="en-US" w:eastAsia="zh-CN"/>
              </w:rPr>
              <w:t>表3</w:t>
            </w:r>
            <w:r>
              <w:rPr>
                <w:rFonts w:hint="eastAsia" w:ascii="Times New Roman" w:hAnsi="Times New Roman" w:eastAsia="宋体" w:cs="Times New Roman"/>
                <w:b/>
                <w:bCs w:val="0"/>
                <w:color w:val="auto"/>
                <w:spacing w:val="0"/>
                <w:position w:val="0"/>
                <w:sz w:val="21"/>
                <w:szCs w:val="16"/>
                <w:highlight w:val="none"/>
                <w:lang w:val="en-US" w:eastAsia="zh-CN"/>
              </w:rPr>
              <w:t>-</w:t>
            </w:r>
            <w:r>
              <w:rPr>
                <w:rFonts w:hint="eastAsia" w:cs="Times New Roman"/>
                <w:b/>
                <w:bCs w:val="0"/>
                <w:color w:val="auto"/>
                <w:spacing w:val="0"/>
                <w:position w:val="0"/>
                <w:sz w:val="21"/>
                <w:szCs w:val="16"/>
                <w:highlight w:val="none"/>
                <w:lang w:val="en-US" w:eastAsia="zh-CN"/>
              </w:rPr>
              <w:t>9</w:t>
            </w:r>
            <w:r>
              <w:rPr>
                <w:rFonts w:hint="default" w:ascii="Times New Roman" w:hAnsi="Times New Roman" w:eastAsia="宋体" w:cs="Times New Roman"/>
                <w:b/>
                <w:bCs w:val="0"/>
                <w:color w:val="auto"/>
                <w:spacing w:val="0"/>
                <w:position w:val="0"/>
                <w:sz w:val="21"/>
                <w:szCs w:val="16"/>
                <w:highlight w:val="none"/>
                <w:lang w:val="en-US" w:eastAsia="zh-CN"/>
              </w:rPr>
              <w:t xml:space="preserve">  </w:t>
            </w:r>
            <w:r>
              <w:rPr>
                <w:rFonts w:hint="eastAsia" w:cs="Times New Roman"/>
                <w:b/>
                <w:bCs w:val="0"/>
                <w:color w:val="auto"/>
                <w:spacing w:val="0"/>
                <w:position w:val="0"/>
                <w:sz w:val="21"/>
                <w:szCs w:val="16"/>
                <w:highlight w:val="none"/>
                <w:lang w:val="en-US" w:eastAsia="zh-CN"/>
              </w:rPr>
              <w:t>污染物三本账</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998"/>
              <w:gridCol w:w="955"/>
              <w:gridCol w:w="1478"/>
              <w:gridCol w:w="1187"/>
              <w:gridCol w:w="1135"/>
              <w:gridCol w:w="1062"/>
              <w:gridCol w:w="1117"/>
            </w:tblGrid>
            <w:tr w14:paraId="3573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28" w:type="pct"/>
                  <w:vMerge w:val="restart"/>
                  <w:tcBorders>
                    <w:tl2br w:val="nil"/>
                    <w:tr2bl w:val="nil"/>
                  </w:tcBorders>
                  <w:noWrap w:val="0"/>
                  <w:vAlign w:val="center"/>
                </w:tcPr>
                <w:p w14:paraId="1B3EDA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bCs w:val="0"/>
                      <w:color w:val="auto"/>
                      <w:szCs w:val="21"/>
                      <w:highlight w:val="none"/>
                    </w:rPr>
                  </w:pPr>
                  <w:r>
                    <w:rPr>
                      <w:rFonts w:hint="default"/>
                      <w:b/>
                      <w:bCs w:val="0"/>
                      <w:color w:val="auto"/>
                      <w:szCs w:val="21"/>
                      <w:highlight w:val="none"/>
                    </w:rPr>
                    <w:t>污染物</w:t>
                  </w:r>
                </w:p>
              </w:tc>
              <w:tc>
                <w:tcPr>
                  <w:tcW w:w="1076" w:type="pct"/>
                  <w:gridSpan w:val="2"/>
                  <w:tcBorders>
                    <w:tl2br w:val="nil"/>
                    <w:tr2bl w:val="nil"/>
                  </w:tcBorders>
                  <w:noWrap w:val="0"/>
                  <w:vAlign w:val="center"/>
                </w:tcPr>
                <w:p w14:paraId="6B2A4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bCs w:val="0"/>
                      <w:color w:val="auto"/>
                      <w:highlight w:val="none"/>
                    </w:rPr>
                  </w:pPr>
                  <w:r>
                    <w:rPr>
                      <w:rFonts w:hint="default" w:ascii="宋体" w:hAnsi="宋体" w:eastAsia="宋体" w:cs="宋体"/>
                      <w:b/>
                      <w:bCs w:val="0"/>
                      <w:color w:val="auto"/>
                      <w:kern w:val="0"/>
                      <w:sz w:val="21"/>
                      <w:szCs w:val="21"/>
                      <w:highlight w:val="none"/>
                      <w:lang w:val="en-US" w:eastAsia="zh-CN" w:bidi="ar"/>
                    </w:rPr>
                    <w:t>现有工程</w:t>
                  </w:r>
                </w:p>
                <w:p w14:paraId="0C795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bCs w:val="0"/>
                      <w:color w:val="auto"/>
                      <w:szCs w:val="21"/>
                      <w:highlight w:val="none"/>
                    </w:rPr>
                  </w:pPr>
                  <w:r>
                    <w:rPr>
                      <w:rFonts w:hint="default" w:ascii="宋体" w:hAnsi="宋体" w:eastAsia="宋体" w:cs="宋体"/>
                      <w:b/>
                      <w:bCs w:val="0"/>
                      <w:color w:val="auto"/>
                      <w:kern w:val="0"/>
                      <w:sz w:val="21"/>
                      <w:szCs w:val="21"/>
                      <w:highlight w:val="none"/>
                      <w:lang w:val="en-US" w:eastAsia="zh-CN" w:bidi="ar"/>
                    </w:rPr>
                    <w:t>（已建</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宋体" w:hAnsi="宋体" w:eastAsia="宋体" w:cs="宋体"/>
                      <w:b/>
                      <w:bCs w:val="0"/>
                      <w:color w:val="auto"/>
                      <w:kern w:val="0"/>
                      <w:sz w:val="21"/>
                      <w:szCs w:val="21"/>
                      <w:highlight w:val="none"/>
                      <w:lang w:val="en-US" w:eastAsia="zh-CN" w:bidi="ar"/>
                    </w:rPr>
                    <w:t>在建）</w:t>
                  </w:r>
                </w:p>
              </w:tc>
              <w:tc>
                <w:tcPr>
                  <w:tcW w:w="814" w:type="pct"/>
                  <w:tcBorders>
                    <w:tl2br w:val="nil"/>
                    <w:tr2bl w:val="nil"/>
                  </w:tcBorders>
                  <w:noWrap w:val="0"/>
                  <w:vAlign w:val="center"/>
                </w:tcPr>
                <w:p w14:paraId="6680DA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bCs w:val="0"/>
                      <w:color w:val="auto"/>
                      <w:szCs w:val="21"/>
                      <w:highlight w:val="none"/>
                    </w:rPr>
                  </w:pPr>
                  <w:r>
                    <w:rPr>
                      <w:rFonts w:hint="default" w:ascii="宋体" w:hAnsi="宋体" w:eastAsia="宋体" w:cs="宋体"/>
                      <w:b/>
                      <w:bCs w:val="0"/>
                      <w:color w:val="auto"/>
                      <w:kern w:val="0"/>
                      <w:sz w:val="21"/>
                      <w:szCs w:val="21"/>
                      <w:highlight w:val="none"/>
                      <w:lang w:val="en-US" w:eastAsia="zh-CN" w:bidi="ar"/>
                    </w:rPr>
                    <w:t>本工程（拟建或调整变更）</w:t>
                  </w:r>
                </w:p>
              </w:tc>
              <w:tc>
                <w:tcPr>
                  <w:tcW w:w="2479" w:type="pct"/>
                  <w:gridSpan w:val="4"/>
                  <w:tcBorders>
                    <w:tl2br w:val="nil"/>
                    <w:tr2bl w:val="nil"/>
                  </w:tcBorders>
                  <w:noWrap w:val="0"/>
                  <w:vAlign w:val="center"/>
                </w:tcPr>
                <w:p w14:paraId="1DD00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bCs w:val="0"/>
                      <w:color w:val="auto"/>
                      <w:highlight w:val="none"/>
                    </w:rPr>
                  </w:pPr>
                  <w:r>
                    <w:rPr>
                      <w:rFonts w:hint="default" w:ascii="宋体" w:hAnsi="宋体" w:eastAsia="宋体" w:cs="宋体"/>
                      <w:b/>
                      <w:bCs w:val="0"/>
                      <w:color w:val="auto"/>
                      <w:kern w:val="0"/>
                      <w:sz w:val="21"/>
                      <w:szCs w:val="21"/>
                      <w:highlight w:val="none"/>
                      <w:lang w:val="en-US" w:eastAsia="zh-CN" w:bidi="ar"/>
                    </w:rPr>
                    <w:t>总体工程</w:t>
                  </w:r>
                </w:p>
                <w:p w14:paraId="15A02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b/>
                      <w:bCs w:val="0"/>
                      <w:color w:val="auto"/>
                      <w:sz w:val="21"/>
                      <w:szCs w:val="21"/>
                      <w:highlight w:val="none"/>
                    </w:rPr>
                  </w:pPr>
                  <w:r>
                    <w:rPr>
                      <w:rFonts w:hint="default" w:ascii="宋体" w:hAnsi="宋体" w:eastAsia="宋体" w:cs="宋体"/>
                      <w:b/>
                      <w:bCs w:val="0"/>
                      <w:color w:val="auto"/>
                      <w:kern w:val="0"/>
                      <w:sz w:val="21"/>
                      <w:szCs w:val="21"/>
                      <w:highlight w:val="none"/>
                      <w:lang w:val="en-US" w:eastAsia="zh-CN" w:bidi="ar"/>
                    </w:rPr>
                    <w:t>（已建</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宋体" w:hAnsi="宋体" w:eastAsia="宋体" w:cs="宋体"/>
                      <w:b/>
                      <w:bCs w:val="0"/>
                      <w:color w:val="auto"/>
                      <w:kern w:val="0"/>
                      <w:sz w:val="21"/>
                      <w:szCs w:val="21"/>
                      <w:highlight w:val="none"/>
                      <w:lang w:val="en-US" w:eastAsia="zh-CN" w:bidi="ar"/>
                    </w:rPr>
                    <w:t>在建</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宋体" w:hAnsi="宋体" w:eastAsia="宋体" w:cs="宋体"/>
                      <w:b/>
                      <w:bCs w:val="0"/>
                      <w:color w:val="auto"/>
                      <w:kern w:val="0"/>
                      <w:sz w:val="21"/>
                      <w:szCs w:val="21"/>
                      <w:highlight w:val="none"/>
                      <w:lang w:val="en-US" w:eastAsia="zh-CN" w:bidi="ar"/>
                    </w:rPr>
                    <w:t>拟建或调整变更）</w:t>
                  </w:r>
                </w:p>
              </w:tc>
            </w:tr>
            <w:tr w14:paraId="0F39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28" w:type="pct"/>
                  <w:vMerge w:val="continue"/>
                  <w:tcBorders>
                    <w:tl2br w:val="nil"/>
                    <w:tr2bl w:val="nil"/>
                  </w:tcBorders>
                  <w:noWrap w:val="0"/>
                  <w:vAlign w:val="center"/>
                </w:tcPr>
                <w:p w14:paraId="4791147A">
                  <w:pPr>
                    <w:pStyle w:val="17"/>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eastAsia="宋体"/>
                      <w:b/>
                      <w:bCs w:val="0"/>
                      <w:color w:val="auto"/>
                      <w:sz w:val="21"/>
                      <w:szCs w:val="21"/>
                      <w:highlight w:val="none"/>
                    </w:rPr>
                  </w:pPr>
                </w:p>
              </w:tc>
              <w:tc>
                <w:tcPr>
                  <w:tcW w:w="550" w:type="pct"/>
                  <w:tcBorders>
                    <w:tl2br w:val="nil"/>
                    <w:tr2bl w:val="nil"/>
                  </w:tcBorders>
                  <w:noWrap w:val="0"/>
                  <w:vAlign w:val="center"/>
                </w:tcPr>
                <w:p w14:paraId="0331A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sz w:val="20"/>
                      <w:szCs w:val="20"/>
                      <w:highlight w:val="none"/>
                    </w:rPr>
                  </w:pPr>
                  <w:r>
                    <w:rPr>
                      <w:rFonts w:hint="eastAsia" w:ascii="宋体" w:hAnsi="宋体" w:eastAsia="宋体" w:cs="宋体"/>
                      <w:b w:val="0"/>
                      <w:bCs/>
                      <w:color w:val="auto"/>
                      <w:kern w:val="0"/>
                      <w:sz w:val="21"/>
                      <w:szCs w:val="21"/>
                      <w:highlight w:val="none"/>
                      <w:lang w:val="en-US" w:eastAsia="zh-CN" w:bidi="ar"/>
                    </w:rPr>
                    <w:t>①</w:t>
                  </w:r>
                  <w:r>
                    <w:rPr>
                      <w:rFonts w:hint="default" w:ascii="宋体" w:hAnsi="宋体" w:eastAsia="宋体" w:cs="宋体"/>
                      <w:b w:val="0"/>
                      <w:bCs/>
                      <w:color w:val="auto"/>
                      <w:kern w:val="0"/>
                      <w:sz w:val="21"/>
                      <w:szCs w:val="21"/>
                      <w:highlight w:val="none"/>
                      <w:lang w:val="en-US" w:eastAsia="zh-CN" w:bidi="ar"/>
                    </w:rPr>
                    <w:t>实际排放量</w:t>
                  </w:r>
                </w:p>
              </w:tc>
              <w:tc>
                <w:tcPr>
                  <w:tcW w:w="526" w:type="pct"/>
                  <w:tcBorders>
                    <w:tl2br w:val="nil"/>
                    <w:tr2bl w:val="nil"/>
                  </w:tcBorders>
                  <w:noWrap w:val="0"/>
                  <w:vAlign w:val="center"/>
                </w:tcPr>
                <w:p w14:paraId="1D889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sz w:val="20"/>
                      <w:szCs w:val="20"/>
                      <w:highlight w:val="none"/>
                    </w:rPr>
                  </w:pPr>
                  <w:r>
                    <w:rPr>
                      <w:rFonts w:hint="default" w:ascii="宋体" w:hAnsi="宋体" w:eastAsia="宋体" w:cs="宋体"/>
                      <w:b w:val="0"/>
                      <w:bCs/>
                      <w:color w:val="auto"/>
                      <w:kern w:val="0"/>
                      <w:sz w:val="20"/>
                      <w:szCs w:val="20"/>
                      <w:highlight w:val="none"/>
                      <w:lang w:val="en-US" w:eastAsia="zh-CN" w:bidi="ar"/>
                    </w:rPr>
                    <w:t>②</w:t>
                  </w:r>
                  <w:r>
                    <w:rPr>
                      <w:rFonts w:hint="default" w:ascii="宋体" w:hAnsi="宋体" w:eastAsia="宋体" w:cs="宋体"/>
                      <w:b w:val="0"/>
                      <w:bCs/>
                      <w:color w:val="auto"/>
                      <w:kern w:val="0"/>
                      <w:sz w:val="21"/>
                      <w:szCs w:val="21"/>
                      <w:highlight w:val="none"/>
                      <w:lang w:val="en-US" w:eastAsia="zh-CN" w:bidi="ar"/>
                    </w:rPr>
                    <w:t>许可排放量</w:t>
                  </w:r>
                </w:p>
              </w:tc>
              <w:tc>
                <w:tcPr>
                  <w:tcW w:w="814" w:type="pct"/>
                  <w:tcBorders>
                    <w:tl2br w:val="nil"/>
                    <w:tr2bl w:val="nil"/>
                  </w:tcBorders>
                  <w:noWrap w:val="0"/>
                  <w:vAlign w:val="center"/>
                </w:tcPr>
                <w:p w14:paraId="341B9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kern w:val="0"/>
                      <w:sz w:val="20"/>
                      <w:szCs w:val="20"/>
                      <w:highlight w:val="none"/>
                      <w:lang w:bidi="ar"/>
                    </w:rPr>
                  </w:pPr>
                  <w:r>
                    <w:rPr>
                      <w:rFonts w:hint="default" w:ascii="宋体" w:hAnsi="宋体" w:eastAsia="宋体" w:cs="宋体"/>
                      <w:b w:val="0"/>
                      <w:bCs/>
                      <w:color w:val="auto"/>
                      <w:kern w:val="0"/>
                      <w:sz w:val="20"/>
                      <w:szCs w:val="20"/>
                      <w:highlight w:val="none"/>
                      <w:lang w:val="en-US" w:eastAsia="zh-CN" w:bidi="ar"/>
                    </w:rPr>
                    <w:t>③</w:t>
                  </w:r>
                  <w:r>
                    <w:rPr>
                      <w:rFonts w:hint="default" w:ascii="宋体" w:hAnsi="宋体" w:eastAsia="宋体" w:cs="宋体"/>
                      <w:b w:val="0"/>
                      <w:bCs/>
                      <w:color w:val="auto"/>
                      <w:kern w:val="0"/>
                      <w:sz w:val="21"/>
                      <w:szCs w:val="21"/>
                      <w:highlight w:val="none"/>
                      <w:lang w:val="en-US" w:eastAsia="zh-CN" w:bidi="ar"/>
                    </w:rPr>
                    <w:t>预测排放量</w:t>
                  </w:r>
                </w:p>
              </w:tc>
              <w:tc>
                <w:tcPr>
                  <w:tcW w:w="654" w:type="pct"/>
                  <w:tcBorders>
                    <w:tl2br w:val="nil"/>
                    <w:tr2bl w:val="nil"/>
                  </w:tcBorders>
                  <w:noWrap w:val="0"/>
                  <w:vAlign w:val="center"/>
                </w:tcPr>
                <w:p w14:paraId="39D10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kern w:val="0"/>
                      <w:sz w:val="20"/>
                      <w:szCs w:val="20"/>
                      <w:highlight w:val="none"/>
                      <w:lang w:bidi="ar"/>
                    </w:rPr>
                  </w:pPr>
                  <w:r>
                    <w:rPr>
                      <w:rFonts w:hint="default" w:ascii="宋体" w:hAnsi="宋体" w:eastAsia="宋体" w:cs="宋体"/>
                      <w:b w:val="0"/>
                      <w:bCs/>
                      <w:color w:val="auto"/>
                      <w:kern w:val="0"/>
                      <w:sz w:val="20"/>
                      <w:szCs w:val="20"/>
                      <w:highlight w:val="none"/>
                      <w:lang w:val="en-US" w:eastAsia="zh-CN" w:bidi="ar"/>
                    </w:rPr>
                    <w:t>④</w:t>
                  </w:r>
                  <w:r>
                    <w:rPr>
                      <w:rFonts w:hint="default" w:ascii="Times New Roman" w:hAnsi="Times New Roman" w:eastAsia="宋体" w:cs="Times New Roman"/>
                      <w:b w:val="0"/>
                      <w:bCs/>
                      <w:color w:val="auto"/>
                      <w:kern w:val="0"/>
                      <w:sz w:val="21"/>
                      <w:szCs w:val="21"/>
                      <w:highlight w:val="none"/>
                      <w:lang w:val="en-US" w:eastAsia="zh-CN" w:bidi="ar"/>
                    </w:rPr>
                    <w:t>“</w:t>
                  </w:r>
                  <w:r>
                    <w:rPr>
                      <w:rFonts w:hint="default" w:ascii="宋体" w:hAnsi="宋体" w:eastAsia="宋体" w:cs="宋体"/>
                      <w:b w:val="0"/>
                      <w:bCs/>
                      <w:color w:val="auto"/>
                      <w:kern w:val="0"/>
                      <w:sz w:val="21"/>
                      <w:szCs w:val="21"/>
                      <w:highlight w:val="none"/>
                      <w:lang w:val="en-US" w:eastAsia="zh-CN" w:bidi="ar"/>
                    </w:rPr>
                    <w:t>以新带老</w:t>
                  </w:r>
                  <w:r>
                    <w:rPr>
                      <w:rFonts w:hint="default" w:ascii="Times New Roman" w:hAnsi="Times New Roman" w:eastAsia="宋体" w:cs="Times New Roman"/>
                      <w:b w:val="0"/>
                      <w:bCs/>
                      <w:color w:val="auto"/>
                      <w:kern w:val="0"/>
                      <w:sz w:val="21"/>
                      <w:szCs w:val="21"/>
                      <w:highlight w:val="none"/>
                      <w:lang w:val="en-US" w:eastAsia="zh-CN" w:bidi="ar"/>
                    </w:rPr>
                    <w:t>”</w:t>
                  </w:r>
                  <w:r>
                    <w:rPr>
                      <w:rFonts w:hint="default" w:ascii="宋体" w:hAnsi="宋体" w:eastAsia="宋体" w:cs="宋体"/>
                      <w:b w:val="0"/>
                      <w:bCs/>
                      <w:color w:val="auto"/>
                      <w:kern w:val="0"/>
                      <w:sz w:val="21"/>
                      <w:szCs w:val="21"/>
                      <w:highlight w:val="none"/>
                      <w:lang w:val="en-US" w:eastAsia="zh-CN" w:bidi="ar"/>
                    </w:rPr>
                    <w:t>削减量</w:t>
                  </w:r>
                </w:p>
              </w:tc>
              <w:tc>
                <w:tcPr>
                  <w:tcW w:w="625" w:type="pct"/>
                  <w:tcBorders>
                    <w:tl2br w:val="nil"/>
                    <w:tr2bl w:val="nil"/>
                  </w:tcBorders>
                  <w:noWrap w:val="0"/>
                  <w:vAlign w:val="center"/>
                </w:tcPr>
                <w:p w14:paraId="410FB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kern w:val="0"/>
                      <w:sz w:val="20"/>
                      <w:szCs w:val="20"/>
                      <w:highlight w:val="none"/>
                      <w:lang w:bidi="ar"/>
                    </w:rPr>
                  </w:pPr>
                  <w:r>
                    <w:rPr>
                      <w:rFonts w:hint="default" w:ascii="宋体" w:hAnsi="宋体" w:eastAsia="宋体" w:cs="宋体"/>
                      <w:b w:val="0"/>
                      <w:bCs/>
                      <w:color w:val="auto"/>
                      <w:kern w:val="0"/>
                      <w:sz w:val="20"/>
                      <w:szCs w:val="20"/>
                      <w:highlight w:val="none"/>
                      <w:lang w:val="en-US" w:eastAsia="zh-CN" w:bidi="ar"/>
                    </w:rPr>
                    <w:t>⑤</w:t>
                  </w:r>
                  <w:r>
                    <w:rPr>
                      <w:rFonts w:hint="default" w:ascii="宋体" w:hAnsi="宋体" w:eastAsia="宋体" w:cs="宋体"/>
                      <w:b w:val="0"/>
                      <w:bCs/>
                      <w:color w:val="auto"/>
                      <w:kern w:val="0"/>
                      <w:sz w:val="21"/>
                      <w:szCs w:val="21"/>
                      <w:highlight w:val="none"/>
                      <w:lang w:val="en-US" w:eastAsia="zh-CN" w:bidi="ar"/>
                    </w:rPr>
                    <w:t>区域平衡替代削减量</w:t>
                  </w:r>
                </w:p>
              </w:tc>
              <w:tc>
                <w:tcPr>
                  <w:tcW w:w="585" w:type="pct"/>
                  <w:tcBorders>
                    <w:tl2br w:val="nil"/>
                    <w:tr2bl w:val="nil"/>
                  </w:tcBorders>
                  <w:noWrap w:val="0"/>
                  <w:vAlign w:val="center"/>
                </w:tcPr>
                <w:p w14:paraId="5B800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kern w:val="0"/>
                      <w:sz w:val="20"/>
                      <w:szCs w:val="20"/>
                      <w:highlight w:val="none"/>
                      <w:lang w:bidi="ar"/>
                    </w:rPr>
                  </w:pPr>
                  <w:r>
                    <w:rPr>
                      <w:rFonts w:hint="default" w:ascii="宋体" w:hAnsi="宋体" w:eastAsia="宋体" w:cs="宋体"/>
                      <w:b w:val="0"/>
                      <w:bCs/>
                      <w:color w:val="auto"/>
                      <w:kern w:val="0"/>
                      <w:sz w:val="20"/>
                      <w:szCs w:val="20"/>
                      <w:highlight w:val="none"/>
                      <w:lang w:val="en-US" w:eastAsia="zh-CN" w:bidi="ar"/>
                    </w:rPr>
                    <w:t>⑥</w:t>
                  </w:r>
                  <w:r>
                    <w:rPr>
                      <w:rFonts w:hint="default" w:ascii="宋体" w:hAnsi="宋体" w:eastAsia="宋体" w:cs="宋体"/>
                      <w:b w:val="0"/>
                      <w:bCs/>
                      <w:color w:val="auto"/>
                      <w:kern w:val="0"/>
                      <w:sz w:val="21"/>
                      <w:szCs w:val="21"/>
                      <w:highlight w:val="none"/>
                      <w:lang w:val="en-US" w:eastAsia="zh-CN" w:bidi="ar"/>
                    </w:rPr>
                    <w:t>本工程建成后排放总量</w:t>
                  </w:r>
                </w:p>
              </w:tc>
              <w:tc>
                <w:tcPr>
                  <w:tcW w:w="614" w:type="pct"/>
                  <w:tcBorders>
                    <w:tl2br w:val="nil"/>
                    <w:tr2bl w:val="nil"/>
                  </w:tcBorders>
                  <w:noWrap w:val="0"/>
                  <w:vAlign w:val="center"/>
                </w:tcPr>
                <w:p w14:paraId="2D161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b w:val="0"/>
                      <w:bCs/>
                      <w:color w:val="auto"/>
                      <w:kern w:val="0"/>
                      <w:sz w:val="20"/>
                      <w:szCs w:val="20"/>
                      <w:highlight w:val="none"/>
                      <w:lang w:bidi="ar"/>
                    </w:rPr>
                  </w:pPr>
                  <w:r>
                    <w:rPr>
                      <w:rFonts w:hint="default" w:ascii="宋体" w:hAnsi="宋体" w:eastAsia="宋体" w:cs="宋体"/>
                      <w:b w:val="0"/>
                      <w:bCs/>
                      <w:color w:val="auto"/>
                      <w:kern w:val="0"/>
                      <w:sz w:val="20"/>
                      <w:szCs w:val="20"/>
                      <w:highlight w:val="none"/>
                      <w:lang w:val="en-US" w:eastAsia="zh-CN" w:bidi="ar"/>
                    </w:rPr>
                    <w:t>⑦</w:t>
                  </w:r>
                  <w:r>
                    <w:rPr>
                      <w:rFonts w:hint="default" w:ascii="宋体" w:hAnsi="宋体" w:eastAsia="宋体" w:cs="宋体"/>
                      <w:b w:val="0"/>
                      <w:bCs/>
                      <w:color w:val="auto"/>
                      <w:kern w:val="0"/>
                      <w:sz w:val="21"/>
                      <w:szCs w:val="21"/>
                      <w:highlight w:val="none"/>
                      <w:lang w:val="en-US" w:eastAsia="zh-CN" w:bidi="ar"/>
                    </w:rPr>
                    <w:t>排放增减量</w:t>
                  </w:r>
                </w:p>
              </w:tc>
            </w:tr>
            <w:tr w14:paraId="746B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28" w:type="pct"/>
                  <w:tcBorders>
                    <w:tl2br w:val="nil"/>
                    <w:tr2bl w:val="nil"/>
                  </w:tcBorders>
                  <w:noWrap w:val="0"/>
                  <w:vAlign w:val="center"/>
                </w:tcPr>
                <w:p w14:paraId="1EFA0307">
                  <w:pPr>
                    <w:pStyle w:val="17"/>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550" w:type="pct"/>
                  <w:tcBorders>
                    <w:tl2br w:val="nil"/>
                    <w:tr2bl w:val="nil"/>
                  </w:tcBorders>
                  <w:noWrap w:val="0"/>
                  <w:vAlign w:val="center"/>
                </w:tcPr>
                <w:p w14:paraId="65002DCE">
                  <w:pPr>
                    <w:keepNext w:val="0"/>
                    <w:keepLines w:val="0"/>
                    <w:suppressLineNumbers w:val="0"/>
                    <w:spacing w:before="0" w:beforeAutospacing="0" w:after="0" w:afterAutospacing="0"/>
                    <w:ind w:left="0" w:leftChars="0" w:right="0" w:rightChars="0"/>
                    <w:jc w:val="center"/>
                    <w:rPr>
                      <w:rFonts w:hint="default"/>
                      <w:color w:val="auto"/>
                      <w:kern w:val="0"/>
                      <w:szCs w:val="21"/>
                      <w:highlight w:val="none"/>
                      <w:lang w:val="en-US" w:eastAsia="zh-CN" w:bidi="ar"/>
                    </w:rPr>
                  </w:pPr>
                  <w:r>
                    <w:rPr>
                      <w:rFonts w:hint="eastAsia" w:cs="Times New Roman"/>
                      <w:b w:val="0"/>
                      <w:bCs/>
                      <w:color w:val="auto"/>
                      <w:spacing w:val="0"/>
                      <w:kern w:val="2"/>
                      <w:sz w:val="21"/>
                      <w:szCs w:val="21"/>
                      <w:highlight w:val="none"/>
                      <w:vertAlign w:val="baseline"/>
                      <w:lang w:val="en-US" w:eastAsia="zh-CN" w:bidi="ar-SA"/>
                    </w:rPr>
                    <w:t>0.026</w:t>
                  </w:r>
                </w:p>
              </w:tc>
              <w:tc>
                <w:tcPr>
                  <w:tcW w:w="526" w:type="pct"/>
                  <w:tcBorders>
                    <w:tl2br w:val="nil"/>
                    <w:tr2bl w:val="nil"/>
                  </w:tcBorders>
                  <w:noWrap w:val="0"/>
                  <w:vAlign w:val="center"/>
                </w:tcPr>
                <w:p w14:paraId="7CB557AE">
                  <w:pPr>
                    <w:keepNext w:val="0"/>
                    <w:keepLines w:val="0"/>
                    <w:suppressLineNumbers w:val="0"/>
                    <w:spacing w:before="0" w:beforeAutospacing="0" w:after="0" w:afterAutospacing="0"/>
                    <w:ind w:left="0" w:leftChars="0" w:right="0" w:rightChars="0"/>
                    <w:jc w:val="center"/>
                    <w:rPr>
                      <w:rFonts w:hint="default"/>
                      <w:color w:val="auto"/>
                      <w:kern w:val="0"/>
                      <w:szCs w:val="21"/>
                      <w:highlight w:val="none"/>
                      <w:lang w:val="en-US" w:eastAsia="zh-CN" w:bidi="ar"/>
                    </w:rPr>
                  </w:pPr>
                  <w:r>
                    <w:rPr>
                      <w:rFonts w:hint="eastAsia" w:cs="Times New Roman"/>
                      <w:b w:val="0"/>
                      <w:bCs/>
                      <w:color w:val="auto"/>
                      <w:spacing w:val="0"/>
                      <w:kern w:val="2"/>
                      <w:sz w:val="21"/>
                      <w:szCs w:val="21"/>
                      <w:highlight w:val="none"/>
                      <w:vertAlign w:val="baseline"/>
                      <w:lang w:val="en-US" w:eastAsia="zh-CN" w:bidi="ar-SA"/>
                    </w:rPr>
                    <w:t>2.58</w:t>
                  </w:r>
                </w:p>
              </w:tc>
              <w:tc>
                <w:tcPr>
                  <w:tcW w:w="814" w:type="pct"/>
                  <w:tcBorders>
                    <w:tl2br w:val="nil"/>
                    <w:tr2bl w:val="nil"/>
                  </w:tcBorders>
                  <w:noWrap w:val="0"/>
                  <w:vAlign w:val="center"/>
                </w:tcPr>
                <w:p w14:paraId="17116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6.183</w:t>
                  </w:r>
                </w:p>
              </w:tc>
              <w:tc>
                <w:tcPr>
                  <w:tcW w:w="654" w:type="pct"/>
                  <w:tcBorders>
                    <w:tl2br w:val="nil"/>
                    <w:tr2bl w:val="nil"/>
                  </w:tcBorders>
                  <w:noWrap w:val="0"/>
                  <w:vAlign w:val="center"/>
                </w:tcPr>
                <w:p w14:paraId="0D1414AC">
                  <w:pPr>
                    <w:keepNext w:val="0"/>
                    <w:keepLines w:val="0"/>
                    <w:suppressLineNumbers w:val="0"/>
                    <w:spacing w:before="0" w:beforeAutospacing="0" w:after="0" w:afterAutospacing="0"/>
                    <w:ind w:left="0" w:leftChars="0" w:right="0" w:rightChars="0"/>
                    <w:jc w:val="center"/>
                    <w:rPr>
                      <w:rFonts w:hint="default" w:eastAsia="宋体"/>
                      <w:color w:val="auto"/>
                      <w:szCs w:val="21"/>
                      <w:highlight w:val="none"/>
                      <w:lang w:val="en-US" w:eastAsia="zh-CN"/>
                    </w:rPr>
                  </w:pPr>
                  <w:r>
                    <w:rPr>
                      <w:rFonts w:hint="eastAsia" w:eastAsia="宋体"/>
                      <w:color w:val="auto"/>
                      <w:szCs w:val="21"/>
                      <w:highlight w:val="none"/>
                      <w:lang w:val="en-US" w:eastAsia="zh-CN"/>
                    </w:rPr>
                    <w:t>0</w:t>
                  </w:r>
                </w:p>
              </w:tc>
              <w:tc>
                <w:tcPr>
                  <w:tcW w:w="625" w:type="pct"/>
                  <w:tcBorders>
                    <w:tl2br w:val="nil"/>
                    <w:tr2bl w:val="nil"/>
                  </w:tcBorders>
                  <w:noWrap w:val="0"/>
                  <w:vAlign w:val="center"/>
                </w:tcPr>
                <w:p w14:paraId="5068F6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0</w:t>
                  </w:r>
                </w:p>
              </w:tc>
              <w:tc>
                <w:tcPr>
                  <w:tcW w:w="585" w:type="pct"/>
                  <w:tcBorders>
                    <w:tl2br w:val="nil"/>
                    <w:tr2bl w:val="nil"/>
                  </w:tcBorders>
                  <w:noWrap w:val="0"/>
                  <w:vAlign w:val="center"/>
                </w:tcPr>
                <w:p w14:paraId="4DDEA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6.209</w:t>
                  </w:r>
                </w:p>
              </w:tc>
              <w:tc>
                <w:tcPr>
                  <w:tcW w:w="614" w:type="pct"/>
                  <w:tcBorders>
                    <w:tl2br w:val="nil"/>
                    <w:tr2bl w:val="nil"/>
                  </w:tcBorders>
                  <w:noWrap w:val="0"/>
                  <w:vAlign w:val="center"/>
                </w:tcPr>
                <w:p w14:paraId="676CF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color w:val="auto"/>
                      <w:kern w:val="0"/>
                      <w:szCs w:val="21"/>
                      <w:highlight w:val="none"/>
                      <w:lang w:val="en-US" w:eastAsia="zh-CN" w:bidi="ar"/>
                    </w:rPr>
                    <w:t>6.157</w:t>
                  </w:r>
                </w:p>
              </w:tc>
            </w:tr>
            <w:tr w14:paraId="1FDC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pct"/>
                  <w:tcBorders>
                    <w:tl2br w:val="nil"/>
                    <w:tr2bl w:val="nil"/>
                  </w:tcBorders>
                  <w:noWrap w:val="0"/>
                  <w:vAlign w:val="center"/>
                </w:tcPr>
                <w:p w14:paraId="1382F774">
                  <w:pPr>
                    <w:pStyle w:val="17"/>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olor w:val="auto"/>
                      <w:sz w:val="21"/>
                      <w:szCs w:val="21"/>
                      <w:highlight w:val="none"/>
                      <w:lang w:val="en-US" w:eastAsia="zh-CN"/>
                    </w:rPr>
                  </w:pPr>
                  <w:r>
                    <w:rPr>
                      <w:rFonts w:hint="default"/>
                      <w:color w:val="auto"/>
                      <w:sz w:val="21"/>
                      <w:szCs w:val="21"/>
                      <w:highlight w:val="none"/>
                    </w:rPr>
                    <w:t>SO</w:t>
                  </w:r>
                  <w:r>
                    <w:rPr>
                      <w:rFonts w:hint="eastAsia"/>
                      <w:color w:val="auto"/>
                      <w:sz w:val="21"/>
                      <w:szCs w:val="21"/>
                      <w:highlight w:val="none"/>
                      <w:vertAlign w:val="subscript"/>
                      <w:lang w:val="en-US" w:eastAsia="zh-CN"/>
                    </w:rPr>
                    <w:t>2</w:t>
                  </w:r>
                </w:p>
              </w:tc>
              <w:tc>
                <w:tcPr>
                  <w:tcW w:w="550" w:type="pct"/>
                  <w:tcBorders>
                    <w:tl2br w:val="nil"/>
                    <w:tr2bl w:val="nil"/>
                  </w:tcBorders>
                  <w:noWrap w:val="0"/>
                  <w:vAlign w:val="center"/>
                </w:tcPr>
                <w:p w14:paraId="2EE5447E">
                  <w:pPr>
                    <w:keepNext w:val="0"/>
                    <w:keepLines w:val="0"/>
                    <w:suppressLineNumbers w:val="0"/>
                    <w:spacing w:before="0" w:beforeAutospacing="0" w:after="0" w:afterAutospacing="0"/>
                    <w:ind w:left="0" w:leftChars="0" w:right="0" w:rightChars="0"/>
                    <w:jc w:val="center"/>
                    <w:rPr>
                      <w:rFonts w:hint="eastAsia"/>
                      <w:color w:val="auto"/>
                      <w:kern w:val="0"/>
                      <w:szCs w:val="21"/>
                      <w:highlight w:val="none"/>
                      <w:lang w:val="en-US" w:eastAsia="zh-CN" w:bidi="ar"/>
                    </w:rPr>
                  </w:pPr>
                  <w:r>
                    <w:rPr>
                      <w:rFonts w:hint="eastAsia"/>
                      <w:color w:val="auto"/>
                      <w:kern w:val="0"/>
                      <w:sz w:val="21"/>
                      <w:szCs w:val="21"/>
                      <w:highlight w:val="none"/>
                      <w:lang w:val="en-US" w:eastAsia="zh-CN" w:bidi="ar"/>
                    </w:rPr>
                    <w:t>0</w:t>
                  </w:r>
                </w:p>
              </w:tc>
              <w:tc>
                <w:tcPr>
                  <w:tcW w:w="526" w:type="pct"/>
                  <w:tcBorders>
                    <w:tl2br w:val="nil"/>
                    <w:tr2bl w:val="nil"/>
                  </w:tcBorders>
                  <w:noWrap w:val="0"/>
                  <w:vAlign w:val="center"/>
                </w:tcPr>
                <w:p w14:paraId="6D03C7B4">
                  <w:pPr>
                    <w:keepNext w:val="0"/>
                    <w:keepLines w:val="0"/>
                    <w:suppressLineNumbers w:val="0"/>
                    <w:spacing w:before="0" w:beforeAutospacing="0" w:after="0" w:afterAutospacing="0"/>
                    <w:ind w:left="0" w:leftChars="0" w:right="0" w:rightChars="0"/>
                    <w:jc w:val="center"/>
                    <w:rPr>
                      <w:rFonts w:hint="eastAsia"/>
                      <w:color w:val="auto"/>
                      <w:kern w:val="0"/>
                      <w:szCs w:val="21"/>
                      <w:highlight w:val="none"/>
                      <w:lang w:val="en-US" w:eastAsia="zh-CN" w:bidi="ar"/>
                    </w:rPr>
                  </w:pPr>
                  <w:r>
                    <w:rPr>
                      <w:rFonts w:hint="eastAsia"/>
                      <w:color w:val="auto"/>
                      <w:kern w:val="0"/>
                      <w:sz w:val="21"/>
                      <w:szCs w:val="21"/>
                      <w:highlight w:val="none"/>
                      <w:lang w:val="en-US" w:eastAsia="zh-CN" w:bidi="ar"/>
                    </w:rPr>
                    <w:t>0</w:t>
                  </w:r>
                </w:p>
              </w:tc>
              <w:tc>
                <w:tcPr>
                  <w:tcW w:w="814" w:type="pct"/>
                  <w:tcBorders>
                    <w:tl2br w:val="nil"/>
                    <w:tr2bl w:val="nil"/>
                  </w:tcBorders>
                  <w:noWrap w:val="0"/>
                  <w:vAlign w:val="center"/>
                </w:tcPr>
                <w:p w14:paraId="34413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kern w:val="0"/>
                      <w:szCs w:val="21"/>
                      <w:highlight w:val="none"/>
                      <w:lang w:val="en-US" w:eastAsia="zh-CN" w:bidi="ar"/>
                    </w:rPr>
                  </w:pPr>
                  <w:r>
                    <w:rPr>
                      <w:rFonts w:hint="eastAsia"/>
                      <w:color w:val="auto"/>
                      <w:sz w:val="21"/>
                      <w:szCs w:val="21"/>
                      <w:highlight w:val="none"/>
                      <w:vertAlign w:val="baseline"/>
                      <w:lang w:val="en-US" w:eastAsia="zh-CN"/>
                    </w:rPr>
                    <w:t>0.131</w:t>
                  </w:r>
                </w:p>
              </w:tc>
              <w:tc>
                <w:tcPr>
                  <w:tcW w:w="654" w:type="pct"/>
                  <w:tcBorders>
                    <w:tl2br w:val="nil"/>
                    <w:tr2bl w:val="nil"/>
                  </w:tcBorders>
                  <w:noWrap w:val="0"/>
                  <w:vAlign w:val="center"/>
                </w:tcPr>
                <w:p w14:paraId="38F5CCE2">
                  <w:pPr>
                    <w:keepNext w:val="0"/>
                    <w:keepLines w:val="0"/>
                    <w:suppressLineNumbers w:val="0"/>
                    <w:spacing w:before="0" w:beforeAutospacing="0" w:after="0" w:afterAutospacing="0"/>
                    <w:ind w:left="0" w:leftChars="0" w:right="0" w:rightChars="0"/>
                    <w:jc w:val="center"/>
                    <w:rPr>
                      <w:rFonts w:hint="eastAsia" w:eastAsia="宋体"/>
                      <w:color w:val="auto"/>
                      <w:szCs w:val="21"/>
                      <w:highlight w:val="none"/>
                      <w:lang w:val="en-US" w:eastAsia="zh-CN"/>
                    </w:rPr>
                  </w:pPr>
                  <w:r>
                    <w:rPr>
                      <w:rFonts w:hint="eastAsia" w:eastAsia="宋体"/>
                      <w:color w:val="auto"/>
                      <w:szCs w:val="21"/>
                      <w:highlight w:val="none"/>
                      <w:lang w:val="en-US" w:eastAsia="zh-CN"/>
                    </w:rPr>
                    <w:t>0</w:t>
                  </w:r>
                </w:p>
              </w:tc>
              <w:tc>
                <w:tcPr>
                  <w:tcW w:w="625" w:type="pct"/>
                  <w:tcBorders>
                    <w:tl2br w:val="nil"/>
                    <w:tr2bl w:val="nil"/>
                  </w:tcBorders>
                  <w:noWrap w:val="0"/>
                  <w:vAlign w:val="center"/>
                </w:tcPr>
                <w:p w14:paraId="16C187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kern w:val="0"/>
                      <w:szCs w:val="21"/>
                      <w:highlight w:val="none"/>
                      <w:lang w:val="en-US" w:eastAsia="zh-CN" w:bidi="ar"/>
                    </w:rPr>
                  </w:pPr>
                  <w:r>
                    <w:rPr>
                      <w:rFonts w:hint="eastAsia"/>
                      <w:color w:val="auto"/>
                      <w:kern w:val="0"/>
                      <w:szCs w:val="21"/>
                      <w:highlight w:val="none"/>
                      <w:lang w:val="en-US" w:eastAsia="zh-CN" w:bidi="ar"/>
                    </w:rPr>
                    <w:t>0</w:t>
                  </w:r>
                </w:p>
              </w:tc>
              <w:tc>
                <w:tcPr>
                  <w:tcW w:w="1062" w:type="dxa"/>
                  <w:tcBorders>
                    <w:tl2br w:val="nil"/>
                    <w:tr2bl w:val="nil"/>
                  </w:tcBorders>
                  <w:noWrap w:val="0"/>
                  <w:vAlign w:val="center"/>
                </w:tcPr>
                <w:p w14:paraId="20A09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kern w:val="0"/>
                      <w:szCs w:val="21"/>
                      <w:highlight w:val="none"/>
                      <w:lang w:val="en-US" w:eastAsia="zh-CN" w:bidi="ar"/>
                    </w:rPr>
                  </w:pPr>
                  <w:r>
                    <w:rPr>
                      <w:rFonts w:hint="eastAsia"/>
                      <w:color w:val="auto"/>
                      <w:sz w:val="21"/>
                      <w:szCs w:val="21"/>
                      <w:highlight w:val="none"/>
                      <w:vertAlign w:val="baseline"/>
                      <w:lang w:val="en-US" w:eastAsia="zh-CN"/>
                    </w:rPr>
                    <w:t>0.131</w:t>
                  </w:r>
                </w:p>
              </w:tc>
              <w:tc>
                <w:tcPr>
                  <w:tcW w:w="1117" w:type="dxa"/>
                  <w:tcBorders>
                    <w:tl2br w:val="nil"/>
                    <w:tr2bl w:val="nil"/>
                  </w:tcBorders>
                  <w:noWrap w:val="0"/>
                  <w:vAlign w:val="center"/>
                </w:tcPr>
                <w:p w14:paraId="0EC69C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s="Times New Roman"/>
                      <w:color w:val="auto"/>
                      <w:kern w:val="0"/>
                      <w:sz w:val="21"/>
                      <w:szCs w:val="21"/>
                      <w:highlight w:val="none"/>
                      <w:lang w:val="en-US" w:eastAsia="zh-CN" w:bidi="ar"/>
                    </w:rPr>
                  </w:pPr>
                  <w:r>
                    <w:rPr>
                      <w:rFonts w:hint="eastAsia"/>
                      <w:color w:val="auto"/>
                      <w:sz w:val="21"/>
                      <w:szCs w:val="21"/>
                      <w:highlight w:val="none"/>
                      <w:vertAlign w:val="baseline"/>
                      <w:lang w:val="en-US" w:eastAsia="zh-CN"/>
                    </w:rPr>
                    <w:t>0.131</w:t>
                  </w:r>
                </w:p>
              </w:tc>
            </w:tr>
            <w:tr w14:paraId="3205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28" w:type="pct"/>
                  <w:tcBorders>
                    <w:tl2br w:val="nil"/>
                    <w:tr2bl w:val="nil"/>
                  </w:tcBorders>
                  <w:noWrap w:val="0"/>
                  <w:vAlign w:val="center"/>
                </w:tcPr>
                <w:p w14:paraId="6C530090">
                  <w:pPr>
                    <w:pStyle w:val="17"/>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Times New Roman" w:hAnsi="Times New Roman" w:eastAsia="宋体"/>
                      <w:color w:val="auto"/>
                      <w:sz w:val="21"/>
                      <w:szCs w:val="21"/>
                      <w:highlight w:val="none"/>
                      <w:lang w:val="en-US" w:eastAsia="zh-CN"/>
                    </w:rPr>
                  </w:pPr>
                  <w:r>
                    <w:rPr>
                      <w:rFonts w:hint="eastAsia"/>
                      <w:color w:val="auto"/>
                      <w:sz w:val="21"/>
                      <w:szCs w:val="21"/>
                      <w:highlight w:val="none"/>
                      <w:vertAlign w:val="baseline"/>
                      <w:lang w:val="en-US" w:eastAsia="zh-CN"/>
                    </w:rPr>
                    <w:t>NOx</w:t>
                  </w:r>
                </w:p>
              </w:tc>
              <w:tc>
                <w:tcPr>
                  <w:tcW w:w="550" w:type="pct"/>
                  <w:tcBorders>
                    <w:tl2br w:val="nil"/>
                    <w:tr2bl w:val="nil"/>
                  </w:tcBorders>
                  <w:noWrap w:val="0"/>
                  <w:vAlign w:val="center"/>
                </w:tcPr>
                <w:p w14:paraId="127B2402">
                  <w:pPr>
                    <w:keepNext w:val="0"/>
                    <w:keepLines w:val="0"/>
                    <w:suppressLineNumbers w:val="0"/>
                    <w:spacing w:before="0" w:beforeAutospacing="0" w:after="0" w:afterAutospacing="0"/>
                    <w:ind w:left="0" w:leftChars="0" w:right="0" w:rightChars="0"/>
                    <w:jc w:val="center"/>
                    <w:rPr>
                      <w:rFonts w:hint="eastAsia"/>
                      <w:color w:val="auto"/>
                      <w:kern w:val="0"/>
                      <w:szCs w:val="21"/>
                      <w:highlight w:val="none"/>
                      <w:lang w:val="en-US" w:eastAsia="zh-CN" w:bidi="ar"/>
                    </w:rPr>
                  </w:pPr>
                  <w:r>
                    <w:rPr>
                      <w:rFonts w:hint="eastAsia"/>
                      <w:color w:val="auto"/>
                      <w:kern w:val="0"/>
                      <w:sz w:val="21"/>
                      <w:szCs w:val="21"/>
                      <w:highlight w:val="none"/>
                      <w:lang w:val="en-US" w:eastAsia="zh-CN" w:bidi="ar"/>
                    </w:rPr>
                    <w:t>0</w:t>
                  </w:r>
                </w:p>
              </w:tc>
              <w:tc>
                <w:tcPr>
                  <w:tcW w:w="526" w:type="pct"/>
                  <w:tcBorders>
                    <w:tl2br w:val="nil"/>
                    <w:tr2bl w:val="nil"/>
                  </w:tcBorders>
                  <w:noWrap w:val="0"/>
                  <w:vAlign w:val="center"/>
                </w:tcPr>
                <w:p w14:paraId="6AEF2D59">
                  <w:pPr>
                    <w:keepNext w:val="0"/>
                    <w:keepLines w:val="0"/>
                    <w:suppressLineNumbers w:val="0"/>
                    <w:spacing w:before="0" w:beforeAutospacing="0" w:after="0" w:afterAutospacing="0"/>
                    <w:ind w:left="0" w:leftChars="0" w:right="0" w:rightChars="0"/>
                    <w:jc w:val="center"/>
                    <w:rPr>
                      <w:rFonts w:hint="eastAsia"/>
                      <w:color w:val="auto"/>
                      <w:kern w:val="0"/>
                      <w:szCs w:val="21"/>
                      <w:highlight w:val="none"/>
                      <w:lang w:val="en-US" w:eastAsia="zh-CN" w:bidi="ar"/>
                    </w:rPr>
                  </w:pPr>
                  <w:r>
                    <w:rPr>
                      <w:rFonts w:hint="eastAsia"/>
                      <w:color w:val="auto"/>
                      <w:kern w:val="0"/>
                      <w:sz w:val="21"/>
                      <w:szCs w:val="21"/>
                      <w:highlight w:val="none"/>
                      <w:lang w:val="en-US" w:eastAsia="zh-CN" w:bidi="ar"/>
                    </w:rPr>
                    <w:t>0</w:t>
                  </w:r>
                </w:p>
              </w:tc>
              <w:tc>
                <w:tcPr>
                  <w:tcW w:w="814" w:type="pct"/>
                  <w:tcBorders>
                    <w:tl2br w:val="nil"/>
                    <w:tr2bl w:val="nil"/>
                  </w:tcBorders>
                  <w:noWrap w:val="0"/>
                  <w:vAlign w:val="center"/>
                </w:tcPr>
                <w:p w14:paraId="75C7E2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kern w:val="0"/>
                      <w:szCs w:val="21"/>
                      <w:highlight w:val="none"/>
                      <w:lang w:val="en-US" w:eastAsia="zh-CN" w:bidi="ar"/>
                    </w:rPr>
                  </w:pPr>
                  <w:r>
                    <w:rPr>
                      <w:rFonts w:hint="eastAsia"/>
                      <w:color w:val="auto"/>
                      <w:sz w:val="21"/>
                      <w:szCs w:val="21"/>
                      <w:highlight w:val="none"/>
                      <w:vertAlign w:val="baseline"/>
                      <w:lang w:val="en-US" w:eastAsia="zh-CN"/>
                    </w:rPr>
                    <w:t>3.06</w:t>
                  </w:r>
                </w:p>
              </w:tc>
              <w:tc>
                <w:tcPr>
                  <w:tcW w:w="654" w:type="pct"/>
                  <w:tcBorders>
                    <w:tl2br w:val="nil"/>
                    <w:tr2bl w:val="nil"/>
                  </w:tcBorders>
                  <w:noWrap w:val="0"/>
                  <w:vAlign w:val="center"/>
                </w:tcPr>
                <w:p w14:paraId="1C43E1C4">
                  <w:pPr>
                    <w:keepNext w:val="0"/>
                    <w:keepLines w:val="0"/>
                    <w:suppressLineNumbers w:val="0"/>
                    <w:spacing w:before="0" w:beforeAutospacing="0" w:after="0" w:afterAutospacing="0"/>
                    <w:ind w:left="0" w:leftChars="0" w:right="0" w:rightChars="0"/>
                    <w:jc w:val="center"/>
                    <w:rPr>
                      <w:rFonts w:hint="eastAsia" w:eastAsia="宋体"/>
                      <w:color w:val="auto"/>
                      <w:szCs w:val="21"/>
                      <w:highlight w:val="none"/>
                      <w:lang w:val="en-US" w:eastAsia="zh-CN"/>
                    </w:rPr>
                  </w:pPr>
                  <w:r>
                    <w:rPr>
                      <w:rFonts w:hint="eastAsia" w:eastAsia="宋体"/>
                      <w:color w:val="auto"/>
                      <w:szCs w:val="21"/>
                      <w:highlight w:val="none"/>
                      <w:lang w:val="en-US" w:eastAsia="zh-CN"/>
                    </w:rPr>
                    <w:t>0</w:t>
                  </w:r>
                </w:p>
              </w:tc>
              <w:tc>
                <w:tcPr>
                  <w:tcW w:w="625" w:type="pct"/>
                  <w:tcBorders>
                    <w:tl2br w:val="nil"/>
                    <w:tr2bl w:val="nil"/>
                  </w:tcBorders>
                  <w:noWrap w:val="0"/>
                  <w:vAlign w:val="center"/>
                </w:tcPr>
                <w:p w14:paraId="1A4D6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kern w:val="0"/>
                      <w:szCs w:val="21"/>
                      <w:highlight w:val="none"/>
                      <w:lang w:val="en-US" w:eastAsia="zh-CN" w:bidi="ar"/>
                    </w:rPr>
                  </w:pPr>
                  <w:r>
                    <w:rPr>
                      <w:rFonts w:hint="eastAsia"/>
                      <w:color w:val="auto"/>
                      <w:kern w:val="0"/>
                      <w:szCs w:val="21"/>
                      <w:highlight w:val="none"/>
                      <w:lang w:val="en-US" w:eastAsia="zh-CN" w:bidi="ar"/>
                    </w:rPr>
                    <w:t>0</w:t>
                  </w:r>
                </w:p>
              </w:tc>
              <w:tc>
                <w:tcPr>
                  <w:tcW w:w="1062" w:type="dxa"/>
                  <w:tcBorders>
                    <w:tl2br w:val="nil"/>
                    <w:tr2bl w:val="nil"/>
                  </w:tcBorders>
                  <w:noWrap w:val="0"/>
                  <w:vAlign w:val="center"/>
                </w:tcPr>
                <w:p w14:paraId="7CD4F3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olor w:val="auto"/>
                      <w:kern w:val="0"/>
                      <w:szCs w:val="21"/>
                      <w:highlight w:val="none"/>
                      <w:lang w:val="en-US" w:eastAsia="zh-CN" w:bidi="ar"/>
                    </w:rPr>
                  </w:pPr>
                  <w:r>
                    <w:rPr>
                      <w:rFonts w:hint="eastAsia"/>
                      <w:color w:val="auto"/>
                      <w:sz w:val="21"/>
                      <w:szCs w:val="21"/>
                      <w:highlight w:val="none"/>
                      <w:vertAlign w:val="baseline"/>
                      <w:lang w:val="en-US" w:eastAsia="zh-CN"/>
                    </w:rPr>
                    <w:t>3.06</w:t>
                  </w:r>
                </w:p>
              </w:tc>
              <w:tc>
                <w:tcPr>
                  <w:tcW w:w="1117" w:type="dxa"/>
                  <w:tcBorders>
                    <w:tl2br w:val="nil"/>
                    <w:tr2bl w:val="nil"/>
                  </w:tcBorders>
                  <w:noWrap w:val="0"/>
                  <w:vAlign w:val="center"/>
                </w:tcPr>
                <w:p w14:paraId="3F668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eastAsia" w:cs="Times New Roman"/>
                      <w:color w:val="auto"/>
                      <w:kern w:val="0"/>
                      <w:sz w:val="21"/>
                      <w:szCs w:val="21"/>
                      <w:highlight w:val="none"/>
                      <w:lang w:val="en-US" w:eastAsia="zh-CN" w:bidi="ar"/>
                    </w:rPr>
                  </w:pPr>
                  <w:r>
                    <w:rPr>
                      <w:rFonts w:hint="eastAsia"/>
                      <w:color w:val="auto"/>
                      <w:sz w:val="21"/>
                      <w:szCs w:val="21"/>
                      <w:highlight w:val="none"/>
                      <w:vertAlign w:val="baseline"/>
                      <w:lang w:val="en-US" w:eastAsia="zh-CN"/>
                    </w:rPr>
                    <w:t>3.06</w:t>
                  </w:r>
                </w:p>
              </w:tc>
            </w:tr>
          </w:tbl>
          <w:p w14:paraId="28A1C17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jc w:val="both"/>
              <w:textAlignment w:val="auto"/>
              <w:rPr>
                <w:rFonts w:hint="default" w:cs="Times New Roman"/>
                <w:color w:val="auto"/>
                <w:spacing w:val="0"/>
                <w:position w:val="0"/>
                <w:sz w:val="24"/>
                <w:highlight w:val="none"/>
                <w:lang w:val="en-US" w:eastAsia="zh-CN"/>
              </w:rPr>
            </w:pPr>
            <w:r>
              <w:rPr>
                <w:rFonts w:hint="eastAsia" w:cs="Times New Roman"/>
                <w:color w:val="auto"/>
                <w:spacing w:val="0"/>
                <w:position w:val="0"/>
                <w:sz w:val="24"/>
                <w:highlight w:val="none"/>
                <w:lang w:val="en-US" w:eastAsia="zh-CN"/>
              </w:rPr>
              <w:t>根据上表可知，本项目建成后全厂排放量为颗粒物6.183t/a，</w:t>
            </w:r>
            <w:r>
              <w:rPr>
                <w:rFonts w:hint="default"/>
                <w:color w:val="auto"/>
                <w:sz w:val="24"/>
                <w:szCs w:val="32"/>
                <w:highlight w:val="none"/>
              </w:rPr>
              <w:t>SO</w:t>
            </w:r>
            <w:r>
              <w:rPr>
                <w:rFonts w:hint="eastAsia"/>
                <w:color w:val="auto"/>
                <w:sz w:val="24"/>
                <w:szCs w:val="32"/>
                <w:highlight w:val="none"/>
                <w:vertAlign w:val="subscript"/>
                <w:lang w:val="en-US" w:eastAsia="zh-CN"/>
              </w:rPr>
              <w:t>2</w:t>
            </w:r>
            <w:r>
              <w:rPr>
                <w:rFonts w:hint="eastAsia"/>
                <w:color w:val="auto"/>
                <w:sz w:val="24"/>
                <w:szCs w:val="32"/>
                <w:highlight w:val="none"/>
                <w:vertAlign w:val="baseline"/>
                <w:lang w:val="en-US" w:eastAsia="zh-CN"/>
              </w:rPr>
              <w:t xml:space="preserve"> 0.131</w:t>
            </w:r>
            <w:r>
              <w:rPr>
                <w:rFonts w:hint="eastAsia" w:cs="Times New Roman"/>
                <w:color w:val="auto"/>
                <w:spacing w:val="0"/>
                <w:position w:val="0"/>
                <w:sz w:val="24"/>
                <w:highlight w:val="none"/>
                <w:lang w:val="en-US" w:eastAsia="zh-CN"/>
              </w:rPr>
              <w:t>t/a，</w:t>
            </w:r>
            <w:r>
              <w:rPr>
                <w:rFonts w:hint="eastAsia"/>
                <w:color w:val="auto"/>
                <w:sz w:val="24"/>
                <w:szCs w:val="32"/>
                <w:highlight w:val="none"/>
                <w:vertAlign w:val="baseline"/>
                <w:lang w:val="en-US" w:eastAsia="zh-CN"/>
              </w:rPr>
              <w:t>NOx</w:t>
            </w:r>
            <w:r>
              <w:rPr>
                <w:rFonts w:hint="eastAsia" w:cs="Times New Roman"/>
                <w:color w:val="auto"/>
                <w:spacing w:val="0"/>
                <w:position w:val="0"/>
                <w:sz w:val="24"/>
                <w:highlight w:val="none"/>
                <w:lang w:val="en-US" w:eastAsia="zh-CN"/>
              </w:rPr>
              <w:t xml:space="preserve"> 3.06t/a，其中颗粒物超过现有项目总量指标（2.58</w:t>
            </w:r>
            <w:r>
              <w:rPr>
                <w:rFonts w:hint="default" w:cs="Times New Roman"/>
                <w:color w:val="auto"/>
                <w:spacing w:val="0"/>
                <w:position w:val="0"/>
                <w:sz w:val="24"/>
                <w:highlight w:val="none"/>
                <w:lang w:val="en-US" w:eastAsia="zh-CN"/>
              </w:rPr>
              <w:t>t/a</w:t>
            </w:r>
            <w:r>
              <w:rPr>
                <w:rFonts w:hint="eastAsia" w:cs="Times New Roman"/>
                <w:color w:val="auto"/>
                <w:spacing w:val="0"/>
                <w:position w:val="0"/>
                <w:sz w:val="24"/>
                <w:highlight w:val="none"/>
                <w:lang w:val="en-US" w:eastAsia="zh-CN"/>
              </w:rPr>
              <w:t>），</w:t>
            </w:r>
            <w:r>
              <w:rPr>
                <w:rFonts w:hint="eastAsia" w:ascii="Times New Roman" w:hAnsi="Times New Roman" w:eastAsia="宋体" w:cs="Times New Roman"/>
                <w:color w:val="auto"/>
                <w:sz w:val="24"/>
                <w:szCs w:val="30"/>
                <w:highlight w:val="none"/>
                <w:lang w:val="en-US" w:bidi="zh-CN"/>
              </w:rPr>
              <w:t>因此本项目需申请总量指标为</w:t>
            </w:r>
            <w:r>
              <w:rPr>
                <w:rFonts w:hint="eastAsia" w:cs="Times New Roman"/>
                <w:color w:val="auto"/>
                <w:spacing w:val="0"/>
                <w:position w:val="0"/>
                <w:sz w:val="24"/>
                <w:highlight w:val="none"/>
                <w:lang w:val="en-US" w:eastAsia="zh-CN"/>
              </w:rPr>
              <w:t>颗粒物3.603t/a，</w:t>
            </w:r>
            <w:r>
              <w:rPr>
                <w:rFonts w:hint="default" w:ascii="Times New Roman" w:hAnsi="Times New Roman" w:cs="Times New Roman"/>
                <w:color w:val="auto"/>
                <w:sz w:val="24"/>
                <w:szCs w:val="32"/>
                <w:highlight w:val="none"/>
              </w:rPr>
              <w:t>SO</w:t>
            </w:r>
            <w:r>
              <w:rPr>
                <w:rFonts w:hint="default" w:ascii="Times New Roman" w:hAnsi="Times New Roman" w:cs="Times New Roman"/>
                <w:color w:val="auto"/>
                <w:sz w:val="24"/>
                <w:szCs w:val="32"/>
                <w:highlight w:val="none"/>
                <w:vertAlign w:val="subscript"/>
                <w:lang w:val="en-US" w:eastAsia="zh-CN"/>
              </w:rPr>
              <w:t xml:space="preserve">2 </w:t>
            </w:r>
            <w:r>
              <w:rPr>
                <w:rFonts w:hint="default" w:ascii="Times New Roman" w:hAnsi="Times New Roman" w:cs="Times New Roman"/>
                <w:color w:val="auto"/>
                <w:sz w:val="24"/>
                <w:szCs w:val="32"/>
                <w:highlight w:val="none"/>
                <w:vertAlign w:val="baseline"/>
                <w:lang w:val="en-US" w:eastAsia="zh-CN"/>
              </w:rPr>
              <w:t>0.</w:t>
            </w:r>
            <w:r>
              <w:rPr>
                <w:rFonts w:hint="default" w:ascii="Times New Roman" w:hAnsi="Times New Roman" w:cs="Times New Roman"/>
                <w:color w:val="auto"/>
                <w:spacing w:val="0"/>
                <w:position w:val="0"/>
                <w:sz w:val="24"/>
                <w:highlight w:val="none"/>
                <w:lang w:val="en-US" w:eastAsia="zh-CN"/>
              </w:rPr>
              <w:t>131t/a，</w:t>
            </w:r>
            <w:r>
              <w:rPr>
                <w:rFonts w:hint="default" w:ascii="Times New Roman" w:hAnsi="Times New Roman" w:cs="Times New Roman"/>
                <w:color w:val="auto"/>
                <w:sz w:val="24"/>
                <w:szCs w:val="32"/>
                <w:highlight w:val="none"/>
                <w:vertAlign w:val="baseline"/>
                <w:lang w:val="en-US" w:eastAsia="zh-CN"/>
              </w:rPr>
              <w:t>NOx</w:t>
            </w:r>
            <w:r>
              <w:rPr>
                <w:rFonts w:hint="default" w:ascii="Times New Roman" w:hAnsi="Times New Roman" w:cs="Times New Roman"/>
                <w:color w:val="auto"/>
                <w:spacing w:val="0"/>
                <w:position w:val="0"/>
                <w:sz w:val="24"/>
                <w:highlight w:val="none"/>
                <w:lang w:val="en-US" w:eastAsia="zh-CN"/>
              </w:rPr>
              <w:t xml:space="preserve"> 3.06t/a</w:t>
            </w:r>
            <w:r>
              <w:rPr>
                <w:rFonts w:hint="default" w:ascii="Times New Roman" w:hAnsi="Times New Roman" w:eastAsia="宋体" w:cs="Times New Roman"/>
                <w:color w:val="auto"/>
                <w:sz w:val="24"/>
                <w:szCs w:val="30"/>
                <w:highlight w:val="none"/>
                <w:lang w:val="en-US" w:bidi="zh-CN"/>
              </w:rPr>
              <w:t>。</w:t>
            </w:r>
          </w:p>
          <w:p w14:paraId="053B797E">
            <w:pPr>
              <w:keepNext w:val="0"/>
              <w:keepLines w:val="0"/>
              <w:suppressLineNumbers w:val="0"/>
              <w:spacing w:before="0" w:beforeAutospacing="0" w:after="0" w:afterAutospacing="0" w:line="480" w:lineRule="exact"/>
              <w:ind w:left="0" w:right="0" w:firstLine="480" w:firstLineChars="200"/>
              <w:rPr>
                <w:rFonts w:hint="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2026年8月17日，长治市生态环境局屯留分局以“屯环函[2026]34号”文出具了《关于山西瑞赛格废弃资源综合利用有限公司环保热熔压饼产线建设项目大气污染物排放总量核定意见》（见附件14），</w:t>
            </w:r>
            <w:r>
              <w:rPr>
                <w:rFonts w:hint="eastAsia" w:ascii="Times New Roman" w:hAnsi="Times New Roman" w:eastAsia="宋体" w:cs="Times New Roman"/>
                <w:color w:val="auto"/>
                <w:sz w:val="24"/>
                <w:szCs w:val="22"/>
                <w:lang w:val="en-US" w:eastAsia="zh-CN"/>
              </w:rPr>
              <w:t>核定本项目总量控制指标为：二氧化硫0.131t/a、氮氧化物3.06t/a、颗粒物3.603t/a。</w:t>
            </w:r>
          </w:p>
          <w:p w14:paraId="18CB5EBB">
            <w:pPr>
              <w:pStyle w:val="41"/>
              <w:keepNext w:val="0"/>
              <w:keepLines w:val="0"/>
              <w:suppressLineNumbers w:val="0"/>
              <w:spacing w:before="0" w:beforeAutospacing="0" w:after="0" w:afterAutospacing="0"/>
              <w:ind w:left="0" w:right="0"/>
              <w:rPr>
                <w:rFonts w:hint="eastAsia"/>
                <w:color w:val="auto"/>
                <w:sz w:val="24"/>
                <w:szCs w:val="32"/>
                <w:highlight w:val="none"/>
                <w:vertAlign w:val="baseline"/>
                <w:lang w:val="en-US" w:eastAsia="zh-CN"/>
              </w:rPr>
            </w:pPr>
          </w:p>
          <w:p w14:paraId="1EE08E0F">
            <w:pPr>
              <w:pStyle w:val="41"/>
              <w:keepNext w:val="0"/>
              <w:keepLines w:val="0"/>
              <w:suppressLineNumbers w:val="0"/>
              <w:spacing w:before="0" w:beforeAutospacing="0" w:after="0" w:afterAutospacing="0"/>
              <w:ind w:left="0" w:right="0"/>
              <w:rPr>
                <w:rFonts w:hint="eastAsia"/>
                <w:color w:val="auto"/>
                <w:sz w:val="24"/>
                <w:szCs w:val="32"/>
                <w:highlight w:val="none"/>
                <w:vertAlign w:val="baseline"/>
                <w:lang w:val="en-US" w:eastAsia="zh-CN"/>
              </w:rPr>
            </w:pPr>
          </w:p>
          <w:p w14:paraId="11CD2C97">
            <w:pPr>
              <w:pStyle w:val="41"/>
              <w:keepNext w:val="0"/>
              <w:keepLines w:val="0"/>
              <w:suppressLineNumbers w:val="0"/>
              <w:spacing w:before="0" w:beforeAutospacing="0" w:after="0" w:afterAutospacing="0"/>
              <w:ind w:left="0" w:right="0"/>
              <w:rPr>
                <w:rFonts w:hint="eastAsia"/>
                <w:color w:val="auto"/>
                <w:sz w:val="24"/>
                <w:szCs w:val="32"/>
                <w:highlight w:val="none"/>
                <w:vertAlign w:val="baseline"/>
                <w:lang w:val="en-US" w:eastAsia="zh-CN"/>
              </w:rPr>
            </w:pPr>
          </w:p>
          <w:p w14:paraId="761A3045">
            <w:pPr>
              <w:pStyle w:val="41"/>
              <w:keepNext w:val="0"/>
              <w:keepLines w:val="0"/>
              <w:suppressLineNumbers w:val="0"/>
              <w:spacing w:before="0" w:beforeAutospacing="0" w:after="0" w:afterAutospacing="0"/>
              <w:ind w:left="0" w:right="0"/>
              <w:rPr>
                <w:rFonts w:hint="eastAsia"/>
                <w:color w:val="auto"/>
                <w:sz w:val="24"/>
                <w:szCs w:val="32"/>
                <w:highlight w:val="none"/>
                <w:vertAlign w:val="baseline"/>
                <w:lang w:val="en-US" w:eastAsia="zh-CN"/>
              </w:rPr>
            </w:pPr>
          </w:p>
          <w:p w14:paraId="2281B2D9">
            <w:pPr>
              <w:pStyle w:val="41"/>
              <w:keepNext w:val="0"/>
              <w:keepLines w:val="0"/>
              <w:suppressLineNumbers w:val="0"/>
              <w:spacing w:before="0" w:beforeAutospacing="0" w:after="0" w:afterAutospacing="0"/>
              <w:ind w:left="0" w:right="0"/>
              <w:rPr>
                <w:rFonts w:hint="eastAsia"/>
                <w:color w:val="auto"/>
                <w:sz w:val="24"/>
                <w:szCs w:val="32"/>
                <w:highlight w:val="none"/>
                <w:vertAlign w:val="baseline"/>
                <w:lang w:val="en-US" w:eastAsia="zh-CN"/>
              </w:rPr>
            </w:pPr>
          </w:p>
          <w:p w14:paraId="6FE57AEE">
            <w:pPr>
              <w:keepNext w:val="0"/>
              <w:keepLines w:val="0"/>
              <w:suppressLineNumbers w:val="0"/>
              <w:spacing w:before="0" w:beforeAutospacing="0" w:after="0" w:afterAutospacing="0" w:line="480" w:lineRule="exact"/>
              <w:ind w:left="0" w:right="0" w:firstLine="480" w:firstLineChars="200"/>
              <w:rPr>
                <w:rFonts w:hint="default"/>
                <w:color w:val="auto"/>
                <w:sz w:val="24"/>
                <w:szCs w:val="32"/>
                <w:highlight w:val="none"/>
                <w:vertAlign w:val="baseline"/>
                <w:lang w:val="en-US" w:eastAsia="zh-CN"/>
              </w:rPr>
            </w:pPr>
          </w:p>
        </w:tc>
      </w:tr>
    </w:tbl>
    <w:p w14:paraId="40CC8E2A">
      <w:pPr>
        <w:pStyle w:val="27"/>
        <w:jc w:val="center"/>
        <w:outlineLvl w:val="0"/>
        <w:rPr>
          <w:rFonts w:hint="default" w:ascii="Times New Roman" w:hAnsi="Times New Roman" w:eastAsia="黑体" w:cs="Times New Roman"/>
          <w:snapToGrid w:val="0"/>
          <w:color w:val="FF0000"/>
          <w:sz w:val="30"/>
          <w:szCs w:val="30"/>
          <w:highlight w:val="none"/>
        </w:rPr>
      </w:pPr>
      <w:r>
        <w:rPr>
          <w:rFonts w:hint="default" w:ascii="Times New Roman" w:hAnsi="Times New Roman" w:eastAsia="黑体" w:cs="Times New Roman"/>
          <w:snapToGrid w:val="0"/>
          <w:color w:val="FF0000"/>
          <w:sz w:val="36"/>
          <w:szCs w:val="36"/>
          <w:highlight w:val="none"/>
        </w:rPr>
        <w:br w:type="page"/>
      </w:r>
      <w:bookmarkStart w:id="12" w:name="_Toc7234"/>
      <w:r>
        <w:rPr>
          <w:rFonts w:hint="default" w:ascii="Times New Roman" w:hAnsi="Times New Roman" w:eastAsia="黑体" w:cs="Times New Roman"/>
          <w:snapToGrid w:val="0"/>
          <w:color w:val="auto"/>
          <w:sz w:val="30"/>
          <w:szCs w:val="30"/>
          <w:highlight w:val="none"/>
        </w:rPr>
        <w:t>四、主要环境影响和保护措施</w:t>
      </w:r>
      <w:bookmarkEnd w:id="12"/>
    </w:p>
    <w:tbl>
      <w:tblPr>
        <w:tblStyle w:val="31"/>
        <w:tblW w:w="501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9278"/>
      </w:tblGrid>
      <w:tr w14:paraId="78DCC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2" w:type="pct"/>
            <w:tcMar>
              <w:left w:w="28" w:type="dxa"/>
              <w:right w:w="28" w:type="dxa"/>
            </w:tcMar>
            <w:vAlign w:val="center"/>
          </w:tcPr>
          <w:p w14:paraId="25117818">
            <w:pPr>
              <w:pStyle w:val="27"/>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val="0"/>
                <w:color w:val="auto"/>
                <w:kern w:val="2"/>
                <w:sz w:val="21"/>
                <w:szCs w:val="21"/>
                <w:highlight w:val="none"/>
              </w:rPr>
            </w:pPr>
            <w:r>
              <w:rPr>
                <w:rFonts w:hint="default" w:ascii="Times New Roman" w:hAnsi="Times New Roman" w:cs="Times New Roman"/>
                <w:b w:val="0"/>
                <w:bCs w:val="0"/>
                <w:color w:val="auto"/>
                <w:kern w:val="2"/>
                <w:sz w:val="21"/>
                <w:szCs w:val="21"/>
                <w:highlight w:val="none"/>
              </w:rPr>
              <w:t>施工期环境保护措施</w:t>
            </w:r>
          </w:p>
        </w:tc>
        <w:tc>
          <w:tcPr>
            <w:tcW w:w="4677" w:type="pct"/>
            <w:vAlign w:val="center"/>
          </w:tcPr>
          <w:p w14:paraId="3A55D049">
            <w:pPr>
              <w:keepNext w:val="0"/>
              <w:keepLines w:val="0"/>
              <w:suppressLineNumbers w:val="0"/>
              <w:spacing w:before="0" w:beforeAutospacing="0" w:after="0" w:afterAutospacing="0" w:line="480" w:lineRule="exact"/>
              <w:ind w:left="0" w:right="0" w:firstLine="480" w:firstLineChars="200"/>
              <w:rPr>
                <w:rFonts w:hint="eastAsia" w:cs="Times New Roman"/>
                <w:color w:val="FF0000"/>
                <w:spacing w:val="0"/>
                <w:sz w:val="24"/>
                <w:szCs w:val="20"/>
                <w:highlight w:val="none"/>
                <w:lang w:val="en-US" w:eastAsia="zh-CN"/>
              </w:rPr>
            </w:pPr>
            <w:r>
              <w:rPr>
                <w:rFonts w:hint="default"/>
                <w:color w:val="auto"/>
                <w:kern w:val="0"/>
                <w:sz w:val="24"/>
              </w:rPr>
              <w:t>本项目</w:t>
            </w:r>
            <w:r>
              <w:rPr>
                <w:rFonts w:hint="eastAsia"/>
                <w:color w:val="auto"/>
                <w:kern w:val="0"/>
                <w:sz w:val="24"/>
                <w:lang w:val="en-US" w:eastAsia="zh-CN"/>
              </w:rPr>
              <w:t>拟</w:t>
            </w:r>
            <w:r>
              <w:rPr>
                <w:rFonts w:hint="default"/>
                <w:color w:val="auto"/>
                <w:kern w:val="0"/>
                <w:sz w:val="24"/>
              </w:rPr>
              <w:t>在厂区</w:t>
            </w:r>
            <w:r>
              <w:rPr>
                <w:rFonts w:hint="eastAsia"/>
                <w:color w:val="auto"/>
                <w:kern w:val="0"/>
                <w:sz w:val="24"/>
                <w:lang w:val="en-US" w:eastAsia="zh-CN"/>
              </w:rPr>
              <w:t>现有1#厂房内</w:t>
            </w:r>
            <w:r>
              <w:rPr>
                <w:rFonts w:hint="default"/>
                <w:color w:val="auto"/>
                <w:kern w:val="0"/>
                <w:sz w:val="24"/>
              </w:rPr>
              <w:t>进行建设，</w:t>
            </w:r>
            <w:r>
              <w:rPr>
                <w:rFonts w:hint="eastAsia"/>
                <w:color w:val="auto"/>
                <w:kern w:val="0"/>
                <w:sz w:val="24"/>
                <w:lang w:val="en-US" w:eastAsia="zh-CN"/>
              </w:rPr>
              <w:t>不新增占地</w:t>
            </w:r>
            <w:r>
              <w:rPr>
                <w:rFonts w:hint="eastAsia" w:cs="Times New Roman"/>
                <w:color w:val="auto"/>
                <w:spacing w:val="0"/>
                <w:sz w:val="24"/>
                <w:szCs w:val="20"/>
                <w:highlight w:val="none"/>
                <w:lang w:val="en-US" w:eastAsia="zh-CN"/>
              </w:rPr>
              <w:t>。</w:t>
            </w:r>
            <w:r>
              <w:rPr>
                <w:rFonts w:hint="eastAsia"/>
                <w:color w:val="auto"/>
                <w:kern w:val="0"/>
                <w:sz w:val="24"/>
                <w:lang w:val="en-US" w:eastAsia="zh-CN"/>
              </w:rPr>
              <w:t>施工期主要为生产</w:t>
            </w:r>
            <w:r>
              <w:rPr>
                <w:rFonts w:hint="default"/>
                <w:color w:val="auto"/>
                <w:sz w:val="24"/>
              </w:rPr>
              <w:t>设备运输及安装等人为活动产生的扬尘、废水、噪声</w:t>
            </w:r>
            <w:r>
              <w:rPr>
                <w:rFonts w:hint="eastAsia"/>
                <w:color w:val="auto"/>
                <w:sz w:val="24"/>
                <w:lang w:val="en-US" w:eastAsia="zh-CN"/>
              </w:rPr>
              <w:t>等</w:t>
            </w:r>
            <w:r>
              <w:rPr>
                <w:rFonts w:hint="default"/>
                <w:color w:val="auto"/>
                <w:sz w:val="24"/>
              </w:rPr>
              <w:t>将不可避免地对施工区域及运输道路周边环境产生一定的不利影响，为减轻施工期对区域环境产生的不良影响，本次评价对针对施工期污染提出可行的防范和治理措施。</w:t>
            </w:r>
            <w:r>
              <w:rPr>
                <w:rFonts w:hint="default" w:ascii="Times New Roman" w:hAnsi="Times New Roman" w:eastAsia="宋体" w:cs="Times New Roman"/>
                <w:color w:val="auto"/>
                <w:sz w:val="24"/>
                <w:szCs w:val="24"/>
              </w:rPr>
              <w:t>工程施工影响范围主要为工程施工区域，限制在厂区占地范围内。</w:t>
            </w:r>
            <w:r>
              <w:rPr>
                <w:rFonts w:hint="default" w:ascii="Times New Roman" w:hAnsi="Times New Roman" w:cs="Times New Roman"/>
                <w:color w:val="auto"/>
                <w:kern w:val="2"/>
                <w:sz w:val="24"/>
                <w:szCs w:val="24"/>
                <w:highlight w:val="none"/>
                <w:lang w:val="en-US" w:eastAsia="zh-CN" w:bidi="ar-SA"/>
              </w:rPr>
              <w:t>针对</w:t>
            </w:r>
            <w:r>
              <w:rPr>
                <w:rFonts w:hint="default" w:ascii="Times New Roman" w:hAnsi="Times New Roman" w:eastAsia="宋体" w:cs="Times New Roman"/>
                <w:color w:val="auto"/>
                <w:kern w:val="2"/>
                <w:sz w:val="24"/>
                <w:szCs w:val="24"/>
                <w:highlight w:val="none"/>
                <w:lang w:val="en-US" w:eastAsia="zh-CN" w:bidi="ar-SA"/>
              </w:rPr>
              <w:t>施工过程对环境的影响</w:t>
            </w:r>
            <w:r>
              <w:rPr>
                <w:rFonts w:hint="default"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拟采取的污染防治措施</w:t>
            </w:r>
            <w:r>
              <w:rPr>
                <w:rFonts w:hint="default" w:ascii="Times New Roman" w:hAnsi="Times New Roman" w:cs="Times New Roman"/>
                <w:color w:val="auto"/>
                <w:kern w:val="2"/>
                <w:sz w:val="24"/>
                <w:szCs w:val="24"/>
                <w:highlight w:val="none"/>
                <w:lang w:val="en-US" w:eastAsia="zh-CN" w:bidi="ar-SA"/>
              </w:rPr>
              <w:t>如下：</w:t>
            </w:r>
          </w:p>
          <w:p w14:paraId="5655C45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pacing w:val="0"/>
                <w:sz w:val="24"/>
                <w:szCs w:val="24"/>
                <w:highlight w:val="none"/>
              </w:rPr>
            </w:pPr>
            <w:r>
              <w:rPr>
                <w:rFonts w:hint="eastAsia" w:cs="Times New Roman"/>
                <w:b/>
                <w:color w:val="auto"/>
                <w:spacing w:val="0"/>
                <w:sz w:val="24"/>
                <w:szCs w:val="24"/>
                <w:highlight w:val="none"/>
                <w:lang w:val="en-US" w:eastAsia="zh-CN"/>
              </w:rPr>
              <w:t>1、</w:t>
            </w:r>
            <w:r>
              <w:rPr>
                <w:rFonts w:hint="default" w:ascii="Times New Roman" w:hAnsi="Times New Roman" w:eastAsia="宋体" w:cs="Times New Roman"/>
                <w:b/>
                <w:color w:val="auto"/>
                <w:spacing w:val="0"/>
                <w:sz w:val="24"/>
                <w:szCs w:val="24"/>
                <w:highlight w:val="none"/>
              </w:rPr>
              <w:t>施工期大气环境污染防治措施</w:t>
            </w:r>
          </w:p>
          <w:p w14:paraId="18E206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lang w:val="en-US" w:eastAsia="zh-CN"/>
              </w:rPr>
              <w:t>本项目</w:t>
            </w:r>
            <w:r>
              <w:rPr>
                <w:rFonts w:hint="default" w:ascii="Times New Roman" w:hAnsi="Times New Roman" w:eastAsia="宋体" w:cs="Times New Roman"/>
                <w:color w:val="auto"/>
                <w:sz w:val="24"/>
                <w:szCs w:val="20"/>
                <w:highlight w:val="none"/>
              </w:rPr>
              <w:t>施工期主要大气环境影响为扬尘对周围大气环境的影响，扬尘主要为道路运输扬尘。</w:t>
            </w:r>
          </w:p>
          <w:p w14:paraId="038AD673">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（1）施工扬尘防治措施</w:t>
            </w:r>
          </w:p>
          <w:p w14:paraId="0051B87F">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A、施工现场入口处设置围挡，围挡必须由硬质材料制作，任意两块围挡以及围挡与防溢座间间距不能有大于0.5cm的缝隙，围挡不得有明显破损的漏洞；</w:t>
            </w:r>
          </w:p>
          <w:p w14:paraId="5A1F94E3">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B、施工过程产生的建筑垃圾，应及时清运；</w:t>
            </w:r>
          </w:p>
          <w:p w14:paraId="089F9D83">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C、</w:t>
            </w:r>
            <w:r>
              <w:rPr>
                <w:rFonts w:hint="default"/>
                <w:kern w:val="0"/>
                <w:sz w:val="24"/>
              </w:rPr>
              <w:t>实施建筑施工全过程控制，</w:t>
            </w:r>
            <w:r>
              <w:rPr>
                <w:rFonts w:hint="default"/>
                <w:sz w:val="24"/>
                <w:shd w:val="clear" w:color="auto" w:fill="FFFFFF"/>
              </w:rPr>
              <w:t>确保做到工地周边围挡、物料堆放覆盖、土方开挖湿法作业、路面硬化、出入车辆清洗、渣土车辆密闭运输“六个百分之百”</w:t>
            </w:r>
            <w:r>
              <w:rPr>
                <w:rFonts w:hint="default"/>
                <w:kern w:val="0"/>
                <w:sz w:val="24"/>
              </w:rPr>
              <w:t>。</w:t>
            </w:r>
          </w:p>
          <w:p w14:paraId="00B1B5F2">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（2）运输扬尘措施</w:t>
            </w:r>
          </w:p>
          <w:p w14:paraId="3C9DB64B">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A、施工场地内道路硬化，道路清扫时必须采取洒水措施。</w:t>
            </w:r>
          </w:p>
          <w:p w14:paraId="096729A0">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B、进出工地的运输车辆，应尽可能采用密闭车斗，并保证物料不遗撒外漏。若无密闭车斗，物料、垃圾、渣土的装载高度不得超过车辆槽帮上沿，车斗应用苫布遮盖严实。苫布边缘至少要遮住槽帮上沿以下15厘米，保证物料、渣土、垃圾等不露出。</w:t>
            </w:r>
          </w:p>
          <w:p w14:paraId="55B49DEA">
            <w:pPr>
              <w:keepNext w:val="0"/>
              <w:keepLines w:val="0"/>
              <w:suppressLineNumbers w:val="0"/>
              <w:spacing w:before="0" w:beforeAutospacing="0" w:after="0" w:afterAutospacing="0" w:line="460" w:lineRule="exact"/>
              <w:ind w:left="0" w:right="0" w:firstLine="480"/>
              <w:rPr>
                <w:rFonts w:hint="default"/>
                <w:sz w:val="24"/>
              </w:rPr>
            </w:pPr>
            <w:r>
              <w:rPr>
                <w:rFonts w:hint="default"/>
                <w:sz w:val="24"/>
              </w:rPr>
              <w:t>C、运输车辆驶出工地前，应对车身、车槽、轮胎等部位进行清理或清洗以保证清洁上路；洗车喷嘴静水压不得低于0.5MPa；洗车废水经处理后重复使用，回用率不低于90%，回用水悬浮物浓度不应大于150mg/</w:t>
            </w:r>
            <w:r>
              <w:rPr>
                <w:rFonts w:hint="eastAsia"/>
                <w:sz w:val="24"/>
                <w:lang w:val="en-US" w:eastAsia="zh-CN"/>
              </w:rPr>
              <w:t>L</w:t>
            </w:r>
            <w:r>
              <w:rPr>
                <w:rFonts w:hint="default"/>
                <w:sz w:val="24"/>
              </w:rPr>
              <w:t>。</w:t>
            </w:r>
          </w:p>
          <w:p w14:paraId="5F45CF47">
            <w:pPr>
              <w:keepNext w:val="0"/>
              <w:keepLines w:val="0"/>
              <w:suppressLineNumbers w:val="0"/>
              <w:spacing w:before="0" w:beforeAutospacing="0" w:after="0" w:afterAutospacing="0" w:line="460" w:lineRule="exact"/>
              <w:ind w:left="0" w:right="0" w:firstLine="480" w:firstLineChars="200"/>
              <w:rPr>
                <w:rFonts w:hint="default"/>
                <w:sz w:val="24"/>
              </w:rPr>
            </w:pPr>
            <w:r>
              <w:rPr>
                <w:rFonts w:hint="default"/>
                <w:sz w:val="24"/>
              </w:rPr>
              <w:t>在采取以上措施以后，施工期产生的大气污染物对周围环境产生的影响很小。</w:t>
            </w:r>
          </w:p>
          <w:p w14:paraId="121049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both"/>
              <w:textAlignment w:val="baseline"/>
              <w:outlineLvl w:val="0"/>
              <w:rPr>
                <w:rFonts w:hint="default" w:ascii="Times New Roman" w:hAnsi="Times New Roman" w:eastAsia="宋体" w:cs="Times New Roman"/>
                <w:b/>
                <w:color w:val="auto"/>
                <w:spacing w:val="0"/>
                <w:sz w:val="24"/>
                <w:szCs w:val="24"/>
                <w:highlight w:val="none"/>
              </w:rPr>
            </w:pPr>
            <w:bookmarkStart w:id="13" w:name="_Toc11505"/>
            <w:r>
              <w:rPr>
                <w:rFonts w:hint="eastAsia" w:cs="Times New Roman"/>
                <w:b/>
                <w:color w:val="auto"/>
                <w:spacing w:val="0"/>
                <w:sz w:val="24"/>
                <w:szCs w:val="24"/>
                <w:highlight w:val="none"/>
                <w:lang w:val="en-US" w:eastAsia="zh-CN"/>
              </w:rPr>
              <w:t>2、</w:t>
            </w:r>
            <w:bookmarkEnd w:id="13"/>
            <w:r>
              <w:rPr>
                <w:rFonts w:hint="default" w:ascii="Times New Roman" w:hAnsi="Times New Roman" w:eastAsia="宋体" w:cs="Times New Roman"/>
                <w:b/>
                <w:color w:val="auto"/>
                <w:spacing w:val="0"/>
                <w:sz w:val="24"/>
                <w:szCs w:val="24"/>
                <w:highlight w:val="none"/>
              </w:rPr>
              <w:t>施工期水环境污染防治措施</w:t>
            </w:r>
          </w:p>
          <w:p w14:paraId="5F3942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sz w:val="24"/>
                <w:highlight w:val="none"/>
              </w:rPr>
              <w:t>本项目施工期废水主要为</w:t>
            </w:r>
            <w:r>
              <w:rPr>
                <w:rFonts w:hint="default" w:ascii="Times New Roman" w:hAnsi="Times New Roman" w:eastAsia="宋体" w:cs="Times New Roman"/>
                <w:color w:val="auto"/>
                <w:sz w:val="24"/>
                <w:highlight w:val="none"/>
                <w:lang w:val="en-US" w:eastAsia="zh-CN"/>
              </w:rPr>
              <w:t>施工废水和</w:t>
            </w:r>
            <w:r>
              <w:rPr>
                <w:rFonts w:hint="default" w:ascii="Times New Roman" w:hAnsi="Times New Roman" w:eastAsia="宋体" w:cs="Times New Roman"/>
                <w:color w:val="auto"/>
                <w:sz w:val="24"/>
                <w:highlight w:val="none"/>
              </w:rPr>
              <w:t>施工人员的生活污水。</w:t>
            </w:r>
          </w:p>
          <w:p w14:paraId="0A7DC165">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Times New Roman"/>
                <w:b w:val="0"/>
                <w:bCs w:val="0"/>
                <w:color w:val="auto"/>
                <w:kern w:val="0"/>
                <w:sz w:val="24"/>
                <w:highlight w:val="none"/>
              </w:rPr>
            </w:pPr>
            <w:r>
              <w:rPr>
                <w:rFonts w:hint="default" w:ascii="Times New Roman" w:hAnsi="Times New Roman" w:eastAsia="宋体" w:cs="Times New Roman"/>
                <w:b w:val="0"/>
                <w:bCs w:val="0"/>
                <w:color w:val="auto"/>
                <w:kern w:val="0"/>
                <w:sz w:val="24"/>
                <w:highlight w:val="none"/>
                <w:lang w:val="en-US" w:eastAsia="zh-CN"/>
              </w:rPr>
              <w:t>施工废水主要为</w:t>
            </w:r>
            <w:r>
              <w:rPr>
                <w:rFonts w:hint="eastAsia" w:ascii="Times New Roman" w:hAnsi="Times New Roman" w:eastAsia="宋体" w:cs="Times New Roman"/>
                <w:b w:val="0"/>
                <w:bCs w:val="0"/>
                <w:color w:val="auto"/>
                <w:kern w:val="0"/>
                <w:sz w:val="24"/>
                <w:highlight w:val="none"/>
                <w:lang w:val="en-US" w:eastAsia="zh-CN"/>
              </w:rPr>
              <w:t>路面</w:t>
            </w:r>
            <w:r>
              <w:rPr>
                <w:rFonts w:hint="default" w:ascii="Times New Roman" w:hAnsi="Times New Roman" w:eastAsia="宋体" w:cs="Times New Roman"/>
                <w:b w:val="0"/>
                <w:bCs w:val="0"/>
                <w:color w:val="auto"/>
                <w:kern w:val="0"/>
                <w:sz w:val="24"/>
                <w:highlight w:val="none"/>
                <w:lang w:eastAsia="zh-CN"/>
              </w:rPr>
              <w:t>、</w:t>
            </w:r>
            <w:r>
              <w:rPr>
                <w:rFonts w:hint="default" w:ascii="Times New Roman" w:hAnsi="Times New Roman" w:eastAsia="宋体" w:cs="Times New Roman"/>
                <w:b w:val="0"/>
                <w:bCs w:val="0"/>
                <w:color w:val="auto"/>
                <w:kern w:val="0"/>
                <w:sz w:val="24"/>
                <w:highlight w:val="none"/>
                <w:lang w:val="en-US" w:eastAsia="zh-CN"/>
              </w:rPr>
              <w:t>运输车辆的</w:t>
            </w:r>
            <w:r>
              <w:rPr>
                <w:rFonts w:hint="default" w:ascii="Times New Roman" w:hAnsi="Times New Roman" w:eastAsia="宋体" w:cs="Times New Roman"/>
                <w:b w:val="0"/>
                <w:bCs w:val="0"/>
                <w:color w:val="auto"/>
                <w:kern w:val="0"/>
                <w:sz w:val="24"/>
                <w:highlight w:val="none"/>
              </w:rPr>
              <w:t>冲洗水</w:t>
            </w:r>
            <w:r>
              <w:rPr>
                <w:rFonts w:hint="default" w:ascii="Times New Roman" w:hAnsi="Times New Roman" w:eastAsia="宋体" w:cs="Times New Roman"/>
                <w:b w:val="0"/>
                <w:bCs w:val="0"/>
                <w:color w:val="auto"/>
                <w:kern w:val="0"/>
                <w:sz w:val="24"/>
                <w:highlight w:val="none"/>
                <w:lang w:eastAsia="zh-CN"/>
              </w:rPr>
              <w:t>，</w:t>
            </w:r>
            <w:r>
              <w:rPr>
                <w:rFonts w:hint="default" w:ascii="Times New Roman" w:hAnsi="Times New Roman" w:eastAsia="宋体" w:cs="Times New Roman"/>
                <w:b w:val="0"/>
                <w:bCs w:val="0"/>
                <w:color w:val="auto"/>
                <w:kern w:val="0"/>
                <w:sz w:val="24"/>
                <w:highlight w:val="none"/>
                <w:lang w:val="en-US" w:eastAsia="zh-CN"/>
              </w:rPr>
              <w:t>水中</w:t>
            </w:r>
            <w:r>
              <w:rPr>
                <w:rFonts w:hint="default" w:ascii="Times New Roman" w:hAnsi="Times New Roman" w:eastAsia="宋体" w:cs="Times New Roman"/>
                <w:b w:val="0"/>
                <w:bCs w:val="0"/>
                <w:color w:val="auto"/>
                <w:kern w:val="0"/>
                <w:sz w:val="24"/>
                <w:highlight w:val="none"/>
              </w:rPr>
              <w:t>只含有少量泥沙，不含其它杂质，排放量较小</w:t>
            </w:r>
            <w:r>
              <w:rPr>
                <w:rFonts w:hint="eastAsia" w:ascii="Times New Roman" w:hAnsi="Times New Roman" w:eastAsia="宋体" w:cs="Times New Roman"/>
                <w:b w:val="0"/>
                <w:bCs w:val="0"/>
                <w:color w:val="auto"/>
                <w:kern w:val="0"/>
                <w:sz w:val="24"/>
                <w:highlight w:val="none"/>
                <w:lang w:eastAsia="zh-CN"/>
              </w:rPr>
              <w:t>。</w:t>
            </w:r>
            <w:r>
              <w:rPr>
                <w:rFonts w:hint="default"/>
                <w:color w:val="auto"/>
                <w:sz w:val="24"/>
                <w:highlight w:val="none"/>
              </w:rPr>
              <w:t>在施工场地对施工器械的冲洗设置固定场所，冲洗水进入沉淀池，</w:t>
            </w:r>
            <w:r>
              <w:rPr>
                <w:rFonts w:hint="eastAsia"/>
                <w:color w:val="auto"/>
                <w:sz w:val="24"/>
                <w:highlight w:val="none"/>
                <w:lang w:val="en-US" w:eastAsia="zh-CN"/>
              </w:rPr>
              <w:t>沉淀后用于洗车工序，不外排</w:t>
            </w:r>
            <w:r>
              <w:rPr>
                <w:rFonts w:hint="eastAsia"/>
                <w:color w:val="auto"/>
                <w:sz w:val="24"/>
                <w:highlight w:val="none"/>
                <w:lang w:eastAsia="zh-CN"/>
              </w:rPr>
              <w:t>；</w:t>
            </w:r>
            <w:r>
              <w:rPr>
                <w:rFonts w:hint="default"/>
                <w:color w:val="auto"/>
                <w:sz w:val="24"/>
                <w:highlight w:val="none"/>
              </w:rPr>
              <w:t>路面降尘及喷洒用水，不外排</w:t>
            </w:r>
            <w:r>
              <w:rPr>
                <w:rFonts w:hint="default" w:ascii="Times New Roman" w:hAnsi="Times New Roman" w:eastAsia="宋体" w:cs="Times New Roman"/>
                <w:b w:val="0"/>
                <w:bCs w:val="0"/>
                <w:color w:val="auto"/>
                <w:kern w:val="0"/>
                <w:sz w:val="24"/>
                <w:highlight w:val="none"/>
              </w:rPr>
              <w:t>。</w:t>
            </w:r>
          </w:p>
          <w:p w14:paraId="6F8F49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kern w:val="0"/>
                <w:sz w:val="24"/>
                <w:highlight w:val="none"/>
                <w:lang w:eastAsia="zh-CN"/>
              </w:rPr>
            </w:pPr>
            <w:r>
              <w:rPr>
                <w:rFonts w:hint="default"/>
                <w:color w:val="auto"/>
                <w:sz w:val="24"/>
              </w:rPr>
              <w:t>施工人员生活污水收集后</w:t>
            </w:r>
            <w:r>
              <w:rPr>
                <w:rFonts w:hint="eastAsia"/>
                <w:color w:val="auto"/>
                <w:sz w:val="24"/>
                <w:lang w:val="en-US" w:eastAsia="zh-CN"/>
              </w:rPr>
              <w:t>排入</w:t>
            </w:r>
            <w:r>
              <w:rPr>
                <w:rFonts w:hint="default"/>
                <w:color w:val="auto"/>
                <w:sz w:val="24"/>
              </w:rPr>
              <w:t>园区污水管网进入屯留区污水处理厂进行处理</w:t>
            </w:r>
            <w:r>
              <w:rPr>
                <w:rFonts w:hint="eastAsia" w:ascii="Times New Roman" w:hAnsi="Times New Roman" w:cs="Times New Roman"/>
                <w:b w:val="0"/>
                <w:bCs w:val="0"/>
                <w:color w:val="auto"/>
                <w:sz w:val="24"/>
                <w:szCs w:val="22"/>
                <w:highlight w:val="none"/>
                <w:lang w:eastAsia="zh-CN"/>
              </w:rPr>
              <w:t>。</w:t>
            </w:r>
          </w:p>
          <w:p w14:paraId="397D76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pacing w:val="-4"/>
                <w:sz w:val="24"/>
                <w:highlight w:val="none"/>
              </w:rPr>
            </w:pPr>
            <w:r>
              <w:rPr>
                <w:rFonts w:hint="default" w:ascii="Times New Roman" w:hAnsi="Times New Roman" w:eastAsia="宋体" w:cs="Times New Roman"/>
                <w:color w:val="auto"/>
                <w:kern w:val="0"/>
                <w:sz w:val="24"/>
                <w:highlight w:val="none"/>
              </w:rPr>
              <w:t>综上所述，本项目施工期对水环境的影响很小</w:t>
            </w:r>
            <w:r>
              <w:rPr>
                <w:rFonts w:hint="default" w:ascii="Times New Roman" w:hAnsi="Times New Roman" w:eastAsia="宋体" w:cs="Times New Roman"/>
                <w:color w:val="auto"/>
                <w:spacing w:val="-4"/>
                <w:sz w:val="24"/>
                <w:highlight w:val="none"/>
              </w:rPr>
              <w:t>。</w:t>
            </w:r>
          </w:p>
          <w:p w14:paraId="32CC360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pacing w:val="0"/>
                <w:sz w:val="24"/>
                <w:szCs w:val="24"/>
                <w:highlight w:val="none"/>
                <w:lang w:val="en-US" w:eastAsia="zh-CN"/>
              </w:rPr>
            </w:pPr>
            <w:r>
              <w:rPr>
                <w:rFonts w:hint="eastAsia" w:cs="Times New Roman"/>
                <w:b/>
                <w:color w:val="auto"/>
                <w:spacing w:val="0"/>
                <w:sz w:val="24"/>
                <w:szCs w:val="24"/>
                <w:highlight w:val="none"/>
                <w:lang w:val="en-US" w:eastAsia="zh-CN"/>
              </w:rPr>
              <w:t>3、</w:t>
            </w:r>
            <w:r>
              <w:rPr>
                <w:rFonts w:hint="default" w:ascii="Times New Roman" w:hAnsi="Times New Roman" w:eastAsia="宋体" w:cs="Times New Roman"/>
                <w:b/>
                <w:color w:val="auto"/>
                <w:spacing w:val="0"/>
                <w:sz w:val="24"/>
                <w:szCs w:val="24"/>
                <w:highlight w:val="none"/>
                <w:lang w:val="en-US" w:eastAsia="zh-CN"/>
              </w:rPr>
              <w:t>施工期固体废物环境污染防治措施</w:t>
            </w:r>
          </w:p>
          <w:p w14:paraId="702045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在施工过程中</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产生的固体废物主要是施工产生的建筑垃圾以及施工人员的生活垃圾。</w:t>
            </w:r>
          </w:p>
          <w:p w14:paraId="15FFC4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本项目施工期间会产生一定量的建筑垃圾</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能回收利用的要回收利用</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不能回收利用的要及时运至环卫部门指定的地点</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必须定时、及时处理</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保持环境卫生</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运输车辆应加盖篷布防止扬尘。</w:t>
            </w:r>
          </w:p>
          <w:p w14:paraId="127FCD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施工期施工人员产生的</w:t>
            </w:r>
            <w:r>
              <w:rPr>
                <w:rFonts w:hint="default" w:ascii="Times New Roman" w:hAnsi="Times New Roman" w:eastAsia="宋体" w:cs="Times New Roman"/>
                <w:color w:val="auto"/>
                <w:sz w:val="24"/>
                <w:highlight w:val="none"/>
                <w:lang w:val="en-US" w:eastAsia="zh-CN"/>
              </w:rPr>
              <w:t>生活垃圾产生量按0.5kg/人•d计，以</w:t>
            </w:r>
            <w:r>
              <w:rPr>
                <w:rFonts w:hint="eastAsia" w:ascii="Times New Roman" w:hAnsi="Times New Roman" w:eastAsia="宋体" w:cs="Times New Roman"/>
                <w:color w:val="auto"/>
                <w:sz w:val="24"/>
                <w:highlight w:val="none"/>
                <w:lang w:val="en-US" w:eastAsia="zh-CN"/>
              </w:rPr>
              <w:t>20</w:t>
            </w:r>
            <w:r>
              <w:rPr>
                <w:rFonts w:hint="default" w:ascii="Times New Roman" w:hAnsi="Times New Roman" w:eastAsia="宋体" w:cs="Times New Roman"/>
                <w:color w:val="auto"/>
                <w:sz w:val="24"/>
                <w:highlight w:val="none"/>
                <w:lang w:val="en-US" w:eastAsia="zh-CN"/>
              </w:rPr>
              <w:t>人次/天计算，</w:t>
            </w:r>
            <w:r>
              <w:rPr>
                <w:rFonts w:hint="eastAsia" w:ascii="Times New Roman" w:hAnsi="Times New Roman" w:eastAsia="宋体" w:cs="Times New Roman"/>
                <w:color w:val="auto"/>
                <w:sz w:val="24"/>
                <w:highlight w:val="none"/>
                <w:lang w:val="en-US" w:eastAsia="zh-CN"/>
              </w:rPr>
              <w:t>生活垃圾产生量为10</w:t>
            </w:r>
            <w:r>
              <w:rPr>
                <w:rFonts w:hint="default" w:ascii="Times New Roman" w:hAnsi="Times New Roman" w:eastAsia="宋体" w:cs="Times New Roman"/>
                <w:color w:val="auto"/>
                <w:sz w:val="24"/>
                <w:highlight w:val="none"/>
                <w:lang w:val="en-US" w:eastAsia="zh-CN"/>
              </w:rPr>
              <w:t>kg/d，设置垃圾桶收集后</w:t>
            </w:r>
            <w:r>
              <w:rPr>
                <w:rFonts w:hint="default" w:ascii="Times New Roman" w:hAnsi="Times New Roman" w:eastAsia="宋体" w:cs="Times New Roman"/>
                <w:color w:val="auto"/>
                <w:sz w:val="24"/>
                <w:highlight w:val="none"/>
              </w:rPr>
              <w:t>委托环卫部门处置。</w:t>
            </w:r>
          </w:p>
          <w:p w14:paraId="67F528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采取上述措施后</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本项目施工期产生的固体废物不会对周围环境产生明显影响。</w:t>
            </w:r>
          </w:p>
          <w:p w14:paraId="3FF6F33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pacing w:val="0"/>
                <w:sz w:val="24"/>
                <w:szCs w:val="24"/>
                <w:highlight w:val="none"/>
                <w:lang w:val="en-US" w:eastAsia="zh-CN"/>
              </w:rPr>
            </w:pPr>
            <w:r>
              <w:rPr>
                <w:rFonts w:hint="eastAsia" w:cs="Times New Roman"/>
                <w:b/>
                <w:color w:val="auto"/>
                <w:spacing w:val="0"/>
                <w:sz w:val="24"/>
                <w:szCs w:val="24"/>
                <w:highlight w:val="none"/>
                <w:lang w:val="en-US" w:eastAsia="zh-CN"/>
              </w:rPr>
              <w:t>4、</w:t>
            </w:r>
            <w:r>
              <w:rPr>
                <w:rFonts w:hint="default" w:ascii="Times New Roman" w:hAnsi="Times New Roman" w:eastAsia="宋体" w:cs="Times New Roman"/>
                <w:b/>
                <w:color w:val="auto"/>
                <w:spacing w:val="0"/>
                <w:sz w:val="24"/>
                <w:szCs w:val="24"/>
                <w:highlight w:val="none"/>
                <w:lang w:val="en-US" w:eastAsia="zh-CN"/>
              </w:rPr>
              <w:t>施工期声环境污染防治措施</w:t>
            </w:r>
          </w:p>
          <w:p w14:paraId="6CCAA1C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施工期主要噪声源为</w:t>
            </w:r>
            <w:r>
              <w:rPr>
                <w:rFonts w:hint="default" w:ascii="Times New Roman" w:hAnsi="Times New Roman" w:cs="Times New Roman"/>
                <w:bCs/>
                <w:color w:val="auto"/>
                <w:sz w:val="24"/>
                <w:highlight w:val="none"/>
                <w:lang w:val="en-US" w:eastAsia="zh-CN"/>
              </w:rPr>
              <w:t>施工场地噪声</w:t>
            </w:r>
            <w:r>
              <w:rPr>
                <w:rFonts w:hint="eastAsia" w:ascii="Times New Roman" w:hAnsi="Times New Roman" w:cs="Times New Roman"/>
                <w:bCs/>
                <w:color w:val="auto"/>
                <w:sz w:val="24"/>
                <w:highlight w:val="none"/>
                <w:lang w:val="en-US" w:eastAsia="zh-CN"/>
              </w:rPr>
              <w:t>以及建筑物料运输造成的交通噪声</w:t>
            </w:r>
            <w:r>
              <w:rPr>
                <w:rFonts w:hint="default" w:ascii="Times New Roman" w:hAnsi="Times New Roman" w:cs="Times New Roman"/>
                <w:bCs/>
                <w:color w:val="auto"/>
                <w:sz w:val="24"/>
                <w:highlight w:val="none"/>
              </w:rPr>
              <w:t>。</w:t>
            </w:r>
          </w:p>
          <w:p w14:paraId="50DCC3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pacing w:val="0"/>
                <w:sz w:val="24"/>
                <w:szCs w:val="20"/>
                <w:highlight w:val="none"/>
              </w:rPr>
            </w:pPr>
            <w:r>
              <w:rPr>
                <w:rFonts w:hint="default" w:ascii="Times New Roman" w:hAnsi="Times New Roman" w:eastAsia="宋体" w:cs="Times New Roman"/>
                <w:b w:val="0"/>
                <w:bCs w:val="0"/>
                <w:color w:val="auto"/>
                <w:spacing w:val="0"/>
                <w:sz w:val="24"/>
                <w:szCs w:val="20"/>
                <w:highlight w:val="none"/>
              </w:rPr>
              <w:t>为了避免施工噪声对周围环境造成影响，建设单位拟采取以下措施：</w:t>
            </w:r>
          </w:p>
          <w:p w14:paraId="554923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lang w:val="en-US" w:eastAsia="zh-CN"/>
              </w:rPr>
              <w:t>（1）施工单位应使用符合国家标准的低噪声机械设备，并在施工中应有专人对其进行保养维护，施工单位应对现场使用设备的人员进行培训，严格按操作规范使用各类机械；保持设备处于良好的运转状态，闲置设备及时关闭，定时检修。</w:t>
            </w:r>
          </w:p>
          <w:p w14:paraId="6B7F6C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lang w:val="en-US" w:eastAsia="zh-CN"/>
              </w:rPr>
              <w:t>（2）在施工的结构阶段和装修阶段，对建筑物的外部采用围挡，设置高噪声设备施工带减轻施工噪声对外环境的影响。</w:t>
            </w:r>
          </w:p>
          <w:p w14:paraId="7FFE31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w:t>
            </w:r>
            <w:r>
              <w:rPr>
                <w:rFonts w:hint="eastAsia" w:ascii="Times New Roman" w:hAnsi="Times New Roman" w:eastAsia="宋体" w:cs="Times New Roman"/>
                <w:color w:val="auto"/>
                <w:sz w:val="24"/>
                <w:szCs w:val="20"/>
                <w:highlight w:val="none"/>
                <w:lang w:val="en-US" w:eastAsia="zh-CN"/>
              </w:rPr>
              <w:t>3</w:t>
            </w:r>
            <w:r>
              <w:rPr>
                <w:rFonts w:hint="default" w:ascii="Times New Roman" w:hAnsi="Times New Roman" w:eastAsia="宋体" w:cs="Times New Roman"/>
                <w:color w:val="auto"/>
                <w:sz w:val="24"/>
                <w:szCs w:val="20"/>
                <w:highlight w:val="none"/>
                <w:lang w:val="en-US" w:eastAsia="zh-CN"/>
              </w:rPr>
              <w:t>）加强管理，文明施工，施工所需材料均为外购成品，严禁在施工营地和施工沿线进行材料加工，减轻对沿线敏感点居民造成的影响。</w:t>
            </w:r>
          </w:p>
          <w:p w14:paraId="167080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0"/>
                <w:highlight w:val="none"/>
                <w:lang w:val="en-US" w:eastAsia="zh-CN"/>
              </w:rPr>
            </w:pPr>
            <w:r>
              <w:rPr>
                <w:rFonts w:hint="default" w:ascii="Times New Roman" w:hAnsi="Times New Roman" w:eastAsia="宋体" w:cs="Times New Roman"/>
                <w:color w:val="auto"/>
                <w:sz w:val="24"/>
                <w:szCs w:val="20"/>
                <w:highlight w:val="none"/>
                <w:lang w:val="en-US" w:eastAsia="zh-CN"/>
              </w:rPr>
              <w:t>（</w:t>
            </w:r>
            <w:r>
              <w:rPr>
                <w:rFonts w:hint="eastAsia" w:ascii="Times New Roman" w:hAnsi="Times New Roman" w:eastAsia="宋体" w:cs="Times New Roman"/>
                <w:color w:val="auto"/>
                <w:sz w:val="24"/>
                <w:szCs w:val="20"/>
                <w:highlight w:val="none"/>
                <w:lang w:val="en-US" w:eastAsia="zh-CN"/>
              </w:rPr>
              <w:t>4</w:t>
            </w:r>
            <w:r>
              <w:rPr>
                <w:rFonts w:hint="default" w:ascii="Times New Roman" w:hAnsi="Times New Roman" w:eastAsia="宋体" w:cs="Times New Roman"/>
                <w:color w:val="auto"/>
                <w:sz w:val="24"/>
                <w:szCs w:val="20"/>
                <w:highlight w:val="none"/>
                <w:lang w:val="en-US" w:eastAsia="zh-CN"/>
              </w:rPr>
              <w:t>）施工活动均在昼间进行，严禁在夜间进行，不在同一时间集中使用大量的动力机械设备，期间若使用噪声值大的设备则分散使用，保证周边居民的正常休息。</w:t>
            </w:r>
          </w:p>
          <w:p w14:paraId="312D61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lang w:val="en-US" w:eastAsia="zh-CN"/>
              </w:rPr>
              <w:t>（</w:t>
            </w:r>
            <w:r>
              <w:rPr>
                <w:rFonts w:hint="eastAsia" w:ascii="Times New Roman" w:hAnsi="Times New Roman" w:eastAsia="宋体" w:cs="Times New Roman"/>
                <w:color w:val="auto"/>
                <w:sz w:val="24"/>
                <w:szCs w:val="20"/>
                <w:highlight w:val="none"/>
                <w:lang w:val="en-US" w:eastAsia="zh-CN"/>
              </w:rPr>
              <w:t>5</w:t>
            </w:r>
            <w:r>
              <w:rPr>
                <w:rFonts w:hint="default" w:ascii="Times New Roman" w:hAnsi="Times New Roman" w:eastAsia="宋体" w:cs="Times New Roman"/>
                <w:color w:val="auto"/>
                <w:sz w:val="24"/>
                <w:szCs w:val="20"/>
                <w:highlight w:val="none"/>
                <w:lang w:val="en-US" w:eastAsia="zh-CN"/>
              </w:rPr>
              <w:t>）对于运输建筑材料、土石方等物料的车辆，不在敏感时段运输，加强管理，车辆减速、不鸣笛，场地内运输车辆不长时间行驶</w:t>
            </w:r>
            <w:r>
              <w:rPr>
                <w:rFonts w:hint="default" w:ascii="Times New Roman" w:hAnsi="Times New Roman" w:eastAsia="宋体" w:cs="Times New Roman"/>
                <w:color w:val="auto"/>
                <w:sz w:val="24"/>
                <w:szCs w:val="20"/>
                <w:highlight w:val="none"/>
              </w:rPr>
              <w:t>。</w:t>
            </w:r>
          </w:p>
          <w:p w14:paraId="05AFC3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FF0000"/>
                <w:sz w:val="24"/>
                <w:szCs w:val="20"/>
                <w:highlight w:val="none"/>
              </w:rPr>
            </w:pPr>
          </w:p>
          <w:p w14:paraId="742305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color w:val="FF0000"/>
                <w:sz w:val="24"/>
                <w:szCs w:val="20"/>
                <w:highlight w:val="none"/>
              </w:rPr>
            </w:pPr>
          </w:p>
          <w:p w14:paraId="3A9003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40" w:firstLineChars="200"/>
              <w:jc w:val="both"/>
              <w:textAlignment w:val="auto"/>
              <w:rPr>
                <w:rFonts w:hint="eastAsia" w:ascii="Times New Roman" w:hAnsi="Times New Roman" w:eastAsia="宋体" w:cs="Times New Roman"/>
                <w:bCs/>
                <w:color w:val="FF0000"/>
                <w:spacing w:val="-10"/>
                <w:sz w:val="24"/>
                <w:szCs w:val="24"/>
                <w:highlight w:val="none"/>
                <w:lang w:eastAsia="zh-CN"/>
              </w:rPr>
            </w:pPr>
          </w:p>
        </w:tc>
      </w:tr>
    </w:tbl>
    <w:p w14:paraId="3B5FFFAE">
      <w:pPr>
        <w:rPr>
          <w:color w:val="FF0000"/>
          <w:highlight w:val="none"/>
        </w:rPr>
        <w:sectPr>
          <w:pgSz w:w="11907" w:h="16840"/>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31"/>
        <w:tblW w:w="508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7"/>
        <w:gridCol w:w="9374"/>
      </w:tblGrid>
      <w:tr w14:paraId="36A56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tcMar>
              <w:left w:w="28" w:type="dxa"/>
              <w:right w:w="28" w:type="dxa"/>
            </w:tcMar>
            <w:vAlign w:val="center"/>
          </w:tcPr>
          <w:p w14:paraId="4631D91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color w:val="auto"/>
                <w:kern w:val="2"/>
                <w:sz w:val="21"/>
                <w:szCs w:val="21"/>
                <w:highlight w:val="none"/>
              </w:rPr>
            </w:pPr>
            <w:r>
              <w:rPr>
                <w:rFonts w:hint="default" w:ascii="Times New Roman" w:hAnsi="Times New Roman" w:cs="Times New Roman"/>
                <w:b w:val="0"/>
                <w:bCs/>
                <w:color w:val="auto"/>
                <w:szCs w:val="21"/>
                <w:highlight w:val="none"/>
              </w:rPr>
              <w:t>运</w:t>
            </w:r>
            <w:r>
              <w:rPr>
                <w:rFonts w:hint="default" w:ascii="Times New Roman" w:hAnsi="Times New Roman" w:eastAsia="宋体" w:cs="Times New Roman"/>
                <w:b w:val="0"/>
                <w:bCs/>
                <w:color w:val="auto"/>
                <w:szCs w:val="21"/>
                <w:highlight w:val="none"/>
              </w:rPr>
              <w:t>营期环境影响和保护措施</w:t>
            </w:r>
          </w:p>
        </w:tc>
        <w:tc>
          <w:tcPr>
            <w:tcW w:w="4667" w:type="pct"/>
            <w:vAlign w:val="center"/>
          </w:tcPr>
          <w:p w14:paraId="7EDA15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jc w:val="both"/>
              <w:textAlignment w:val="auto"/>
              <w:rPr>
                <w:rFonts w:hint="eastAsia" w:cs="Times New Roman"/>
                <w:b/>
                <w:bCs/>
                <w:color w:val="auto"/>
                <w:sz w:val="24"/>
                <w:highlight w:val="none"/>
                <w:lang w:val="en-US" w:eastAsia="zh-CN"/>
              </w:rPr>
            </w:pPr>
            <w:r>
              <w:rPr>
                <w:rFonts w:hint="eastAsia" w:cs="Times New Roman"/>
                <w:b/>
                <w:bCs/>
                <w:color w:val="auto"/>
                <w:sz w:val="24"/>
                <w:highlight w:val="none"/>
                <w:lang w:val="en-US" w:eastAsia="zh-CN"/>
              </w:rPr>
              <w:t>1、</w:t>
            </w:r>
            <w:r>
              <w:rPr>
                <w:rFonts w:hint="eastAsia" w:ascii="Times New Roman" w:hAnsi="Times New Roman" w:eastAsia="宋体" w:cs="Times New Roman"/>
                <w:b/>
                <w:color w:val="auto"/>
                <w:spacing w:val="0"/>
                <w:sz w:val="24"/>
                <w:szCs w:val="24"/>
                <w:highlight w:val="none"/>
                <w:lang w:val="en-US" w:eastAsia="zh-CN"/>
              </w:rPr>
              <w:t>废气</w:t>
            </w:r>
          </w:p>
          <w:p w14:paraId="023770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（1）</w:t>
            </w:r>
            <w:r>
              <w:rPr>
                <w:rFonts w:hint="default" w:ascii="Times New Roman" w:hAnsi="Times New Roman" w:eastAsia="宋体" w:cs="Times New Roman"/>
                <w:b w:val="0"/>
                <w:bCs w:val="0"/>
                <w:color w:val="auto"/>
                <w:sz w:val="24"/>
                <w:highlight w:val="none"/>
                <w:lang w:val="en-US" w:eastAsia="zh-CN"/>
              </w:rPr>
              <w:t>污染物源强计算及防治措施</w:t>
            </w:r>
          </w:p>
          <w:p w14:paraId="23C0F443">
            <w:pPr>
              <w:keepNext w:val="0"/>
              <w:keepLines w:val="0"/>
              <w:suppressLineNumbers w:val="0"/>
              <w:spacing w:before="0" w:beforeAutospacing="0" w:after="0" w:afterAutospacing="0" w:line="460" w:lineRule="exact"/>
              <w:ind w:left="0" w:right="0" w:firstLine="480"/>
              <w:rPr>
                <w:rFonts w:hint="default"/>
                <w:bCs/>
                <w:color w:val="auto"/>
                <w:sz w:val="24"/>
                <w:highlight w:val="none"/>
              </w:rPr>
            </w:pPr>
            <w:r>
              <w:rPr>
                <w:rFonts w:hint="default"/>
                <w:color w:val="auto"/>
                <w:sz w:val="24"/>
                <w:highlight w:val="none"/>
              </w:rPr>
              <w:t>本项目废钢铁加工项目，</w:t>
            </w:r>
            <w:r>
              <w:rPr>
                <w:rFonts w:hint="eastAsia"/>
                <w:color w:val="auto"/>
                <w:sz w:val="24"/>
                <w:highlight w:val="none"/>
                <w:lang w:val="en-US" w:eastAsia="zh-CN"/>
              </w:rPr>
              <w:t>原料为颗粒状采用汽车运输，不含粉末状，</w:t>
            </w:r>
            <w:r>
              <w:rPr>
                <w:rFonts w:hint="default"/>
                <w:color w:val="auto"/>
                <w:sz w:val="24"/>
                <w:highlight w:val="none"/>
              </w:rPr>
              <w:t>原料及产品储存过程均不易起尘，且均储存于全封闭</w:t>
            </w:r>
            <w:r>
              <w:rPr>
                <w:rFonts w:hint="eastAsia"/>
                <w:color w:val="auto"/>
                <w:sz w:val="24"/>
                <w:highlight w:val="none"/>
                <w:lang w:val="en-US" w:eastAsia="zh-CN"/>
              </w:rPr>
              <w:t>厂房</w:t>
            </w:r>
            <w:r>
              <w:rPr>
                <w:rFonts w:hint="default"/>
                <w:color w:val="auto"/>
                <w:sz w:val="24"/>
                <w:highlight w:val="none"/>
              </w:rPr>
              <w:t>内，因此项目大气污染源主要是运输扬尘、加热过程产生的烟气</w:t>
            </w:r>
            <w:r>
              <w:rPr>
                <w:rFonts w:hint="default"/>
                <w:bCs/>
                <w:color w:val="auto"/>
                <w:sz w:val="24"/>
                <w:highlight w:val="none"/>
              </w:rPr>
              <w:t>。</w:t>
            </w:r>
          </w:p>
          <w:p w14:paraId="35D7A44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highlight w:val="none"/>
                <w:lang w:val="en-US" w:eastAsia="zh-CN"/>
              </w:rPr>
            </w:pPr>
            <w:r>
              <w:rPr>
                <w:rFonts w:hint="eastAsia" w:cs="Times New Roman"/>
                <w:color w:val="auto"/>
                <w:sz w:val="24"/>
                <w:highlight w:val="none"/>
                <w:lang w:val="en-US" w:eastAsia="zh-CN"/>
              </w:rPr>
              <w:t>①运输扬尘</w:t>
            </w:r>
          </w:p>
          <w:p w14:paraId="7EAB4D3E">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运输扬尘采用上海港环境保护中心和武汉水运工程学院提出的经验公式进行估算：</w:t>
            </w:r>
          </w:p>
          <w:p w14:paraId="5F29E842">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default" w:ascii="Times New Roman" w:hAnsi="Times New Roman"/>
                <w:color w:val="auto"/>
                <w:sz w:val="24"/>
                <w:highlight w:val="none"/>
              </w:rPr>
              <w:drawing>
                <wp:anchor distT="0" distB="0" distL="114300" distR="114300" simplePos="0" relativeHeight="251661312" behindDoc="0" locked="0" layoutInCell="1" allowOverlap="1">
                  <wp:simplePos x="0" y="0"/>
                  <wp:positionH relativeFrom="column">
                    <wp:posOffset>1702435</wp:posOffset>
                  </wp:positionH>
                  <wp:positionV relativeFrom="paragraph">
                    <wp:posOffset>55880</wp:posOffset>
                  </wp:positionV>
                  <wp:extent cx="2505075" cy="514350"/>
                  <wp:effectExtent l="0" t="0" r="0" b="0"/>
                  <wp:wrapNone/>
                  <wp:docPr id="185" name="Object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Object 863"/>
                          <pic:cNvPicPr>
                            <a:picLocks noChangeAspect="1"/>
                          </pic:cNvPicPr>
                        </pic:nvPicPr>
                        <pic:blipFill>
                          <a:blip r:embed="rId19"/>
                          <a:stretch>
                            <a:fillRect/>
                          </a:stretch>
                        </pic:blipFill>
                        <pic:spPr>
                          <a:xfrm>
                            <a:off x="0" y="0"/>
                            <a:ext cx="2505075" cy="514350"/>
                          </a:xfrm>
                          <a:prstGeom prst="rect">
                            <a:avLst/>
                          </a:prstGeom>
                          <a:noFill/>
                          <a:ln>
                            <a:noFill/>
                          </a:ln>
                        </pic:spPr>
                      </pic:pic>
                    </a:graphicData>
                  </a:graphic>
                </wp:anchor>
              </w:drawing>
            </w:r>
          </w:p>
          <w:p w14:paraId="46A7D8E7">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p>
          <w:p w14:paraId="315B6A1A">
            <w:pPr>
              <w:pStyle w:val="5"/>
              <w:keepNext w:val="0"/>
              <w:keepLines w:val="0"/>
              <w:suppressLineNumbers w:val="0"/>
              <w:spacing w:before="0" w:beforeAutospacing="0" w:after="0" w:afterAutospacing="0" w:line="480" w:lineRule="exact"/>
              <w:ind w:left="0" w:right="0" w:firstLine="0" w:firstLineChars="0"/>
              <w:rPr>
                <w:rFonts w:hint="default" w:ascii="Times New Roman" w:hAnsi="Times New Roman"/>
                <w:color w:val="auto"/>
                <w:sz w:val="24"/>
                <w:highlight w:val="none"/>
                <w:lang w:eastAsia="zh-CN"/>
              </w:rPr>
            </w:pPr>
            <w:r>
              <w:rPr>
                <w:rFonts w:hint="default" w:ascii="Times New Roman" w:hAnsi="Times New Roman"/>
                <w:color w:val="auto"/>
                <w:sz w:val="24"/>
                <w:highlight w:val="none"/>
              </w:rPr>
              <w:drawing>
                <wp:anchor distT="0" distB="0" distL="114300" distR="114300" simplePos="0" relativeHeight="251660288" behindDoc="0" locked="0" layoutInCell="1" allowOverlap="1">
                  <wp:simplePos x="0" y="0"/>
                  <wp:positionH relativeFrom="column">
                    <wp:posOffset>2120900</wp:posOffset>
                  </wp:positionH>
                  <wp:positionV relativeFrom="paragraph">
                    <wp:posOffset>12065</wp:posOffset>
                  </wp:positionV>
                  <wp:extent cx="1619885" cy="545465"/>
                  <wp:effectExtent l="0" t="0" r="0" b="0"/>
                  <wp:wrapNone/>
                  <wp:docPr id="184" name="对象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对象 1385"/>
                          <pic:cNvPicPr>
                            <a:picLocks noChangeAspect="1"/>
                          </pic:cNvPicPr>
                        </pic:nvPicPr>
                        <pic:blipFill>
                          <a:blip r:embed="rId20"/>
                          <a:stretch>
                            <a:fillRect/>
                          </a:stretch>
                        </pic:blipFill>
                        <pic:spPr>
                          <a:xfrm>
                            <a:off x="0" y="0"/>
                            <a:ext cx="1619885" cy="545465"/>
                          </a:xfrm>
                          <a:prstGeom prst="rect">
                            <a:avLst/>
                          </a:prstGeom>
                          <a:noFill/>
                          <a:ln>
                            <a:noFill/>
                          </a:ln>
                        </pic:spPr>
                      </pic:pic>
                    </a:graphicData>
                  </a:graphic>
                </wp:anchor>
              </w:drawing>
            </w:r>
          </w:p>
          <w:p w14:paraId="0FDA34ED">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p>
          <w:p w14:paraId="5CE097FA">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式中：</w:t>
            </w:r>
          </w:p>
          <w:p w14:paraId="02F40195">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Qy——交通运输起尘量，kg/km·辆；</w:t>
            </w:r>
          </w:p>
          <w:p w14:paraId="3F275B00">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Qt——运输途中起尘量，t/a；</w:t>
            </w:r>
          </w:p>
          <w:p w14:paraId="56F7392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V——车辆行驶速度，20km/h；</w:t>
            </w:r>
          </w:p>
          <w:p w14:paraId="33A6D5E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P——路面状况，以每平方米路面灰尘覆盖率表示，0.</w:t>
            </w:r>
            <w:r>
              <w:rPr>
                <w:rFonts w:hint="eastAsia"/>
                <w:color w:val="auto"/>
                <w:sz w:val="24"/>
                <w:highlight w:val="none"/>
                <w:lang w:val="en-US" w:eastAsia="zh-CN"/>
              </w:rPr>
              <w:t>2</w:t>
            </w:r>
            <w:r>
              <w:rPr>
                <w:rFonts w:hint="default" w:ascii="Times New Roman" w:hAnsi="Times New Roman"/>
                <w:color w:val="auto"/>
                <w:sz w:val="24"/>
                <w:highlight w:val="none"/>
                <w:lang w:eastAsia="zh-CN"/>
              </w:rPr>
              <w:t>kg/m</w:t>
            </w:r>
            <w:r>
              <w:rPr>
                <w:rFonts w:hint="default" w:ascii="Times New Roman" w:hAnsi="Times New Roman"/>
                <w:color w:val="auto"/>
                <w:sz w:val="24"/>
                <w:highlight w:val="none"/>
                <w:vertAlign w:val="superscript"/>
                <w:lang w:eastAsia="zh-CN"/>
              </w:rPr>
              <w:t>2</w:t>
            </w:r>
            <w:r>
              <w:rPr>
                <w:rFonts w:hint="default" w:ascii="Times New Roman" w:hAnsi="Times New Roman"/>
                <w:color w:val="auto"/>
                <w:sz w:val="24"/>
                <w:highlight w:val="none"/>
                <w:lang w:eastAsia="zh-CN"/>
              </w:rPr>
              <w:t>；</w:t>
            </w:r>
          </w:p>
          <w:p w14:paraId="5F88987D">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M——汽车载重量，</w:t>
            </w:r>
            <w:r>
              <w:rPr>
                <w:rFonts w:hint="eastAsia"/>
                <w:color w:val="auto"/>
                <w:sz w:val="24"/>
                <w:highlight w:val="none"/>
                <w:lang w:val="en-US" w:eastAsia="zh-CN"/>
              </w:rPr>
              <w:t>2</w:t>
            </w:r>
            <w:r>
              <w:rPr>
                <w:rFonts w:hint="default" w:ascii="Times New Roman" w:hAnsi="Times New Roman"/>
                <w:color w:val="auto"/>
                <w:sz w:val="24"/>
                <w:highlight w:val="none"/>
                <w:lang w:eastAsia="zh-CN"/>
              </w:rPr>
              <w:t>0t/辆；</w:t>
            </w:r>
          </w:p>
          <w:p w14:paraId="7B019EE5">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L——运输距离，取</w:t>
            </w:r>
            <w:r>
              <w:rPr>
                <w:rFonts w:hint="eastAsia"/>
                <w:color w:val="auto"/>
                <w:sz w:val="24"/>
                <w:highlight w:val="none"/>
                <w:lang w:val="en-US" w:eastAsia="zh-CN"/>
              </w:rPr>
              <w:t>0.2</w:t>
            </w:r>
            <w:r>
              <w:rPr>
                <w:rFonts w:hint="default" w:ascii="Times New Roman" w:hAnsi="Times New Roman"/>
                <w:color w:val="auto"/>
                <w:sz w:val="24"/>
                <w:highlight w:val="none"/>
                <w:lang w:eastAsia="zh-CN"/>
              </w:rPr>
              <w:t>km；</w:t>
            </w:r>
          </w:p>
          <w:p w14:paraId="57BFF5AF">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960" w:firstLineChars="400"/>
              <w:textAlignment w:val="auto"/>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Q——运输量，</w:t>
            </w:r>
            <w:r>
              <w:rPr>
                <w:rFonts w:hint="eastAsia"/>
                <w:color w:val="auto"/>
                <w:sz w:val="24"/>
                <w:highlight w:val="none"/>
                <w:lang w:val="en-US" w:eastAsia="zh-CN"/>
              </w:rPr>
              <w:t>600000</w:t>
            </w:r>
            <w:r>
              <w:rPr>
                <w:rFonts w:hint="default" w:ascii="Times New Roman" w:hAnsi="Times New Roman"/>
                <w:color w:val="auto"/>
                <w:sz w:val="24"/>
                <w:highlight w:val="none"/>
                <w:lang w:eastAsia="zh-CN"/>
              </w:rPr>
              <w:t>t/a。</w:t>
            </w:r>
          </w:p>
          <w:p w14:paraId="2BD773E9">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default" w:ascii="Times New Roman" w:hAnsi="Times New Roman"/>
                <w:color w:val="auto"/>
                <w:sz w:val="24"/>
                <w:highlight w:val="none"/>
                <w:lang w:eastAsia="zh-CN"/>
              </w:rPr>
              <w:t>综合考虑粒径、密度、硬度、风速、风频等因素，在露天堆放、不采取任何措施的情形下，运输</w:t>
            </w:r>
            <w:r>
              <w:rPr>
                <w:rFonts w:hint="eastAsia"/>
                <w:color w:val="auto"/>
                <w:sz w:val="24"/>
                <w:highlight w:val="none"/>
                <w:lang w:val="en-US" w:eastAsia="zh-CN"/>
              </w:rPr>
              <w:t>扬尘产生量</w:t>
            </w:r>
            <w:r>
              <w:rPr>
                <w:rFonts w:hint="default" w:ascii="Times New Roman" w:hAnsi="Times New Roman"/>
                <w:color w:val="auto"/>
                <w:sz w:val="24"/>
                <w:highlight w:val="none"/>
                <w:lang w:eastAsia="zh-CN"/>
              </w:rPr>
              <w:t>为</w:t>
            </w:r>
            <w:r>
              <w:rPr>
                <w:rFonts w:hint="eastAsia"/>
                <w:color w:val="auto"/>
                <w:sz w:val="24"/>
                <w:highlight w:val="none"/>
                <w:lang w:val="en-US" w:eastAsia="zh-CN"/>
              </w:rPr>
              <w:t>3.82</w:t>
            </w:r>
            <w:r>
              <w:rPr>
                <w:rFonts w:hint="default" w:ascii="Times New Roman" w:hAnsi="Times New Roman"/>
                <w:color w:val="auto"/>
                <w:sz w:val="24"/>
                <w:highlight w:val="none"/>
                <w:lang w:val="en-US" w:eastAsia="zh-CN"/>
              </w:rPr>
              <w:t>t</w:t>
            </w:r>
            <w:r>
              <w:rPr>
                <w:rFonts w:hint="default" w:ascii="Times New Roman" w:hAnsi="Times New Roman"/>
                <w:color w:val="auto"/>
                <w:sz w:val="24"/>
                <w:highlight w:val="none"/>
                <w:lang w:eastAsia="zh-CN"/>
              </w:rPr>
              <w:t>/a。</w:t>
            </w:r>
          </w:p>
          <w:p w14:paraId="267156F9">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eastAsia="宋体" w:cs="Times New Roman"/>
                <w:color w:val="auto"/>
                <w:sz w:val="24"/>
                <w:highlight w:val="none"/>
                <w:lang w:val="en-US" w:eastAsia="zh-CN"/>
              </w:rPr>
            </w:pPr>
            <w:r>
              <w:rPr>
                <w:rFonts w:hint="eastAsia"/>
                <w:color w:val="auto"/>
                <w:sz w:val="24"/>
                <w:highlight w:val="none"/>
                <w:lang w:val="en-US" w:eastAsia="zh-CN"/>
              </w:rPr>
              <w:t>环评提出以下防治措施：</w:t>
            </w:r>
          </w:p>
          <w:p w14:paraId="726A6A39">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eastAsia" w:ascii="宋体" w:hAnsi="宋体" w:cs="宋体"/>
                <w:color w:val="auto"/>
                <w:sz w:val="24"/>
                <w:highlight w:val="none"/>
                <w:lang w:eastAsia="zh-CN"/>
              </w:rPr>
              <w:t>①</w:t>
            </w:r>
            <w:r>
              <w:rPr>
                <w:rFonts w:hint="default" w:ascii="Times New Roman" w:hAnsi="Times New Roman"/>
                <w:color w:val="auto"/>
                <w:sz w:val="24"/>
                <w:highlight w:val="none"/>
                <w:lang w:eastAsia="zh-CN"/>
              </w:rPr>
              <w:t>对厂区内及周边道路定时洒水，厂区</w:t>
            </w:r>
            <w:r>
              <w:rPr>
                <w:rFonts w:hint="eastAsia"/>
                <w:color w:val="auto"/>
                <w:sz w:val="24"/>
                <w:highlight w:val="none"/>
                <w:lang w:val="en-US" w:eastAsia="zh-CN"/>
              </w:rPr>
              <w:t>内生产车间</w:t>
            </w:r>
            <w:r>
              <w:rPr>
                <w:rFonts w:hint="default" w:ascii="Times New Roman" w:hAnsi="Times New Roman"/>
                <w:color w:val="auto"/>
                <w:sz w:val="24"/>
                <w:highlight w:val="none"/>
                <w:lang w:eastAsia="zh-CN"/>
              </w:rPr>
              <w:t>及</w:t>
            </w:r>
            <w:r>
              <w:rPr>
                <w:rFonts w:hint="eastAsia"/>
                <w:color w:val="auto"/>
                <w:sz w:val="24"/>
                <w:highlight w:val="none"/>
                <w:lang w:val="en-US" w:eastAsia="zh-CN"/>
              </w:rPr>
              <w:t>堆放区</w:t>
            </w:r>
            <w:r>
              <w:rPr>
                <w:rFonts w:hint="default" w:ascii="Times New Roman" w:hAnsi="Times New Roman"/>
                <w:color w:val="auto"/>
                <w:sz w:val="24"/>
                <w:highlight w:val="none"/>
                <w:lang w:eastAsia="zh-CN"/>
              </w:rPr>
              <w:t>地面积尘定期清理，减少二次扬尘；</w:t>
            </w:r>
          </w:p>
          <w:p w14:paraId="3A0AEB37">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val="en-US" w:eastAsia="zh-CN"/>
              </w:rPr>
            </w:pPr>
            <w:r>
              <w:rPr>
                <w:rFonts w:hint="eastAsia" w:ascii="宋体" w:hAnsi="宋体" w:cs="宋体"/>
                <w:color w:val="auto"/>
                <w:sz w:val="24"/>
                <w:highlight w:val="none"/>
                <w:lang w:eastAsia="zh-CN"/>
              </w:rPr>
              <w:t>②</w:t>
            </w:r>
            <w:r>
              <w:rPr>
                <w:rFonts w:hint="default" w:ascii="Times New Roman" w:hAnsi="Times New Roman"/>
                <w:color w:val="auto"/>
                <w:sz w:val="24"/>
                <w:highlight w:val="none"/>
              </w:rPr>
              <w:t>限制汽车超载，采用</w:t>
            </w:r>
            <w:r>
              <w:rPr>
                <w:rFonts w:hint="eastAsia"/>
                <w:color w:val="auto"/>
                <w:sz w:val="24"/>
                <w:highlight w:val="none"/>
                <w:lang w:eastAsia="zh-CN"/>
              </w:rPr>
              <w:t>厢式车</w:t>
            </w:r>
            <w:r>
              <w:rPr>
                <w:rFonts w:hint="default" w:ascii="Times New Roman" w:hAnsi="Times New Roman"/>
                <w:color w:val="auto"/>
                <w:sz w:val="24"/>
                <w:highlight w:val="none"/>
                <w:lang w:eastAsia="zh-CN"/>
              </w:rPr>
              <w:t>，</w:t>
            </w:r>
            <w:r>
              <w:rPr>
                <w:rFonts w:hint="eastAsia"/>
                <w:color w:val="auto"/>
                <w:sz w:val="24"/>
                <w:highlight w:val="none"/>
                <w:lang w:val="en-US" w:eastAsia="zh-CN"/>
              </w:rPr>
              <w:t>篷布苫盖，</w:t>
            </w:r>
            <w:r>
              <w:rPr>
                <w:rFonts w:hint="default" w:ascii="Times New Roman" w:hAnsi="Times New Roman"/>
                <w:color w:val="auto"/>
                <w:sz w:val="24"/>
                <w:highlight w:val="none"/>
                <w:lang w:eastAsia="zh-CN"/>
              </w:rPr>
              <w:t>物料及产品运输车辆采用新能源车辆，</w:t>
            </w:r>
            <w:r>
              <w:rPr>
                <w:rFonts w:hint="eastAsia" w:ascii="Times New Roman" w:hAnsi="Times New Roman"/>
                <w:color w:val="auto"/>
                <w:sz w:val="24"/>
                <w:highlight w:val="none"/>
                <w:lang w:val="en-US" w:eastAsia="zh-CN"/>
              </w:rPr>
              <w:t>按照“长治市生态环境局关于贯彻落实《长治市大气和水污染物排放管控要求》的通知”（长环函〔2023〕106号），</w:t>
            </w:r>
            <w:r>
              <w:rPr>
                <w:rFonts w:hint="default" w:ascii="Times New Roman" w:hAnsi="Times New Roman"/>
                <w:color w:val="auto"/>
                <w:sz w:val="24"/>
                <w:highlight w:val="none"/>
                <w:lang w:eastAsia="zh-CN"/>
              </w:rPr>
              <w:t>厂区内非道路移动机械采用国</w:t>
            </w:r>
            <w:r>
              <w:rPr>
                <w:rFonts w:hint="eastAsia" w:ascii="Times New Roman" w:hAnsi="Times New Roman"/>
                <w:color w:val="auto"/>
                <w:sz w:val="24"/>
                <w:highlight w:val="none"/>
                <w:lang w:val="en-US" w:eastAsia="zh-CN"/>
              </w:rPr>
              <w:t>四</w:t>
            </w:r>
            <w:r>
              <w:rPr>
                <w:rFonts w:hint="default" w:ascii="Times New Roman" w:hAnsi="Times New Roman"/>
                <w:color w:val="auto"/>
                <w:sz w:val="24"/>
                <w:highlight w:val="none"/>
                <w:lang w:eastAsia="zh-CN"/>
              </w:rPr>
              <w:t>及以上标准或新能源机械。</w:t>
            </w:r>
            <w:r>
              <w:rPr>
                <w:rFonts w:hint="default" w:ascii="Times New Roman" w:hAnsi="Times New Roman"/>
                <w:color w:val="auto"/>
                <w:sz w:val="24"/>
                <w:highlight w:val="none"/>
                <w:lang w:val="en-US" w:eastAsia="zh-CN"/>
              </w:rPr>
              <w:t>运输车辆使用国六标准以上的运输车辆或新能源清洁燃料车辆。</w:t>
            </w:r>
          </w:p>
          <w:p w14:paraId="1361F392">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default" w:ascii="Times New Roman" w:hAnsi="Times New Roman"/>
                <w:color w:val="auto"/>
                <w:sz w:val="24"/>
                <w:highlight w:val="none"/>
                <w:lang w:val="en-US" w:eastAsia="zh-CN"/>
              </w:rPr>
              <w:t>采取以上措施，</w:t>
            </w:r>
            <w:r>
              <w:rPr>
                <w:rFonts w:hint="default" w:ascii="Times New Roman" w:hAnsi="Times New Roman"/>
                <w:color w:val="auto"/>
                <w:sz w:val="24"/>
                <w:highlight w:val="none"/>
                <w:lang w:eastAsia="zh-CN"/>
              </w:rPr>
              <w:t>抑尘效率</w:t>
            </w:r>
            <w:r>
              <w:rPr>
                <w:rFonts w:hint="default" w:ascii="Times New Roman" w:hAnsi="Times New Roman"/>
                <w:color w:val="auto"/>
                <w:sz w:val="24"/>
                <w:highlight w:val="none"/>
                <w:lang w:val="en-US" w:eastAsia="zh-CN"/>
              </w:rPr>
              <w:t>可达</w:t>
            </w:r>
            <w:r>
              <w:rPr>
                <w:rFonts w:hint="default" w:ascii="Times New Roman" w:hAnsi="Times New Roman"/>
                <w:color w:val="auto"/>
                <w:sz w:val="24"/>
                <w:highlight w:val="none"/>
                <w:lang w:eastAsia="zh-CN"/>
              </w:rPr>
              <w:t>90%以上，则无组织扬尘排放量约为</w:t>
            </w:r>
            <w:r>
              <w:rPr>
                <w:rFonts w:hint="eastAsia" w:ascii="Times New Roman" w:hAnsi="Times New Roman"/>
                <w:color w:val="auto"/>
                <w:sz w:val="24"/>
                <w:highlight w:val="none"/>
                <w:lang w:val="en-US" w:eastAsia="zh-CN"/>
              </w:rPr>
              <w:t>0.</w:t>
            </w:r>
            <w:r>
              <w:rPr>
                <w:rFonts w:hint="eastAsia"/>
                <w:color w:val="auto"/>
                <w:sz w:val="24"/>
                <w:highlight w:val="none"/>
                <w:lang w:val="en-US" w:eastAsia="zh-CN"/>
              </w:rPr>
              <w:t>382</w:t>
            </w:r>
            <w:r>
              <w:rPr>
                <w:rFonts w:hint="default" w:ascii="Times New Roman" w:hAnsi="Times New Roman"/>
                <w:color w:val="auto"/>
                <w:sz w:val="24"/>
                <w:highlight w:val="none"/>
                <w:lang w:eastAsia="zh-CN"/>
              </w:rPr>
              <w:t>t/a。</w:t>
            </w:r>
          </w:p>
          <w:p w14:paraId="0E4545E0">
            <w:pPr>
              <w:pStyle w:val="5"/>
              <w:keepNext w:val="0"/>
              <w:keepLines w:val="0"/>
              <w:suppressLineNumbers w:val="0"/>
              <w:spacing w:before="0" w:beforeAutospacing="0" w:after="0" w:afterAutospacing="0" w:line="480" w:lineRule="exact"/>
              <w:ind w:left="0" w:right="0" w:firstLine="482"/>
              <w:rPr>
                <w:rFonts w:hint="default" w:ascii="Times New Roman" w:hAnsi="Times New Roman"/>
                <w:b/>
                <w:bCs/>
                <w:color w:val="auto"/>
                <w:sz w:val="24"/>
                <w:highlight w:val="none"/>
                <w:lang w:eastAsia="zh-CN"/>
              </w:rPr>
            </w:pPr>
            <w:r>
              <w:rPr>
                <w:rFonts w:hint="eastAsia" w:ascii="Times New Roman" w:hAnsi="Times New Roman"/>
                <w:b/>
                <w:bCs/>
                <w:color w:val="auto"/>
                <w:sz w:val="24"/>
                <w:highlight w:val="none"/>
                <w:lang w:eastAsia="zh-CN"/>
              </w:rPr>
              <w:t>非道路移动机械废气：</w:t>
            </w:r>
          </w:p>
          <w:p w14:paraId="548DC4F4">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eastAsia" w:ascii="Times New Roman" w:hAnsi="Times New Roman"/>
                <w:color w:val="auto"/>
                <w:sz w:val="24"/>
                <w:highlight w:val="none"/>
                <w:lang w:eastAsia="zh-CN"/>
              </w:rPr>
              <w:t>根据企业生产设备，项目主要非道路移动机械主要为装载机。机械在使用过程中将产生一定的一氧化碳、碳氢化合物、氮氧化物和粉尘。</w:t>
            </w:r>
          </w:p>
          <w:p w14:paraId="6E6BF293">
            <w:pPr>
              <w:pStyle w:val="104"/>
              <w:keepNext w:val="0"/>
              <w:keepLines w:val="0"/>
              <w:suppressLineNumbers w:val="0"/>
              <w:adjustRightInd w:val="0"/>
              <w:snapToGrid w:val="0"/>
              <w:spacing w:before="0" w:beforeAutospacing="0" w:after="0" w:afterAutospacing="0" w:line="480" w:lineRule="exact"/>
              <w:ind w:left="0" w:right="0" w:firstLine="0" w:firstLineChars="0"/>
              <w:jc w:val="center"/>
              <w:rPr>
                <w:rFonts w:hint="default"/>
                <w:b/>
                <w:bCs w:val="0"/>
                <w:color w:val="auto"/>
                <w:sz w:val="24"/>
                <w:szCs w:val="24"/>
                <w:highlight w:val="none"/>
              </w:rPr>
            </w:pPr>
            <w:r>
              <w:rPr>
                <w:rFonts w:hint="default"/>
                <w:b/>
                <w:bCs w:val="0"/>
                <w:color w:val="auto"/>
                <w:sz w:val="21"/>
                <w:szCs w:val="21"/>
                <w:highlight w:val="none"/>
              </w:rPr>
              <w:t>表</w:t>
            </w:r>
            <w:r>
              <w:rPr>
                <w:rFonts w:hint="default"/>
                <w:b/>
                <w:bCs w:val="0"/>
                <w:color w:val="auto"/>
                <w:sz w:val="21"/>
                <w:szCs w:val="21"/>
                <w:highlight w:val="none"/>
                <w:lang w:val="en-US" w:eastAsia="zh-CN"/>
              </w:rPr>
              <w:t>4</w:t>
            </w:r>
            <w:r>
              <w:rPr>
                <w:rFonts w:hint="eastAsia"/>
                <w:b/>
                <w:bCs w:val="0"/>
                <w:color w:val="auto"/>
                <w:sz w:val="21"/>
                <w:szCs w:val="21"/>
                <w:highlight w:val="none"/>
                <w:lang w:val="en-US" w:eastAsia="zh-CN"/>
              </w:rPr>
              <w:t>-1</w:t>
            </w:r>
            <w:r>
              <w:rPr>
                <w:rFonts w:hint="default"/>
                <w:b/>
                <w:bCs w:val="0"/>
                <w:color w:val="auto"/>
                <w:sz w:val="21"/>
                <w:szCs w:val="21"/>
                <w:highlight w:val="none"/>
              </w:rPr>
              <w:t xml:space="preserve">  非道路移动机械一览表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94"/>
              <w:gridCol w:w="3140"/>
              <w:gridCol w:w="2223"/>
              <w:gridCol w:w="1005"/>
            </w:tblGrid>
            <w:tr w14:paraId="2A3F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648" w:type="pct"/>
                  <w:tcBorders>
                    <w:tl2br w:val="nil"/>
                    <w:tr2bl w:val="nil"/>
                  </w:tcBorders>
                  <w:noWrap w:val="0"/>
                  <w:vAlign w:val="center"/>
                </w:tcPr>
                <w:p w14:paraId="5625EDF4">
                  <w:pPr>
                    <w:keepNext w:val="0"/>
                    <w:keepLines w:val="0"/>
                    <w:suppressLineNumbers w:val="0"/>
                    <w:spacing w:before="0" w:beforeAutospacing="0" w:after="0" w:afterAutospacing="0" w:line="240" w:lineRule="auto"/>
                    <w:ind w:left="0" w:right="0"/>
                    <w:jc w:val="center"/>
                    <w:rPr>
                      <w:rFonts w:hint="default"/>
                      <w:b/>
                      <w:color w:val="auto"/>
                      <w:szCs w:val="21"/>
                      <w:highlight w:val="none"/>
                    </w:rPr>
                  </w:pPr>
                  <w:r>
                    <w:rPr>
                      <w:rFonts w:hint="default"/>
                      <w:b/>
                      <w:color w:val="auto"/>
                      <w:szCs w:val="21"/>
                      <w:highlight w:val="none"/>
                    </w:rPr>
                    <w:t>序号</w:t>
                  </w:r>
                </w:p>
              </w:tc>
              <w:tc>
                <w:tcPr>
                  <w:tcW w:w="871" w:type="pct"/>
                  <w:tcBorders>
                    <w:tl2br w:val="nil"/>
                    <w:tr2bl w:val="nil"/>
                  </w:tcBorders>
                  <w:noWrap w:val="0"/>
                  <w:vAlign w:val="center"/>
                </w:tcPr>
                <w:p w14:paraId="5A66A4DB">
                  <w:pPr>
                    <w:keepNext w:val="0"/>
                    <w:keepLines w:val="0"/>
                    <w:suppressLineNumbers w:val="0"/>
                    <w:spacing w:before="0" w:beforeAutospacing="0" w:after="0" w:afterAutospacing="0" w:line="240" w:lineRule="auto"/>
                    <w:ind w:left="0" w:right="0"/>
                    <w:jc w:val="center"/>
                    <w:rPr>
                      <w:rFonts w:hint="default"/>
                      <w:b/>
                      <w:color w:val="auto"/>
                      <w:szCs w:val="21"/>
                      <w:highlight w:val="none"/>
                    </w:rPr>
                  </w:pPr>
                  <w:r>
                    <w:rPr>
                      <w:rFonts w:hint="default"/>
                      <w:b/>
                      <w:color w:val="auto"/>
                      <w:szCs w:val="21"/>
                      <w:highlight w:val="none"/>
                    </w:rPr>
                    <w:t>设备名称</w:t>
                  </w:r>
                </w:p>
              </w:tc>
              <w:tc>
                <w:tcPr>
                  <w:tcW w:w="1716" w:type="pct"/>
                  <w:tcBorders>
                    <w:tl2br w:val="nil"/>
                    <w:tr2bl w:val="nil"/>
                  </w:tcBorders>
                  <w:noWrap w:val="0"/>
                  <w:vAlign w:val="center"/>
                </w:tcPr>
                <w:p w14:paraId="58E472A0">
                  <w:pPr>
                    <w:keepNext w:val="0"/>
                    <w:keepLines w:val="0"/>
                    <w:suppressLineNumbers w:val="0"/>
                    <w:spacing w:before="0" w:beforeAutospacing="0" w:after="0" w:afterAutospacing="0" w:line="240" w:lineRule="auto"/>
                    <w:ind w:left="0" w:right="0"/>
                    <w:jc w:val="center"/>
                    <w:rPr>
                      <w:rFonts w:hint="default"/>
                      <w:b/>
                      <w:color w:val="auto"/>
                      <w:szCs w:val="21"/>
                      <w:highlight w:val="none"/>
                    </w:rPr>
                  </w:pPr>
                  <w:r>
                    <w:rPr>
                      <w:rFonts w:hint="default"/>
                      <w:b/>
                      <w:color w:val="auto"/>
                      <w:szCs w:val="21"/>
                      <w:highlight w:val="none"/>
                    </w:rPr>
                    <w:t>规格、型号、性能参数</w:t>
                  </w:r>
                </w:p>
              </w:tc>
              <w:tc>
                <w:tcPr>
                  <w:tcW w:w="1215" w:type="pct"/>
                  <w:tcBorders>
                    <w:tl2br w:val="nil"/>
                    <w:tr2bl w:val="nil"/>
                  </w:tcBorders>
                  <w:noWrap w:val="0"/>
                  <w:vAlign w:val="center"/>
                </w:tcPr>
                <w:p w14:paraId="67E205AF">
                  <w:pPr>
                    <w:keepNext w:val="0"/>
                    <w:keepLines w:val="0"/>
                    <w:suppressLineNumbers w:val="0"/>
                    <w:spacing w:before="0" w:beforeAutospacing="0" w:after="0" w:afterAutospacing="0" w:line="240" w:lineRule="auto"/>
                    <w:ind w:left="0" w:right="0"/>
                    <w:jc w:val="center"/>
                    <w:rPr>
                      <w:rFonts w:hint="default"/>
                      <w:b/>
                      <w:color w:val="auto"/>
                      <w:szCs w:val="21"/>
                      <w:highlight w:val="none"/>
                    </w:rPr>
                  </w:pPr>
                  <w:r>
                    <w:rPr>
                      <w:rFonts w:hint="default"/>
                      <w:b/>
                      <w:color w:val="auto"/>
                      <w:szCs w:val="21"/>
                      <w:highlight w:val="none"/>
                    </w:rPr>
                    <w:t>数量</w:t>
                  </w:r>
                </w:p>
              </w:tc>
              <w:tc>
                <w:tcPr>
                  <w:tcW w:w="549" w:type="pct"/>
                  <w:tcBorders>
                    <w:tl2br w:val="nil"/>
                    <w:tr2bl w:val="nil"/>
                  </w:tcBorders>
                  <w:noWrap w:val="0"/>
                  <w:vAlign w:val="center"/>
                </w:tcPr>
                <w:p w14:paraId="4B6265AD">
                  <w:pPr>
                    <w:keepNext w:val="0"/>
                    <w:keepLines w:val="0"/>
                    <w:suppressLineNumbers w:val="0"/>
                    <w:spacing w:before="0" w:beforeAutospacing="0" w:after="0" w:afterAutospacing="0" w:line="240" w:lineRule="auto"/>
                    <w:ind w:left="0" w:right="0"/>
                    <w:jc w:val="center"/>
                    <w:rPr>
                      <w:rFonts w:hint="default"/>
                      <w:b/>
                      <w:color w:val="auto"/>
                      <w:szCs w:val="21"/>
                      <w:highlight w:val="none"/>
                    </w:rPr>
                  </w:pPr>
                  <w:r>
                    <w:rPr>
                      <w:rFonts w:hint="default"/>
                      <w:b/>
                      <w:color w:val="auto"/>
                      <w:szCs w:val="21"/>
                      <w:highlight w:val="none"/>
                    </w:rPr>
                    <w:t>备注</w:t>
                  </w:r>
                </w:p>
              </w:tc>
            </w:tr>
            <w:tr w14:paraId="6101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648" w:type="pct"/>
                  <w:vMerge w:val="restart"/>
                  <w:tcBorders>
                    <w:tl2br w:val="nil"/>
                    <w:tr2bl w:val="nil"/>
                  </w:tcBorders>
                  <w:noWrap w:val="0"/>
                  <w:vAlign w:val="center"/>
                </w:tcPr>
                <w:p w14:paraId="4EBF43CC">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default"/>
                      <w:color w:val="auto"/>
                      <w:szCs w:val="21"/>
                      <w:highlight w:val="none"/>
                    </w:rPr>
                    <w:t>1</w:t>
                  </w:r>
                </w:p>
              </w:tc>
              <w:tc>
                <w:tcPr>
                  <w:tcW w:w="871" w:type="pct"/>
                  <w:vMerge w:val="restart"/>
                  <w:tcBorders>
                    <w:tl2br w:val="nil"/>
                    <w:tr2bl w:val="nil"/>
                  </w:tcBorders>
                  <w:noWrap w:val="0"/>
                  <w:vAlign w:val="center"/>
                </w:tcPr>
                <w:p w14:paraId="2BEC1CC8">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szCs w:val="21"/>
                      <w:highlight w:val="none"/>
                    </w:rPr>
                    <w:t>装载机</w:t>
                  </w:r>
                </w:p>
              </w:tc>
              <w:tc>
                <w:tcPr>
                  <w:tcW w:w="1716" w:type="pct"/>
                  <w:tcBorders>
                    <w:tl2br w:val="nil"/>
                    <w:tr2bl w:val="nil"/>
                  </w:tcBorders>
                  <w:noWrap w:val="0"/>
                  <w:vAlign w:val="center"/>
                </w:tcPr>
                <w:p w14:paraId="6E7FDAD8">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szCs w:val="21"/>
                      <w:highlight w:val="none"/>
                    </w:rPr>
                    <w:t>龙工855</w:t>
                  </w:r>
                </w:p>
              </w:tc>
              <w:tc>
                <w:tcPr>
                  <w:tcW w:w="1215" w:type="pct"/>
                  <w:tcBorders>
                    <w:tl2br w:val="nil"/>
                    <w:tr2bl w:val="nil"/>
                  </w:tcBorders>
                  <w:noWrap w:val="0"/>
                  <w:vAlign w:val="center"/>
                </w:tcPr>
                <w:p w14:paraId="16010B52">
                  <w:pPr>
                    <w:keepNext w:val="0"/>
                    <w:keepLines w:val="0"/>
                    <w:suppressLineNumbers w:val="0"/>
                    <w:spacing w:before="0" w:beforeAutospacing="0" w:after="0" w:afterAutospacing="0" w:line="240" w:lineRule="auto"/>
                    <w:ind w:left="0" w:right="0"/>
                    <w:jc w:val="center"/>
                    <w:rPr>
                      <w:rFonts w:hint="eastAsia" w:eastAsia="宋体"/>
                      <w:color w:val="auto"/>
                      <w:szCs w:val="21"/>
                      <w:highlight w:val="none"/>
                      <w:lang w:eastAsia="zh-CN"/>
                    </w:rPr>
                  </w:pPr>
                  <w:r>
                    <w:rPr>
                      <w:rFonts w:hint="eastAsia"/>
                      <w:color w:val="auto"/>
                      <w:szCs w:val="21"/>
                      <w:highlight w:val="none"/>
                      <w:lang w:val="en-US" w:eastAsia="zh-CN"/>
                    </w:rPr>
                    <w:t>2</w:t>
                  </w:r>
                </w:p>
              </w:tc>
              <w:tc>
                <w:tcPr>
                  <w:tcW w:w="549" w:type="pct"/>
                  <w:tcBorders>
                    <w:tl2br w:val="nil"/>
                    <w:tr2bl w:val="nil"/>
                  </w:tcBorders>
                  <w:noWrap w:val="0"/>
                  <w:vAlign w:val="center"/>
                </w:tcPr>
                <w:p w14:paraId="6397E61E">
                  <w:pPr>
                    <w:keepNext w:val="0"/>
                    <w:keepLines w:val="0"/>
                    <w:suppressLineNumbers w:val="0"/>
                    <w:spacing w:before="0" w:beforeAutospacing="0" w:after="0" w:afterAutospacing="0" w:line="240" w:lineRule="auto"/>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w:t>
                  </w:r>
                </w:p>
              </w:tc>
            </w:tr>
            <w:tr w14:paraId="1D7D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648" w:type="pct"/>
                  <w:vMerge w:val="continue"/>
                  <w:tcBorders>
                    <w:tl2br w:val="nil"/>
                    <w:tr2bl w:val="nil"/>
                  </w:tcBorders>
                  <w:noWrap w:val="0"/>
                  <w:vAlign w:val="center"/>
                </w:tcPr>
                <w:p w14:paraId="51C03034">
                  <w:pPr>
                    <w:keepNext w:val="0"/>
                    <w:keepLines w:val="0"/>
                    <w:suppressLineNumbers w:val="0"/>
                    <w:spacing w:before="0" w:beforeAutospacing="0" w:after="0" w:afterAutospacing="0" w:line="240" w:lineRule="auto"/>
                    <w:ind w:left="0" w:right="0"/>
                    <w:jc w:val="center"/>
                    <w:rPr>
                      <w:rFonts w:hint="default"/>
                      <w:color w:val="auto"/>
                      <w:szCs w:val="21"/>
                      <w:highlight w:val="none"/>
                    </w:rPr>
                  </w:pPr>
                </w:p>
              </w:tc>
              <w:tc>
                <w:tcPr>
                  <w:tcW w:w="871" w:type="pct"/>
                  <w:vMerge w:val="continue"/>
                  <w:tcBorders>
                    <w:tl2br w:val="nil"/>
                    <w:tr2bl w:val="nil"/>
                  </w:tcBorders>
                  <w:noWrap w:val="0"/>
                  <w:vAlign w:val="center"/>
                </w:tcPr>
                <w:p w14:paraId="546C5AB1">
                  <w:pPr>
                    <w:keepNext w:val="0"/>
                    <w:keepLines w:val="0"/>
                    <w:suppressLineNumbers w:val="0"/>
                    <w:spacing w:before="0" w:beforeAutospacing="0" w:after="0" w:afterAutospacing="0" w:line="240" w:lineRule="auto"/>
                    <w:ind w:left="0" w:right="0"/>
                    <w:jc w:val="center"/>
                    <w:rPr>
                      <w:rFonts w:hint="default"/>
                      <w:color w:val="auto"/>
                      <w:szCs w:val="21"/>
                      <w:highlight w:val="none"/>
                    </w:rPr>
                  </w:pPr>
                </w:p>
              </w:tc>
              <w:tc>
                <w:tcPr>
                  <w:tcW w:w="1716" w:type="pct"/>
                  <w:tcBorders>
                    <w:tl2br w:val="nil"/>
                    <w:tr2bl w:val="nil"/>
                  </w:tcBorders>
                  <w:noWrap w:val="0"/>
                  <w:vAlign w:val="center"/>
                </w:tcPr>
                <w:p w14:paraId="5A0D3604">
                  <w:pPr>
                    <w:keepNext w:val="0"/>
                    <w:keepLines w:val="0"/>
                    <w:suppressLineNumbers w:val="0"/>
                    <w:spacing w:before="0" w:beforeAutospacing="0" w:after="0" w:afterAutospacing="0" w:line="240" w:lineRule="auto"/>
                    <w:ind w:left="0" w:right="0"/>
                    <w:jc w:val="center"/>
                    <w:rPr>
                      <w:rFonts w:hint="default"/>
                      <w:color w:val="auto"/>
                      <w:szCs w:val="21"/>
                      <w:highlight w:val="none"/>
                    </w:rPr>
                  </w:pPr>
                  <w:r>
                    <w:rPr>
                      <w:rFonts w:hint="eastAsia"/>
                      <w:color w:val="auto"/>
                      <w:szCs w:val="21"/>
                      <w:highlight w:val="none"/>
                    </w:rPr>
                    <w:t>夏工955</w:t>
                  </w:r>
                </w:p>
              </w:tc>
              <w:tc>
                <w:tcPr>
                  <w:tcW w:w="1215" w:type="pct"/>
                  <w:tcBorders>
                    <w:tl2br w:val="nil"/>
                    <w:tr2bl w:val="nil"/>
                  </w:tcBorders>
                  <w:noWrap w:val="0"/>
                  <w:vAlign w:val="center"/>
                </w:tcPr>
                <w:p w14:paraId="0694C074">
                  <w:pPr>
                    <w:keepNext w:val="0"/>
                    <w:keepLines w:val="0"/>
                    <w:suppressLineNumbers w:val="0"/>
                    <w:spacing w:before="0" w:beforeAutospacing="0" w:after="0" w:afterAutospacing="0" w:line="240" w:lineRule="auto"/>
                    <w:ind w:left="0" w:right="0"/>
                    <w:jc w:val="center"/>
                    <w:rPr>
                      <w:rFonts w:hint="eastAsia" w:eastAsia="宋体"/>
                      <w:color w:val="auto"/>
                      <w:szCs w:val="21"/>
                      <w:highlight w:val="none"/>
                      <w:lang w:eastAsia="zh-CN"/>
                    </w:rPr>
                  </w:pPr>
                  <w:r>
                    <w:rPr>
                      <w:rFonts w:hint="eastAsia"/>
                      <w:color w:val="auto"/>
                      <w:szCs w:val="21"/>
                      <w:highlight w:val="none"/>
                      <w:lang w:val="en-US" w:eastAsia="zh-CN"/>
                    </w:rPr>
                    <w:t>1</w:t>
                  </w:r>
                </w:p>
              </w:tc>
              <w:tc>
                <w:tcPr>
                  <w:tcW w:w="549" w:type="pct"/>
                  <w:tcBorders>
                    <w:tl2br w:val="nil"/>
                    <w:tr2bl w:val="nil"/>
                  </w:tcBorders>
                  <w:noWrap w:val="0"/>
                  <w:vAlign w:val="center"/>
                </w:tcPr>
                <w:p w14:paraId="7491973F">
                  <w:pPr>
                    <w:keepNext w:val="0"/>
                    <w:keepLines w:val="0"/>
                    <w:suppressLineNumbers w:val="0"/>
                    <w:spacing w:before="0" w:beforeAutospacing="0" w:after="0" w:afterAutospacing="0" w:line="240" w:lineRule="auto"/>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r>
          </w:tbl>
          <w:p w14:paraId="50303A91">
            <w:pPr>
              <w:pStyle w:val="5"/>
              <w:keepNext w:val="0"/>
              <w:keepLines w:val="0"/>
              <w:suppressLineNumbers w:val="0"/>
              <w:spacing w:before="0" w:beforeAutospacing="0" w:after="0" w:afterAutospacing="0" w:line="480" w:lineRule="exact"/>
              <w:ind w:left="0" w:right="0" w:firstLine="480"/>
              <w:rPr>
                <w:rFonts w:hint="default" w:ascii="Times New Roman" w:hAnsi="Times New Roman"/>
                <w:color w:val="auto"/>
                <w:sz w:val="24"/>
                <w:highlight w:val="none"/>
                <w:lang w:eastAsia="zh-CN"/>
              </w:rPr>
            </w:pPr>
            <w:r>
              <w:rPr>
                <w:rFonts w:hint="eastAsia" w:ascii="Times New Roman" w:hAnsi="Times New Roman"/>
                <w:color w:val="auto"/>
                <w:sz w:val="24"/>
                <w:highlight w:val="none"/>
                <w:lang w:eastAsia="zh-CN"/>
              </w:rPr>
              <w:t>根据《非道路移动机械污染防治技术政策》，环评提出以下环保措施：</w:t>
            </w:r>
          </w:p>
          <w:p w14:paraId="3FB0C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1）</w:t>
            </w:r>
            <w:r>
              <w:rPr>
                <w:rFonts w:hint="default"/>
                <w:color w:val="auto"/>
                <w:sz w:val="24"/>
                <w:highlight w:val="none"/>
                <w:lang w:val="en-US" w:eastAsia="zh-CN"/>
              </w:rPr>
              <w:t>建立非道路移动机械登记制度，并对其排放状况进行监督检查；</w:t>
            </w:r>
          </w:p>
          <w:p w14:paraId="43F1A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2）</w:t>
            </w:r>
            <w:r>
              <w:rPr>
                <w:rFonts w:hint="default"/>
                <w:color w:val="auto"/>
                <w:sz w:val="24"/>
                <w:highlight w:val="none"/>
                <w:lang w:val="en-US" w:eastAsia="zh-CN"/>
              </w:rPr>
              <w:t>加强在用非道路移动机械的排放检测和维修，保证非道路移动机械及其污染控制装置处于正常技术状态，确保维修后的非道路移动机械排放稳定达标，同时妥善保存维修记录；</w:t>
            </w:r>
          </w:p>
          <w:p w14:paraId="55AB0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3）</w:t>
            </w:r>
            <w:r>
              <w:rPr>
                <w:rFonts w:hint="default"/>
                <w:color w:val="auto"/>
                <w:sz w:val="24"/>
                <w:highlight w:val="none"/>
                <w:lang w:val="en-US" w:eastAsia="zh-CN"/>
              </w:rPr>
              <w:t>加强非道路移动机械的排放治理改造，保证非移动设备尾气达标排放；</w:t>
            </w:r>
          </w:p>
          <w:p w14:paraId="6C73C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4）</w:t>
            </w:r>
            <w:r>
              <w:rPr>
                <w:rFonts w:hint="default"/>
                <w:color w:val="auto"/>
                <w:sz w:val="24"/>
                <w:highlight w:val="none"/>
                <w:lang w:val="en-US" w:eastAsia="zh-CN"/>
              </w:rPr>
              <w:t>不使用国六及以下排放标准车辆，提升非道路移动机械燃料的清洁性，使用满足标准要求的燃油，鼓励使用清洁能源，并留存燃料购买台账，留存备查；</w:t>
            </w:r>
          </w:p>
          <w:p w14:paraId="1BB7D5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color w:val="auto"/>
                <w:sz w:val="24"/>
                <w:highlight w:val="none"/>
                <w:lang w:eastAsia="zh-CN"/>
              </w:rPr>
            </w:pPr>
            <w:r>
              <w:rPr>
                <w:rFonts w:hint="eastAsia"/>
                <w:color w:val="auto"/>
                <w:sz w:val="24"/>
                <w:highlight w:val="none"/>
                <w:lang w:val="en-US" w:eastAsia="zh-CN"/>
              </w:rPr>
              <w:t>5）</w:t>
            </w:r>
            <w:r>
              <w:rPr>
                <w:rFonts w:hint="default"/>
                <w:color w:val="auto"/>
                <w:sz w:val="24"/>
                <w:highlight w:val="none"/>
                <w:lang w:val="en-US" w:eastAsia="zh-CN"/>
              </w:rPr>
              <w:t>加强非道路移动机械的噪声控制。禁止任何单位或个人擅自拆除弃用非道路移动机械的消声、隔声和吸声装置，加强对噪声控制装置的维护保养。</w:t>
            </w:r>
          </w:p>
          <w:p w14:paraId="2830B9A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highlight w:val="none"/>
                <w:lang w:val="en-US" w:eastAsia="zh-CN"/>
              </w:rPr>
            </w:pPr>
            <w:r>
              <w:rPr>
                <w:rFonts w:hint="eastAsia" w:cs="Times New Roman"/>
                <w:color w:val="auto"/>
                <w:sz w:val="24"/>
                <w:highlight w:val="none"/>
                <w:lang w:val="en-US" w:eastAsia="zh-CN"/>
              </w:rPr>
              <w:t>②上料废气</w:t>
            </w:r>
          </w:p>
          <w:p w14:paraId="79F253A1">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黑体"/>
                <w:color w:val="auto"/>
                <w:sz w:val="24"/>
                <w:highlight w:val="none"/>
                <w:lang w:val="en-US" w:eastAsia="zh-CN"/>
              </w:rPr>
            </w:pPr>
            <w:r>
              <w:rPr>
                <w:rFonts w:hint="eastAsia" w:cs="Times New Roman"/>
                <w:color w:val="auto"/>
                <w:sz w:val="24"/>
                <w:highlight w:val="none"/>
                <w:lang w:val="en-US" w:eastAsia="zh-CN"/>
              </w:rPr>
              <w:t>本项目设有3个料仓（1.6m×1m×2.5m），废钢铁碎块在上料时会有少量粉尘，评价要求在每个料仓上方分别设置1个集气罩（共3个），废气经收集后引入1台布袋除尘器（TA001）处理后，由1根20m高排气筒（DA008）排放。</w:t>
            </w:r>
            <w:r>
              <w:rPr>
                <w:rFonts w:hint="eastAsia"/>
                <w:color w:val="auto"/>
                <w:sz w:val="24"/>
                <w:highlight w:val="none"/>
                <w:lang w:val="en-US" w:eastAsia="zh-CN"/>
              </w:rPr>
              <w:t>上料</w:t>
            </w:r>
            <w:r>
              <w:rPr>
                <w:rFonts w:hint="default"/>
                <w:color w:val="auto"/>
                <w:sz w:val="24"/>
                <w:highlight w:val="none"/>
              </w:rPr>
              <w:t>工序集气罩技术参数表见表</w:t>
            </w:r>
            <w:r>
              <w:rPr>
                <w:rFonts w:hint="default"/>
                <w:b w:val="0"/>
                <w:bCs/>
                <w:color w:val="auto"/>
                <w:sz w:val="24"/>
                <w:szCs w:val="24"/>
                <w:highlight w:val="none"/>
                <w:lang w:val="en-US" w:eastAsia="zh-CN"/>
              </w:rPr>
              <w:t>4</w:t>
            </w:r>
            <w:r>
              <w:rPr>
                <w:rFonts w:hint="eastAsia"/>
                <w:b w:val="0"/>
                <w:bCs/>
                <w:color w:val="auto"/>
                <w:sz w:val="24"/>
                <w:szCs w:val="24"/>
                <w:highlight w:val="none"/>
                <w:lang w:val="en-US" w:eastAsia="zh-CN"/>
              </w:rPr>
              <w:t>-2</w:t>
            </w:r>
            <w:r>
              <w:rPr>
                <w:rFonts w:hint="eastAsia" w:eastAsia="黑体" w:cs="Times New Roman"/>
                <w:b w:val="0"/>
                <w:bCs w:val="0"/>
                <w:color w:val="auto"/>
                <w:highlight w:val="none"/>
                <w:lang w:eastAsia="zh-CN"/>
              </w:rPr>
              <w:t>。</w:t>
            </w:r>
          </w:p>
          <w:p w14:paraId="548607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jc w:val="center"/>
              <w:textAlignment w:val="auto"/>
              <w:outlineLvl w:val="9"/>
              <w:rPr>
                <w:rFonts w:hint="eastAsia" w:ascii="黑体" w:hAnsi="黑体" w:eastAsia="黑体" w:cs="黑体"/>
                <w:b w:val="0"/>
                <w:bCs w:val="0"/>
                <w:color w:val="auto"/>
                <w:highlight w:val="none"/>
              </w:rPr>
            </w:pPr>
            <w:r>
              <w:rPr>
                <w:rFonts w:hint="eastAsia" w:ascii="Times New Roman" w:hAnsi="Times New Roman" w:eastAsia="宋体" w:cs="Times New Roman"/>
                <w:b/>
                <w:bCs w:val="0"/>
                <w:color w:val="auto"/>
                <w:sz w:val="21"/>
                <w:szCs w:val="16"/>
                <w:highlight w:val="none"/>
                <w:lang w:val="en-US" w:eastAsia="zh-CN"/>
              </w:rPr>
              <w:t>表</w:t>
            </w:r>
            <w:r>
              <w:rPr>
                <w:rFonts w:hint="default"/>
                <w:b/>
                <w:bCs w:val="0"/>
                <w:color w:val="auto"/>
                <w:sz w:val="21"/>
                <w:szCs w:val="21"/>
                <w:highlight w:val="none"/>
                <w:lang w:val="en-US" w:eastAsia="zh-CN"/>
              </w:rPr>
              <w:t>4</w:t>
            </w:r>
            <w:r>
              <w:rPr>
                <w:rFonts w:hint="eastAsia"/>
                <w:b/>
                <w:bCs w:val="0"/>
                <w:color w:val="auto"/>
                <w:sz w:val="21"/>
                <w:szCs w:val="21"/>
                <w:highlight w:val="none"/>
                <w:lang w:val="en-US" w:eastAsia="zh-CN"/>
              </w:rPr>
              <w:t>-2</w:t>
            </w:r>
            <w:r>
              <w:rPr>
                <w:rFonts w:hint="eastAsia" w:ascii="Times New Roman" w:hAnsi="Times New Roman" w:eastAsia="宋体" w:cs="Times New Roman"/>
                <w:b/>
                <w:bCs w:val="0"/>
                <w:color w:val="auto"/>
                <w:sz w:val="21"/>
                <w:szCs w:val="16"/>
                <w:highlight w:val="none"/>
                <w:lang w:val="en-US" w:eastAsia="zh-CN"/>
              </w:rPr>
              <w:t xml:space="preserve">  集气罩设置参数一览表</w:t>
            </w:r>
          </w:p>
          <w:tbl>
            <w:tblPr>
              <w:tblStyle w:val="31"/>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369"/>
              <w:gridCol w:w="1730"/>
              <w:gridCol w:w="1662"/>
              <w:gridCol w:w="1437"/>
              <w:gridCol w:w="1634"/>
            </w:tblGrid>
            <w:tr w14:paraId="2197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19" w:type="pct"/>
                  <w:tcBorders>
                    <w:tl2br w:val="nil"/>
                    <w:tr2bl w:val="nil"/>
                  </w:tcBorders>
                  <w:noWrap w:val="0"/>
                  <w:vAlign w:val="center"/>
                </w:tcPr>
                <w:p w14:paraId="062AD82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设备名称</w:t>
                  </w:r>
                </w:p>
              </w:tc>
              <w:tc>
                <w:tcPr>
                  <w:tcW w:w="748" w:type="pct"/>
                  <w:tcBorders>
                    <w:tl2br w:val="nil"/>
                    <w:tr2bl w:val="nil"/>
                  </w:tcBorders>
                  <w:noWrap w:val="0"/>
                  <w:vAlign w:val="center"/>
                </w:tcPr>
                <w:p w14:paraId="5DC0529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风罩位置</w:t>
                  </w:r>
                </w:p>
              </w:tc>
              <w:tc>
                <w:tcPr>
                  <w:tcW w:w="945" w:type="pct"/>
                  <w:tcBorders>
                    <w:tl2br w:val="nil"/>
                    <w:tr2bl w:val="nil"/>
                  </w:tcBorders>
                  <w:noWrap w:val="0"/>
                  <w:vAlign w:val="center"/>
                </w:tcPr>
                <w:p w14:paraId="65C1433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进料口尺寸m</w:t>
                  </w:r>
                </w:p>
              </w:tc>
              <w:tc>
                <w:tcPr>
                  <w:tcW w:w="908" w:type="pct"/>
                  <w:tcBorders>
                    <w:tl2br w:val="nil"/>
                    <w:tr2bl w:val="nil"/>
                  </w:tcBorders>
                  <w:noWrap w:val="0"/>
                  <w:vAlign w:val="center"/>
                </w:tcPr>
                <w:p w14:paraId="5ED48777">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b/>
                      <w:bCs/>
                      <w:color w:val="auto"/>
                      <w:szCs w:val="21"/>
                      <w:highlight w:val="none"/>
                      <w:lang w:val="en-US" w:eastAsia="zh-CN"/>
                    </w:rPr>
                  </w:pPr>
                  <w:r>
                    <w:rPr>
                      <w:rFonts w:hint="eastAsia"/>
                      <w:b/>
                      <w:bCs/>
                      <w:color w:val="auto"/>
                      <w:szCs w:val="21"/>
                      <w:highlight w:val="none"/>
                      <w:lang w:val="en-US" w:eastAsia="zh-CN"/>
                    </w:rPr>
                    <w:t>集气效率%</w:t>
                  </w:r>
                </w:p>
              </w:tc>
              <w:tc>
                <w:tcPr>
                  <w:tcW w:w="785" w:type="pct"/>
                  <w:tcBorders>
                    <w:tl2br w:val="nil"/>
                    <w:tr2bl w:val="nil"/>
                  </w:tcBorders>
                  <w:noWrap w:val="0"/>
                  <w:vAlign w:val="center"/>
                </w:tcPr>
                <w:p w14:paraId="6CC66E6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处理设备</w:t>
                  </w:r>
                </w:p>
              </w:tc>
              <w:tc>
                <w:tcPr>
                  <w:tcW w:w="892" w:type="pct"/>
                  <w:tcBorders>
                    <w:tl2br w:val="nil"/>
                    <w:tr2bl w:val="nil"/>
                  </w:tcBorders>
                  <w:noWrap w:val="0"/>
                  <w:vAlign w:val="center"/>
                </w:tcPr>
                <w:p w14:paraId="37B9B3D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排气筒编号</w:t>
                  </w:r>
                </w:p>
              </w:tc>
            </w:tr>
            <w:tr w14:paraId="1814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19" w:type="pct"/>
                  <w:tcBorders>
                    <w:tl2br w:val="nil"/>
                    <w:tr2bl w:val="nil"/>
                  </w:tcBorders>
                  <w:noWrap w:val="0"/>
                  <w:vAlign w:val="center"/>
                </w:tcPr>
                <w:p w14:paraId="2FF04147">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rPr>
                  </w:pPr>
                  <w:r>
                    <w:rPr>
                      <w:rFonts w:hint="eastAsia"/>
                      <w:color w:val="auto"/>
                      <w:szCs w:val="21"/>
                      <w:highlight w:val="none"/>
                      <w:lang w:val="en-US" w:eastAsia="zh-CN"/>
                    </w:rPr>
                    <w:t>1#料仓</w:t>
                  </w:r>
                </w:p>
              </w:tc>
              <w:tc>
                <w:tcPr>
                  <w:tcW w:w="748" w:type="pct"/>
                  <w:tcBorders>
                    <w:tl2br w:val="nil"/>
                    <w:tr2bl w:val="nil"/>
                  </w:tcBorders>
                  <w:noWrap w:val="0"/>
                  <w:vAlign w:val="center"/>
                </w:tcPr>
                <w:p w14:paraId="59B2C73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45" w:type="pct"/>
                  <w:tcBorders>
                    <w:tl2br w:val="nil"/>
                    <w:tr2bl w:val="nil"/>
                  </w:tcBorders>
                  <w:noWrap w:val="0"/>
                  <w:vAlign w:val="center"/>
                </w:tcPr>
                <w:p w14:paraId="15F4943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rPr>
                    <w:t>×</w:t>
                  </w:r>
                  <w:r>
                    <w:rPr>
                      <w:rFonts w:hint="eastAsia"/>
                      <w:color w:val="auto"/>
                      <w:szCs w:val="21"/>
                      <w:highlight w:val="none"/>
                      <w:lang w:val="en-US" w:eastAsia="zh-CN"/>
                    </w:rPr>
                    <w:t>1.2</w:t>
                  </w:r>
                </w:p>
              </w:tc>
              <w:tc>
                <w:tcPr>
                  <w:tcW w:w="908" w:type="pct"/>
                  <w:vMerge w:val="restart"/>
                  <w:tcBorders>
                    <w:tl2br w:val="nil"/>
                    <w:tr2bl w:val="nil"/>
                  </w:tcBorders>
                  <w:noWrap w:val="0"/>
                  <w:vAlign w:val="center"/>
                </w:tcPr>
                <w:p w14:paraId="2545B35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90</w:t>
                  </w:r>
                </w:p>
              </w:tc>
              <w:tc>
                <w:tcPr>
                  <w:tcW w:w="785" w:type="pct"/>
                  <w:vMerge w:val="restart"/>
                  <w:tcBorders>
                    <w:tl2br w:val="nil"/>
                    <w:tr2bl w:val="nil"/>
                  </w:tcBorders>
                  <w:noWrap w:val="0"/>
                  <w:vAlign w:val="center"/>
                </w:tcPr>
                <w:p w14:paraId="17884CBD">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eastAsia="zh-CN"/>
                    </w:rPr>
                  </w:pPr>
                  <w:r>
                    <w:rPr>
                      <w:rFonts w:hint="default"/>
                      <w:color w:val="auto"/>
                      <w:szCs w:val="21"/>
                      <w:highlight w:val="none"/>
                    </w:rPr>
                    <w:t>布袋除尘器</w:t>
                  </w:r>
                  <w:r>
                    <w:rPr>
                      <w:rFonts w:hint="eastAsia"/>
                      <w:color w:val="auto"/>
                      <w:szCs w:val="21"/>
                      <w:highlight w:val="none"/>
                      <w:lang w:eastAsia="zh-CN"/>
                    </w:rPr>
                    <w:t>（</w:t>
                  </w:r>
                  <w:r>
                    <w:rPr>
                      <w:rFonts w:hint="eastAsia"/>
                      <w:color w:val="auto"/>
                      <w:szCs w:val="21"/>
                      <w:highlight w:val="none"/>
                      <w:lang w:val="en-US" w:eastAsia="zh-CN"/>
                    </w:rPr>
                    <w:t>TA001</w:t>
                  </w:r>
                  <w:r>
                    <w:rPr>
                      <w:rFonts w:hint="eastAsia"/>
                      <w:color w:val="auto"/>
                      <w:szCs w:val="21"/>
                      <w:highlight w:val="none"/>
                      <w:lang w:eastAsia="zh-CN"/>
                    </w:rPr>
                    <w:t>）</w:t>
                  </w:r>
                </w:p>
              </w:tc>
              <w:tc>
                <w:tcPr>
                  <w:tcW w:w="892" w:type="pct"/>
                  <w:vMerge w:val="restart"/>
                  <w:tcBorders>
                    <w:tl2br w:val="nil"/>
                    <w:tr2bl w:val="nil"/>
                  </w:tcBorders>
                  <w:noWrap w:val="0"/>
                  <w:vAlign w:val="center"/>
                </w:tcPr>
                <w:p w14:paraId="6B7A802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eastAsia="zh-CN"/>
                    </w:rPr>
                  </w:pPr>
                  <w:r>
                    <w:rPr>
                      <w:rFonts w:hint="default"/>
                      <w:color w:val="auto"/>
                      <w:szCs w:val="21"/>
                      <w:highlight w:val="none"/>
                    </w:rPr>
                    <w:t>DA00</w:t>
                  </w:r>
                  <w:r>
                    <w:rPr>
                      <w:rFonts w:hint="eastAsia"/>
                      <w:color w:val="auto"/>
                      <w:szCs w:val="21"/>
                      <w:highlight w:val="none"/>
                      <w:lang w:val="en-US" w:eastAsia="zh-CN"/>
                    </w:rPr>
                    <w:t>8</w:t>
                  </w:r>
                </w:p>
              </w:tc>
            </w:tr>
            <w:tr w14:paraId="1466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19" w:type="pct"/>
                  <w:tcBorders>
                    <w:tl2br w:val="nil"/>
                    <w:tr2bl w:val="nil"/>
                  </w:tcBorders>
                  <w:noWrap w:val="0"/>
                  <w:vAlign w:val="center"/>
                </w:tcPr>
                <w:p w14:paraId="2B127207">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2#料仓</w:t>
                  </w:r>
                </w:p>
              </w:tc>
              <w:tc>
                <w:tcPr>
                  <w:tcW w:w="748" w:type="pct"/>
                  <w:tcBorders>
                    <w:tl2br w:val="nil"/>
                    <w:tr2bl w:val="nil"/>
                  </w:tcBorders>
                  <w:noWrap w:val="0"/>
                  <w:vAlign w:val="center"/>
                </w:tcPr>
                <w:p w14:paraId="33FE4E5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45" w:type="pct"/>
                  <w:tcBorders>
                    <w:tl2br w:val="nil"/>
                    <w:tr2bl w:val="nil"/>
                  </w:tcBorders>
                  <w:noWrap w:val="0"/>
                  <w:vAlign w:val="center"/>
                </w:tcPr>
                <w:p w14:paraId="426559A4">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rPr>
                    <w:t>×</w:t>
                  </w:r>
                  <w:r>
                    <w:rPr>
                      <w:rFonts w:hint="eastAsia"/>
                      <w:color w:val="auto"/>
                      <w:szCs w:val="21"/>
                      <w:highlight w:val="none"/>
                      <w:lang w:val="en-US" w:eastAsia="zh-CN"/>
                    </w:rPr>
                    <w:t>1.2</w:t>
                  </w:r>
                </w:p>
              </w:tc>
              <w:tc>
                <w:tcPr>
                  <w:tcW w:w="908" w:type="pct"/>
                  <w:vMerge w:val="continue"/>
                  <w:tcBorders>
                    <w:tl2br w:val="nil"/>
                    <w:tr2bl w:val="nil"/>
                  </w:tcBorders>
                  <w:noWrap w:val="0"/>
                  <w:vAlign w:val="center"/>
                </w:tcPr>
                <w:p w14:paraId="428D168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p>
              </w:tc>
              <w:tc>
                <w:tcPr>
                  <w:tcW w:w="785" w:type="pct"/>
                  <w:vMerge w:val="continue"/>
                  <w:tcBorders>
                    <w:tl2br w:val="nil"/>
                    <w:tr2bl w:val="nil"/>
                  </w:tcBorders>
                  <w:noWrap w:val="0"/>
                  <w:vAlign w:val="center"/>
                </w:tcPr>
                <w:p w14:paraId="386BA6D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2" w:type="pct"/>
                  <w:vMerge w:val="continue"/>
                  <w:tcBorders>
                    <w:tl2br w:val="nil"/>
                    <w:tr2bl w:val="nil"/>
                  </w:tcBorders>
                  <w:noWrap w:val="0"/>
                  <w:vAlign w:val="center"/>
                </w:tcPr>
                <w:p w14:paraId="348DFE6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755C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19" w:type="pct"/>
                  <w:tcBorders>
                    <w:tl2br w:val="nil"/>
                    <w:tr2bl w:val="nil"/>
                  </w:tcBorders>
                  <w:noWrap w:val="0"/>
                  <w:vAlign w:val="center"/>
                </w:tcPr>
                <w:p w14:paraId="2D6BF44B">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3#料仓</w:t>
                  </w:r>
                </w:p>
              </w:tc>
              <w:tc>
                <w:tcPr>
                  <w:tcW w:w="748" w:type="pct"/>
                  <w:tcBorders>
                    <w:tl2br w:val="nil"/>
                    <w:tr2bl w:val="nil"/>
                  </w:tcBorders>
                  <w:noWrap w:val="0"/>
                  <w:vAlign w:val="center"/>
                </w:tcPr>
                <w:p w14:paraId="5357FAD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45" w:type="pct"/>
                  <w:tcBorders>
                    <w:tl2br w:val="nil"/>
                    <w:tr2bl w:val="nil"/>
                  </w:tcBorders>
                  <w:noWrap w:val="0"/>
                  <w:vAlign w:val="center"/>
                </w:tcPr>
                <w:p w14:paraId="323D440C">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rPr>
                    <w:t>×</w:t>
                  </w:r>
                  <w:r>
                    <w:rPr>
                      <w:rFonts w:hint="eastAsia"/>
                      <w:color w:val="auto"/>
                      <w:szCs w:val="21"/>
                      <w:highlight w:val="none"/>
                      <w:lang w:val="en-US" w:eastAsia="zh-CN"/>
                    </w:rPr>
                    <w:t>1.2</w:t>
                  </w:r>
                </w:p>
              </w:tc>
              <w:tc>
                <w:tcPr>
                  <w:tcW w:w="908" w:type="pct"/>
                  <w:vMerge w:val="continue"/>
                  <w:tcBorders>
                    <w:tl2br w:val="nil"/>
                    <w:tr2bl w:val="nil"/>
                  </w:tcBorders>
                  <w:noWrap w:val="0"/>
                  <w:vAlign w:val="center"/>
                </w:tcPr>
                <w:p w14:paraId="7B13C69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p>
              </w:tc>
              <w:tc>
                <w:tcPr>
                  <w:tcW w:w="785" w:type="pct"/>
                  <w:vMerge w:val="continue"/>
                  <w:tcBorders>
                    <w:tl2br w:val="nil"/>
                    <w:tr2bl w:val="nil"/>
                  </w:tcBorders>
                  <w:noWrap w:val="0"/>
                  <w:vAlign w:val="center"/>
                </w:tcPr>
                <w:p w14:paraId="5789003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2" w:type="pct"/>
                  <w:vMerge w:val="continue"/>
                  <w:tcBorders>
                    <w:tl2br w:val="nil"/>
                    <w:tr2bl w:val="nil"/>
                  </w:tcBorders>
                  <w:noWrap w:val="0"/>
                  <w:vAlign w:val="center"/>
                </w:tcPr>
                <w:p w14:paraId="31DF9C3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bl>
          <w:p w14:paraId="5CDEAD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根据《排风罩的分类及技术条件》（GB/T 16758-2008）附录A中排风罩的排风量计算公式：</w:t>
            </w:r>
          </w:p>
          <w:p w14:paraId="388BC3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snapToGrid w:val="0"/>
                <w:color w:val="auto"/>
                <w:position w:val="-10"/>
                <w:sz w:val="24"/>
                <w:szCs w:val="20"/>
                <w:highlight w:val="none"/>
                <w:lang w:val="en-US" w:eastAsia="zh-CN"/>
              </w:rPr>
              <w:object>
                <v:shape id="_x0000_i1025" o:spt="75" type="#_x0000_t75" style="height:16pt;width:38pt;" o:ole="t" filled="f" o:preferrelative="t" stroked="f" coordsize="21600,21600">
                  <v:path/>
                  <v:fill on="f" focussize="0,0"/>
                  <v:stroke on="f"/>
                  <v:imagedata r:id="rId22" o:title=""/>
                  <o:lock v:ext="edit" aspectratio="t"/>
                  <w10:wrap type="none"/>
                  <w10:anchorlock/>
                </v:shape>
                <o:OLEObject Type="Embed" ProgID="Equation.KSEE3" ShapeID="_x0000_i1025" DrawAspect="Content" ObjectID="_1468075725" r:id="rId21">
                  <o:LockedField>false</o:LockedField>
                </o:OLEObject>
              </w:object>
            </w:r>
          </w:p>
          <w:p w14:paraId="5A734A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式中：Q—</w:t>
            </w:r>
            <w:r>
              <w:rPr>
                <w:rFonts w:hint="eastAsia" w:cs="Times New Roman"/>
                <w:color w:val="auto"/>
                <w:sz w:val="24"/>
                <w:highlight w:val="none"/>
                <w:lang w:val="en-US" w:eastAsia="zh-CN"/>
              </w:rPr>
              <w:t>排风罩的</w:t>
            </w:r>
            <w:r>
              <w:rPr>
                <w:rFonts w:hint="eastAsia" w:ascii="Times New Roman" w:hAnsi="Times New Roman" w:eastAsia="宋体" w:cs="Times New Roman"/>
                <w:color w:val="auto"/>
                <w:sz w:val="24"/>
                <w:highlight w:val="none"/>
                <w:lang w:val="en-US" w:eastAsia="zh-CN"/>
              </w:rPr>
              <w:t>排气量，m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/h；</w:t>
            </w:r>
          </w:p>
          <w:p w14:paraId="2CC8EC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F—</w:t>
            </w:r>
            <w:r>
              <w:rPr>
                <w:rFonts w:hint="eastAsia" w:cs="Times New Roman"/>
                <w:color w:val="auto"/>
                <w:sz w:val="24"/>
                <w:highlight w:val="none"/>
                <w:lang w:val="en-US" w:eastAsia="zh-CN"/>
              </w:rPr>
              <w:t>排风罩罩口面积</w:t>
            </w:r>
            <w:r>
              <w:rPr>
                <w:rFonts w:hint="eastAsia" w:ascii="Times New Roman" w:hAnsi="Times New Roman" w:eastAsia="宋体" w:cs="Times New Roman"/>
                <w:color w:val="auto"/>
                <w:sz w:val="24"/>
                <w:highlight w:val="none"/>
                <w:lang w:val="en-US" w:eastAsia="zh-CN"/>
              </w:rPr>
              <w:t>，m；</w:t>
            </w:r>
          </w:p>
          <w:p w14:paraId="573F82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snapToGrid w:val="0"/>
                <w:color w:val="auto"/>
                <w:position w:val="-6"/>
                <w:sz w:val="24"/>
                <w:szCs w:val="20"/>
                <w:highlight w:val="none"/>
                <w:lang w:val="en-US" w:eastAsia="zh-CN"/>
              </w:rPr>
              <w:object>
                <v:shape id="_x0000_i1026" o:spt="75" type="#_x0000_t75" style="height:13pt;width:10pt;" o:ole="t" filled="f" o:preferrelative="t" stroked="f" coordsize="21600,21600">
                  <v:path/>
                  <v:fill on="f" focussize="0,0"/>
                  <v:stroke on="f"/>
                  <v:imagedata r:id="rId24" o:title=""/>
                  <o:lock v:ext="edit" aspectratio="t"/>
                  <w10:wrap type="none"/>
                  <w10:anchorlock/>
                </v:shape>
                <o:OLEObject Type="Embed" ProgID="Equation.KSEE3" ShapeID="_x0000_i1026" DrawAspect="Content" ObjectID="_1468075726" r:id="rId23">
                  <o:LockedField>false</o:LockedField>
                </o:OLEObject>
              </w:objec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排风罩罩口平均</w:t>
            </w:r>
            <w:r>
              <w:rPr>
                <w:rFonts w:hint="eastAsia" w:ascii="Times New Roman" w:hAnsi="Times New Roman" w:eastAsia="宋体" w:cs="Times New Roman"/>
                <w:color w:val="auto"/>
                <w:sz w:val="24"/>
                <w:highlight w:val="none"/>
                <w:lang w:val="en-US" w:eastAsia="zh-CN"/>
              </w:rPr>
              <w:t>风速，m/s。</w:t>
            </w:r>
          </w:p>
          <w:p w14:paraId="14290408">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ascii="Times New Roman" w:hAnsi="Times New Roman" w:eastAsia="宋体" w:cs="Times New Roman"/>
                <w:snapToGrid w:val="0"/>
                <w:color w:val="auto"/>
                <w:sz w:val="24"/>
                <w:szCs w:val="20"/>
                <w:highlight w:val="none"/>
                <w:lang w:val="en-US" w:eastAsia="zh-CN"/>
              </w:rPr>
            </w:pPr>
            <w:r>
              <w:rPr>
                <w:rFonts w:hint="eastAsia" w:ascii="Times New Roman" w:hAnsi="Times New Roman" w:eastAsia="宋体" w:cs="Times New Roman"/>
                <w:snapToGrid w:val="0"/>
                <w:color w:val="auto"/>
                <w:sz w:val="24"/>
                <w:szCs w:val="20"/>
                <w:highlight w:val="none"/>
                <w:lang w:val="en-US" w:eastAsia="zh-CN"/>
              </w:rPr>
              <w:t>根据《局部排风设施控制风速检测与评估技术规范》（AO/T 4274-2016）中要求，顶吸罩罩口风速取1.2m/s。</w:t>
            </w:r>
          </w:p>
          <w:p w14:paraId="22BB659B">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color w:val="auto"/>
                <w:sz w:val="24"/>
                <w:highlight w:val="none"/>
              </w:rPr>
            </w:pPr>
            <w:r>
              <w:rPr>
                <w:rFonts w:hint="eastAsia"/>
                <w:color w:val="auto"/>
                <w:sz w:val="24"/>
                <w:highlight w:val="none"/>
              </w:rPr>
              <w:t>经计算，</w:t>
            </w:r>
            <w:r>
              <w:rPr>
                <w:rFonts w:hint="eastAsia"/>
                <w:color w:val="auto"/>
                <w:sz w:val="24"/>
                <w:highlight w:val="none"/>
                <w:lang w:val="en-US" w:eastAsia="zh-CN"/>
              </w:rPr>
              <w:t>上料工序</w:t>
            </w:r>
            <w:r>
              <w:rPr>
                <w:rFonts w:hint="eastAsia"/>
                <w:color w:val="auto"/>
                <w:sz w:val="24"/>
                <w:highlight w:val="none"/>
              </w:rPr>
              <w:t>需配套的风量见下表</w:t>
            </w:r>
            <w:r>
              <w:rPr>
                <w:rFonts w:hint="default"/>
                <w:b w:val="0"/>
                <w:bCs/>
                <w:color w:val="auto"/>
                <w:sz w:val="24"/>
                <w:szCs w:val="24"/>
                <w:highlight w:val="none"/>
                <w:lang w:val="en-US" w:eastAsia="zh-CN"/>
              </w:rPr>
              <w:t>4</w:t>
            </w:r>
            <w:r>
              <w:rPr>
                <w:rFonts w:hint="eastAsia"/>
                <w:b w:val="0"/>
                <w:bCs/>
                <w:color w:val="auto"/>
                <w:sz w:val="24"/>
                <w:szCs w:val="24"/>
                <w:highlight w:val="none"/>
                <w:lang w:val="en-US" w:eastAsia="zh-CN"/>
              </w:rPr>
              <w:t>-3</w:t>
            </w:r>
            <w:r>
              <w:rPr>
                <w:rFonts w:hint="eastAsia"/>
                <w:color w:val="auto"/>
                <w:sz w:val="24"/>
                <w:highlight w:val="none"/>
              </w:rPr>
              <w:t>。</w:t>
            </w:r>
          </w:p>
          <w:p w14:paraId="58FE53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z w:val="21"/>
                <w:szCs w:val="16"/>
                <w:highlight w:val="none"/>
                <w:lang w:val="en-US" w:eastAsia="zh-CN"/>
              </w:rPr>
            </w:pPr>
            <w:r>
              <w:rPr>
                <w:rFonts w:hint="eastAsia" w:ascii="Times New Roman" w:hAnsi="Times New Roman" w:eastAsia="宋体" w:cs="Times New Roman"/>
                <w:b/>
                <w:bCs w:val="0"/>
                <w:color w:val="auto"/>
                <w:sz w:val="21"/>
                <w:szCs w:val="16"/>
                <w:highlight w:val="none"/>
                <w:lang w:val="en-US" w:eastAsia="zh-CN"/>
              </w:rPr>
              <w:t>表4</w:t>
            </w:r>
            <w:r>
              <w:rPr>
                <w:rFonts w:hint="eastAsia" w:cs="Times New Roman"/>
                <w:b/>
                <w:bCs w:val="0"/>
                <w:color w:val="auto"/>
                <w:sz w:val="21"/>
                <w:szCs w:val="16"/>
                <w:highlight w:val="none"/>
                <w:lang w:val="en-US" w:eastAsia="zh-CN"/>
              </w:rPr>
              <w:t>-3</w:t>
            </w:r>
            <w:r>
              <w:rPr>
                <w:rFonts w:hint="default" w:ascii="Times New Roman" w:hAnsi="Times New Roman" w:eastAsia="宋体" w:cs="Times New Roman"/>
                <w:b/>
                <w:bCs w:val="0"/>
                <w:color w:val="auto"/>
                <w:sz w:val="21"/>
                <w:szCs w:val="16"/>
                <w:highlight w:val="none"/>
                <w:lang w:val="en-US" w:eastAsia="zh-CN"/>
              </w:rPr>
              <w:t xml:space="preserve"> </w:t>
            </w:r>
            <w:r>
              <w:rPr>
                <w:rFonts w:hint="eastAsia" w:ascii="Times New Roman" w:hAnsi="Times New Roman" w:eastAsia="宋体" w:cs="Times New Roman"/>
                <w:b/>
                <w:bCs w:val="0"/>
                <w:color w:val="auto"/>
                <w:sz w:val="21"/>
                <w:szCs w:val="16"/>
                <w:highlight w:val="none"/>
                <w:lang w:val="en-US" w:eastAsia="zh-CN"/>
              </w:rPr>
              <w:t xml:space="preserve"> 该工序需配套的风量一览表</w:t>
            </w:r>
          </w:p>
          <w:tbl>
            <w:tblPr>
              <w:tblStyle w:val="31"/>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2605"/>
              <w:gridCol w:w="2115"/>
              <w:gridCol w:w="1758"/>
            </w:tblGrid>
            <w:tr w14:paraId="7F3A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02E5732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b/>
                      <w:bCs/>
                      <w:color w:val="auto"/>
                      <w:szCs w:val="21"/>
                      <w:highlight w:val="none"/>
                      <w:lang w:val="en-US" w:eastAsia="zh-CN"/>
                    </w:rPr>
                  </w:pPr>
                  <w:r>
                    <w:rPr>
                      <w:rFonts w:hint="default"/>
                      <w:b/>
                      <w:bCs/>
                      <w:color w:val="auto"/>
                      <w:szCs w:val="21"/>
                      <w:highlight w:val="none"/>
                    </w:rPr>
                    <w:t>设备名称</w:t>
                  </w:r>
                </w:p>
              </w:tc>
              <w:tc>
                <w:tcPr>
                  <w:tcW w:w="1424" w:type="pct"/>
                  <w:tcBorders>
                    <w:tl2br w:val="nil"/>
                    <w:tr2bl w:val="nil"/>
                  </w:tcBorders>
                  <w:noWrap w:val="0"/>
                  <w:vAlign w:val="center"/>
                </w:tcPr>
                <w:p w14:paraId="51D48BB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计算风量（m</w:t>
                  </w:r>
                  <w:r>
                    <w:rPr>
                      <w:rFonts w:hint="default"/>
                      <w:b/>
                      <w:bCs/>
                      <w:color w:val="auto"/>
                      <w:szCs w:val="21"/>
                      <w:highlight w:val="none"/>
                      <w:vertAlign w:val="superscript"/>
                    </w:rPr>
                    <w:t>3</w:t>
                  </w:r>
                  <w:r>
                    <w:rPr>
                      <w:rFonts w:hint="default"/>
                      <w:b/>
                      <w:bCs/>
                      <w:color w:val="auto"/>
                      <w:szCs w:val="21"/>
                      <w:highlight w:val="none"/>
                    </w:rPr>
                    <w:t>/h）</w:t>
                  </w:r>
                </w:p>
              </w:tc>
              <w:tc>
                <w:tcPr>
                  <w:tcW w:w="1156" w:type="pct"/>
                  <w:tcBorders>
                    <w:tl2br w:val="nil"/>
                    <w:tr2bl w:val="nil"/>
                  </w:tcBorders>
                  <w:noWrap w:val="0"/>
                  <w:vAlign w:val="center"/>
                </w:tcPr>
                <w:p w14:paraId="41779D6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处理设备</w:t>
                  </w:r>
                </w:p>
              </w:tc>
              <w:tc>
                <w:tcPr>
                  <w:tcW w:w="961" w:type="pct"/>
                  <w:tcBorders>
                    <w:tl2br w:val="nil"/>
                    <w:tr2bl w:val="nil"/>
                  </w:tcBorders>
                  <w:noWrap w:val="0"/>
                  <w:vAlign w:val="center"/>
                </w:tcPr>
                <w:p w14:paraId="40A4FC4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排气筒编号</w:t>
                  </w:r>
                </w:p>
              </w:tc>
            </w:tr>
            <w:tr w14:paraId="135C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3F0916A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eastAsia"/>
                      <w:color w:val="auto"/>
                      <w:szCs w:val="21"/>
                      <w:highlight w:val="none"/>
                      <w:lang w:val="en-US" w:eastAsia="zh-CN"/>
                    </w:rPr>
                    <w:t>1#料仓</w:t>
                  </w:r>
                </w:p>
              </w:tc>
              <w:tc>
                <w:tcPr>
                  <w:tcW w:w="1424" w:type="pct"/>
                  <w:tcBorders>
                    <w:tl2br w:val="nil"/>
                    <w:tr2bl w:val="nil"/>
                  </w:tcBorders>
                  <w:noWrap w:val="0"/>
                  <w:vAlign w:val="center"/>
                </w:tcPr>
                <w:p w14:paraId="5499F86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10368</w:t>
                  </w:r>
                </w:p>
              </w:tc>
              <w:tc>
                <w:tcPr>
                  <w:tcW w:w="1156" w:type="pct"/>
                  <w:vMerge w:val="restart"/>
                  <w:tcBorders>
                    <w:tl2br w:val="nil"/>
                    <w:tr2bl w:val="nil"/>
                  </w:tcBorders>
                  <w:noWrap w:val="0"/>
                  <w:vAlign w:val="center"/>
                </w:tcPr>
                <w:p w14:paraId="0C867C1B">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val="en-US" w:eastAsia="zh-CN"/>
                    </w:rPr>
                  </w:pPr>
                  <w:r>
                    <w:rPr>
                      <w:rFonts w:hint="default"/>
                      <w:color w:val="auto"/>
                      <w:szCs w:val="21"/>
                      <w:highlight w:val="none"/>
                    </w:rPr>
                    <w:t>布袋除尘器</w:t>
                  </w:r>
                  <w:r>
                    <w:rPr>
                      <w:rFonts w:hint="eastAsia"/>
                      <w:color w:val="auto"/>
                      <w:szCs w:val="21"/>
                      <w:highlight w:val="none"/>
                      <w:lang w:eastAsia="zh-CN"/>
                    </w:rPr>
                    <w:t>（</w:t>
                  </w:r>
                  <w:r>
                    <w:rPr>
                      <w:rFonts w:hint="eastAsia"/>
                      <w:color w:val="auto"/>
                      <w:szCs w:val="21"/>
                      <w:highlight w:val="none"/>
                      <w:lang w:val="en-US" w:eastAsia="zh-CN"/>
                    </w:rPr>
                    <w:t>TA001</w:t>
                  </w:r>
                  <w:r>
                    <w:rPr>
                      <w:rFonts w:hint="eastAsia"/>
                      <w:color w:val="auto"/>
                      <w:szCs w:val="21"/>
                      <w:highlight w:val="none"/>
                      <w:lang w:eastAsia="zh-CN"/>
                    </w:rPr>
                    <w:t>）</w:t>
                  </w:r>
                </w:p>
              </w:tc>
              <w:tc>
                <w:tcPr>
                  <w:tcW w:w="961" w:type="pct"/>
                  <w:vMerge w:val="restart"/>
                  <w:tcBorders>
                    <w:tl2br w:val="nil"/>
                    <w:tr2bl w:val="nil"/>
                  </w:tcBorders>
                  <w:noWrap w:val="0"/>
                  <w:vAlign w:val="center"/>
                </w:tcPr>
                <w:p w14:paraId="1CC8CE7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eastAsia="zh-CN"/>
                    </w:rPr>
                  </w:pPr>
                  <w:r>
                    <w:rPr>
                      <w:rFonts w:hint="default"/>
                      <w:color w:val="auto"/>
                      <w:szCs w:val="21"/>
                      <w:highlight w:val="none"/>
                    </w:rPr>
                    <w:t>DA00</w:t>
                  </w:r>
                  <w:r>
                    <w:rPr>
                      <w:rFonts w:hint="eastAsia"/>
                      <w:color w:val="auto"/>
                      <w:szCs w:val="21"/>
                      <w:highlight w:val="none"/>
                      <w:lang w:val="en-US" w:eastAsia="zh-CN"/>
                    </w:rPr>
                    <w:t>8</w:t>
                  </w:r>
                </w:p>
              </w:tc>
            </w:tr>
            <w:tr w14:paraId="3EE6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389DB87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eastAsia"/>
                      <w:color w:val="auto"/>
                      <w:szCs w:val="21"/>
                      <w:highlight w:val="none"/>
                      <w:lang w:val="en-US" w:eastAsia="zh-CN"/>
                    </w:rPr>
                    <w:t>2#料仓</w:t>
                  </w:r>
                </w:p>
              </w:tc>
              <w:tc>
                <w:tcPr>
                  <w:tcW w:w="1424" w:type="pct"/>
                  <w:tcBorders>
                    <w:tl2br w:val="nil"/>
                    <w:tr2bl w:val="nil"/>
                  </w:tcBorders>
                  <w:noWrap w:val="0"/>
                  <w:vAlign w:val="center"/>
                </w:tcPr>
                <w:p w14:paraId="29461A7A">
                  <w:pPr>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10368</w:t>
                  </w:r>
                </w:p>
              </w:tc>
              <w:tc>
                <w:tcPr>
                  <w:tcW w:w="1156" w:type="pct"/>
                  <w:vMerge w:val="continue"/>
                  <w:tcBorders>
                    <w:tl2br w:val="nil"/>
                    <w:tr2bl w:val="nil"/>
                  </w:tcBorders>
                  <w:noWrap w:val="0"/>
                  <w:vAlign w:val="center"/>
                </w:tcPr>
                <w:p w14:paraId="707A7C7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961" w:type="pct"/>
                  <w:vMerge w:val="continue"/>
                  <w:tcBorders>
                    <w:tl2br w:val="nil"/>
                    <w:tr2bl w:val="nil"/>
                  </w:tcBorders>
                  <w:noWrap w:val="0"/>
                  <w:vAlign w:val="center"/>
                </w:tcPr>
                <w:p w14:paraId="242CC26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269B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64F5301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3#料仓</w:t>
                  </w:r>
                </w:p>
              </w:tc>
              <w:tc>
                <w:tcPr>
                  <w:tcW w:w="1424" w:type="pct"/>
                  <w:tcBorders>
                    <w:tl2br w:val="nil"/>
                    <w:tr2bl w:val="nil"/>
                  </w:tcBorders>
                  <w:noWrap w:val="0"/>
                  <w:vAlign w:val="center"/>
                </w:tcPr>
                <w:p w14:paraId="7968AA5E">
                  <w:pPr>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10368</w:t>
                  </w:r>
                </w:p>
              </w:tc>
              <w:tc>
                <w:tcPr>
                  <w:tcW w:w="1156" w:type="pct"/>
                  <w:vMerge w:val="continue"/>
                  <w:tcBorders>
                    <w:tl2br w:val="nil"/>
                    <w:tr2bl w:val="nil"/>
                  </w:tcBorders>
                  <w:noWrap w:val="0"/>
                  <w:vAlign w:val="center"/>
                </w:tcPr>
                <w:p w14:paraId="7780CFB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961" w:type="pct"/>
                  <w:vMerge w:val="continue"/>
                  <w:tcBorders>
                    <w:tl2br w:val="nil"/>
                    <w:tr2bl w:val="nil"/>
                  </w:tcBorders>
                  <w:noWrap w:val="0"/>
                  <w:vAlign w:val="center"/>
                </w:tcPr>
                <w:p w14:paraId="2B73E920">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305D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60E77F8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合计</w:t>
                  </w:r>
                </w:p>
              </w:tc>
              <w:tc>
                <w:tcPr>
                  <w:tcW w:w="1424" w:type="pct"/>
                  <w:tcBorders>
                    <w:tl2br w:val="nil"/>
                    <w:tr2bl w:val="nil"/>
                  </w:tcBorders>
                  <w:noWrap w:val="0"/>
                  <w:vAlign w:val="center"/>
                </w:tcPr>
                <w:p w14:paraId="43B4B5D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31104</w:t>
                  </w:r>
                </w:p>
              </w:tc>
              <w:tc>
                <w:tcPr>
                  <w:tcW w:w="1156" w:type="pct"/>
                  <w:vMerge w:val="continue"/>
                  <w:tcBorders>
                    <w:tl2br w:val="nil"/>
                    <w:tr2bl w:val="nil"/>
                  </w:tcBorders>
                  <w:noWrap w:val="0"/>
                  <w:vAlign w:val="center"/>
                </w:tcPr>
                <w:p w14:paraId="50923AF0">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961" w:type="pct"/>
                  <w:vMerge w:val="continue"/>
                  <w:tcBorders>
                    <w:tl2br w:val="nil"/>
                    <w:tr2bl w:val="nil"/>
                  </w:tcBorders>
                  <w:noWrap w:val="0"/>
                  <w:vAlign w:val="center"/>
                </w:tcPr>
                <w:p w14:paraId="36B2D14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bl>
          <w:p w14:paraId="09ADFE8E">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ascii="Times New Roman" w:hAnsi="Times New Roman" w:eastAsia="宋体" w:cs="Times New Roman"/>
                <w:snapToGrid w:val="0"/>
                <w:color w:val="auto"/>
                <w:sz w:val="24"/>
                <w:szCs w:val="20"/>
                <w:highlight w:val="none"/>
                <w:lang w:val="en-US" w:eastAsia="zh-CN"/>
              </w:rPr>
            </w:pPr>
            <w:r>
              <w:rPr>
                <w:rFonts w:hint="eastAsia" w:ascii="Times New Roman" w:hAnsi="Times New Roman" w:eastAsia="宋体" w:cs="Times New Roman"/>
                <w:snapToGrid w:val="0"/>
                <w:color w:val="auto"/>
                <w:sz w:val="24"/>
                <w:szCs w:val="20"/>
                <w:highlight w:val="none"/>
                <w:lang w:val="en-US" w:eastAsia="zh-CN"/>
              </w:rPr>
              <w:t>经计算：</w:t>
            </w:r>
            <w:r>
              <w:rPr>
                <w:rFonts w:hint="eastAsia"/>
                <w:color w:val="auto"/>
                <w:sz w:val="24"/>
                <w:highlight w:val="none"/>
                <w:lang w:val="en-US" w:eastAsia="zh-CN"/>
              </w:rPr>
              <w:t>上料工序</w:t>
            </w:r>
            <w:r>
              <w:rPr>
                <w:rFonts w:hint="eastAsia" w:cs="Times New Roman"/>
                <w:snapToGrid w:val="0"/>
                <w:color w:val="auto"/>
                <w:sz w:val="24"/>
                <w:szCs w:val="20"/>
                <w:highlight w:val="none"/>
                <w:lang w:val="en-US" w:eastAsia="zh-CN"/>
              </w:rPr>
              <w:t>所需</w:t>
            </w:r>
            <w:r>
              <w:rPr>
                <w:rFonts w:hint="eastAsia" w:ascii="Times New Roman" w:hAnsi="Times New Roman" w:eastAsia="宋体" w:cs="Times New Roman"/>
                <w:snapToGrid w:val="0"/>
                <w:color w:val="auto"/>
                <w:sz w:val="24"/>
                <w:szCs w:val="20"/>
                <w:highlight w:val="none"/>
                <w:lang w:val="en-US" w:eastAsia="zh-CN"/>
              </w:rPr>
              <w:t>风量为</w:t>
            </w:r>
            <w:r>
              <w:rPr>
                <w:rFonts w:hint="eastAsia" w:cs="Times New Roman"/>
                <w:snapToGrid w:val="0"/>
                <w:color w:val="auto"/>
                <w:sz w:val="24"/>
                <w:szCs w:val="20"/>
                <w:highlight w:val="none"/>
                <w:lang w:val="en-US" w:eastAsia="zh-CN"/>
              </w:rPr>
              <w:t>31104</w:t>
            </w:r>
            <w:r>
              <w:rPr>
                <w:rFonts w:hint="eastAsia" w:ascii="Times New Roman" w:hAnsi="Times New Roman" w:eastAsia="宋体" w:cs="Times New Roman"/>
                <w:snapToGrid w:val="0"/>
                <w:color w:val="auto"/>
                <w:sz w:val="24"/>
                <w:szCs w:val="20"/>
                <w:highlight w:val="none"/>
                <w:lang w:val="en-US" w:eastAsia="zh-CN"/>
              </w:rPr>
              <w:t>m</w:t>
            </w:r>
            <w:r>
              <w:rPr>
                <w:rFonts w:hint="eastAsia" w:ascii="Times New Roman" w:hAnsi="Times New Roman" w:eastAsia="宋体" w:cs="Times New Roman"/>
                <w:snapToGrid w:val="0"/>
                <w:color w:val="auto"/>
                <w:sz w:val="24"/>
                <w:szCs w:val="20"/>
                <w:highlight w:val="none"/>
                <w:vertAlign w:val="superscript"/>
                <w:lang w:val="en-US" w:eastAsia="zh-CN"/>
              </w:rPr>
              <w:t>3</w:t>
            </w:r>
            <w:r>
              <w:rPr>
                <w:rFonts w:hint="eastAsia" w:ascii="Times New Roman" w:hAnsi="Times New Roman" w:eastAsia="宋体" w:cs="Times New Roman"/>
                <w:snapToGrid w:val="0"/>
                <w:color w:val="auto"/>
                <w:sz w:val="24"/>
                <w:szCs w:val="20"/>
                <w:highlight w:val="none"/>
                <w:lang w:val="en-US" w:eastAsia="zh-CN"/>
              </w:rPr>
              <w:t>/h</w:t>
            </w:r>
            <w:r>
              <w:rPr>
                <w:rFonts w:hint="eastAsia" w:cs="Times New Roman"/>
                <w:snapToGrid w:val="0"/>
                <w:color w:val="auto"/>
                <w:sz w:val="24"/>
                <w:szCs w:val="20"/>
                <w:highlight w:val="none"/>
                <w:lang w:val="en-US" w:eastAsia="zh-CN"/>
              </w:rPr>
              <w:t>。</w:t>
            </w:r>
            <w:r>
              <w:rPr>
                <w:rFonts w:hint="eastAsia" w:ascii="Times New Roman" w:hAnsi="Times New Roman" w:eastAsia="宋体" w:cs="Times New Roman"/>
                <w:snapToGrid w:val="0"/>
                <w:color w:val="auto"/>
                <w:sz w:val="24"/>
                <w:szCs w:val="20"/>
                <w:highlight w:val="none"/>
                <w:lang w:val="en-US" w:eastAsia="zh-CN"/>
              </w:rPr>
              <w:t>布袋材质：覆膜（PTFE）涤纶针刺毡，过滤风速0.8m/min，过滤面积</w:t>
            </w:r>
            <w:r>
              <w:rPr>
                <w:rFonts w:hint="eastAsia" w:cs="Times New Roman"/>
                <w:snapToGrid w:val="0"/>
                <w:color w:val="auto"/>
                <w:sz w:val="24"/>
                <w:szCs w:val="20"/>
                <w:highlight w:val="none"/>
                <w:lang w:val="en-US" w:eastAsia="zh-CN"/>
              </w:rPr>
              <w:t>648</w:t>
            </w:r>
            <w:r>
              <w:rPr>
                <w:rFonts w:hint="eastAsia" w:ascii="Times New Roman" w:hAnsi="Times New Roman" w:eastAsia="宋体" w:cs="Times New Roman"/>
                <w:snapToGrid w:val="0"/>
                <w:color w:val="auto"/>
                <w:sz w:val="24"/>
                <w:szCs w:val="20"/>
                <w:highlight w:val="none"/>
                <w:lang w:val="en-US" w:eastAsia="zh-CN"/>
              </w:rPr>
              <w:t>m</w:t>
            </w:r>
            <w:r>
              <w:rPr>
                <w:rFonts w:hint="eastAsia" w:ascii="Times New Roman" w:hAnsi="Times New Roman" w:eastAsia="宋体" w:cs="Times New Roman"/>
                <w:snapToGrid w:val="0"/>
                <w:color w:val="auto"/>
                <w:sz w:val="24"/>
                <w:szCs w:val="20"/>
                <w:highlight w:val="none"/>
                <w:vertAlign w:val="superscript"/>
                <w:lang w:val="en-US" w:eastAsia="zh-CN"/>
              </w:rPr>
              <w:t>2</w:t>
            </w:r>
            <w:r>
              <w:rPr>
                <w:rFonts w:hint="eastAsia" w:cs="Times New Roman"/>
                <w:snapToGrid w:val="0"/>
                <w:color w:val="auto"/>
                <w:sz w:val="24"/>
                <w:szCs w:val="20"/>
                <w:highlight w:val="none"/>
                <w:lang w:val="en-US" w:eastAsia="zh-CN"/>
              </w:rPr>
              <w:t>。</w:t>
            </w:r>
          </w:p>
          <w:p w14:paraId="1958E5CE">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default" w:ascii="Times New Roman" w:hAnsi="Times New Roman" w:cs="Times New Roman"/>
                <w:color w:val="auto"/>
                <w:sz w:val="24"/>
                <w:szCs w:val="24"/>
                <w:highlight w:val="none"/>
                <w:vertAlign w:val="baseline"/>
                <w:lang w:val="en-US" w:eastAsia="zh-CN"/>
              </w:rPr>
            </w:pPr>
            <w:r>
              <w:rPr>
                <w:rFonts w:hint="eastAsia" w:eastAsia="宋体" w:cs="Times New Roman"/>
                <w:color w:val="auto"/>
                <w:kern w:val="2"/>
                <w:sz w:val="24"/>
                <w:szCs w:val="24"/>
                <w:highlight w:val="none"/>
                <w:lang w:val="en-US" w:eastAsia="zh-CN" w:bidi="ar-SA"/>
              </w:rPr>
              <w:t>参照同类型</w:t>
            </w:r>
            <w:r>
              <w:rPr>
                <w:rFonts w:hint="eastAsia" w:cs="Times New Roman"/>
                <w:color w:val="auto"/>
                <w:kern w:val="2"/>
                <w:sz w:val="24"/>
                <w:szCs w:val="24"/>
                <w:highlight w:val="none"/>
                <w:lang w:val="en-US" w:eastAsia="zh-CN" w:bidi="ar-SA"/>
              </w:rPr>
              <w:t>项目</w:t>
            </w:r>
            <w:r>
              <w:rPr>
                <w:rFonts w:hint="eastAsia" w:eastAsia="宋体" w:cs="Times New Roman"/>
                <w:color w:val="auto"/>
                <w:kern w:val="2"/>
                <w:sz w:val="24"/>
                <w:szCs w:val="24"/>
                <w:highlight w:val="none"/>
                <w:lang w:val="en-US" w:eastAsia="zh-CN" w:bidi="ar-SA"/>
              </w:rPr>
              <w:t>产尘系数</w:t>
            </w:r>
            <w:r>
              <w:rPr>
                <w:rFonts w:hint="eastAsia" w:ascii="Times New Roman" w:hAnsi="Times New Roman" w:eastAsia="宋体" w:cs="Times New Roman"/>
                <w:color w:val="auto"/>
                <w:kern w:val="2"/>
                <w:sz w:val="24"/>
                <w:szCs w:val="24"/>
                <w:highlight w:val="none"/>
                <w:lang w:val="en-US" w:eastAsia="zh-CN" w:bidi="ar-SA"/>
              </w:rPr>
              <w:t>按0.</w:t>
            </w:r>
            <w:r>
              <w:rPr>
                <w:rFonts w:hint="eastAsia" w:eastAsia="宋体" w:cs="Times New Roman"/>
                <w:color w:val="auto"/>
                <w:kern w:val="2"/>
                <w:sz w:val="24"/>
                <w:szCs w:val="24"/>
                <w:highlight w:val="none"/>
                <w:lang w:val="en-US" w:eastAsia="zh-CN" w:bidi="ar-SA"/>
              </w:rPr>
              <w:t>04</w:t>
            </w:r>
            <w:r>
              <w:rPr>
                <w:rFonts w:hint="eastAsia" w:ascii="Times New Roman" w:hAnsi="Times New Roman" w:eastAsia="宋体" w:cs="Times New Roman"/>
                <w:color w:val="auto"/>
                <w:kern w:val="2"/>
                <w:sz w:val="24"/>
                <w:szCs w:val="24"/>
                <w:highlight w:val="none"/>
                <w:lang w:val="en-US" w:eastAsia="zh-CN" w:bidi="ar-SA"/>
              </w:rPr>
              <w:t>kg/t</w:t>
            </w:r>
            <w:r>
              <w:rPr>
                <w:rFonts w:hint="eastAsia" w:ascii="Times New Roman" w:hAnsi="Times New Roman"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原料计算</w:t>
            </w:r>
            <w:r>
              <w:rPr>
                <w:rFonts w:hint="eastAsia" w:cs="Times New Roman"/>
                <w:color w:val="auto"/>
                <w:kern w:val="2"/>
                <w:sz w:val="24"/>
                <w:szCs w:val="24"/>
                <w:highlight w:val="none"/>
                <w:lang w:val="en-US" w:eastAsia="zh-CN" w:bidi="ar-SA"/>
              </w:rPr>
              <w:t>，本项目原料废钢铁年用量为30万t，年运行时间为7920h，</w:t>
            </w:r>
            <w:r>
              <w:rPr>
                <w:rFonts w:hint="eastAsia" w:ascii="Times New Roman" w:hAnsi="Times New Roman" w:cs="Times New Roman"/>
                <w:color w:val="auto"/>
                <w:sz w:val="24"/>
                <w:szCs w:val="24"/>
                <w:highlight w:val="none"/>
                <w:vertAlign w:val="baseline"/>
                <w:lang w:val="en-US" w:eastAsia="zh-CN"/>
              </w:rPr>
              <w:t>则有组织颗粒物产生量为</w:t>
            </w:r>
            <w:r>
              <w:rPr>
                <w:rFonts w:hint="eastAsia" w:cs="Times New Roman"/>
                <w:color w:val="auto"/>
                <w:sz w:val="24"/>
                <w:szCs w:val="24"/>
                <w:highlight w:val="none"/>
                <w:vertAlign w:val="baseline"/>
                <w:lang w:val="en-US" w:eastAsia="zh-CN"/>
              </w:rPr>
              <w:t>12</w:t>
            </w:r>
            <w:r>
              <w:rPr>
                <w:rFonts w:hint="default" w:ascii="Times New Roman" w:hAnsi="Times New Roman" w:cs="Times New Roman"/>
                <w:color w:val="auto"/>
                <w:sz w:val="24"/>
                <w:szCs w:val="24"/>
                <w:highlight w:val="none"/>
                <w:vertAlign w:val="baseline"/>
                <w:lang w:val="en-US" w:eastAsia="zh-CN"/>
              </w:rPr>
              <w:t>t/a</w:t>
            </w:r>
            <w:r>
              <w:rPr>
                <w:rFonts w:hint="eastAsia"/>
                <w:color w:val="auto"/>
                <w:sz w:val="24"/>
                <w:szCs w:val="24"/>
                <w:highlight w:val="none"/>
                <w:lang w:val="en-US" w:eastAsia="zh-CN"/>
              </w:rPr>
              <w:t>，产生速率</w:t>
            </w:r>
            <w:r>
              <w:rPr>
                <w:rFonts w:hint="eastAsia" w:cs="Times New Roman"/>
                <w:color w:val="auto"/>
                <w:sz w:val="24"/>
                <w:szCs w:val="24"/>
                <w:highlight w:val="none"/>
                <w:lang w:val="en-US" w:eastAsia="zh-CN"/>
              </w:rPr>
              <w:t>1.52</w:t>
            </w:r>
            <w:r>
              <w:rPr>
                <w:rFonts w:hint="default" w:ascii="Times New Roman" w:hAnsi="Times New Roman" w:cs="Times New Roman"/>
                <w:color w:val="auto"/>
                <w:sz w:val="24"/>
                <w:szCs w:val="24"/>
                <w:highlight w:val="none"/>
                <w:lang w:val="en-US" w:eastAsia="zh-CN"/>
              </w:rPr>
              <w:t>kg/h</w:t>
            </w:r>
            <w:r>
              <w:rPr>
                <w:rFonts w:hint="eastAsia" w:cs="Times New Roman"/>
                <w:color w:val="auto"/>
                <w:sz w:val="24"/>
                <w:szCs w:val="24"/>
                <w:highlight w:val="none"/>
                <w:vertAlign w:val="baseline"/>
                <w:lang w:val="en-US" w:eastAsia="zh-CN"/>
              </w:rPr>
              <w:t>，产生浓度为48.87</w:t>
            </w:r>
            <w:r>
              <w:rPr>
                <w:rFonts w:hint="default" w:ascii="Times New Roman" w:hAnsi="Times New Roman" w:eastAsia="宋体" w:cs="Times New Roman"/>
                <w:color w:val="auto"/>
                <w:spacing w:val="0"/>
                <w:position w:val="0"/>
                <w:sz w:val="24"/>
                <w:highlight w:val="none"/>
                <w:lang w:val="en-US" w:eastAsia="zh-CN"/>
              </w:rPr>
              <w:t>mg/m</w:t>
            </w:r>
            <w:r>
              <w:rPr>
                <w:rFonts w:hint="default" w:ascii="Times New Roman" w:hAnsi="Times New Roman" w:eastAsia="宋体" w:cs="Times New Roman"/>
                <w:color w:val="auto"/>
                <w:spacing w:val="0"/>
                <w:position w:val="0"/>
                <w:sz w:val="24"/>
                <w:highlight w:val="none"/>
                <w:vertAlign w:val="superscript"/>
                <w:lang w:val="en-US" w:eastAsia="zh-CN"/>
              </w:rPr>
              <w:t>3</w:t>
            </w:r>
            <w:r>
              <w:rPr>
                <w:rFonts w:hint="eastAsia" w:cs="Times New Roman"/>
                <w:color w:val="auto"/>
                <w:spacing w:val="0"/>
                <w:position w:val="0"/>
                <w:sz w:val="24"/>
                <w:highlight w:val="none"/>
                <w:vertAlign w:val="baseline"/>
                <w:lang w:val="en-US" w:eastAsia="zh-CN"/>
              </w:rPr>
              <w:t>。</w:t>
            </w:r>
          </w:p>
          <w:p w14:paraId="075FFC7D">
            <w:pPr>
              <w:keepNext w:val="0"/>
              <w:keepLines w:val="0"/>
              <w:suppressLineNumbers w:val="0"/>
              <w:spacing w:before="0" w:beforeAutospacing="0" w:after="0" w:afterAutospacing="0" w:line="460" w:lineRule="exact"/>
              <w:ind w:left="0" w:right="0" w:firstLine="480"/>
              <w:rPr>
                <w:rFonts w:hint="default"/>
                <w:color w:val="auto"/>
                <w:sz w:val="24"/>
                <w:highlight w:val="none"/>
              </w:rPr>
            </w:pPr>
            <w:r>
              <w:rPr>
                <w:rFonts w:hint="default"/>
                <w:color w:val="auto"/>
                <w:sz w:val="24"/>
                <w:highlight w:val="none"/>
              </w:rPr>
              <w:t>颗粒物排放浓度按许可排放浓度10mg/m</w:t>
            </w:r>
            <w:r>
              <w:rPr>
                <w:rFonts w:hint="default"/>
                <w:color w:val="auto"/>
                <w:sz w:val="24"/>
                <w:highlight w:val="none"/>
                <w:vertAlign w:val="superscript"/>
              </w:rPr>
              <w:t>3</w:t>
            </w:r>
            <w:r>
              <w:rPr>
                <w:rFonts w:hint="default"/>
                <w:color w:val="auto"/>
                <w:sz w:val="24"/>
                <w:highlight w:val="none"/>
              </w:rPr>
              <w:t>计，依据颗粒物许可排放浓度、风量和年设计运行时间，有组织颗粒物排放量为：</w:t>
            </w:r>
            <w:r>
              <w:rPr>
                <w:rFonts w:hint="eastAsia" w:cs="Times New Roman"/>
                <w:snapToGrid w:val="0"/>
                <w:color w:val="auto"/>
                <w:sz w:val="24"/>
                <w:szCs w:val="20"/>
                <w:highlight w:val="none"/>
                <w:lang w:val="en-US" w:eastAsia="zh-CN"/>
              </w:rPr>
              <w:t>31104</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/h×10mg/m</w:t>
            </w:r>
            <w:r>
              <w:rPr>
                <w:rFonts w:hint="default"/>
                <w:color w:val="auto"/>
                <w:sz w:val="24"/>
                <w:highlight w:val="none"/>
                <w:vertAlign w:val="superscript"/>
              </w:rPr>
              <w:t>3</w:t>
            </w:r>
            <w:r>
              <w:rPr>
                <w:rFonts w:hint="default"/>
                <w:color w:val="auto"/>
                <w:sz w:val="24"/>
                <w:highlight w:val="none"/>
              </w:rPr>
              <w:t>×3</w:t>
            </w:r>
            <w:r>
              <w:rPr>
                <w:rFonts w:hint="eastAsia"/>
                <w:color w:val="auto"/>
                <w:sz w:val="24"/>
                <w:highlight w:val="none"/>
                <w:lang w:val="en-US" w:eastAsia="zh-CN"/>
              </w:rPr>
              <w:t>3</w:t>
            </w:r>
            <w:r>
              <w:rPr>
                <w:rFonts w:hint="default"/>
                <w:color w:val="auto"/>
                <w:sz w:val="24"/>
                <w:highlight w:val="none"/>
              </w:rPr>
              <w:t>0d/a×24h×</w:t>
            </w:r>
            <w:r>
              <w:rPr>
                <w:rFonts w:hint="eastAsia"/>
                <w:color w:val="auto"/>
                <w:sz w:val="24"/>
                <w:highlight w:val="none"/>
                <w:lang w:val="en-US" w:eastAsia="zh-CN"/>
              </w:rPr>
              <w:t>10</w:t>
            </w:r>
            <w:r>
              <w:rPr>
                <w:rFonts w:hint="eastAsia"/>
                <w:color w:val="auto"/>
                <w:sz w:val="24"/>
                <w:highlight w:val="none"/>
                <w:vertAlign w:val="superscript"/>
                <w:lang w:val="en-US" w:eastAsia="zh-CN"/>
              </w:rPr>
              <w:t>-9</w:t>
            </w:r>
            <w:r>
              <w:rPr>
                <w:rFonts w:hint="default"/>
                <w:color w:val="auto"/>
                <w:sz w:val="24"/>
                <w:highlight w:val="none"/>
              </w:rPr>
              <w:t>=</w:t>
            </w:r>
            <w:r>
              <w:rPr>
                <w:rFonts w:hint="eastAsia"/>
                <w:color w:val="auto"/>
                <w:sz w:val="24"/>
                <w:highlight w:val="none"/>
                <w:lang w:val="en-US" w:eastAsia="zh-CN"/>
              </w:rPr>
              <w:t>2.463</w:t>
            </w:r>
            <w:r>
              <w:rPr>
                <w:rFonts w:hint="default"/>
                <w:color w:val="auto"/>
                <w:sz w:val="24"/>
                <w:highlight w:val="none"/>
              </w:rPr>
              <w:t>t/a</w:t>
            </w:r>
          </w:p>
          <w:p w14:paraId="56E1E195">
            <w:pPr>
              <w:keepNext w:val="0"/>
              <w:keepLines w:val="0"/>
              <w:suppressLineNumbers w:val="0"/>
              <w:spacing w:before="0" w:beforeAutospacing="0" w:after="0" w:afterAutospacing="0" w:line="460" w:lineRule="exact"/>
              <w:ind w:left="0" w:right="0" w:firstLine="480"/>
              <w:rPr>
                <w:rFonts w:hint="default"/>
                <w:color w:val="auto"/>
                <w:sz w:val="24"/>
                <w:highlight w:val="none"/>
              </w:rPr>
            </w:pPr>
            <w:r>
              <w:rPr>
                <w:rFonts w:hint="default"/>
                <w:color w:val="auto"/>
                <w:sz w:val="24"/>
                <w:highlight w:val="none"/>
              </w:rPr>
              <w:t>排放速率</w:t>
            </w:r>
            <w:r>
              <w:rPr>
                <w:rFonts w:hint="eastAsia"/>
                <w:color w:val="auto"/>
                <w:sz w:val="24"/>
                <w:highlight w:val="none"/>
                <w:lang w:eastAsia="zh-CN"/>
              </w:rPr>
              <w:t>：</w:t>
            </w:r>
            <w:r>
              <w:rPr>
                <w:rFonts w:hint="eastAsia"/>
                <w:color w:val="auto"/>
                <w:sz w:val="24"/>
                <w:highlight w:val="none"/>
                <w:lang w:val="en-US" w:eastAsia="zh-CN"/>
              </w:rPr>
              <w:t>2.463</w:t>
            </w:r>
            <w:r>
              <w:rPr>
                <w:rFonts w:hint="default"/>
                <w:color w:val="auto"/>
                <w:sz w:val="24"/>
                <w:highlight w:val="none"/>
              </w:rPr>
              <w:t>t/a÷3</w:t>
            </w:r>
            <w:r>
              <w:rPr>
                <w:rFonts w:hint="eastAsia"/>
                <w:color w:val="auto"/>
                <w:sz w:val="24"/>
                <w:highlight w:val="none"/>
                <w:lang w:val="en-US" w:eastAsia="zh-CN"/>
              </w:rPr>
              <w:t>3</w:t>
            </w:r>
            <w:r>
              <w:rPr>
                <w:rFonts w:hint="default"/>
                <w:color w:val="auto"/>
                <w:sz w:val="24"/>
                <w:highlight w:val="none"/>
              </w:rPr>
              <w:t>0d/a÷24h/d×</w:t>
            </w:r>
            <w:r>
              <w:rPr>
                <w:rFonts w:hint="eastAsia"/>
                <w:color w:val="auto"/>
                <w:sz w:val="24"/>
                <w:highlight w:val="none"/>
                <w:lang w:val="en-US" w:eastAsia="zh-CN"/>
              </w:rPr>
              <w:t>10</w:t>
            </w:r>
            <w:r>
              <w:rPr>
                <w:rFonts w:hint="eastAsia"/>
                <w:color w:val="auto"/>
                <w:sz w:val="24"/>
                <w:highlight w:val="none"/>
                <w:vertAlign w:val="superscript"/>
                <w:lang w:val="en-US" w:eastAsia="zh-CN"/>
              </w:rPr>
              <w:t>3</w:t>
            </w:r>
            <w:r>
              <w:rPr>
                <w:rFonts w:hint="default"/>
                <w:color w:val="auto"/>
                <w:sz w:val="24"/>
                <w:highlight w:val="none"/>
              </w:rPr>
              <w:t>=0.</w:t>
            </w:r>
            <w:r>
              <w:rPr>
                <w:rFonts w:hint="eastAsia"/>
                <w:color w:val="auto"/>
                <w:sz w:val="24"/>
                <w:highlight w:val="none"/>
                <w:lang w:val="en-US" w:eastAsia="zh-CN"/>
              </w:rPr>
              <w:t>31</w:t>
            </w:r>
            <w:r>
              <w:rPr>
                <w:rFonts w:hint="default"/>
                <w:color w:val="auto"/>
                <w:sz w:val="24"/>
                <w:highlight w:val="none"/>
              </w:rPr>
              <w:t>kg/h</w:t>
            </w:r>
          </w:p>
          <w:p w14:paraId="61144CF3">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cs="Times New Roman"/>
                <w:color w:val="auto"/>
                <w:sz w:val="24"/>
                <w:highlight w:val="none"/>
                <w:lang w:val="en-US" w:eastAsia="zh-CN"/>
              </w:rPr>
            </w:pPr>
            <w:r>
              <w:rPr>
                <w:rFonts w:hint="default"/>
                <w:color w:val="auto"/>
                <w:sz w:val="24"/>
                <w:highlight w:val="none"/>
              </w:rPr>
              <w:t>集气罩未收集到的颗粒物通过全封闭车间无组织排放，无组织产生量为</w:t>
            </w:r>
            <w:r>
              <w:rPr>
                <w:rFonts w:hint="eastAsia"/>
                <w:color w:val="auto"/>
                <w:sz w:val="24"/>
                <w:highlight w:val="none"/>
                <w:lang w:val="en-US" w:eastAsia="zh-CN"/>
              </w:rPr>
              <w:t>12</w:t>
            </w:r>
            <w:r>
              <w:rPr>
                <w:rFonts w:hint="default"/>
                <w:color w:val="auto"/>
                <w:sz w:val="24"/>
                <w:highlight w:val="none"/>
              </w:rPr>
              <w:t>t/a×（1-9</w:t>
            </w:r>
            <w:r>
              <w:rPr>
                <w:rFonts w:hint="eastAsia"/>
                <w:color w:val="auto"/>
                <w:sz w:val="24"/>
                <w:highlight w:val="none"/>
                <w:lang w:val="en-US" w:eastAsia="zh-CN"/>
              </w:rPr>
              <w:t>0</w:t>
            </w:r>
            <w:r>
              <w:rPr>
                <w:rFonts w:hint="default"/>
                <w:color w:val="auto"/>
                <w:sz w:val="24"/>
                <w:highlight w:val="none"/>
              </w:rPr>
              <w:t>%）=</w:t>
            </w:r>
            <w:r>
              <w:rPr>
                <w:rFonts w:hint="eastAsia"/>
                <w:color w:val="auto"/>
                <w:sz w:val="24"/>
                <w:highlight w:val="none"/>
                <w:lang w:val="en-US" w:eastAsia="zh-CN"/>
              </w:rPr>
              <w:t>1.2</w:t>
            </w:r>
            <w:r>
              <w:rPr>
                <w:rFonts w:hint="default"/>
                <w:color w:val="auto"/>
                <w:sz w:val="24"/>
                <w:highlight w:val="none"/>
              </w:rPr>
              <w:t>t/a。</w:t>
            </w:r>
            <w:r>
              <w:rPr>
                <w:rFonts w:hint="eastAsia"/>
                <w:color w:val="auto"/>
                <w:sz w:val="24"/>
                <w:highlight w:val="none"/>
                <w:lang w:val="en-US" w:eastAsia="zh-CN"/>
              </w:rPr>
              <w:t>本项目生产车间为</w:t>
            </w:r>
            <w:r>
              <w:rPr>
                <w:rFonts w:hint="default"/>
                <w:color w:val="auto"/>
                <w:sz w:val="24"/>
                <w:highlight w:val="none"/>
              </w:rPr>
              <w:t>全封闭</w:t>
            </w:r>
            <w:r>
              <w:rPr>
                <w:rFonts w:hint="eastAsia"/>
                <w:color w:val="auto"/>
                <w:sz w:val="24"/>
                <w:highlight w:val="none"/>
                <w:lang w:val="en-US" w:eastAsia="zh-CN"/>
              </w:rPr>
              <w:t>钢混</w:t>
            </w:r>
            <w:r>
              <w:rPr>
                <w:rFonts w:hint="default"/>
                <w:color w:val="auto"/>
                <w:sz w:val="24"/>
                <w:highlight w:val="none"/>
              </w:rPr>
              <w:t>结构，颗粒物经车间阻隔后在车间内重力沉降，车间阻隔效率按90%计，则颗粒物无组织排放量为</w:t>
            </w:r>
            <w:r>
              <w:rPr>
                <w:rFonts w:hint="eastAsia"/>
                <w:color w:val="auto"/>
                <w:sz w:val="24"/>
                <w:highlight w:val="none"/>
                <w:lang w:val="en-US" w:eastAsia="zh-CN"/>
              </w:rPr>
              <w:t>0.12</w:t>
            </w:r>
            <w:r>
              <w:rPr>
                <w:rFonts w:hint="default"/>
                <w:color w:val="auto"/>
                <w:sz w:val="24"/>
                <w:highlight w:val="none"/>
              </w:rPr>
              <w:t>t/a。</w:t>
            </w:r>
          </w:p>
          <w:p w14:paraId="545F1D3A">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cs="Times New Roman"/>
                <w:color w:val="auto"/>
                <w:sz w:val="24"/>
                <w:highlight w:val="none"/>
                <w:lang w:val="en-US" w:eastAsia="zh-CN"/>
              </w:rPr>
            </w:pPr>
            <w:r>
              <w:rPr>
                <w:rFonts w:hint="eastAsia" w:cs="Times New Roman"/>
                <w:color w:val="auto"/>
                <w:sz w:val="24"/>
                <w:highlight w:val="none"/>
                <w:lang w:val="en-US" w:eastAsia="zh-CN"/>
              </w:rPr>
              <w:t>③回转窑加热烟气</w:t>
            </w:r>
          </w:p>
          <w:p w14:paraId="3518C60F">
            <w:pPr>
              <w:keepNext w:val="0"/>
              <w:keepLines w:val="0"/>
              <w:suppressLineNumbers w:val="0"/>
              <w:spacing w:before="0" w:beforeAutospacing="0" w:after="0" w:afterAutospacing="0" w:line="460" w:lineRule="exact"/>
              <w:ind w:left="0" w:right="0" w:firstLine="480" w:firstLineChars="200"/>
              <w:rPr>
                <w:rFonts w:hint="default"/>
                <w:bCs/>
                <w:color w:val="auto"/>
                <w:sz w:val="24"/>
                <w:highlight w:val="none"/>
              </w:rPr>
            </w:pPr>
            <w:r>
              <w:rPr>
                <w:rFonts w:hint="default"/>
                <w:bCs/>
                <w:color w:val="auto"/>
                <w:sz w:val="24"/>
                <w:highlight w:val="none"/>
              </w:rPr>
              <w:t>本项目设置1座</w:t>
            </w:r>
            <w:r>
              <w:rPr>
                <w:rFonts w:hint="eastAsia"/>
                <w:bCs/>
                <w:color w:val="auto"/>
                <w:sz w:val="24"/>
                <w:highlight w:val="none"/>
                <w:lang w:val="en-US" w:eastAsia="zh-CN"/>
              </w:rPr>
              <w:t>回转窑</w:t>
            </w:r>
            <w:r>
              <w:rPr>
                <w:rFonts w:hint="default"/>
                <w:bCs/>
                <w:color w:val="auto"/>
                <w:sz w:val="24"/>
                <w:highlight w:val="none"/>
              </w:rPr>
              <w:t>用于</w:t>
            </w:r>
            <w:r>
              <w:rPr>
                <w:rFonts w:hint="eastAsia"/>
                <w:bCs/>
                <w:color w:val="auto"/>
                <w:sz w:val="24"/>
                <w:highlight w:val="none"/>
                <w:lang w:val="en-US" w:eastAsia="zh-CN"/>
              </w:rPr>
              <w:t>原料废钢铁</w:t>
            </w:r>
            <w:r>
              <w:rPr>
                <w:rFonts w:hint="default"/>
                <w:bCs/>
                <w:color w:val="auto"/>
                <w:sz w:val="24"/>
                <w:highlight w:val="none"/>
              </w:rPr>
              <w:t>加热，燃料使用天然气。废钢铁的平均比热按</w:t>
            </w:r>
            <w:r>
              <w:rPr>
                <w:rFonts w:hint="default"/>
                <w:color w:val="auto"/>
                <w:sz w:val="24"/>
                <w:highlight w:val="none"/>
                <w:shd w:val="clear" w:color="auto" w:fill="FFFFFF"/>
              </w:rPr>
              <w:t>0.46×10</w:t>
            </w:r>
            <w:r>
              <w:rPr>
                <w:rFonts w:hint="default"/>
                <w:color w:val="auto"/>
                <w:sz w:val="24"/>
                <w:highlight w:val="none"/>
                <w:shd w:val="clear" w:color="auto" w:fill="FFFFFF"/>
                <w:vertAlign w:val="superscript"/>
              </w:rPr>
              <w:t>3</w:t>
            </w:r>
            <w:r>
              <w:rPr>
                <w:rFonts w:hint="default"/>
                <w:color w:val="auto"/>
                <w:sz w:val="24"/>
                <w:highlight w:val="none"/>
                <w:shd w:val="clear" w:color="auto" w:fill="FFFFFF"/>
              </w:rPr>
              <w:t>焦/</w:t>
            </w:r>
            <w:r>
              <w:rPr>
                <w:rFonts w:hint="eastAsia"/>
                <w:color w:val="auto"/>
                <w:sz w:val="24"/>
                <w:highlight w:val="none"/>
                <w:shd w:val="clear" w:color="auto" w:fill="FFFFFF"/>
                <w:lang w:eastAsia="zh-CN"/>
              </w:rPr>
              <w:t>（</w:t>
            </w:r>
            <w:r>
              <w:rPr>
                <w:rFonts w:hint="default"/>
                <w:color w:val="auto"/>
                <w:sz w:val="24"/>
                <w:highlight w:val="none"/>
                <w:shd w:val="clear" w:color="auto" w:fill="FFFFFF"/>
              </w:rPr>
              <w:t>千克*摄氏度</w:t>
            </w:r>
            <w:r>
              <w:rPr>
                <w:rFonts w:hint="eastAsia"/>
                <w:color w:val="auto"/>
                <w:sz w:val="24"/>
                <w:highlight w:val="none"/>
                <w:shd w:val="clear" w:color="auto" w:fill="FFFFFF"/>
                <w:lang w:eastAsia="zh-CN"/>
              </w:rPr>
              <w:t>）</w:t>
            </w:r>
            <w:r>
              <w:rPr>
                <w:rFonts w:hint="default"/>
                <w:color w:val="auto"/>
                <w:sz w:val="24"/>
                <w:highlight w:val="none"/>
                <w:shd w:val="clear" w:color="auto" w:fill="FFFFFF"/>
              </w:rPr>
              <w:t>计，则</w:t>
            </w:r>
            <w:r>
              <w:rPr>
                <w:rFonts w:hint="default"/>
                <w:bCs/>
                <w:color w:val="auto"/>
                <w:sz w:val="24"/>
                <w:highlight w:val="none"/>
              </w:rPr>
              <w:t>1t废钢铁加热到</w:t>
            </w:r>
            <w:r>
              <w:rPr>
                <w:rFonts w:hint="default"/>
                <w:color w:val="auto"/>
                <w:sz w:val="24"/>
                <w:highlight w:val="none"/>
              </w:rPr>
              <w:t>800℃，</w:t>
            </w:r>
            <w:r>
              <w:rPr>
                <w:rFonts w:hint="default"/>
                <w:bCs/>
                <w:color w:val="auto"/>
                <w:sz w:val="24"/>
                <w:highlight w:val="none"/>
              </w:rPr>
              <w:t>需热量358</w:t>
            </w:r>
            <w:r>
              <w:rPr>
                <w:rFonts w:hint="eastAsia"/>
                <w:bCs/>
                <w:color w:val="auto"/>
                <w:sz w:val="24"/>
                <w:highlight w:val="none"/>
                <w:lang w:val="en-US" w:eastAsia="zh-CN"/>
              </w:rPr>
              <w:t>.</w:t>
            </w:r>
            <w:r>
              <w:rPr>
                <w:rFonts w:hint="default"/>
                <w:bCs/>
                <w:color w:val="auto"/>
                <w:sz w:val="24"/>
                <w:highlight w:val="none"/>
              </w:rPr>
              <w:t>8</w:t>
            </w:r>
            <w:r>
              <w:rPr>
                <w:rFonts w:hint="eastAsia"/>
                <w:bCs/>
                <w:color w:val="auto"/>
                <w:sz w:val="24"/>
                <w:highlight w:val="none"/>
                <w:lang w:val="en-US" w:eastAsia="zh-CN"/>
              </w:rPr>
              <w:t>M</w:t>
            </w:r>
            <w:r>
              <w:rPr>
                <w:rFonts w:hint="default"/>
                <w:bCs/>
                <w:color w:val="auto"/>
                <w:sz w:val="24"/>
                <w:highlight w:val="none"/>
              </w:rPr>
              <w:t>J。本项目需加热的废钢铁约3</w:t>
            </w:r>
            <w:r>
              <w:rPr>
                <w:rFonts w:hint="eastAsia"/>
                <w:bCs/>
                <w:color w:val="auto"/>
                <w:sz w:val="24"/>
                <w:highlight w:val="none"/>
                <w:lang w:val="en-US" w:eastAsia="zh-CN"/>
              </w:rPr>
              <w:t>0</w:t>
            </w:r>
            <w:r>
              <w:rPr>
                <w:rFonts w:hint="default"/>
                <w:bCs/>
                <w:color w:val="auto"/>
                <w:sz w:val="24"/>
                <w:highlight w:val="none"/>
              </w:rPr>
              <w:t>万吨，根据天然气参数可知，天然气热值为</w:t>
            </w:r>
            <w:r>
              <w:rPr>
                <w:rFonts w:hint="eastAsia"/>
                <w:bCs/>
                <w:color w:val="auto"/>
                <w:sz w:val="24"/>
                <w:highlight w:val="none"/>
                <w:lang w:val="en-US" w:eastAsia="zh-CN"/>
              </w:rPr>
              <w:t>32.892</w:t>
            </w:r>
            <w:r>
              <w:rPr>
                <w:rFonts w:hint="default"/>
                <w:color w:val="auto"/>
                <w:kern w:val="0"/>
                <w:sz w:val="24"/>
                <w:highlight w:val="none"/>
              </w:rPr>
              <w:t>MJ/m</w:t>
            </w:r>
            <w:r>
              <w:rPr>
                <w:rFonts w:hint="default"/>
                <w:color w:val="auto"/>
                <w:kern w:val="0"/>
                <w:sz w:val="24"/>
                <w:highlight w:val="none"/>
                <w:vertAlign w:val="superscript"/>
              </w:rPr>
              <w:t>3</w:t>
            </w:r>
            <w:r>
              <w:rPr>
                <w:rFonts w:hint="default"/>
                <w:bCs/>
                <w:color w:val="auto"/>
                <w:sz w:val="24"/>
                <w:highlight w:val="none"/>
              </w:rPr>
              <w:t>，经计算，本项目天然气用量为</w:t>
            </w:r>
            <w:r>
              <w:rPr>
                <w:rFonts w:hint="eastAsia"/>
                <w:bCs/>
                <w:color w:val="auto"/>
                <w:sz w:val="24"/>
                <w:highlight w:val="none"/>
                <w:lang w:val="en-US" w:eastAsia="zh-CN"/>
              </w:rPr>
              <w:t>327.25</w:t>
            </w:r>
            <w:r>
              <w:rPr>
                <w:rFonts w:hint="default"/>
                <w:bCs/>
                <w:color w:val="auto"/>
                <w:sz w:val="24"/>
                <w:highlight w:val="none"/>
              </w:rPr>
              <w:t>万m</w:t>
            </w:r>
            <w:r>
              <w:rPr>
                <w:rFonts w:hint="default"/>
                <w:bCs/>
                <w:color w:val="auto"/>
                <w:sz w:val="24"/>
                <w:highlight w:val="none"/>
                <w:vertAlign w:val="superscript"/>
              </w:rPr>
              <w:t>3</w:t>
            </w:r>
            <w:r>
              <w:rPr>
                <w:rFonts w:hint="default"/>
                <w:bCs/>
                <w:color w:val="auto"/>
                <w:sz w:val="24"/>
                <w:highlight w:val="none"/>
              </w:rPr>
              <w:t>/a。</w:t>
            </w:r>
          </w:p>
          <w:p w14:paraId="6E652C69">
            <w:pPr>
              <w:keepNext w:val="0"/>
              <w:keepLines w:val="0"/>
              <w:suppressLineNumbers w:val="0"/>
              <w:spacing w:before="0" w:beforeAutospacing="0" w:after="0" w:afterAutospacing="0" w:line="460" w:lineRule="exact"/>
              <w:ind w:left="0" w:right="0" w:firstLine="480" w:firstLineChars="200"/>
              <w:rPr>
                <w:rFonts w:hint="default"/>
                <w:bCs/>
                <w:color w:val="auto"/>
                <w:sz w:val="24"/>
                <w:highlight w:val="none"/>
              </w:rPr>
            </w:pPr>
            <w:r>
              <w:rPr>
                <w:rFonts w:hint="default"/>
                <w:bCs/>
                <w:color w:val="auto"/>
                <w:sz w:val="24"/>
                <w:highlight w:val="none"/>
              </w:rPr>
              <w:t>本项目加热过程中产生的污染物主要为天然气燃烧过程产生的污染物（包括颗粒物、SO</w:t>
            </w:r>
            <w:r>
              <w:rPr>
                <w:rFonts w:hint="default"/>
                <w:bCs/>
                <w:color w:val="auto"/>
                <w:sz w:val="24"/>
                <w:highlight w:val="none"/>
                <w:vertAlign w:val="subscript"/>
              </w:rPr>
              <w:t>2</w:t>
            </w:r>
            <w:r>
              <w:rPr>
                <w:rFonts w:hint="default"/>
                <w:bCs/>
                <w:color w:val="auto"/>
                <w:sz w:val="24"/>
                <w:highlight w:val="none"/>
              </w:rPr>
              <w:t>、NOx）以及</w:t>
            </w:r>
            <w:r>
              <w:rPr>
                <w:rFonts w:hint="eastAsia"/>
                <w:bCs/>
                <w:color w:val="auto"/>
                <w:sz w:val="24"/>
                <w:highlight w:val="none"/>
                <w:lang w:val="en-US" w:eastAsia="zh-CN"/>
              </w:rPr>
              <w:t>回转窑</w:t>
            </w:r>
            <w:r>
              <w:rPr>
                <w:rFonts w:hint="default"/>
                <w:color w:val="auto"/>
                <w:kern w:val="0"/>
                <w:sz w:val="24"/>
                <w:highlight w:val="none"/>
                <w:lang w:bidi="ar"/>
              </w:rPr>
              <w:t>加热过程中物料翻滚产生的颗粒物</w:t>
            </w:r>
            <w:r>
              <w:rPr>
                <w:rFonts w:hint="default"/>
                <w:bCs/>
                <w:color w:val="auto"/>
                <w:sz w:val="24"/>
                <w:highlight w:val="none"/>
              </w:rPr>
              <w:t>。</w:t>
            </w:r>
          </w:p>
          <w:p w14:paraId="70D1692A">
            <w:pPr>
              <w:keepNext w:val="0"/>
              <w:keepLines w:val="0"/>
              <w:widowControl/>
              <w:suppressLineNumbers w:val="0"/>
              <w:spacing w:before="0" w:beforeAutospacing="0" w:after="0" w:afterAutospacing="0" w:line="480" w:lineRule="exact"/>
              <w:ind w:left="0" w:right="0" w:firstLine="482"/>
              <w:rPr>
                <w:rFonts w:hint="default"/>
                <w:color w:val="auto"/>
                <w:sz w:val="24"/>
                <w:highlight w:val="none"/>
              </w:rPr>
            </w:pPr>
            <w:r>
              <w:rPr>
                <w:rFonts w:hint="default"/>
                <w:color w:val="auto"/>
                <w:sz w:val="24"/>
                <w:highlight w:val="none"/>
              </w:rPr>
              <w:t>根据</w:t>
            </w:r>
            <w:bookmarkStart w:id="14" w:name="_Hlk142056879"/>
            <w:r>
              <w:rPr>
                <w:rFonts w:hint="default"/>
                <w:color w:val="auto"/>
                <w:sz w:val="24"/>
                <w:highlight w:val="none"/>
              </w:rPr>
              <w:t>《排放源统计调查产排污核算方法和系数手册》</w:t>
            </w:r>
            <w:bookmarkEnd w:id="14"/>
            <w:r>
              <w:rPr>
                <w:rFonts w:hint="default"/>
                <w:color w:val="auto"/>
                <w:sz w:val="24"/>
                <w:highlight w:val="none"/>
              </w:rPr>
              <w:t>中33-37，431-434机械行业系数手册热处理行业，天然气燃烧的工业废气量为13.6Nm</w:t>
            </w:r>
            <w:r>
              <w:rPr>
                <w:rFonts w:hint="default"/>
                <w:color w:val="auto"/>
                <w:sz w:val="24"/>
                <w:highlight w:val="none"/>
                <w:vertAlign w:val="superscript"/>
              </w:rPr>
              <w:t>3</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燃料，颗粒物的产生量为0.000286kg/m</w:t>
            </w:r>
            <w:r>
              <w:rPr>
                <w:rFonts w:hint="default"/>
                <w:color w:val="auto"/>
                <w:sz w:val="24"/>
                <w:highlight w:val="none"/>
                <w:vertAlign w:val="superscript"/>
              </w:rPr>
              <w:t>3</w:t>
            </w:r>
            <w:r>
              <w:rPr>
                <w:rFonts w:hint="default"/>
                <w:color w:val="auto"/>
                <w:sz w:val="24"/>
                <w:highlight w:val="none"/>
              </w:rPr>
              <w:t>燃料，SO</w:t>
            </w:r>
            <w:r>
              <w:rPr>
                <w:rFonts w:hint="default"/>
                <w:color w:val="auto"/>
                <w:sz w:val="24"/>
                <w:highlight w:val="none"/>
                <w:vertAlign w:val="subscript"/>
              </w:rPr>
              <w:t>2</w:t>
            </w:r>
            <w:r>
              <w:rPr>
                <w:rFonts w:hint="default"/>
                <w:color w:val="auto"/>
                <w:sz w:val="24"/>
                <w:highlight w:val="none"/>
              </w:rPr>
              <w:t>的产生量为0.000002Skg/m</w:t>
            </w:r>
            <w:r>
              <w:rPr>
                <w:rFonts w:hint="default"/>
                <w:color w:val="auto"/>
                <w:sz w:val="24"/>
                <w:highlight w:val="none"/>
                <w:vertAlign w:val="superscript"/>
              </w:rPr>
              <w:t>3</w:t>
            </w:r>
            <w:r>
              <w:rPr>
                <w:rFonts w:hint="default"/>
                <w:color w:val="auto"/>
                <w:sz w:val="24"/>
                <w:highlight w:val="none"/>
              </w:rPr>
              <w:t>燃料</w:t>
            </w:r>
            <w:r>
              <w:rPr>
                <w:rFonts w:hint="eastAsia"/>
                <w:color w:val="auto"/>
                <w:sz w:val="24"/>
                <w:highlight w:val="none"/>
                <w:lang w:eastAsia="zh-CN"/>
              </w:rPr>
              <w:t>（</w:t>
            </w:r>
            <w:r>
              <w:rPr>
                <w:rFonts w:hint="default"/>
                <w:color w:val="auto"/>
                <w:sz w:val="24"/>
                <w:highlight w:val="none"/>
              </w:rPr>
              <w:t>S指天然气含硫量，本项目S</w:t>
            </w:r>
            <w:r>
              <w:rPr>
                <w:rFonts w:hint="eastAsia"/>
                <w:color w:val="auto"/>
                <w:sz w:val="24"/>
                <w:highlight w:val="none"/>
                <w:lang w:val="en-US" w:eastAsia="zh-CN"/>
              </w:rPr>
              <w:t>按20</w:t>
            </w:r>
            <w:r>
              <w:rPr>
                <w:rFonts w:hint="default"/>
                <w:color w:val="auto"/>
                <w:sz w:val="24"/>
                <w:highlight w:val="none"/>
              </w:rPr>
              <w:t>mg/m</w:t>
            </w:r>
            <w:r>
              <w:rPr>
                <w:rFonts w:hint="default"/>
                <w:color w:val="auto"/>
                <w:sz w:val="24"/>
                <w:highlight w:val="none"/>
                <w:vertAlign w:val="superscript"/>
              </w:rPr>
              <w:t>3</w:t>
            </w:r>
            <w:r>
              <w:rPr>
                <w:rFonts w:hint="eastAsia"/>
                <w:color w:val="auto"/>
                <w:sz w:val="24"/>
                <w:highlight w:val="none"/>
                <w:lang w:eastAsia="zh-CN"/>
              </w:rPr>
              <w:t>）</w:t>
            </w:r>
            <w:r>
              <w:rPr>
                <w:rFonts w:hint="default"/>
                <w:color w:val="auto"/>
                <w:sz w:val="24"/>
                <w:highlight w:val="none"/>
              </w:rPr>
              <w:t>，NO</w:t>
            </w:r>
            <w:r>
              <w:rPr>
                <w:rFonts w:hint="default"/>
                <w:color w:val="auto"/>
                <w:sz w:val="24"/>
                <w:highlight w:val="none"/>
                <w:vertAlign w:val="subscript"/>
              </w:rPr>
              <w:t>x</w:t>
            </w:r>
            <w:r>
              <w:rPr>
                <w:rFonts w:hint="default"/>
                <w:color w:val="auto"/>
                <w:sz w:val="24"/>
                <w:highlight w:val="none"/>
              </w:rPr>
              <w:t>产生量0.00187kg/m</w:t>
            </w:r>
            <w:r>
              <w:rPr>
                <w:rFonts w:hint="default"/>
                <w:color w:val="auto"/>
                <w:sz w:val="24"/>
                <w:highlight w:val="none"/>
                <w:vertAlign w:val="superscript"/>
              </w:rPr>
              <w:t>3</w:t>
            </w:r>
            <w:r>
              <w:rPr>
                <w:rFonts w:hint="default"/>
                <w:color w:val="auto"/>
                <w:sz w:val="24"/>
                <w:highlight w:val="none"/>
              </w:rPr>
              <w:t>燃料，本项目</w:t>
            </w:r>
            <w:r>
              <w:rPr>
                <w:rFonts w:hint="eastAsia"/>
                <w:color w:val="auto"/>
                <w:sz w:val="24"/>
                <w:highlight w:val="none"/>
                <w:lang w:val="en-US" w:eastAsia="zh-CN"/>
              </w:rPr>
              <w:t>回转窑的</w:t>
            </w:r>
            <w:r>
              <w:rPr>
                <w:rFonts w:hint="default"/>
                <w:color w:val="auto"/>
                <w:sz w:val="24"/>
                <w:highlight w:val="none"/>
              </w:rPr>
              <w:t>工业废气量为</w:t>
            </w:r>
            <w:r>
              <w:rPr>
                <w:rFonts w:hint="eastAsia"/>
                <w:color w:val="auto"/>
                <w:sz w:val="24"/>
                <w:highlight w:val="none"/>
                <w:lang w:val="en-US" w:eastAsia="zh-CN"/>
              </w:rPr>
              <w:t>4450.6</w:t>
            </w:r>
            <w:r>
              <w:rPr>
                <w:rFonts w:hint="default"/>
                <w:color w:val="auto"/>
                <w:sz w:val="24"/>
                <w:highlight w:val="none"/>
              </w:rPr>
              <w:t>万</w:t>
            </w:r>
            <w:r>
              <w:rPr>
                <w:rFonts w:hint="eastAsia"/>
                <w:color w:val="auto"/>
                <w:sz w:val="24"/>
                <w:highlight w:val="none"/>
                <w:lang w:val="en-US" w:eastAsia="zh-CN"/>
              </w:rPr>
              <w:t>N</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/a</w:t>
            </w:r>
            <w:r>
              <w:rPr>
                <w:rFonts w:hint="eastAsia"/>
                <w:color w:val="auto"/>
                <w:sz w:val="24"/>
                <w:highlight w:val="none"/>
                <w:lang w:eastAsia="zh-CN"/>
              </w:rPr>
              <w:t>（</w:t>
            </w:r>
            <w:r>
              <w:rPr>
                <w:rFonts w:hint="eastAsia"/>
                <w:color w:val="auto"/>
                <w:sz w:val="24"/>
                <w:highlight w:val="none"/>
                <w:lang w:val="en-US" w:eastAsia="zh-CN"/>
              </w:rPr>
              <w:t>5619</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/h</w:t>
            </w:r>
            <w:r>
              <w:rPr>
                <w:rFonts w:hint="eastAsia"/>
                <w:color w:val="auto"/>
                <w:sz w:val="24"/>
                <w:highlight w:val="none"/>
                <w:lang w:eastAsia="zh-CN"/>
              </w:rPr>
              <w:t>）</w:t>
            </w:r>
            <w:r>
              <w:rPr>
                <w:rFonts w:hint="default"/>
                <w:color w:val="auto"/>
                <w:sz w:val="24"/>
                <w:highlight w:val="none"/>
              </w:rPr>
              <w:t>，颗粒物的产生量为</w:t>
            </w:r>
            <w:r>
              <w:rPr>
                <w:rFonts w:hint="eastAsia"/>
                <w:color w:val="auto"/>
                <w:sz w:val="24"/>
                <w:highlight w:val="none"/>
                <w:lang w:val="en-US" w:eastAsia="zh-CN"/>
              </w:rPr>
              <w:t>0.936</w:t>
            </w:r>
            <w:r>
              <w:rPr>
                <w:rFonts w:hint="default"/>
                <w:color w:val="auto"/>
                <w:sz w:val="24"/>
                <w:highlight w:val="none"/>
              </w:rPr>
              <w:t>t/a，SO</w:t>
            </w:r>
            <w:r>
              <w:rPr>
                <w:rFonts w:hint="default"/>
                <w:color w:val="auto"/>
                <w:sz w:val="24"/>
                <w:highlight w:val="none"/>
                <w:vertAlign w:val="subscript"/>
              </w:rPr>
              <w:t>2</w:t>
            </w:r>
            <w:r>
              <w:rPr>
                <w:rFonts w:hint="default"/>
                <w:color w:val="auto"/>
                <w:sz w:val="24"/>
                <w:highlight w:val="none"/>
              </w:rPr>
              <w:t>的产生量为</w:t>
            </w:r>
            <w:r>
              <w:rPr>
                <w:rFonts w:hint="eastAsia"/>
                <w:color w:val="auto"/>
                <w:sz w:val="24"/>
                <w:highlight w:val="none"/>
                <w:lang w:val="en-US" w:eastAsia="zh-CN"/>
              </w:rPr>
              <w:t>0.131</w:t>
            </w:r>
            <w:r>
              <w:rPr>
                <w:rFonts w:hint="default"/>
                <w:color w:val="auto"/>
                <w:sz w:val="24"/>
                <w:highlight w:val="none"/>
              </w:rPr>
              <w:t>t/a，产生浓度为</w:t>
            </w:r>
            <w:r>
              <w:rPr>
                <w:rFonts w:hint="eastAsia"/>
                <w:color w:val="auto"/>
                <w:sz w:val="24"/>
                <w:highlight w:val="none"/>
                <w:lang w:val="en-US" w:eastAsia="zh-CN"/>
              </w:rPr>
              <w:t>2.94</w:t>
            </w:r>
            <w:r>
              <w:rPr>
                <w:rFonts w:hint="default"/>
                <w:color w:val="auto"/>
                <w:sz w:val="24"/>
                <w:highlight w:val="none"/>
              </w:rPr>
              <w:t>mg/m</w:t>
            </w:r>
            <w:r>
              <w:rPr>
                <w:rFonts w:hint="default"/>
                <w:color w:val="auto"/>
                <w:sz w:val="24"/>
                <w:highlight w:val="none"/>
                <w:vertAlign w:val="superscript"/>
              </w:rPr>
              <w:t>3</w:t>
            </w:r>
            <w:r>
              <w:rPr>
                <w:rFonts w:hint="default"/>
                <w:color w:val="auto"/>
                <w:sz w:val="24"/>
                <w:highlight w:val="none"/>
              </w:rPr>
              <w:t>，NO</w:t>
            </w:r>
            <w:r>
              <w:rPr>
                <w:rFonts w:hint="default"/>
                <w:color w:val="auto"/>
                <w:sz w:val="24"/>
                <w:highlight w:val="none"/>
                <w:vertAlign w:val="subscript"/>
              </w:rPr>
              <w:t>x</w:t>
            </w:r>
            <w:r>
              <w:rPr>
                <w:rFonts w:hint="default"/>
                <w:color w:val="auto"/>
                <w:sz w:val="24"/>
                <w:highlight w:val="none"/>
              </w:rPr>
              <w:t>产生量</w:t>
            </w:r>
            <w:r>
              <w:rPr>
                <w:rFonts w:hint="eastAsia"/>
                <w:color w:val="auto"/>
                <w:sz w:val="24"/>
                <w:highlight w:val="none"/>
                <w:lang w:val="en-US" w:eastAsia="zh-CN"/>
              </w:rPr>
              <w:t>6.12</w:t>
            </w:r>
            <w:r>
              <w:rPr>
                <w:rFonts w:hint="default"/>
                <w:color w:val="auto"/>
                <w:sz w:val="24"/>
                <w:highlight w:val="none"/>
              </w:rPr>
              <w:t>t/a，产生浓度为</w:t>
            </w:r>
            <w:r>
              <w:rPr>
                <w:rFonts w:hint="eastAsia"/>
                <w:color w:val="auto"/>
                <w:sz w:val="24"/>
                <w:highlight w:val="none"/>
                <w:lang w:val="en-US" w:eastAsia="zh-CN"/>
              </w:rPr>
              <w:t>137.5</w:t>
            </w:r>
            <w:r>
              <w:rPr>
                <w:rFonts w:hint="default"/>
                <w:color w:val="auto"/>
                <w:sz w:val="24"/>
                <w:highlight w:val="none"/>
              </w:rPr>
              <w:t>mg/m</w:t>
            </w:r>
            <w:r>
              <w:rPr>
                <w:rFonts w:hint="default"/>
                <w:color w:val="auto"/>
                <w:sz w:val="24"/>
                <w:highlight w:val="none"/>
                <w:vertAlign w:val="superscript"/>
              </w:rPr>
              <w:t>3</w:t>
            </w:r>
            <w:r>
              <w:rPr>
                <w:rFonts w:hint="default"/>
                <w:color w:val="auto"/>
                <w:sz w:val="24"/>
                <w:highlight w:val="none"/>
              </w:rPr>
              <w:t>。</w:t>
            </w:r>
          </w:p>
          <w:p w14:paraId="588AEB25">
            <w:pPr>
              <w:keepNext w:val="0"/>
              <w:keepLines w:val="0"/>
              <w:widowControl/>
              <w:suppressLineNumbers w:val="0"/>
              <w:spacing w:before="0" w:beforeAutospacing="0" w:after="0" w:afterAutospacing="0" w:line="480" w:lineRule="exact"/>
              <w:ind w:left="0" w:right="0" w:firstLine="480"/>
              <w:rPr>
                <w:rFonts w:hint="eastAsia" w:eastAsia="宋体"/>
                <w:color w:val="auto"/>
                <w:sz w:val="24"/>
                <w:highlight w:val="none"/>
                <w:lang w:val="en-US" w:eastAsia="zh-CN"/>
              </w:rPr>
            </w:pPr>
            <w:r>
              <w:rPr>
                <w:rFonts w:hint="default"/>
                <w:color w:val="auto"/>
                <w:kern w:val="0"/>
                <w:sz w:val="24"/>
                <w:highlight w:val="none"/>
                <w:lang w:bidi="ar"/>
              </w:rPr>
              <w:t>经类比，</w:t>
            </w:r>
            <w:r>
              <w:rPr>
                <w:rFonts w:hint="eastAsia"/>
                <w:color w:val="auto"/>
                <w:kern w:val="0"/>
                <w:sz w:val="24"/>
                <w:highlight w:val="none"/>
                <w:lang w:val="en-US" w:eastAsia="zh-CN" w:bidi="ar"/>
              </w:rPr>
              <w:t>回转窑</w:t>
            </w:r>
            <w:r>
              <w:rPr>
                <w:rFonts w:hint="default"/>
                <w:color w:val="auto"/>
                <w:kern w:val="0"/>
                <w:sz w:val="24"/>
                <w:highlight w:val="none"/>
                <w:lang w:bidi="ar"/>
              </w:rPr>
              <w:t>加热过程中物料翻滚产生的颗粒物的量约为物料量的万分之二，物料量为3</w:t>
            </w:r>
            <w:r>
              <w:rPr>
                <w:rFonts w:hint="eastAsia"/>
                <w:color w:val="auto"/>
                <w:kern w:val="0"/>
                <w:sz w:val="24"/>
                <w:highlight w:val="none"/>
                <w:lang w:val="en-US" w:eastAsia="zh-CN" w:bidi="ar"/>
              </w:rPr>
              <w:t>0</w:t>
            </w:r>
            <w:r>
              <w:rPr>
                <w:rFonts w:hint="default"/>
                <w:color w:val="auto"/>
                <w:kern w:val="0"/>
                <w:sz w:val="24"/>
                <w:highlight w:val="none"/>
                <w:lang w:bidi="ar"/>
              </w:rPr>
              <w:t>万t，则颗粒物产生量为6</w:t>
            </w:r>
            <w:r>
              <w:rPr>
                <w:rFonts w:hint="eastAsia"/>
                <w:color w:val="auto"/>
                <w:kern w:val="0"/>
                <w:sz w:val="24"/>
                <w:highlight w:val="none"/>
                <w:lang w:val="en-US" w:eastAsia="zh-CN" w:bidi="ar"/>
              </w:rPr>
              <w:t>0</w:t>
            </w:r>
            <w:r>
              <w:rPr>
                <w:rFonts w:hint="default"/>
                <w:color w:val="auto"/>
                <w:kern w:val="0"/>
                <w:sz w:val="24"/>
                <w:highlight w:val="none"/>
                <w:lang w:bidi="ar"/>
              </w:rPr>
              <w:t>t/a</w:t>
            </w:r>
            <w:r>
              <w:rPr>
                <w:rFonts w:hint="eastAsia"/>
                <w:color w:val="auto"/>
                <w:kern w:val="0"/>
                <w:sz w:val="24"/>
                <w:highlight w:val="none"/>
                <w:lang w:eastAsia="zh-CN" w:bidi="ar"/>
              </w:rPr>
              <w:t>，</w:t>
            </w:r>
            <w:r>
              <w:rPr>
                <w:rFonts w:hint="eastAsia"/>
                <w:color w:val="auto"/>
                <w:kern w:val="0"/>
                <w:sz w:val="24"/>
                <w:highlight w:val="none"/>
                <w:lang w:val="en-US" w:eastAsia="zh-CN" w:bidi="ar"/>
              </w:rPr>
              <w:t>则颗粒物总产生量为6</w:t>
            </w:r>
            <w:r>
              <w:rPr>
                <w:rFonts w:hint="eastAsia"/>
                <w:color w:val="auto"/>
                <w:sz w:val="24"/>
                <w:highlight w:val="none"/>
                <w:lang w:val="en-US" w:eastAsia="zh-CN"/>
              </w:rPr>
              <w:t>0.936</w:t>
            </w:r>
            <w:r>
              <w:rPr>
                <w:rFonts w:hint="default"/>
                <w:color w:val="auto"/>
                <w:sz w:val="24"/>
                <w:highlight w:val="none"/>
              </w:rPr>
              <w:t>t/a</w:t>
            </w:r>
            <w:r>
              <w:rPr>
                <w:rFonts w:hint="eastAsia"/>
                <w:color w:val="auto"/>
                <w:sz w:val="24"/>
                <w:highlight w:val="none"/>
                <w:lang w:eastAsia="zh-CN"/>
              </w:rPr>
              <w:t>，</w:t>
            </w:r>
            <w:r>
              <w:rPr>
                <w:rFonts w:hint="default"/>
                <w:color w:val="auto"/>
                <w:sz w:val="24"/>
                <w:highlight w:val="none"/>
              </w:rPr>
              <w:t>产生浓度为</w:t>
            </w:r>
            <w:r>
              <w:rPr>
                <w:rFonts w:hint="eastAsia"/>
                <w:color w:val="auto"/>
                <w:sz w:val="24"/>
                <w:highlight w:val="none"/>
                <w:lang w:val="en-US" w:eastAsia="zh-CN"/>
              </w:rPr>
              <w:t>1369</w:t>
            </w:r>
            <w:r>
              <w:rPr>
                <w:rFonts w:hint="default"/>
                <w:color w:val="auto"/>
                <w:sz w:val="24"/>
                <w:highlight w:val="none"/>
              </w:rPr>
              <w:t>mg/m</w:t>
            </w:r>
            <w:r>
              <w:rPr>
                <w:rFonts w:hint="default"/>
                <w:color w:val="auto"/>
                <w:sz w:val="24"/>
                <w:highlight w:val="none"/>
                <w:vertAlign w:val="superscript"/>
              </w:rPr>
              <w:t>3</w:t>
            </w:r>
            <w:r>
              <w:rPr>
                <w:rFonts w:hint="eastAsia"/>
                <w:color w:val="auto"/>
                <w:sz w:val="24"/>
                <w:highlight w:val="none"/>
                <w:lang w:val="en-US" w:eastAsia="zh-CN"/>
              </w:rPr>
              <w:t>。</w:t>
            </w:r>
          </w:p>
          <w:p w14:paraId="7AB58DD5">
            <w:pPr>
              <w:keepNext w:val="0"/>
              <w:keepLines w:val="0"/>
              <w:suppressLineNumbers w:val="0"/>
              <w:adjustRightInd w:val="0"/>
              <w:spacing w:before="0" w:beforeAutospacing="0" w:after="0" w:afterAutospacing="0" w:line="480" w:lineRule="exact"/>
              <w:ind w:left="0" w:right="0" w:firstLine="480" w:firstLineChars="200"/>
              <w:rPr>
                <w:rFonts w:hint="default"/>
                <w:color w:val="auto"/>
                <w:sz w:val="24"/>
                <w:highlight w:val="none"/>
              </w:rPr>
            </w:pPr>
            <w:r>
              <w:rPr>
                <w:rFonts w:hint="eastAsia"/>
                <w:color w:val="auto"/>
                <w:kern w:val="0"/>
                <w:sz w:val="24"/>
                <w:highlight w:val="none"/>
                <w:lang w:val="en-US" w:eastAsia="zh-CN" w:bidi="ar"/>
              </w:rPr>
              <w:t>回转窑燃烧</w:t>
            </w:r>
            <w:r>
              <w:rPr>
                <w:rFonts w:hint="default"/>
                <w:color w:val="auto"/>
                <w:kern w:val="0"/>
                <w:sz w:val="24"/>
                <w:highlight w:val="none"/>
                <w:lang w:bidi="ar"/>
              </w:rPr>
              <w:t>天然气采用低氮燃烧器，</w:t>
            </w:r>
            <w:r>
              <w:rPr>
                <w:rFonts w:hint="eastAsia"/>
                <w:color w:val="auto"/>
                <w:kern w:val="0"/>
                <w:sz w:val="24"/>
                <w:highlight w:val="none"/>
                <w:lang w:val="en-US" w:eastAsia="zh-CN" w:bidi="ar"/>
              </w:rPr>
              <w:t>回转窑</w:t>
            </w:r>
            <w:r>
              <w:rPr>
                <w:rFonts w:hint="default"/>
                <w:color w:val="auto"/>
                <w:sz w:val="24"/>
                <w:highlight w:val="none"/>
              </w:rPr>
              <w:t>烟气采用1台</w:t>
            </w:r>
            <w:r>
              <w:rPr>
                <w:rFonts w:hint="eastAsia"/>
                <w:color w:val="auto"/>
                <w:sz w:val="24"/>
                <w:highlight w:val="none"/>
                <w:lang w:val="en-US" w:eastAsia="zh-CN"/>
              </w:rPr>
              <w:t>旋风除尘器+</w:t>
            </w:r>
            <w:r>
              <w:rPr>
                <w:rFonts w:hint="default"/>
                <w:color w:val="auto"/>
                <w:sz w:val="24"/>
                <w:highlight w:val="none"/>
              </w:rPr>
              <w:t>1台</w:t>
            </w:r>
            <w:r>
              <w:rPr>
                <w:rFonts w:hint="eastAsia"/>
                <w:color w:val="auto"/>
                <w:sz w:val="24"/>
                <w:highlight w:val="none"/>
                <w:lang w:val="en-US" w:eastAsia="zh-CN"/>
              </w:rPr>
              <w:t>脉冲式</w:t>
            </w:r>
            <w:r>
              <w:rPr>
                <w:rFonts w:hint="default"/>
                <w:color w:val="auto"/>
                <w:sz w:val="24"/>
                <w:highlight w:val="none"/>
              </w:rPr>
              <w:t>布袋除尘器</w:t>
            </w:r>
            <w:r>
              <w:rPr>
                <w:rFonts w:hint="eastAsia"/>
                <w:color w:val="auto"/>
                <w:sz w:val="24"/>
                <w:highlight w:val="none"/>
                <w:lang w:eastAsia="zh-CN"/>
              </w:rPr>
              <w:t>（</w:t>
            </w:r>
            <w:r>
              <w:rPr>
                <w:rFonts w:hint="eastAsia"/>
                <w:color w:val="auto"/>
                <w:sz w:val="24"/>
                <w:highlight w:val="none"/>
                <w:lang w:val="en-US" w:eastAsia="zh-CN"/>
              </w:rPr>
              <w:t>TA002</w:t>
            </w:r>
            <w:r>
              <w:rPr>
                <w:rFonts w:hint="eastAsia"/>
                <w:color w:val="auto"/>
                <w:sz w:val="24"/>
                <w:highlight w:val="none"/>
                <w:lang w:eastAsia="zh-CN"/>
              </w:rPr>
              <w:t>）</w:t>
            </w:r>
            <w:r>
              <w:rPr>
                <w:rFonts w:hint="default"/>
                <w:color w:val="auto"/>
                <w:sz w:val="24"/>
                <w:highlight w:val="none"/>
              </w:rPr>
              <w:t>处理后经</w:t>
            </w:r>
            <w:r>
              <w:rPr>
                <w:rFonts w:hint="eastAsia"/>
                <w:color w:val="auto"/>
                <w:sz w:val="24"/>
                <w:highlight w:val="none"/>
                <w:lang w:val="en-US" w:eastAsia="zh-CN"/>
              </w:rPr>
              <w:t>20</w:t>
            </w:r>
            <w:r>
              <w:rPr>
                <w:rFonts w:hint="default"/>
                <w:color w:val="auto"/>
                <w:sz w:val="24"/>
                <w:highlight w:val="none"/>
              </w:rPr>
              <w:t>m高排气筒（DA00</w:t>
            </w:r>
            <w:r>
              <w:rPr>
                <w:rFonts w:hint="eastAsia"/>
                <w:color w:val="auto"/>
                <w:sz w:val="24"/>
                <w:highlight w:val="none"/>
                <w:lang w:val="en-US" w:eastAsia="zh-CN"/>
              </w:rPr>
              <w:t>9</w:t>
            </w:r>
            <w:r>
              <w:rPr>
                <w:rFonts w:hint="default"/>
                <w:color w:val="auto"/>
                <w:sz w:val="24"/>
                <w:highlight w:val="none"/>
              </w:rPr>
              <w:t>）排放。配套风机风量</w:t>
            </w:r>
            <w:r>
              <w:rPr>
                <w:rFonts w:hint="eastAsia"/>
                <w:color w:val="auto"/>
                <w:sz w:val="24"/>
                <w:highlight w:val="none"/>
                <w:lang w:val="en-US" w:eastAsia="zh-CN"/>
              </w:rPr>
              <w:t>为5619</w:t>
            </w:r>
            <w:r>
              <w:rPr>
                <w:rFonts w:hint="default"/>
                <w:color w:val="auto"/>
                <w:sz w:val="24"/>
                <w:highlight w:val="none"/>
              </w:rPr>
              <w:t>m</w:t>
            </w:r>
            <w:r>
              <w:rPr>
                <w:rFonts w:hint="eastAsia"/>
                <w:color w:val="auto"/>
                <w:sz w:val="24"/>
                <w:highlight w:val="none"/>
                <w:vertAlign w:val="superscript"/>
                <w:lang w:val="en-US" w:eastAsia="zh-CN"/>
              </w:rPr>
              <w:t>3</w:t>
            </w:r>
            <w:r>
              <w:rPr>
                <w:rFonts w:hint="default"/>
                <w:color w:val="auto"/>
                <w:sz w:val="24"/>
                <w:highlight w:val="none"/>
              </w:rPr>
              <w:t>/h，布袋除尘器布袋材质为耐高温滤袋，过滤风速0.</w:t>
            </w:r>
            <w:r>
              <w:rPr>
                <w:rFonts w:hint="eastAsia"/>
                <w:color w:val="auto"/>
                <w:sz w:val="24"/>
                <w:highlight w:val="none"/>
                <w:lang w:val="en-US" w:eastAsia="zh-CN"/>
              </w:rPr>
              <w:t>8</w:t>
            </w:r>
            <w:r>
              <w:rPr>
                <w:rFonts w:hint="default"/>
                <w:color w:val="auto"/>
                <w:sz w:val="24"/>
                <w:highlight w:val="none"/>
              </w:rPr>
              <w:t>m/min</w:t>
            </w:r>
            <w:r>
              <w:rPr>
                <w:rFonts w:hint="eastAsia"/>
                <w:color w:val="auto"/>
                <w:sz w:val="24"/>
                <w:highlight w:val="none"/>
                <w:lang w:eastAsia="zh-CN"/>
              </w:rPr>
              <w:t>，</w:t>
            </w:r>
            <w:r>
              <w:rPr>
                <w:rFonts w:hint="default"/>
                <w:color w:val="auto"/>
                <w:sz w:val="24"/>
                <w:highlight w:val="none"/>
              </w:rPr>
              <w:t>过滤面积</w:t>
            </w:r>
            <w:r>
              <w:rPr>
                <w:rFonts w:hint="eastAsia"/>
                <w:color w:val="auto"/>
                <w:sz w:val="24"/>
                <w:highlight w:val="none"/>
                <w:lang w:val="en-US" w:eastAsia="zh-CN"/>
              </w:rPr>
              <w:t>117</w:t>
            </w:r>
            <w:r>
              <w:rPr>
                <w:rFonts w:hint="default"/>
                <w:color w:val="auto"/>
                <w:sz w:val="24"/>
                <w:highlight w:val="none"/>
              </w:rPr>
              <w:t>m</w:t>
            </w:r>
            <w:r>
              <w:rPr>
                <w:rFonts w:hint="default"/>
                <w:color w:val="auto"/>
                <w:sz w:val="24"/>
                <w:highlight w:val="none"/>
                <w:vertAlign w:val="superscript"/>
              </w:rPr>
              <w:t>2</w:t>
            </w:r>
            <w:r>
              <w:rPr>
                <w:rFonts w:hint="default"/>
                <w:color w:val="auto"/>
                <w:sz w:val="24"/>
                <w:highlight w:val="none"/>
              </w:rPr>
              <w:t>。</w:t>
            </w:r>
          </w:p>
          <w:p w14:paraId="7FF5ED01">
            <w:pPr>
              <w:keepNext w:val="0"/>
              <w:keepLines w:val="0"/>
              <w:widowControl/>
              <w:suppressLineNumbers w:val="0"/>
              <w:spacing w:before="0" w:beforeAutospacing="0" w:after="0" w:afterAutospacing="0" w:line="480" w:lineRule="exact"/>
              <w:ind w:left="0" w:right="0" w:firstLine="482"/>
              <w:rPr>
                <w:rFonts w:hint="default"/>
                <w:color w:val="auto"/>
                <w:sz w:val="24"/>
                <w:highlight w:val="none"/>
              </w:rPr>
            </w:pPr>
            <w:r>
              <w:rPr>
                <w:rFonts w:hint="default"/>
                <w:color w:val="auto"/>
                <w:sz w:val="24"/>
                <w:highlight w:val="none"/>
              </w:rPr>
              <w:t>低氮燃烧器的脱硝效率为50%，</w:t>
            </w:r>
            <w:r>
              <w:rPr>
                <w:rFonts w:hint="eastAsia"/>
                <w:color w:val="auto"/>
                <w:sz w:val="24"/>
                <w:highlight w:val="none"/>
                <w:lang w:val="en-US" w:eastAsia="zh-CN"/>
              </w:rPr>
              <w:t>旋风除尘器的除尘效率为90%，脉冲式</w:t>
            </w:r>
            <w:r>
              <w:rPr>
                <w:rFonts w:hint="default"/>
                <w:color w:val="auto"/>
                <w:sz w:val="24"/>
                <w:highlight w:val="none"/>
              </w:rPr>
              <w:t>布袋除尘器的除尘效率为9</w:t>
            </w:r>
            <w:r>
              <w:rPr>
                <w:rFonts w:hint="eastAsia"/>
                <w:color w:val="auto"/>
                <w:sz w:val="24"/>
                <w:highlight w:val="none"/>
                <w:lang w:val="en-US" w:eastAsia="zh-CN"/>
              </w:rPr>
              <w:t>9</w:t>
            </w:r>
            <w:r>
              <w:rPr>
                <w:rFonts w:hint="default"/>
                <w:color w:val="auto"/>
                <w:sz w:val="24"/>
                <w:highlight w:val="none"/>
              </w:rPr>
              <w:t>%，则经采取</w:t>
            </w:r>
            <w:r>
              <w:rPr>
                <w:rFonts w:hint="eastAsia"/>
                <w:color w:val="auto"/>
                <w:sz w:val="24"/>
                <w:highlight w:val="none"/>
                <w:lang w:val="en-US" w:eastAsia="zh-CN"/>
              </w:rPr>
              <w:t>以上</w:t>
            </w:r>
            <w:r>
              <w:rPr>
                <w:rFonts w:hint="default"/>
                <w:color w:val="auto"/>
                <w:sz w:val="24"/>
                <w:highlight w:val="none"/>
              </w:rPr>
              <w:t>措施后，颗粒物的排放量为</w:t>
            </w:r>
            <w:r>
              <w:rPr>
                <w:rFonts w:hint="eastAsia"/>
                <w:color w:val="auto"/>
                <w:sz w:val="24"/>
                <w:highlight w:val="none"/>
                <w:lang w:val="en-US" w:eastAsia="zh-CN"/>
              </w:rPr>
              <w:t>0.061</w:t>
            </w:r>
            <w:r>
              <w:rPr>
                <w:rFonts w:hint="default"/>
                <w:color w:val="auto"/>
                <w:kern w:val="0"/>
                <w:sz w:val="24"/>
                <w:highlight w:val="none"/>
                <w:lang w:bidi="ar"/>
              </w:rPr>
              <w:t>t/a</w:t>
            </w:r>
            <w:r>
              <w:rPr>
                <w:rFonts w:hint="default"/>
                <w:color w:val="auto"/>
                <w:sz w:val="24"/>
                <w:highlight w:val="none"/>
              </w:rPr>
              <w:t>，排放浓度为</w:t>
            </w:r>
            <w:r>
              <w:rPr>
                <w:rFonts w:hint="eastAsia"/>
                <w:color w:val="auto"/>
                <w:sz w:val="24"/>
                <w:highlight w:val="none"/>
                <w:lang w:val="en-US" w:eastAsia="zh-CN"/>
              </w:rPr>
              <w:t>1.37</w:t>
            </w:r>
            <w:r>
              <w:rPr>
                <w:rFonts w:hint="default"/>
                <w:color w:val="auto"/>
                <w:sz w:val="24"/>
                <w:highlight w:val="none"/>
              </w:rPr>
              <w:t>mg/m</w:t>
            </w:r>
            <w:r>
              <w:rPr>
                <w:rFonts w:hint="default"/>
                <w:color w:val="auto"/>
                <w:sz w:val="24"/>
                <w:highlight w:val="none"/>
                <w:vertAlign w:val="superscript"/>
              </w:rPr>
              <w:t>3</w:t>
            </w:r>
            <w:r>
              <w:rPr>
                <w:rFonts w:hint="eastAsia"/>
                <w:color w:val="auto"/>
                <w:sz w:val="24"/>
                <w:highlight w:val="none"/>
                <w:lang w:eastAsia="zh-CN"/>
              </w:rPr>
              <w:t>；</w:t>
            </w:r>
            <w:r>
              <w:rPr>
                <w:rFonts w:hint="default"/>
                <w:color w:val="auto"/>
                <w:sz w:val="24"/>
                <w:highlight w:val="none"/>
              </w:rPr>
              <w:t>SO</w:t>
            </w:r>
            <w:r>
              <w:rPr>
                <w:rFonts w:hint="default"/>
                <w:color w:val="auto"/>
                <w:sz w:val="24"/>
                <w:highlight w:val="none"/>
                <w:vertAlign w:val="subscript"/>
              </w:rPr>
              <w:t>2</w:t>
            </w:r>
            <w:r>
              <w:rPr>
                <w:rFonts w:hint="default"/>
                <w:color w:val="auto"/>
                <w:sz w:val="24"/>
                <w:highlight w:val="none"/>
              </w:rPr>
              <w:t>的排放量为</w:t>
            </w:r>
            <w:r>
              <w:rPr>
                <w:rFonts w:hint="eastAsia"/>
                <w:color w:val="auto"/>
                <w:sz w:val="24"/>
                <w:highlight w:val="none"/>
                <w:lang w:val="en-US" w:eastAsia="zh-CN"/>
              </w:rPr>
              <w:t>0.131</w:t>
            </w:r>
            <w:r>
              <w:rPr>
                <w:rFonts w:hint="default"/>
                <w:color w:val="auto"/>
                <w:kern w:val="0"/>
                <w:sz w:val="24"/>
                <w:highlight w:val="none"/>
                <w:lang w:bidi="ar"/>
              </w:rPr>
              <w:t>t/a</w:t>
            </w:r>
            <w:r>
              <w:rPr>
                <w:rFonts w:hint="default"/>
                <w:color w:val="auto"/>
                <w:sz w:val="24"/>
                <w:highlight w:val="none"/>
              </w:rPr>
              <w:t>，排放浓度为</w:t>
            </w:r>
            <w:r>
              <w:rPr>
                <w:rFonts w:hint="eastAsia"/>
                <w:color w:val="auto"/>
                <w:sz w:val="24"/>
                <w:highlight w:val="none"/>
                <w:lang w:val="en-US" w:eastAsia="zh-CN"/>
              </w:rPr>
              <w:t>2.94</w:t>
            </w:r>
            <w:r>
              <w:rPr>
                <w:rFonts w:hint="default"/>
                <w:color w:val="auto"/>
                <w:sz w:val="24"/>
                <w:highlight w:val="none"/>
              </w:rPr>
              <w:t>mg/m</w:t>
            </w:r>
            <w:r>
              <w:rPr>
                <w:rFonts w:hint="default"/>
                <w:color w:val="auto"/>
                <w:sz w:val="24"/>
                <w:highlight w:val="none"/>
                <w:vertAlign w:val="superscript"/>
              </w:rPr>
              <w:t>3</w:t>
            </w:r>
            <w:r>
              <w:rPr>
                <w:rFonts w:hint="eastAsia"/>
                <w:color w:val="auto"/>
                <w:sz w:val="24"/>
                <w:highlight w:val="none"/>
                <w:lang w:eastAsia="zh-CN"/>
              </w:rPr>
              <w:t>；</w:t>
            </w:r>
            <w:r>
              <w:rPr>
                <w:rFonts w:hint="default"/>
                <w:color w:val="auto"/>
                <w:sz w:val="24"/>
                <w:highlight w:val="none"/>
              </w:rPr>
              <w:t>NO</w:t>
            </w:r>
            <w:r>
              <w:rPr>
                <w:rFonts w:hint="default"/>
                <w:color w:val="auto"/>
                <w:sz w:val="24"/>
                <w:highlight w:val="none"/>
                <w:vertAlign w:val="subscript"/>
              </w:rPr>
              <w:t>x</w:t>
            </w:r>
            <w:r>
              <w:rPr>
                <w:rFonts w:hint="default"/>
                <w:color w:val="auto"/>
                <w:sz w:val="24"/>
                <w:highlight w:val="none"/>
              </w:rPr>
              <w:t>的排放量为</w:t>
            </w:r>
            <w:r>
              <w:rPr>
                <w:rFonts w:hint="eastAsia"/>
                <w:color w:val="auto"/>
                <w:sz w:val="24"/>
                <w:highlight w:val="none"/>
                <w:lang w:val="en-US" w:eastAsia="zh-CN"/>
              </w:rPr>
              <w:t>3.06</w:t>
            </w:r>
            <w:r>
              <w:rPr>
                <w:rFonts w:hint="default"/>
                <w:color w:val="auto"/>
                <w:kern w:val="0"/>
                <w:sz w:val="24"/>
                <w:highlight w:val="none"/>
                <w:lang w:bidi="ar"/>
              </w:rPr>
              <w:t>t/a</w:t>
            </w:r>
            <w:r>
              <w:rPr>
                <w:rFonts w:hint="default"/>
                <w:color w:val="auto"/>
                <w:sz w:val="24"/>
                <w:highlight w:val="none"/>
              </w:rPr>
              <w:t>，排放浓度为68.</w:t>
            </w:r>
            <w:r>
              <w:rPr>
                <w:rFonts w:hint="eastAsia"/>
                <w:color w:val="auto"/>
                <w:sz w:val="24"/>
                <w:highlight w:val="none"/>
                <w:lang w:val="en-US" w:eastAsia="zh-CN"/>
              </w:rPr>
              <w:t>75</w:t>
            </w:r>
            <w:r>
              <w:rPr>
                <w:rFonts w:hint="default"/>
                <w:color w:val="auto"/>
                <w:sz w:val="24"/>
                <w:highlight w:val="none"/>
              </w:rPr>
              <w:t>mg/m</w:t>
            </w:r>
            <w:r>
              <w:rPr>
                <w:rFonts w:hint="default"/>
                <w:color w:val="auto"/>
                <w:sz w:val="24"/>
                <w:highlight w:val="none"/>
                <w:vertAlign w:val="superscript"/>
              </w:rPr>
              <w:t>3</w:t>
            </w:r>
            <w:r>
              <w:rPr>
                <w:rFonts w:hint="default"/>
                <w:color w:val="auto"/>
                <w:sz w:val="24"/>
                <w:highlight w:val="none"/>
              </w:rPr>
              <w:t>。</w:t>
            </w:r>
            <w:r>
              <w:rPr>
                <w:rFonts w:hint="eastAsia"/>
                <w:color w:val="auto"/>
                <w:sz w:val="24"/>
                <w:highlight w:val="none"/>
                <w:lang w:val="en-US" w:eastAsia="zh-CN"/>
              </w:rPr>
              <w:t>回转窑加热烟气产生的</w:t>
            </w:r>
            <w:r>
              <w:rPr>
                <w:rFonts w:hint="default"/>
                <w:color w:val="auto"/>
                <w:sz w:val="24"/>
                <w:highlight w:val="none"/>
              </w:rPr>
              <w:t>颗粒物</w:t>
            </w:r>
            <w:r>
              <w:rPr>
                <w:rFonts w:hint="eastAsia"/>
                <w:color w:val="auto"/>
                <w:sz w:val="24"/>
                <w:highlight w:val="none"/>
                <w:lang w:eastAsia="zh-CN"/>
              </w:rPr>
              <w:t>、</w:t>
            </w:r>
            <w:r>
              <w:rPr>
                <w:rFonts w:hint="default"/>
                <w:color w:val="auto"/>
                <w:sz w:val="24"/>
                <w:highlight w:val="none"/>
              </w:rPr>
              <w:t>SO</w:t>
            </w:r>
            <w:r>
              <w:rPr>
                <w:rFonts w:hint="default"/>
                <w:color w:val="auto"/>
                <w:sz w:val="24"/>
                <w:highlight w:val="none"/>
                <w:vertAlign w:val="subscript"/>
              </w:rPr>
              <w:t>2</w:t>
            </w:r>
            <w:r>
              <w:rPr>
                <w:rFonts w:hint="eastAsia"/>
                <w:color w:val="auto"/>
                <w:sz w:val="24"/>
                <w:highlight w:val="none"/>
                <w:vertAlign w:val="baseline"/>
                <w:lang w:eastAsia="zh-CN"/>
              </w:rPr>
              <w:t>、</w:t>
            </w:r>
            <w:r>
              <w:rPr>
                <w:rFonts w:hint="default"/>
                <w:color w:val="auto"/>
                <w:sz w:val="24"/>
                <w:highlight w:val="none"/>
              </w:rPr>
              <w:t>NO</w:t>
            </w:r>
            <w:r>
              <w:rPr>
                <w:rFonts w:hint="eastAsia"/>
                <w:color w:val="auto"/>
                <w:sz w:val="24"/>
                <w:highlight w:val="none"/>
                <w:lang w:val="en-US" w:eastAsia="zh-CN"/>
              </w:rPr>
              <w:t>x排放浓度均满足《</w:t>
            </w:r>
            <w:r>
              <w:rPr>
                <w:rFonts w:hint="default" w:ascii="Times New Roman" w:hAnsi="Times New Roman" w:cs="Times New Roman"/>
                <w:color w:val="auto"/>
                <w:sz w:val="24"/>
                <w:szCs w:val="24"/>
                <w:highlight w:val="none"/>
                <w:lang w:val="zh-CN"/>
              </w:rPr>
              <w:t>长治市人民政府办公室关于印发长治市大气和水污染物排放管控要求的通知》（长政办规〔2023〕1号）</w:t>
            </w:r>
            <w:r>
              <w:rPr>
                <w:rFonts w:hint="default" w:ascii="Times New Roman" w:hAnsi="Times New Roman" w:cs="Times New Roman"/>
                <w:color w:val="auto"/>
                <w:sz w:val="24"/>
                <w:szCs w:val="24"/>
                <w:highlight w:val="none"/>
                <w:lang w:val="en-US" w:eastAsia="zh-CN"/>
              </w:rPr>
              <w:t>钢铁</w:t>
            </w:r>
            <w:r>
              <w:rPr>
                <w:rFonts w:hint="default" w:ascii="Times New Roman" w:hAnsi="Times New Roman" w:cs="Times New Roman"/>
                <w:color w:val="auto"/>
                <w:sz w:val="24"/>
                <w:szCs w:val="24"/>
                <w:highlight w:val="none"/>
                <w:lang w:val="zh-CN"/>
              </w:rPr>
              <w:t>行业管控要求</w:t>
            </w:r>
            <w:r>
              <w:rPr>
                <w:rFonts w:hint="default" w:ascii="Times New Roman" w:hAnsi="Times New Roman" w:cs="Times New Roman"/>
                <w:color w:val="auto"/>
                <w:sz w:val="24"/>
                <w:szCs w:val="24"/>
                <w:highlight w:val="none"/>
                <w:lang w:val="en-US" w:eastAsia="zh-CN"/>
              </w:rPr>
              <w:t>加热炉</w:t>
            </w:r>
            <w:r>
              <w:rPr>
                <w:rFonts w:hint="default" w:ascii="Times New Roman" w:hAnsi="Times New Roman" w:cs="Times New Roman"/>
                <w:color w:val="auto"/>
                <w:sz w:val="24"/>
                <w:szCs w:val="24"/>
                <w:highlight w:val="none"/>
                <w:lang w:val="zh-CN"/>
              </w:rPr>
              <w:t>限值要求</w:t>
            </w:r>
            <w:r>
              <w:rPr>
                <w:rFonts w:hint="default"/>
                <w:color w:val="auto"/>
                <w:sz w:val="24"/>
                <w:highlight w:val="none"/>
              </w:rPr>
              <w:t>。</w:t>
            </w:r>
          </w:p>
          <w:p w14:paraId="111DE6B6">
            <w:pPr>
              <w:keepNext w:val="0"/>
              <w:keepLines w:val="0"/>
              <w:widowControl/>
              <w:suppressLineNumbers w:val="0"/>
              <w:spacing w:before="0" w:beforeAutospacing="0" w:after="0" w:afterAutospacing="0" w:line="480" w:lineRule="exact"/>
              <w:ind w:left="0" w:right="0" w:firstLine="482"/>
              <w:rPr>
                <w:rFonts w:hint="default" w:eastAsia="宋体"/>
                <w:color w:val="auto"/>
                <w:sz w:val="24"/>
                <w:highlight w:val="none"/>
                <w:lang w:val="en-US" w:eastAsia="zh-CN"/>
              </w:rPr>
            </w:pPr>
            <w:r>
              <w:rPr>
                <w:rFonts w:hint="eastAsia"/>
                <w:color w:val="auto"/>
                <w:sz w:val="24"/>
                <w:highlight w:val="none"/>
                <w:lang w:val="en-US" w:eastAsia="zh-CN"/>
              </w:rPr>
              <w:t>④热压成型废气</w:t>
            </w:r>
          </w:p>
          <w:p w14:paraId="5C93A2D5">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eastAsia" w:eastAsia="黑体"/>
                <w:color w:val="auto"/>
                <w:sz w:val="24"/>
                <w:highlight w:val="none"/>
                <w:lang w:val="en-US" w:eastAsia="zh-CN"/>
              </w:rPr>
            </w:pPr>
            <w:r>
              <w:rPr>
                <w:rFonts w:hint="eastAsia" w:ascii="Times New Roman" w:hAnsi="Times New Roman" w:cs="Times New Roman"/>
                <w:color w:val="auto"/>
                <w:sz w:val="24"/>
                <w:szCs w:val="24"/>
                <w:highlight w:val="none"/>
                <w:lang w:val="en-US" w:eastAsia="zh-CN"/>
              </w:rPr>
              <w:t>本项目设置2热压成型机和1台</w:t>
            </w:r>
            <w:r>
              <w:rPr>
                <w:rFonts w:hint="default" w:ascii="Times New Roman" w:hAnsi="Times New Roman" w:cs="Times New Roman"/>
                <w:color w:val="auto"/>
                <w:sz w:val="24"/>
                <w:szCs w:val="24"/>
                <w:highlight w:val="none"/>
                <w:lang w:val="en-US" w:eastAsia="zh-CN"/>
              </w:rPr>
              <w:t>高温对辊</w:t>
            </w:r>
            <w:r>
              <w:rPr>
                <w:rFonts w:hint="eastAsia" w:ascii="Times New Roman" w:hAnsi="Times New Roman" w:cs="Times New Roman"/>
                <w:color w:val="auto"/>
                <w:sz w:val="24"/>
                <w:szCs w:val="24"/>
                <w:highlight w:val="none"/>
                <w:lang w:val="en-US" w:eastAsia="zh-CN"/>
              </w:rPr>
              <w:t>成型机</w:t>
            </w:r>
            <w:r>
              <w:rPr>
                <w:rFonts w:hint="eastAsia" w:cs="Times New Roman"/>
                <w:color w:val="auto"/>
                <w:sz w:val="24"/>
                <w:szCs w:val="24"/>
                <w:highlight w:val="none"/>
                <w:lang w:val="en-US" w:eastAsia="zh-CN"/>
              </w:rPr>
              <w:t>，此工序会产生少量粉尘。根据建设单位提供的资料，</w:t>
            </w:r>
            <w:r>
              <w:rPr>
                <w:rFonts w:hint="default" w:ascii="Times New Roman" w:hAnsi="Times New Roman" w:cs="Times New Roman"/>
                <w:color w:val="auto"/>
                <w:sz w:val="24"/>
                <w:szCs w:val="24"/>
                <w:highlight w:val="none"/>
                <w:lang w:val="en-US" w:eastAsia="zh-CN"/>
              </w:rPr>
              <w:t>高温对辊</w:t>
            </w:r>
            <w:r>
              <w:rPr>
                <w:rFonts w:hint="eastAsia" w:ascii="Times New Roman" w:hAnsi="Times New Roman" w:cs="Times New Roman"/>
                <w:color w:val="auto"/>
                <w:sz w:val="24"/>
                <w:szCs w:val="24"/>
                <w:highlight w:val="none"/>
                <w:lang w:val="en-US" w:eastAsia="zh-CN"/>
              </w:rPr>
              <w:t>成型机</w:t>
            </w:r>
            <w:r>
              <w:rPr>
                <w:rFonts w:hint="eastAsia" w:cs="Times New Roman"/>
                <w:color w:val="auto"/>
                <w:sz w:val="24"/>
                <w:szCs w:val="24"/>
                <w:highlight w:val="none"/>
                <w:lang w:val="en-US" w:eastAsia="zh-CN"/>
              </w:rPr>
              <w:t>为全封闭式，上方设置集气管道，每台</w:t>
            </w:r>
            <w:r>
              <w:rPr>
                <w:rFonts w:hint="eastAsia" w:ascii="Times New Roman" w:hAnsi="Times New Roman" w:cs="Times New Roman"/>
                <w:color w:val="auto"/>
                <w:sz w:val="24"/>
                <w:szCs w:val="24"/>
                <w:highlight w:val="none"/>
                <w:lang w:val="en-US" w:eastAsia="zh-CN"/>
              </w:rPr>
              <w:t>热压成型机</w:t>
            </w:r>
            <w:r>
              <w:rPr>
                <w:rFonts w:hint="eastAsia" w:cs="Times New Roman"/>
                <w:color w:val="auto"/>
                <w:sz w:val="24"/>
                <w:szCs w:val="24"/>
                <w:highlight w:val="none"/>
                <w:lang w:val="en-US" w:eastAsia="zh-CN"/>
              </w:rPr>
              <w:t>进料口（0.8m×0.8m）和出料口（0.8m×0.8m）上方分别设置1个集气罩（共4个），</w:t>
            </w:r>
            <w:r>
              <w:rPr>
                <w:rFonts w:hint="eastAsia" w:cs="Times New Roman"/>
                <w:color w:val="auto"/>
                <w:sz w:val="24"/>
                <w:highlight w:val="none"/>
                <w:lang w:val="en-US" w:eastAsia="zh-CN"/>
              </w:rPr>
              <w:t>废气经收集后共同引入1台布袋除尘器（TA003）处理后，由1根20m高排气筒（DA010）排放。热压成型</w:t>
            </w:r>
            <w:r>
              <w:rPr>
                <w:rFonts w:hint="default"/>
                <w:color w:val="auto"/>
                <w:sz w:val="24"/>
                <w:highlight w:val="none"/>
              </w:rPr>
              <w:t>工序集气罩技术参数表见表</w:t>
            </w:r>
            <w:r>
              <w:rPr>
                <w:rFonts w:hint="default"/>
                <w:b w:val="0"/>
                <w:bCs/>
                <w:color w:val="auto"/>
                <w:sz w:val="24"/>
                <w:szCs w:val="24"/>
                <w:highlight w:val="none"/>
                <w:lang w:val="en-US" w:eastAsia="zh-CN"/>
              </w:rPr>
              <w:t>4</w:t>
            </w:r>
            <w:r>
              <w:rPr>
                <w:rFonts w:hint="eastAsia"/>
                <w:b w:val="0"/>
                <w:bCs/>
                <w:color w:val="auto"/>
                <w:sz w:val="24"/>
                <w:szCs w:val="24"/>
                <w:highlight w:val="none"/>
                <w:lang w:val="en-US" w:eastAsia="zh-CN"/>
              </w:rPr>
              <w:t>-4</w:t>
            </w:r>
            <w:r>
              <w:rPr>
                <w:rFonts w:hint="eastAsia" w:eastAsia="黑体" w:cs="Times New Roman"/>
                <w:b w:val="0"/>
                <w:bCs w:val="0"/>
                <w:color w:val="auto"/>
                <w:highlight w:val="none"/>
                <w:lang w:eastAsia="zh-CN"/>
              </w:rPr>
              <w:t>。</w:t>
            </w:r>
          </w:p>
          <w:p w14:paraId="0783ED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eastAsia" w:ascii="黑体" w:hAnsi="黑体" w:eastAsia="黑体" w:cs="黑体"/>
                <w:b w:val="0"/>
                <w:bCs w:val="0"/>
                <w:color w:val="auto"/>
                <w:highlight w:val="none"/>
              </w:rPr>
            </w:pPr>
            <w:r>
              <w:rPr>
                <w:rFonts w:hint="eastAsia" w:ascii="Times New Roman" w:hAnsi="Times New Roman" w:eastAsia="宋体" w:cs="Times New Roman"/>
                <w:b/>
                <w:bCs w:val="0"/>
                <w:color w:val="auto"/>
                <w:sz w:val="21"/>
                <w:szCs w:val="16"/>
                <w:highlight w:val="none"/>
                <w:lang w:val="en-US" w:eastAsia="zh-CN"/>
              </w:rPr>
              <w:t>表</w:t>
            </w:r>
            <w:r>
              <w:rPr>
                <w:rFonts w:hint="default"/>
                <w:b/>
                <w:bCs w:val="0"/>
                <w:color w:val="auto"/>
                <w:sz w:val="21"/>
                <w:szCs w:val="21"/>
                <w:highlight w:val="none"/>
                <w:lang w:val="en-US" w:eastAsia="zh-CN"/>
              </w:rPr>
              <w:t>4</w:t>
            </w:r>
            <w:r>
              <w:rPr>
                <w:rFonts w:hint="eastAsia"/>
                <w:b/>
                <w:bCs w:val="0"/>
                <w:color w:val="auto"/>
                <w:sz w:val="21"/>
                <w:szCs w:val="21"/>
                <w:highlight w:val="none"/>
                <w:lang w:val="en-US" w:eastAsia="zh-CN"/>
              </w:rPr>
              <w:t>-4</w:t>
            </w:r>
            <w:r>
              <w:rPr>
                <w:rFonts w:hint="eastAsia" w:ascii="Times New Roman" w:hAnsi="Times New Roman" w:eastAsia="宋体" w:cs="Times New Roman"/>
                <w:b/>
                <w:bCs w:val="0"/>
                <w:color w:val="auto"/>
                <w:sz w:val="21"/>
                <w:szCs w:val="16"/>
                <w:highlight w:val="none"/>
                <w:lang w:val="en-US" w:eastAsia="zh-CN"/>
              </w:rPr>
              <w:t xml:space="preserve">  集气罩设置参数一览表</w:t>
            </w:r>
          </w:p>
          <w:tbl>
            <w:tblPr>
              <w:tblStyle w:val="31"/>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1185"/>
              <w:gridCol w:w="1650"/>
              <w:gridCol w:w="1425"/>
              <w:gridCol w:w="1305"/>
              <w:gridCol w:w="1445"/>
            </w:tblGrid>
            <w:tr w14:paraId="3307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8" w:type="pct"/>
                  <w:tcBorders>
                    <w:tl2br w:val="nil"/>
                    <w:tr2bl w:val="nil"/>
                  </w:tcBorders>
                  <w:noWrap w:val="0"/>
                  <w:vAlign w:val="center"/>
                </w:tcPr>
                <w:p w14:paraId="2547593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设备名称</w:t>
                  </w:r>
                </w:p>
              </w:tc>
              <w:tc>
                <w:tcPr>
                  <w:tcW w:w="647" w:type="pct"/>
                  <w:tcBorders>
                    <w:tl2br w:val="nil"/>
                    <w:tr2bl w:val="nil"/>
                  </w:tcBorders>
                  <w:noWrap w:val="0"/>
                  <w:vAlign w:val="center"/>
                </w:tcPr>
                <w:p w14:paraId="020E2B2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风罩位置</w:t>
                  </w:r>
                </w:p>
              </w:tc>
              <w:tc>
                <w:tcPr>
                  <w:tcW w:w="901" w:type="pct"/>
                  <w:tcBorders>
                    <w:tl2br w:val="nil"/>
                    <w:tr2bl w:val="nil"/>
                  </w:tcBorders>
                  <w:noWrap w:val="0"/>
                  <w:vAlign w:val="center"/>
                </w:tcPr>
                <w:p w14:paraId="114B231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进料口尺寸m</w:t>
                  </w:r>
                </w:p>
              </w:tc>
              <w:tc>
                <w:tcPr>
                  <w:tcW w:w="778" w:type="pct"/>
                  <w:tcBorders>
                    <w:tl2br w:val="nil"/>
                    <w:tr2bl w:val="nil"/>
                  </w:tcBorders>
                  <w:noWrap w:val="0"/>
                  <w:vAlign w:val="center"/>
                </w:tcPr>
                <w:p w14:paraId="723A2EE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b/>
                      <w:bCs/>
                      <w:color w:val="auto"/>
                      <w:szCs w:val="21"/>
                      <w:highlight w:val="none"/>
                      <w:lang w:val="en-US" w:eastAsia="zh-CN"/>
                    </w:rPr>
                  </w:pPr>
                  <w:r>
                    <w:rPr>
                      <w:rFonts w:hint="eastAsia"/>
                      <w:b/>
                      <w:bCs/>
                      <w:color w:val="auto"/>
                      <w:szCs w:val="21"/>
                      <w:highlight w:val="none"/>
                      <w:lang w:val="en-US" w:eastAsia="zh-CN"/>
                    </w:rPr>
                    <w:t>集气效率%</w:t>
                  </w:r>
                </w:p>
              </w:tc>
              <w:tc>
                <w:tcPr>
                  <w:tcW w:w="713" w:type="pct"/>
                  <w:tcBorders>
                    <w:tl2br w:val="nil"/>
                    <w:tr2bl w:val="nil"/>
                  </w:tcBorders>
                  <w:noWrap w:val="0"/>
                  <w:vAlign w:val="center"/>
                </w:tcPr>
                <w:p w14:paraId="4E9978D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处理设备</w:t>
                  </w:r>
                </w:p>
              </w:tc>
              <w:tc>
                <w:tcPr>
                  <w:tcW w:w="789" w:type="pct"/>
                  <w:tcBorders>
                    <w:tl2br w:val="nil"/>
                    <w:tr2bl w:val="nil"/>
                  </w:tcBorders>
                  <w:noWrap w:val="0"/>
                  <w:vAlign w:val="center"/>
                </w:tcPr>
                <w:p w14:paraId="3ADB1E5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排气筒编号</w:t>
                  </w:r>
                </w:p>
              </w:tc>
            </w:tr>
            <w:tr w14:paraId="53B7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8" w:type="pct"/>
                  <w:tcBorders>
                    <w:tl2br w:val="nil"/>
                    <w:tr2bl w:val="nil"/>
                  </w:tcBorders>
                  <w:noWrap w:val="0"/>
                  <w:vAlign w:val="center"/>
                </w:tcPr>
                <w:p w14:paraId="3FA9368B">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rPr>
                  </w:pPr>
                  <w:r>
                    <w:rPr>
                      <w:rFonts w:hint="eastAsia"/>
                      <w:color w:val="auto"/>
                      <w:szCs w:val="21"/>
                      <w:highlight w:val="none"/>
                      <w:lang w:val="en-US" w:eastAsia="zh-CN"/>
                    </w:rPr>
                    <w:t>1#热压成型机进料口</w:t>
                  </w:r>
                </w:p>
              </w:tc>
              <w:tc>
                <w:tcPr>
                  <w:tcW w:w="647" w:type="pct"/>
                  <w:tcBorders>
                    <w:tl2br w:val="nil"/>
                    <w:tr2bl w:val="nil"/>
                  </w:tcBorders>
                  <w:noWrap w:val="0"/>
                  <w:vAlign w:val="center"/>
                </w:tcPr>
                <w:p w14:paraId="5B17315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01" w:type="pct"/>
                  <w:tcBorders>
                    <w:tl2br w:val="nil"/>
                    <w:tr2bl w:val="nil"/>
                  </w:tcBorders>
                  <w:noWrap w:val="0"/>
                  <w:vAlign w:val="center"/>
                </w:tcPr>
                <w:p w14:paraId="70D957E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rPr>
                    <w:t>×</w:t>
                  </w:r>
                  <w:r>
                    <w:rPr>
                      <w:rFonts w:hint="eastAsia"/>
                      <w:color w:val="auto"/>
                      <w:szCs w:val="21"/>
                      <w:highlight w:val="none"/>
                      <w:lang w:val="en-US" w:eastAsia="zh-CN"/>
                    </w:rPr>
                    <w:t>1</w:t>
                  </w:r>
                </w:p>
              </w:tc>
              <w:tc>
                <w:tcPr>
                  <w:tcW w:w="778" w:type="pct"/>
                  <w:vMerge w:val="restart"/>
                  <w:tcBorders>
                    <w:tl2br w:val="nil"/>
                    <w:tr2bl w:val="nil"/>
                  </w:tcBorders>
                  <w:noWrap w:val="0"/>
                  <w:vAlign w:val="center"/>
                </w:tcPr>
                <w:p w14:paraId="19ADF77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90</w:t>
                  </w:r>
                </w:p>
              </w:tc>
              <w:tc>
                <w:tcPr>
                  <w:tcW w:w="713" w:type="pct"/>
                  <w:vMerge w:val="restart"/>
                  <w:tcBorders>
                    <w:tl2br w:val="nil"/>
                    <w:tr2bl w:val="nil"/>
                  </w:tcBorders>
                  <w:noWrap w:val="0"/>
                  <w:vAlign w:val="center"/>
                </w:tcPr>
                <w:p w14:paraId="3B195C9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eastAsia="zh-CN"/>
                    </w:rPr>
                  </w:pPr>
                  <w:r>
                    <w:rPr>
                      <w:rFonts w:hint="default"/>
                      <w:color w:val="auto"/>
                      <w:szCs w:val="21"/>
                      <w:highlight w:val="none"/>
                    </w:rPr>
                    <w:t>布袋除尘器</w:t>
                  </w:r>
                  <w:r>
                    <w:rPr>
                      <w:rFonts w:hint="eastAsia"/>
                      <w:color w:val="auto"/>
                      <w:szCs w:val="21"/>
                      <w:highlight w:val="none"/>
                      <w:lang w:eastAsia="zh-CN"/>
                    </w:rPr>
                    <w:t>（</w:t>
                  </w:r>
                  <w:r>
                    <w:rPr>
                      <w:rFonts w:hint="eastAsia"/>
                      <w:color w:val="auto"/>
                      <w:szCs w:val="21"/>
                      <w:highlight w:val="none"/>
                      <w:lang w:val="en-US" w:eastAsia="zh-CN"/>
                    </w:rPr>
                    <w:t>TA003</w:t>
                  </w:r>
                  <w:r>
                    <w:rPr>
                      <w:rFonts w:hint="eastAsia"/>
                      <w:color w:val="auto"/>
                      <w:szCs w:val="21"/>
                      <w:highlight w:val="none"/>
                      <w:lang w:eastAsia="zh-CN"/>
                    </w:rPr>
                    <w:t>）</w:t>
                  </w:r>
                </w:p>
              </w:tc>
              <w:tc>
                <w:tcPr>
                  <w:tcW w:w="789" w:type="pct"/>
                  <w:vMerge w:val="restart"/>
                  <w:tcBorders>
                    <w:tl2br w:val="nil"/>
                    <w:tr2bl w:val="nil"/>
                  </w:tcBorders>
                  <w:noWrap w:val="0"/>
                  <w:vAlign w:val="center"/>
                </w:tcPr>
                <w:p w14:paraId="69DAE02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default"/>
                      <w:color w:val="auto"/>
                      <w:szCs w:val="21"/>
                      <w:highlight w:val="none"/>
                    </w:rPr>
                    <w:t>DA0</w:t>
                  </w:r>
                  <w:r>
                    <w:rPr>
                      <w:rFonts w:hint="eastAsia"/>
                      <w:color w:val="auto"/>
                      <w:szCs w:val="21"/>
                      <w:highlight w:val="none"/>
                      <w:lang w:val="en-US" w:eastAsia="zh-CN"/>
                    </w:rPr>
                    <w:t>10</w:t>
                  </w:r>
                </w:p>
              </w:tc>
            </w:tr>
            <w:tr w14:paraId="0F81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8" w:type="pct"/>
                  <w:tcBorders>
                    <w:tl2br w:val="nil"/>
                    <w:tr2bl w:val="nil"/>
                  </w:tcBorders>
                  <w:noWrap w:val="0"/>
                  <w:vAlign w:val="center"/>
                </w:tcPr>
                <w:p w14:paraId="61BBF870">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1#热压成型机出料口</w:t>
                  </w:r>
                </w:p>
              </w:tc>
              <w:tc>
                <w:tcPr>
                  <w:tcW w:w="647" w:type="pct"/>
                  <w:tcBorders>
                    <w:tl2br w:val="nil"/>
                    <w:tr2bl w:val="nil"/>
                  </w:tcBorders>
                  <w:noWrap w:val="0"/>
                  <w:vAlign w:val="center"/>
                </w:tcPr>
                <w:p w14:paraId="430B112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01" w:type="pct"/>
                  <w:tcBorders>
                    <w:tl2br w:val="nil"/>
                    <w:tr2bl w:val="nil"/>
                  </w:tcBorders>
                  <w:noWrap w:val="0"/>
                  <w:vAlign w:val="center"/>
                </w:tcPr>
                <w:p w14:paraId="1A9C5528">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rPr>
                    <w:t>×</w:t>
                  </w:r>
                  <w:r>
                    <w:rPr>
                      <w:rFonts w:hint="eastAsia"/>
                      <w:color w:val="auto"/>
                      <w:szCs w:val="21"/>
                      <w:highlight w:val="none"/>
                      <w:lang w:val="en-US" w:eastAsia="zh-CN"/>
                    </w:rPr>
                    <w:t>1</w:t>
                  </w:r>
                </w:p>
              </w:tc>
              <w:tc>
                <w:tcPr>
                  <w:tcW w:w="778" w:type="pct"/>
                  <w:vMerge w:val="continue"/>
                  <w:tcBorders>
                    <w:tl2br w:val="nil"/>
                    <w:tr2bl w:val="nil"/>
                  </w:tcBorders>
                  <w:noWrap w:val="0"/>
                  <w:vAlign w:val="center"/>
                </w:tcPr>
                <w:p w14:paraId="6851DCB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p>
              </w:tc>
              <w:tc>
                <w:tcPr>
                  <w:tcW w:w="713" w:type="pct"/>
                  <w:vMerge w:val="continue"/>
                  <w:tcBorders>
                    <w:tl2br w:val="nil"/>
                    <w:tr2bl w:val="nil"/>
                  </w:tcBorders>
                  <w:noWrap w:val="0"/>
                  <w:vAlign w:val="center"/>
                </w:tcPr>
                <w:p w14:paraId="02BA1E10">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789" w:type="pct"/>
                  <w:vMerge w:val="continue"/>
                  <w:tcBorders>
                    <w:tl2br w:val="nil"/>
                    <w:tr2bl w:val="nil"/>
                  </w:tcBorders>
                  <w:noWrap w:val="0"/>
                  <w:vAlign w:val="center"/>
                </w:tcPr>
                <w:p w14:paraId="6C74078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164E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8" w:type="pct"/>
                  <w:tcBorders>
                    <w:tl2br w:val="nil"/>
                    <w:tr2bl w:val="nil"/>
                  </w:tcBorders>
                  <w:noWrap w:val="0"/>
                  <w:vAlign w:val="center"/>
                </w:tcPr>
                <w:p w14:paraId="61CBF75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2#热压成型机进料口</w:t>
                  </w:r>
                </w:p>
              </w:tc>
              <w:tc>
                <w:tcPr>
                  <w:tcW w:w="647" w:type="pct"/>
                  <w:tcBorders>
                    <w:tl2br w:val="nil"/>
                    <w:tr2bl w:val="nil"/>
                  </w:tcBorders>
                  <w:noWrap w:val="0"/>
                  <w:vAlign w:val="center"/>
                </w:tcPr>
                <w:p w14:paraId="697E8F2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01" w:type="pct"/>
                  <w:tcBorders>
                    <w:tl2br w:val="nil"/>
                    <w:tr2bl w:val="nil"/>
                  </w:tcBorders>
                  <w:noWrap w:val="0"/>
                  <w:vAlign w:val="center"/>
                </w:tcPr>
                <w:p w14:paraId="241A9454">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rPr>
                    <w:t>×</w:t>
                  </w:r>
                  <w:r>
                    <w:rPr>
                      <w:rFonts w:hint="eastAsia"/>
                      <w:color w:val="auto"/>
                      <w:szCs w:val="21"/>
                      <w:highlight w:val="none"/>
                      <w:lang w:val="en-US" w:eastAsia="zh-CN"/>
                    </w:rPr>
                    <w:t>1</w:t>
                  </w:r>
                </w:p>
              </w:tc>
              <w:tc>
                <w:tcPr>
                  <w:tcW w:w="778" w:type="pct"/>
                  <w:vMerge w:val="continue"/>
                  <w:tcBorders>
                    <w:tl2br w:val="nil"/>
                    <w:tr2bl w:val="nil"/>
                  </w:tcBorders>
                  <w:noWrap w:val="0"/>
                  <w:vAlign w:val="center"/>
                </w:tcPr>
                <w:p w14:paraId="5A37119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p>
              </w:tc>
              <w:tc>
                <w:tcPr>
                  <w:tcW w:w="713" w:type="pct"/>
                  <w:vMerge w:val="continue"/>
                  <w:tcBorders>
                    <w:tl2br w:val="nil"/>
                    <w:tr2bl w:val="nil"/>
                  </w:tcBorders>
                  <w:noWrap w:val="0"/>
                  <w:vAlign w:val="center"/>
                </w:tcPr>
                <w:p w14:paraId="6A79794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789" w:type="pct"/>
                  <w:vMerge w:val="continue"/>
                  <w:tcBorders>
                    <w:tl2br w:val="nil"/>
                    <w:tr2bl w:val="nil"/>
                  </w:tcBorders>
                  <w:noWrap w:val="0"/>
                  <w:vAlign w:val="center"/>
                </w:tcPr>
                <w:p w14:paraId="7C62EC3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2B5C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8" w:type="pct"/>
                  <w:tcBorders>
                    <w:tl2br w:val="nil"/>
                    <w:tr2bl w:val="nil"/>
                  </w:tcBorders>
                  <w:noWrap w:val="0"/>
                  <w:vAlign w:val="center"/>
                </w:tcPr>
                <w:p w14:paraId="28F5117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2#热压成型机出料口</w:t>
                  </w:r>
                </w:p>
              </w:tc>
              <w:tc>
                <w:tcPr>
                  <w:tcW w:w="647" w:type="pct"/>
                  <w:tcBorders>
                    <w:tl2br w:val="nil"/>
                    <w:tr2bl w:val="nil"/>
                  </w:tcBorders>
                  <w:noWrap w:val="0"/>
                  <w:vAlign w:val="center"/>
                </w:tcPr>
                <w:p w14:paraId="5313830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01" w:type="pct"/>
                  <w:tcBorders>
                    <w:tl2br w:val="nil"/>
                    <w:tr2bl w:val="nil"/>
                  </w:tcBorders>
                  <w:noWrap w:val="0"/>
                  <w:vAlign w:val="center"/>
                </w:tcPr>
                <w:p w14:paraId="3F6DA1E2">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rPr>
                    <w:t>×</w:t>
                  </w:r>
                  <w:r>
                    <w:rPr>
                      <w:rFonts w:hint="eastAsia"/>
                      <w:color w:val="auto"/>
                      <w:szCs w:val="21"/>
                      <w:highlight w:val="none"/>
                      <w:lang w:val="en-US" w:eastAsia="zh-CN"/>
                    </w:rPr>
                    <w:t>1</w:t>
                  </w:r>
                </w:p>
              </w:tc>
              <w:tc>
                <w:tcPr>
                  <w:tcW w:w="778" w:type="pct"/>
                  <w:vMerge w:val="continue"/>
                  <w:tcBorders>
                    <w:tl2br w:val="nil"/>
                    <w:tr2bl w:val="nil"/>
                  </w:tcBorders>
                  <w:noWrap w:val="0"/>
                  <w:vAlign w:val="center"/>
                </w:tcPr>
                <w:p w14:paraId="51B1ABE0">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p>
              </w:tc>
              <w:tc>
                <w:tcPr>
                  <w:tcW w:w="713" w:type="pct"/>
                  <w:vMerge w:val="continue"/>
                  <w:tcBorders>
                    <w:tl2br w:val="nil"/>
                    <w:tr2bl w:val="nil"/>
                  </w:tcBorders>
                  <w:noWrap w:val="0"/>
                  <w:vAlign w:val="center"/>
                </w:tcPr>
                <w:p w14:paraId="7B5E5A5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789" w:type="pct"/>
                  <w:vMerge w:val="continue"/>
                  <w:tcBorders>
                    <w:tl2br w:val="nil"/>
                    <w:tr2bl w:val="nil"/>
                  </w:tcBorders>
                  <w:noWrap w:val="0"/>
                  <w:vAlign w:val="center"/>
                </w:tcPr>
                <w:p w14:paraId="3458E3C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bl>
          <w:p w14:paraId="5EC43B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根据《排风罩的分类及技术条件》（GB/T 16758-2008）附录A中排风罩的排风量计算公式：</w:t>
            </w:r>
          </w:p>
          <w:p w14:paraId="59E1D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snapToGrid w:val="0"/>
                <w:color w:val="auto"/>
                <w:position w:val="-10"/>
                <w:sz w:val="24"/>
                <w:szCs w:val="20"/>
                <w:highlight w:val="none"/>
                <w:lang w:val="en-US" w:eastAsia="zh-CN"/>
              </w:rPr>
              <w:object>
                <v:shape id="_x0000_i1027" o:spt="75" type="#_x0000_t75" style="height:16pt;width:38pt;" o:ole="t" filled="f" o:preferrelative="t" stroked="f" coordsize="21600,21600">
                  <v:path/>
                  <v:fill on="f" focussize="0,0"/>
                  <v:stroke on="f"/>
                  <v:imagedata r:id="rId22" o:title=""/>
                  <o:lock v:ext="edit" aspectratio="t"/>
                  <w10:wrap type="none"/>
                  <w10:anchorlock/>
                </v:shape>
                <o:OLEObject Type="Embed" ProgID="Equation.KSEE3" ShapeID="_x0000_i1027" DrawAspect="Content" ObjectID="_1468075727" r:id="rId25">
                  <o:LockedField>false</o:LockedField>
                </o:OLEObject>
              </w:object>
            </w:r>
          </w:p>
          <w:p w14:paraId="4A5002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式中：Q—</w:t>
            </w:r>
            <w:r>
              <w:rPr>
                <w:rFonts w:hint="eastAsia" w:cs="Times New Roman"/>
                <w:color w:val="auto"/>
                <w:sz w:val="24"/>
                <w:highlight w:val="none"/>
                <w:lang w:val="en-US" w:eastAsia="zh-CN"/>
              </w:rPr>
              <w:t>排风罩的</w:t>
            </w:r>
            <w:r>
              <w:rPr>
                <w:rFonts w:hint="eastAsia" w:ascii="Times New Roman" w:hAnsi="Times New Roman" w:eastAsia="宋体" w:cs="Times New Roman"/>
                <w:color w:val="auto"/>
                <w:sz w:val="24"/>
                <w:highlight w:val="none"/>
                <w:lang w:val="en-US" w:eastAsia="zh-CN"/>
              </w:rPr>
              <w:t>排气量，m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/h；</w:t>
            </w:r>
          </w:p>
          <w:p w14:paraId="0DBE33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F—</w:t>
            </w:r>
            <w:r>
              <w:rPr>
                <w:rFonts w:hint="eastAsia" w:cs="Times New Roman"/>
                <w:color w:val="auto"/>
                <w:sz w:val="24"/>
                <w:highlight w:val="none"/>
                <w:lang w:val="en-US" w:eastAsia="zh-CN"/>
              </w:rPr>
              <w:t>排风罩罩口面积</w:t>
            </w:r>
            <w:r>
              <w:rPr>
                <w:rFonts w:hint="eastAsia" w:ascii="Times New Roman" w:hAnsi="Times New Roman" w:eastAsia="宋体" w:cs="Times New Roman"/>
                <w:color w:val="auto"/>
                <w:sz w:val="24"/>
                <w:highlight w:val="none"/>
                <w:lang w:val="en-US" w:eastAsia="zh-CN"/>
              </w:rPr>
              <w:t>，m；</w:t>
            </w:r>
          </w:p>
          <w:p w14:paraId="59BB4B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snapToGrid w:val="0"/>
                <w:color w:val="auto"/>
                <w:position w:val="-6"/>
                <w:sz w:val="24"/>
                <w:szCs w:val="20"/>
                <w:highlight w:val="none"/>
                <w:lang w:val="en-US" w:eastAsia="zh-CN"/>
              </w:rPr>
              <w:object>
                <v:shape id="_x0000_i1028" o:spt="75" type="#_x0000_t75" style="height:13pt;width:10pt;" o:ole="t" filled="f" o:preferrelative="t" stroked="f" coordsize="21600,21600">
                  <v:path/>
                  <v:fill on="f" focussize="0,0"/>
                  <v:stroke on="f"/>
                  <v:imagedata r:id="rId24" o:title=""/>
                  <o:lock v:ext="edit" aspectratio="t"/>
                  <w10:wrap type="none"/>
                  <w10:anchorlock/>
                </v:shape>
                <o:OLEObject Type="Embed" ProgID="Equation.KSEE3" ShapeID="_x0000_i1028" DrawAspect="Content" ObjectID="_1468075728" r:id="rId26">
                  <o:LockedField>false</o:LockedField>
                </o:OLEObject>
              </w:objec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排风罩罩口平均</w:t>
            </w:r>
            <w:r>
              <w:rPr>
                <w:rFonts w:hint="eastAsia" w:ascii="Times New Roman" w:hAnsi="Times New Roman" w:eastAsia="宋体" w:cs="Times New Roman"/>
                <w:color w:val="auto"/>
                <w:sz w:val="24"/>
                <w:highlight w:val="none"/>
                <w:lang w:val="en-US" w:eastAsia="zh-CN"/>
              </w:rPr>
              <w:t>风速，m/s。</w:t>
            </w:r>
          </w:p>
          <w:p w14:paraId="010E2C5D">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ascii="Times New Roman" w:hAnsi="Times New Roman" w:eastAsia="宋体" w:cs="Times New Roman"/>
                <w:snapToGrid w:val="0"/>
                <w:color w:val="auto"/>
                <w:sz w:val="24"/>
                <w:szCs w:val="20"/>
                <w:highlight w:val="none"/>
                <w:lang w:val="en-US" w:eastAsia="zh-CN"/>
              </w:rPr>
            </w:pPr>
            <w:r>
              <w:rPr>
                <w:rFonts w:hint="eastAsia" w:ascii="Times New Roman" w:hAnsi="Times New Roman" w:eastAsia="宋体" w:cs="Times New Roman"/>
                <w:snapToGrid w:val="0"/>
                <w:color w:val="auto"/>
                <w:sz w:val="24"/>
                <w:szCs w:val="20"/>
                <w:highlight w:val="none"/>
                <w:lang w:val="en-US" w:eastAsia="zh-CN"/>
              </w:rPr>
              <w:t>根据《局部排风设施控制风速检测与评估技术规范》（AO/T 4274-2016）中要求，顶吸罩罩口风速取1.2m/s。</w:t>
            </w:r>
          </w:p>
          <w:p w14:paraId="5C423257">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color w:val="auto"/>
                <w:sz w:val="24"/>
                <w:highlight w:val="none"/>
              </w:rPr>
            </w:pPr>
            <w:r>
              <w:rPr>
                <w:rFonts w:hint="eastAsia"/>
                <w:color w:val="auto"/>
                <w:sz w:val="24"/>
                <w:highlight w:val="none"/>
                <w:lang w:val="en-US" w:eastAsia="zh-CN"/>
              </w:rPr>
              <w:t>根据建设单位提供的资料，高温对辊成型机所需风量为3000</w:t>
            </w:r>
            <w:r>
              <w:rPr>
                <w:rFonts w:hint="eastAsia" w:ascii="Times New Roman" w:hAnsi="Times New Roman" w:eastAsia="宋体" w:cs="Times New Roman"/>
                <w:snapToGrid w:val="0"/>
                <w:color w:val="auto"/>
                <w:sz w:val="24"/>
                <w:szCs w:val="20"/>
                <w:highlight w:val="none"/>
                <w:lang w:val="en-US" w:eastAsia="zh-CN"/>
              </w:rPr>
              <w:t>m</w:t>
            </w:r>
            <w:r>
              <w:rPr>
                <w:rFonts w:hint="eastAsia" w:cs="Times New Roman"/>
                <w:snapToGrid w:val="0"/>
                <w:color w:val="auto"/>
                <w:sz w:val="24"/>
                <w:szCs w:val="20"/>
                <w:highlight w:val="none"/>
                <w:vertAlign w:val="superscript"/>
                <w:lang w:val="en-US" w:eastAsia="zh-CN"/>
              </w:rPr>
              <w:t>3</w:t>
            </w:r>
            <w:r>
              <w:rPr>
                <w:rFonts w:hint="eastAsia" w:ascii="Times New Roman" w:hAnsi="Times New Roman" w:eastAsia="宋体" w:cs="Times New Roman"/>
                <w:snapToGrid w:val="0"/>
                <w:color w:val="auto"/>
                <w:sz w:val="24"/>
                <w:szCs w:val="20"/>
                <w:highlight w:val="none"/>
                <w:lang w:val="en-US" w:eastAsia="zh-CN"/>
              </w:rPr>
              <w:t>/</w:t>
            </w:r>
            <w:r>
              <w:rPr>
                <w:rFonts w:hint="eastAsia" w:cs="Times New Roman"/>
                <w:snapToGrid w:val="0"/>
                <w:color w:val="auto"/>
                <w:sz w:val="24"/>
                <w:szCs w:val="20"/>
                <w:highlight w:val="none"/>
                <w:lang w:val="en-US" w:eastAsia="zh-CN"/>
              </w:rPr>
              <w:t>h。</w:t>
            </w:r>
            <w:r>
              <w:rPr>
                <w:rFonts w:hint="eastAsia"/>
                <w:color w:val="auto"/>
                <w:sz w:val="24"/>
                <w:highlight w:val="none"/>
              </w:rPr>
              <w:t>经计算，</w:t>
            </w:r>
            <w:r>
              <w:rPr>
                <w:rFonts w:hint="eastAsia"/>
                <w:color w:val="auto"/>
                <w:sz w:val="24"/>
                <w:highlight w:val="none"/>
                <w:lang w:val="en-US" w:eastAsia="zh-CN"/>
              </w:rPr>
              <w:t>此工序</w:t>
            </w:r>
            <w:r>
              <w:rPr>
                <w:rFonts w:hint="eastAsia"/>
                <w:color w:val="auto"/>
                <w:sz w:val="24"/>
                <w:highlight w:val="none"/>
              </w:rPr>
              <w:t>需配套的风量见下表</w:t>
            </w:r>
            <w:r>
              <w:rPr>
                <w:rFonts w:hint="default"/>
                <w:b w:val="0"/>
                <w:bCs/>
                <w:color w:val="auto"/>
                <w:sz w:val="24"/>
                <w:szCs w:val="24"/>
                <w:highlight w:val="none"/>
                <w:lang w:val="en-US" w:eastAsia="zh-CN"/>
              </w:rPr>
              <w:t>4</w:t>
            </w:r>
            <w:r>
              <w:rPr>
                <w:rFonts w:hint="eastAsia"/>
                <w:b w:val="0"/>
                <w:bCs/>
                <w:color w:val="auto"/>
                <w:sz w:val="24"/>
                <w:szCs w:val="24"/>
                <w:highlight w:val="none"/>
                <w:lang w:val="en-US" w:eastAsia="zh-CN"/>
              </w:rPr>
              <w:t>-5</w:t>
            </w:r>
            <w:r>
              <w:rPr>
                <w:rFonts w:hint="eastAsia"/>
                <w:color w:val="auto"/>
                <w:sz w:val="24"/>
                <w:highlight w:val="none"/>
              </w:rPr>
              <w:t>。</w:t>
            </w:r>
          </w:p>
          <w:p w14:paraId="6E5C8E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z w:val="21"/>
                <w:szCs w:val="16"/>
                <w:highlight w:val="none"/>
                <w:lang w:val="en-US" w:eastAsia="zh-CN"/>
              </w:rPr>
            </w:pPr>
            <w:r>
              <w:rPr>
                <w:rFonts w:hint="eastAsia" w:ascii="Times New Roman" w:hAnsi="Times New Roman" w:eastAsia="宋体" w:cs="Times New Roman"/>
                <w:b/>
                <w:bCs w:val="0"/>
                <w:color w:val="auto"/>
                <w:sz w:val="21"/>
                <w:szCs w:val="16"/>
                <w:highlight w:val="none"/>
                <w:lang w:val="en-US" w:eastAsia="zh-CN"/>
              </w:rPr>
              <w:t>表4</w:t>
            </w:r>
            <w:r>
              <w:rPr>
                <w:rFonts w:hint="eastAsia" w:cs="Times New Roman"/>
                <w:b/>
                <w:bCs w:val="0"/>
                <w:color w:val="auto"/>
                <w:sz w:val="21"/>
                <w:szCs w:val="16"/>
                <w:highlight w:val="none"/>
                <w:lang w:val="en-US" w:eastAsia="zh-CN"/>
              </w:rPr>
              <w:t>-5</w:t>
            </w:r>
            <w:r>
              <w:rPr>
                <w:rFonts w:hint="default" w:ascii="Times New Roman" w:hAnsi="Times New Roman" w:eastAsia="宋体" w:cs="Times New Roman"/>
                <w:b/>
                <w:bCs w:val="0"/>
                <w:color w:val="auto"/>
                <w:sz w:val="21"/>
                <w:szCs w:val="16"/>
                <w:highlight w:val="none"/>
                <w:lang w:val="en-US" w:eastAsia="zh-CN"/>
              </w:rPr>
              <w:t xml:space="preserve"> </w:t>
            </w:r>
            <w:r>
              <w:rPr>
                <w:rFonts w:hint="eastAsia" w:ascii="Times New Roman" w:hAnsi="Times New Roman" w:eastAsia="宋体" w:cs="Times New Roman"/>
                <w:b/>
                <w:bCs w:val="0"/>
                <w:color w:val="auto"/>
                <w:sz w:val="21"/>
                <w:szCs w:val="16"/>
                <w:highlight w:val="none"/>
                <w:lang w:val="en-US" w:eastAsia="zh-CN"/>
              </w:rPr>
              <w:t xml:space="preserve"> 该工序需配套的风量一览表</w:t>
            </w:r>
          </w:p>
          <w:tbl>
            <w:tblPr>
              <w:tblStyle w:val="31"/>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2605"/>
              <w:gridCol w:w="2239"/>
              <w:gridCol w:w="1634"/>
            </w:tblGrid>
            <w:tr w14:paraId="53CE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76B0C34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b/>
                      <w:bCs/>
                      <w:color w:val="auto"/>
                      <w:szCs w:val="21"/>
                      <w:highlight w:val="none"/>
                      <w:lang w:val="en-US" w:eastAsia="zh-CN"/>
                    </w:rPr>
                  </w:pPr>
                  <w:r>
                    <w:rPr>
                      <w:rFonts w:hint="default"/>
                      <w:b/>
                      <w:bCs/>
                      <w:color w:val="auto"/>
                      <w:szCs w:val="21"/>
                      <w:highlight w:val="none"/>
                    </w:rPr>
                    <w:t>设备名称</w:t>
                  </w:r>
                </w:p>
              </w:tc>
              <w:tc>
                <w:tcPr>
                  <w:tcW w:w="1424" w:type="pct"/>
                  <w:tcBorders>
                    <w:tl2br w:val="nil"/>
                    <w:tr2bl w:val="nil"/>
                  </w:tcBorders>
                  <w:noWrap w:val="0"/>
                  <w:vAlign w:val="center"/>
                </w:tcPr>
                <w:p w14:paraId="686C571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计算风量（m</w:t>
                  </w:r>
                  <w:r>
                    <w:rPr>
                      <w:rFonts w:hint="default"/>
                      <w:b/>
                      <w:bCs/>
                      <w:color w:val="auto"/>
                      <w:szCs w:val="21"/>
                      <w:highlight w:val="none"/>
                      <w:vertAlign w:val="superscript"/>
                    </w:rPr>
                    <w:t>3</w:t>
                  </w:r>
                  <w:r>
                    <w:rPr>
                      <w:rFonts w:hint="default"/>
                      <w:b/>
                      <w:bCs/>
                      <w:color w:val="auto"/>
                      <w:szCs w:val="21"/>
                      <w:highlight w:val="none"/>
                    </w:rPr>
                    <w:t>/h）</w:t>
                  </w:r>
                </w:p>
              </w:tc>
              <w:tc>
                <w:tcPr>
                  <w:tcW w:w="1224" w:type="pct"/>
                  <w:tcBorders>
                    <w:tl2br w:val="nil"/>
                    <w:tr2bl w:val="nil"/>
                  </w:tcBorders>
                  <w:noWrap w:val="0"/>
                  <w:vAlign w:val="center"/>
                </w:tcPr>
                <w:p w14:paraId="5C9D96A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处理设备</w:t>
                  </w:r>
                </w:p>
              </w:tc>
              <w:tc>
                <w:tcPr>
                  <w:tcW w:w="893" w:type="pct"/>
                  <w:tcBorders>
                    <w:tl2br w:val="nil"/>
                    <w:tr2bl w:val="nil"/>
                  </w:tcBorders>
                  <w:noWrap w:val="0"/>
                  <w:vAlign w:val="center"/>
                </w:tcPr>
                <w:p w14:paraId="6D92487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排气筒编号</w:t>
                  </w:r>
                </w:p>
              </w:tc>
            </w:tr>
            <w:tr w14:paraId="5024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0D71E106">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rPr>
                  </w:pPr>
                  <w:r>
                    <w:rPr>
                      <w:rFonts w:hint="eastAsia"/>
                      <w:color w:val="auto"/>
                      <w:szCs w:val="21"/>
                      <w:highlight w:val="none"/>
                      <w:lang w:val="en-US" w:eastAsia="zh-CN"/>
                    </w:rPr>
                    <w:t>1#热压成型机进料口</w:t>
                  </w:r>
                </w:p>
              </w:tc>
              <w:tc>
                <w:tcPr>
                  <w:tcW w:w="1424" w:type="pct"/>
                  <w:tcBorders>
                    <w:tl2br w:val="nil"/>
                    <w:tr2bl w:val="nil"/>
                  </w:tcBorders>
                  <w:noWrap w:val="0"/>
                  <w:vAlign w:val="center"/>
                </w:tcPr>
                <w:p w14:paraId="6C6E2D7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4320</w:t>
                  </w:r>
                </w:p>
              </w:tc>
              <w:tc>
                <w:tcPr>
                  <w:tcW w:w="1224" w:type="pct"/>
                  <w:vMerge w:val="restart"/>
                  <w:tcBorders>
                    <w:tl2br w:val="nil"/>
                    <w:tr2bl w:val="nil"/>
                  </w:tcBorders>
                  <w:noWrap w:val="0"/>
                  <w:vAlign w:val="center"/>
                </w:tcPr>
                <w:p w14:paraId="4EF8D10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val="en-US" w:eastAsia="zh-CN"/>
                    </w:rPr>
                  </w:pPr>
                  <w:r>
                    <w:rPr>
                      <w:rFonts w:hint="default"/>
                      <w:color w:val="auto"/>
                      <w:szCs w:val="21"/>
                      <w:highlight w:val="none"/>
                    </w:rPr>
                    <w:t>布袋除尘器</w:t>
                  </w:r>
                  <w:r>
                    <w:rPr>
                      <w:rFonts w:hint="eastAsia"/>
                      <w:color w:val="auto"/>
                      <w:szCs w:val="21"/>
                      <w:highlight w:val="none"/>
                      <w:lang w:eastAsia="zh-CN"/>
                    </w:rPr>
                    <w:t>（</w:t>
                  </w:r>
                  <w:r>
                    <w:rPr>
                      <w:rFonts w:hint="eastAsia"/>
                      <w:color w:val="auto"/>
                      <w:szCs w:val="21"/>
                      <w:highlight w:val="none"/>
                      <w:lang w:val="en-US" w:eastAsia="zh-CN"/>
                    </w:rPr>
                    <w:t>TA003</w:t>
                  </w:r>
                  <w:r>
                    <w:rPr>
                      <w:rFonts w:hint="eastAsia"/>
                      <w:color w:val="auto"/>
                      <w:szCs w:val="21"/>
                      <w:highlight w:val="none"/>
                      <w:lang w:eastAsia="zh-CN"/>
                    </w:rPr>
                    <w:t>）</w:t>
                  </w:r>
                </w:p>
              </w:tc>
              <w:tc>
                <w:tcPr>
                  <w:tcW w:w="893" w:type="pct"/>
                  <w:vMerge w:val="restart"/>
                  <w:tcBorders>
                    <w:tl2br w:val="nil"/>
                    <w:tr2bl w:val="nil"/>
                  </w:tcBorders>
                  <w:noWrap w:val="0"/>
                  <w:vAlign w:val="center"/>
                </w:tcPr>
                <w:p w14:paraId="3EC9AC7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default"/>
                      <w:color w:val="auto"/>
                      <w:szCs w:val="21"/>
                      <w:highlight w:val="none"/>
                    </w:rPr>
                    <w:t>DA0</w:t>
                  </w:r>
                  <w:r>
                    <w:rPr>
                      <w:rFonts w:hint="eastAsia"/>
                      <w:color w:val="auto"/>
                      <w:szCs w:val="21"/>
                      <w:highlight w:val="none"/>
                      <w:lang w:val="en-US" w:eastAsia="zh-CN"/>
                    </w:rPr>
                    <w:t>10</w:t>
                  </w:r>
                </w:p>
              </w:tc>
            </w:tr>
            <w:tr w14:paraId="496B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5B25ED07">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rPr>
                  </w:pPr>
                  <w:r>
                    <w:rPr>
                      <w:rFonts w:hint="eastAsia"/>
                      <w:color w:val="auto"/>
                      <w:szCs w:val="21"/>
                      <w:highlight w:val="none"/>
                      <w:lang w:val="en-US" w:eastAsia="zh-CN"/>
                    </w:rPr>
                    <w:t>1#热压成型机出料口</w:t>
                  </w:r>
                </w:p>
              </w:tc>
              <w:tc>
                <w:tcPr>
                  <w:tcW w:w="1424" w:type="pct"/>
                  <w:tcBorders>
                    <w:tl2br w:val="nil"/>
                    <w:tr2bl w:val="nil"/>
                  </w:tcBorders>
                  <w:noWrap w:val="0"/>
                  <w:vAlign w:val="center"/>
                </w:tcPr>
                <w:p w14:paraId="0BB8293C">
                  <w:pPr>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4320</w:t>
                  </w:r>
                </w:p>
              </w:tc>
              <w:tc>
                <w:tcPr>
                  <w:tcW w:w="1224" w:type="pct"/>
                  <w:vMerge w:val="continue"/>
                  <w:tcBorders>
                    <w:tl2br w:val="nil"/>
                    <w:tr2bl w:val="nil"/>
                  </w:tcBorders>
                  <w:noWrap w:val="0"/>
                  <w:vAlign w:val="center"/>
                </w:tcPr>
                <w:p w14:paraId="7430EC5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5255D2D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04B0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2AE1018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2#热压成型机进料口</w:t>
                  </w:r>
                </w:p>
              </w:tc>
              <w:tc>
                <w:tcPr>
                  <w:tcW w:w="2605" w:type="dxa"/>
                  <w:tcBorders>
                    <w:tl2br w:val="nil"/>
                    <w:tr2bl w:val="nil"/>
                  </w:tcBorders>
                  <w:noWrap w:val="0"/>
                  <w:vAlign w:val="center"/>
                </w:tcPr>
                <w:p w14:paraId="5FFA37A4">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4320</w:t>
                  </w:r>
                </w:p>
              </w:tc>
              <w:tc>
                <w:tcPr>
                  <w:tcW w:w="1224" w:type="pct"/>
                  <w:vMerge w:val="continue"/>
                  <w:tcBorders>
                    <w:tl2br w:val="nil"/>
                    <w:tr2bl w:val="nil"/>
                  </w:tcBorders>
                  <w:noWrap w:val="0"/>
                  <w:vAlign w:val="center"/>
                </w:tcPr>
                <w:p w14:paraId="526B6CC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6CD36DA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5015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1CA6E15B">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2#热压成型机出料口</w:t>
                  </w:r>
                </w:p>
              </w:tc>
              <w:tc>
                <w:tcPr>
                  <w:tcW w:w="2605" w:type="dxa"/>
                  <w:tcBorders>
                    <w:tl2br w:val="nil"/>
                    <w:tr2bl w:val="nil"/>
                  </w:tcBorders>
                  <w:noWrap w:val="0"/>
                  <w:vAlign w:val="center"/>
                </w:tcPr>
                <w:p w14:paraId="7321273C">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4320</w:t>
                  </w:r>
                </w:p>
              </w:tc>
              <w:tc>
                <w:tcPr>
                  <w:tcW w:w="1224" w:type="pct"/>
                  <w:vMerge w:val="continue"/>
                  <w:tcBorders>
                    <w:tl2br w:val="nil"/>
                    <w:tr2bl w:val="nil"/>
                  </w:tcBorders>
                  <w:noWrap w:val="0"/>
                  <w:vAlign w:val="center"/>
                </w:tcPr>
                <w:p w14:paraId="1681920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591B36D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4C0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317869F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default"/>
                      <w:color w:val="auto"/>
                      <w:szCs w:val="21"/>
                      <w:highlight w:val="none"/>
                      <w:lang w:val="en-US" w:eastAsia="zh-CN"/>
                    </w:rPr>
                    <w:t>高温对辊成型机</w:t>
                  </w:r>
                </w:p>
              </w:tc>
              <w:tc>
                <w:tcPr>
                  <w:tcW w:w="1424" w:type="pct"/>
                  <w:tcBorders>
                    <w:tl2br w:val="nil"/>
                    <w:tr2bl w:val="nil"/>
                  </w:tcBorders>
                  <w:noWrap w:val="0"/>
                  <w:vAlign w:val="center"/>
                </w:tcPr>
                <w:p w14:paraId="603D031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3000</w:t>
                  </w:r>
                </w:p>
              </w:tc>
              <w:tc>
                <w:tcPr>
                  <w:tcW w:w="1224" w:type="pct"/>
                  <w:vMerge w:val="continue"/>
                  <w:tcBorders>
                    <w:tl2br w:val="nil"/>
                    <w:tr2bl w:val="nil"/>
                  </w:tcBorders>
                  <w:noWrap w:val="0"/>
                  <w:vAlign w:val="center"/>
                </w:tcPr>
                <w:p w14:paraId="3A81E10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7701B3B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31EC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79C8B64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合计</w:t>
                  </w:r>
                </w:p>
              </w:tc>
              <w:tc>
                <w:tcPr>
                  <w:tcW w:w="1424" w:type="pct"/>
                  <w:tcBorders>
                    <w:tl2br w:val="nil"/>
                    <w:tr2bl w:val="nil"/>
                  </w:tcBorders>
                  <w:noWrap w:val="0"/>
                  <w:vAlign w:val="center"/>
                </w:tcPr>
                <w:p w14:paraId="4A918B0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20280</w:t>
                  </w:r>
                </w:p>
              </w:tc>
              <w:tc>
                <w:tcPr>
                  <w:tcW w:w="1224" w:type="pct"/>
                  <w:vMerge w:val="continue"/>
                  <w:tcBorders>
                    <w:tl2br w:val="nil"/>
                    <w:tr2bl w:val="nil"/>
                  </w:tcBorders>
                  <w:noWrap w:val="0"/>
                  <w:vAlign w:val="center"/>
                </w:tcPr>
                <w:p w14:paraId="03B8CCE6">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20F464D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bl>
          <w:p w14:paraId="04035994">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ascii="Times New Roman" w:hAnsi="Times New Roman" w:eastAsia="宋体" w:cs="Times New Roman"/>
                <w:snapToGrid w:val="0"/>
                <w:color w:val="auto"/>
                <w:sz w:val="24"/>
                <w:szCs w:val="20"/>
                <w:highlight w:val="none"/>
                <w:lang w:val="en-US" w:eastAsia="zh-CN"/>
              </w:rPr>
            </w:pPr>
            <w:r>
              <w:rPr>
                <w:rFonts w:hint="eastAsia" w:ascii="Times New Roman" w:hAnsi="Times New Roman" w:eastAsia="宋体" w:cs="Times New Roman"/>
                <w:snapToGrid w:val="0"/>
                <w:color w:val="auto"/>
                <w:sz w:val="24"/>
                <w:szCs w:val="20"/>
                <w:highlight w:val="none"/>
                <w:lang w:val="en-US" w:eastAsia="zh-CN"/>
              </w:rPr>
              <w:t>经计算：</w:t>
            </w:r>
            <w:r>
              <w:rPr>
                <w:rFonts w:hint="eastAsia" w:cs="Times New Roman"/>
                <w:snapToGrid w:val="0"/>
                <w:color w:val="auto"/>
                <w:sz w:val="24"/>
                <w:szCs w:val="20"/>
                <w:highlight w:val="none"/>
                <w:lang w:val="en-US" w:eastAsia="zh-CN"/>
              </w:rPr>
              <w:t>热压成型</w:t>
            </w:r>
            <w:r>
              <w:rPr>
                <w:rFonts w:hint="eastAsia"/>
                <w:color w:val="auto"/>
                <w:sz w:val="24"/>
                <w:highlight w:val="none"/>
                <w:lang w:val="en-US" w:eastAsia="zh-CN"/>
              </w:rPr>
              <w:t>工序</w:t>
            </w:r>
            <w:r>
              <w:rPr>
                <w:rFonts w:hint="eastAsia" w:cs="Times New Roman"/>
                <w:snapToGrid w:val="0"/>
                <w:color w:val="auto"/>
                <w:sz w:val="24"/>
                <w:szCs w:val="20"/>
                <w:highlight w:val="none"/>
                <w:lang w:val="en-US" w:eastAsia="zh-CN"/>
              </w:rPr>
              <w:t>所需</w:t>
            </w:r>
            <w:r>
              <w:rPr>
                <w:rFonts w:hint="eastAsia" w:ascii="Times New Roman" w:hAnsi="Times New Roman" w:eastAsia="宋体" w:cs="Times New Roman"/>
                <w:snapToGrid w:val="0"/>
                <w:color w:val="auto"/>
                <w:sz w:val="24"/>
                <w:szCs w:val="20"/>
                <w:highlight w:val="none"/>
                <w:lang w:val="en-US" w:eastAsia="zh-CN"/>
              </w:rPr>
              <w:t>风量为</w:t>
            </w:r>
            <w:r>
              <w:rPr>
                <w:rFonts w:hint="eastAsia" w:cs="Times New Roman"/>
                <w:snapToGrid w:val="0"/>
                <w:color w:val="auto"/>
                <w:sz w:val="24"/>
                <w:szCs w:val="20"/>
                <w:highlight w:val="none"/>
                <w:lang w:val="en-US" w:eastAsia="zh-CN"/>
              </w:rPr>
              <w:t>20280</w:t>
            </w:r>
            <w:r>
              <w:rPr>
                <w:rFonts w:hint="eastAsia" w:ascii="Times New Roman" w:hAnsi="Times New Roman" w:eastAsia="宋体" w:cs="Times New Roman"/>
                <w:snapToGrid w:val="0"/>
                <w:color w:val="auto"/>
                <w:sz w:val="24"/>
                <w:szCs w:val="20"/>
                <w:highlight w:val="none"/>
                <w:lang w:val="en-US" w:eastAsia="zh-CN"/>
              </w:rPr>
              <w:t>m</w:t>
            </w:r>
            <w:r>
              <w:rPr>
                <w:rFonts w:hint="eastAsia" w:ascii="Times New Roman" w:hAnsi="Times New Roman" w:eastAsia="宋体" w:cs="Times New Roman"/>
                <w:snapToGrid w:val="0"/>
                <w:color w:val="auto"/>
                <w:sz w:val="24"/>
                <w:szCs w:val="20"/>
                <w:highlight w:val="none"/>
                <w:vertAlign w:val="superscript"/>
                <w:lang w:val="en-US" w:eastAsia="zh-CN"/>
              </w:rPr>
              <w:t>3</w:t>
            </w:r>
            <w:r>
              <w:rPr>
                <w:rFonts w:hint="eastAsia" w:ascii="Times New Roman" w:hAnsi="Times New Roman" w:eastAsia="宋体" w:cs="Times New Roman"/>
                <w:snapToGrid w:val="0"/>
                <w:color w:val="auto"/>
                <w:sz w:val="24"/>
                <w:szCs w:val="20"/>
                <w:highlight w:val="none"/>
                <w:lang w:val="en-US" w:eastAsia="zh-CN"/>
              </w:rPr>
              <w:t>/h</w:t>
            </w:r>
            <w:r>
              <w:rPr>
                <w:rFonts w:hint="eastAsia" w:cs="Times New Roman"/>
                <w:snapToGrid w:val="0"/>
                <w:color w:val="auto"/>
                <w:sz w:val="24"/>
                <w:szCs w:val="20"/>
                <w:highlight w:val="none"/>
                <w:lang w:val="en-US" w:eastAsia="zh-CN"/>
              </w:rPr>
              <w:t>。</w:t>
            </w:r>
            <w:r>
              <w:rPr>
                <w:rFonts w:hint="eastAsia" w:ascii="Times New Roman" w:hAnsi="Times New Roman" w:eastAsia="宋体" w:cs="Times New Roman"/>
                <w:snapToGrid w:val="0"/>
                <w:color w:val="auto"/>
                <w:sz w:val="24"/>
                <w:szCs w:val="20"/>
                <w:highlight w:val="none"/>
                <w:lang w:val="en-US" w:eastAsia="zh-CN"/>
              </w:rPr>
              <w:t>布袋材质：覆膜（PTFE）涤纶针刺毡，过滤风速0.8m/min，过滤面积</w:t>
            </w:r>
            <w:r>
              <w:rPr>
                <w:rFonts w:hint="eastAsia" w:cs="Times New Roman"/>
                <w:snapToGrid w:val="0"/>
                <w:color w:val="auto"/>
                <w:sz w:val="24"/>
                <w:szCs w:val="20"/>
                <w:highlight w:val="none"/>
                <w:lang w:val="en-US" w:eastAsia="zh-CN"/>
              </w:rPr>
              <w:t>423</w:t>
            </w:r>
            <w:r>
              <w:rPr>
                <w:rFonts w:hint="eastAsia" w:ascii="Times New Roman" w:hAnsi="Times New Roman" w:eastAsia="宋体" w:cs="Times New Roman"/>
                <w:snapToGrid w:val="0"/>
                <w:color w:val="auto"/>
                <w:sz w:val="24"/>
                <w:szCs w:val="20"/>
                <w:highlight w:val="none"/>
                <w:lang w:val="en-US" w:eastAsia="zh-CN"/>
              </w:rPr>
              <w:t>m</w:t>
            </w:r>
            <w:r>
              <w:rPr>
                <w:rFonts w:hint="eastAsia" w:ascii="Times New Roman" w:hAnsi="Times New Roman" w:eastAsia="宋体" w:cs="Times New Roman"/>
                <w:snapToGrid w:val="0"/>
                <w:color w:val="auto"/>
                <w:sz w:val="24"/>
                <w:szCs w:val="20"/>
                <w:highlight w:val="none"/>
                <w:vertAlign w:val="superscript"/>
                <w:lang w:val="en-US" w:eastAsia="zh-CN"/>
              </w:rPr>
              <w:t>2</w:t>
            </w:r>
            <w:r>
              <w:rPr>
                <w:rFonts w:hint="eastAsia" w:cs="Times New Roman"/>
                <w:snapToGrid w:val="0"/>
                <w:color w:val="auto"/>
                <w:sz w:val="24"/>
                <w:szCs w:val="20"/>
                <w:highlight w:val="none"/>
                <w:lang w:val="en-US" w:eastAsia="zh-CN"/>
              </w:rPr>
              <w:t>。</w:t>
            </w:r>
          </w:p>
          <w:p w14:paraId="7384F2CE">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default" w:ascii="Times New Roman" w:hAnsi="Times New Roman" w:cs="Times New Roman"/>
                <w:color w:val="auto"/>
                <w:sz w:val="24"/>
                <w:szCs w:val="24"/>
                <w:highlight w:val="none"/>
                <w:vertAlign w:val="baseline"/>
                <w:lang w:val="en-US" w:eastAsia="zh-CN"/>
              </w:rPr>
            </w:pPr>
            <w:r>
              <w:rPr>
                <w:rFonts w:hint="eastAsia" w:eastAsia="宋体" w:cs="Times New Roman"/>
                <w:color w:val="auto"/>
                <w:kern w:val="2"/>
                <w:sz w:val="24"/>
                <w:szCs w:val="24"/>
                <w:highlight w:val="none"/>
                <w:lang w:val="en-US" w:eastAsia="zh-CN" w:bidi="ar-SA"/>
              </w:rPr>
              <w:t>参照同类型</w:t>
            </w:r>
            <w:r>
              <w:rPr>
                <w:rFonts w:hint="eastAsia" w:cs="Times New Roman"/>
                <w:color w:val="auto"/>
                <w:kern w:val="2"/>
                <w:sz w:val="24"/>
                <w:szCs w:val="24"/>
                <w:highlight w:val="none"/>
                <w:lang w:val="en-US" w:eastAsia="zh-CN" w:bidi="ar-SA"/>
              </w:rPr>
              <w:t>项目</w:t>
            </w:r>
            <w:r>
              <w:rPr>
                <w:rFonts w:hint="eastAsia" w:eastAsia="宋体" w:cs="Times New Roman"/>
                <w:color w:val="auto"/>
                <w:kern w:val="2"/>
                <w:sz w:val="24"/>
                <w:szCs w:val="24"/>
                <w:highlight w:val="none"/>
                <w:lang w:val="en-US" w:eastAsia="zh-CN" w:bidi="ar-SA"/>
              </w:rPr>
              <w:t>产尘系数</w:t>
            </w:r>
            <w:r>
              <w:rPr>
                <w:rFonts w:hint="eastAsia" w:ascii="Times New Roman" w:hAnsi="Times New Roman" w:eastAsia="宋体" w:cs="Times New Roman"/>
                <w:color w:val="auto"/>
                <w:kern w:val="2"/>
                <w:sz w:val="24"/>
                <w:szCs w:val="24"/>
                <w:highlight w:val="none"/>
                <w:lang w:val="en-US" w:eastAsia="zh-CN" w:bidi="ar-SA"/>
              </w:rPr>
              <w:t>按0.</w:t>
            </w:r>
            <w:r>
              <w:rPr>
                <w:rFonts w:hint="eastAsia"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kg/t</w:t>
            </w:r>
            <w:r>
              <w:rPr>
                <w:rFonts w:hint="eastAsia" w:ascii="Times New Roman" w:hAnsi="Times New Roman"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原料计算</w:t>
            </w:r>
            <w:r>
              <w:rPr>
                <w:rFonts w:hint="eastAsia" w:cs="Times New Roman"/>
                <w:color w:val="auto"/>
                <w:kern w:val="2"/>
                <w:sz w:val="24"/>
                <w:szCs w:val="24"/>
                <w:highlight w:val="none"/>
                <w:lang w:val="en-US" w:eastAsia="zh-CN" w:bidi="ar-SA"/>
              </w:rPr>
              <w:t>，本项目原料废钢铁年用量为30万t，年运行时间为7920h，</w:t>
            </w:r>
            <w:r>
              <w:rPr>
                <w:rFonts w:hint="eastAsia" w:ascii="Times New Roman" w:hAnsi="Times New Roman" w:cs="Times New Roman"/>
                <w:color w:val="auto"/>
                <w:sz w:val="24"/>
                <w:szCs w:val="24"/>
                <w:highlight w:val="none"/>
                <w:vertAlign w:val="baseline"/>
                <w:lang w:val="en-US" w:eastAsia="zh-CN"/>
              </w:rPr>
              <w:t>则有组织颗粒物产生量为</w:t>
            </w:r>
            <w:r>
              <w:rPr>
                <w:rFonts w:hint="eastAsia" w:cs="Times New Roman"/>
                <w:color w:val="auto"/>
                <w:sz w:val="24"/>
                <w:szCs w:val="24"/>
                <w:highlight w:val="none"/>
                <w:vertAlign w:val="baseline"/>
                <w:lang w:val="en-US" w:eastAsia="zh-CN"/>
              </w:rPr>
              <w:t>6</w:t>
            </w:r>
            <w:r>
              <w:rPr>
                <w:rFonts w:hint="default" w:ascii="Times New Roman" w:hAnsi="Times New Roman" w:cs="Times New Roman"/>
                <w:color w:val="auto"/>
                <w:sz w:val="24"/>
                <w:szCs w:val="24"/>
                <w:highlight w:val="none"/>
                <w:vertAlign w:val="baseline"/>
                <w:lang w:val="en-US" w:eastAsia="zh-CN"/>
              </w:rPr>
              <w:t>t/a</w:t>
            </w:r>
            <w:r>
              <w:rPr>
                <w:rFonts w:hint="eastAsia"/>
                <w:color w:val="auto"/>
                <w:sz w:val="24"/>
                <w:szCs w:val="24"/>
                <w:highlight w:val="none"/>
                <w:lang w:val="en-US" w:eastAsia="zh-CN"/>
              </w:rPr>
              <w:t>，产生速率</w:t>
            </w:r>
            <w:r>
              <w:rPr>
                <w:rFonts w:hint="eastAsia" w:cs="Times New Roman"/>
                <w:color w:val="auto"/>
                <w:sz w:val="24"/>
                <w:szCs w:val="24"/>
                <w:highlight w:val="none"/>
                <w:lang w:val="en-US" w:eastAsia="zh-CN"/>
              </w:rPr>
              <w:t>0.76</w:t>
            </w:r>
            <w:r>
              <w:rPr>
                <w:rFonts w:hint="default" w:ascii="Times New Roman" w:hAnsi="Times New Roman" w:cs="Times New Roman"/>
                <w:color w:val="auto"/>
                <w:sz w:val="24"/>
                <w:szCs w:val="24"/>
                <w:highlight w:val="none"/>
                <w:lang w:val="en-US" w:eastAsia="zh-CN"/>
              </w:rPr>
              <w:t>kg/h</w:t>
            </w:r>
            <w:r>
              <w:rPr>
                <w:rFonts w:hint="eastAsia" w:cs="Times New Roman"/>
                <w:color w:val="auto"/>
                <w:sz w:val="24"/>
                <w:szCs w:val="24"/>
                <w:highlight w:val="none"/>
                <w:vertAlign w:val="baseline"/>
                <w:lang w:val="en-US" w:eastAsia="zh-CN"/>
              </w:rPr>
              <w:t>，产生浓度为37.48</w:t>
            </w:r>
            <w:r>
              <w:rPr>
                <w:rFonts w:hint="default" w:ascii="Times New Roman" w:hAnsi="Times New Roman" w:eastAsia="宋体" w:cs="Times New Roman"/>
                <w:color w:val="auto"/>
                <w:spacing w:val="0"/>
                <w:position w:val="0"/>
                <w:sz w:val="24"/>
                <w:highlight w:val="none"/>
                <w:lang w:val="en-US" w:eastAsia="zh-CN"/>
              </w:rPr>
              <w:t>mg/m</w:t>
            </w:r>
            <w:r>
              <w:rPr>
                <w:rFonts w:hint="default" w:ascii="Times New Roman" w:hAnsi="Times New Roman" w:eastAsia="宋体" w:cs="Times New Roman"/>
                <w:color w:val="auto"/>
                <w:spacing w:val="0"/>
                <w:position w:val="0"/>
                <w:sz w:val="24"/>
                <w:highlight w:val="none"/>
                <w:vertAlign w:val="superscript"/>
                <w:lang w:val="en-US" w:eastAsia="zh-CN"/>
              </w:rPr>
              <w:t>3</w:t>
            </w:r>
            <w:r>
              <w:rPr>
                <w:rFonts w:hint="eastAsia" w:cs="Times New Roman"/>
                <w:color w:val="auto"/>
                <w:spacing w:val="0"/>
                <w:position w:val="0"/>
                <w:sz w:val="24"/>
                <w:highlight w:val="none"/>
                <w:vertAlign w:val="baseline"/>
                <w:lang w:val="en-US" w:eastAsia="zh-CN"/>
              </w:rPr>
              <w:t>。</w:t>
            </w:r>
          </w:p>
          <w:p w14:paraId="3E4E7C84">
            <w:pPr>
              <w:keepNext w:val="0"/>
              <w:keepLines w:val="0"/>
              <w:suppressLineNumbers w:val="0"/>
              <w:spacing w:before="0" w:beforeAutospacing="0" w:after="0" w:afterAutospacing="0" w:line="460" w:lineRule="exact"/>
              <w:ind w:left="0" w:right="0" w:firstLine="480"/>
              <w:rPr>
                <w:rFonts w:hint="default"/>
                <w:color w:val="auto"/>
                <w:sz w:val="24"/>
                <w:highlight w:val="none"/>
              </w:rPr>
            </w:pPr>
            <w:r>
              <w:rPr>
                <w:rFonts w:hint="default"/>
                <w:color w:val="auto"/>
                <w:sz w:val="24"/>
                <w:highlight w:val="none"/>
              </w:rPr>
              <w:t>颗粒物排放浓度按许可排放浓度10mg/m</w:t>
            </w:r>
            <w:r>
              <w:rPr>
                <w:rFonts w:hint="default"/>
                <w:color w:val="auto"/>
                <w:sz w:val="24"/>
                <w:highlight w:val="none"/>
                <w:vertAlign w:val="superscript"/>
              </w:rPr>
              <w:t>3</w:t>
            </w:r>
            <w:r>
              <w:rPr>
                <w:rFonts w:hint="default"/>
                <w:color w:val="auto"/>
                <w:sz w:val="24"/>
                <w:highlight w:val="none"/>
              </w:rPr>
              <w:t>计，依据颗粒物许可排放浓度、风量和年设计运行时间，有组织颗粒物排放量为：</w:t>
            </w:r>
            <w:r>
              <w:rPr>
                <w:rFonts w:hint="eastAsia" w:cs="Times New Roman"/>
                <w:snapToGrid w:val="0"/>
                <w:color w:val="auto"/>
                <w:sz w:val="24"/>
                <w:szCs w:val="20"/>
                <w:highlight w:val="none"/>
                <w:lang w:val="en-US" w:eastAsia="zh-CN"/>
              </w:rPr>
              <w:t>20280</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/h×10mg/m</w:t>
            </w:r>
            <w:r>
              <w:rPr>
                <w:rFonts w:hint="default"/>
                <w:color w:val="auto"/>
                <w:sz w:val="24"/>
                <w:highlight w:val="none"/>
                <w:vertAlign w:val="superscript"/>
              </w:rPr>
              <w:t>3</w:t>
            </w:r>
            <w:r>
              <w:rPr>
                <w:rFonts w:hint="default"/>
                <w:color w:val="auto"/>
                <w:sz w:val="24"/>
                <w:highlight w:val="none"/>
              </w:rPr>
              <w:t>×3</w:t>
            </w:r>
            <w:r>
              <w:rPr>
                <w:rFonts w:hint="eastAsia"/>
                <w:color w:val="auto"/>
                <w:sz w:val="24"/>
                <w:highlight w:val="none"/>
                <w:lang w:val="en-US" w:eastAsia="zh-CN"/>
              </w:rPr>
              <w:t>3</w:t>
            </w:r>
            <w:r>
              <w:rPr>
                <w:rFonts w:hint="default"/>
                <w:color w:val="auto"/>
                <w:sz w:val="24"/>
                <w:highlight w:val="none"/>
              </w:rPr>
              <w:t>0d/a×24h×</w:t>
            </w:r>
            <w:r>
              <w:rPr>
                <w:rFonts w:hint="eastAsia"/>
                <w:color w:val="auto"/>
                <w:sz w:val="24"/>
                <w:highlight w:val="none"/>
                <w:lang w:val="en-US" w:eastAsia="zh-CN"/>
              </w:rPr>
              <w:t>10</w:t>
            </w:r>
            <w:r>
              <w:rPr>
                <w:rFonts w:hint="eastAsia"/>
                <w:color w:val="auto"/>
                <w:sz w:val="24"/>
                <w:highlight w:val="none"/>
                <w:vertAlign w:val="superscript"/>
                <w:lang w:val="en-US" w:eastAsia="zh-CN"/>
              </w:rPr>
              <w:t>-9</w:t>
            </w:r>
            <w:r>
              <w:rPr>
                <w:rFonts w:hint="default"/>
                <w:color w:val="auto"/>
                <w:sz w:val="24"/>
                <w:highlight w:val="none"/>
              </w:rPr>
              <w:t>=1.</w:t>
            </w:r>
            <w:r>
              <w:rPr>
                <w:rFonts w:hint="eastAsia"/>
                <w:color w:val="auto"/>
                <w:sz w:val="24"/>
                <w:highlight w:val="none"/>
                <w:lang w:val="en-US" w:eastAsia="zh-CN"/>
              </w:rPr>
              <w:t>606</w:t>
            </w:r>
            <w:r>
              <w:rPr>
                <w:rFonts w:hint="default"/>
                <w:color w:val="auto"/>
                <w:sz w:val="24"/>
                <w:highlight w:val="none"/>
              </w:rPr>
              <w:t>t/a</w:t>
            </w:r>
          </w:p>
          <w:p w14:paraId="769B0EA7">
            <w:pPr>
              <w:keepNext w:val="0"/>
              <w:keepLines w:val="0"/>
              <w:suppressLineNumbers w:val="0"/>
              <w:spacing w:before="0" w:beforeAutospacing="0" w:after="0" w:afterAutospacing="0" w:line="460" w:lineRule="exact"/>
              <w:ind w:left="0" w:right="0" w:firstLine="480"/>
              <w:rPr>
                <w:rFonts w:hint="default"/>
                <w:color w:val="auto"/>
                <w:sz w:val="24"/>
                <w:highlight w:val="none"/>
              </w:rPr>
            </w:pPr>
            <w:r>
              <w:rPr>
                <w:rFonts w:hint="default"/>
                <w:color w:val="auto"/>
                <w:sz w:val="24"/>
                <w:highlight w:val="none"/>
              </w:rPr>
              <w:t>排放速率</w:t>
            </w:r>
            <w:r>
              <w:rPr>
                <w:rFonts w:hint="eastAsia"/>
                <w:color w:val="auto"/>
                <w:sz w:val="24"/>
                <w:highlight w:val="none"/>
                <w:lang w:eastAsia="zh-CN"/>
              </w:rPr>
              <w:t>：</w:t>
            </w:r>
            <w:r>
              <w:rPr>
                <w:rFonts w:hint="default"/>
                <w:color w:val="auto"/>
                <w:sz w:val="24"/>
                <w:highlight w:val="none"/>
              </w:rPr>
              <w:t>1.</w:t>
            </w:r>
            <w:r>
              <w:rPr>
                <w:rFonts w:hint="eastAsia"/>
                <w:color w:val="auto"/>
                <w:sz w:val="24"/>
                <w:highlight w:val="none"/>
                <w:lang w:val="en-US" w:eastAsia="zh-CN"/>
              </w:rPr>
              <w:t>469</w:t>
            </w:r>
            <w:r>
              <w:rPr>
                <w:rFonts w:hint="default"/>
                <w:color w:val="auto"/>
                <w:sz w:val="24"/>
                <w:highlight w:val="none"/>
              </w:rPr>
              <w:t>t/a÷3</w:t>
            </w:r>
            <w:r>
              <w:rPr>
                <w:rFonts w:hint="eastAsia"/>
                <w:color w:val="auto"/>
                <w:sz w:val="24"/>
                <w:highlight w:val="none"/>
                <w:lang w:val="en-US" w:eastAsia="zh-CN"/>
              </w:rPr>
              <w:t>3</w:t>
            </w:r>
            <w:r>
              <w:rPr>
                <w:rFonts w:hint="default"/>
                <w:color w:val="auto"/>
                <w:sz w:val="24"/>
                <w:highlight w:val="none"/>
              </w:rPr>
              <w:t>0d/a÷24h/d×</w:t>
            </w:r>
            <w:r>
              <w:rPr>
                <w:rFonts w:hint="eastAsia"/>
                <w:color w:val="auto"/>
                <w:sz w:val="24"/>
                <w:highlight w:val="none"/>
                <w:lang w:val="en-US" w:eastAsia="zh-CN"/>
              </w:rPr>
              <w:t>10</w:t>
            </w:r>
            <w:r>
              <w:rPr>
                <w:rFonts w:hint="eastAsia"/>
                <w:color w:val="auto"/>
                <w:sz w:val="24"/>
                <w:highlight w:val="none"/>
                <w:vertAlign w:val="superscript"/>
                <w:lang w:val="en-US" w:eastAsia="zh-CN"/>
              </w:rPr>
              <w:t>3</w:t>
            </w:r>
            <w:r>
              <w:rPr>
                <w:rFonts w:hint="default"/>
                <w:color w:val="auto"/>
                <w:sz w:val="24"/>
                <w:highlight w:val="none"/>
              </w:rPr>
              <w:t>=0.</w:t>
            </w:r>
            <w:r>
              <w:rPr>
                <w:rFonts w:hint="eastAsia"/>
                <w:color w:val="auto"/>
                <w:sz w:val="24"/>
                <w:highlight w:val="none"/>
                <w:lang w:val="en-US" w:eastAsia="zh-CN"/>
              </w:rPr>
              <w:t>2</w:t>
            </w:r>
            <w:r>
              <w:rPr>
                <w:rFonts w:hint="default"/>
                <w:color w:val="auto"/>
                <w:sz w:val="24"/>
                <w:highlight w:val="none"/>
              </w:rPr>
              <w:t>kg/h</w:t>
            </w:r>
          </w:p>
          <w:p w14:paraId="25082EF2">
            <w:pPr>
              <w:keepNext w:val="0"/>
              <w:keepLines w:val="0"/>
              <w:widowControl/>
              <w:suppressLineNumbers w:val="0"/>
              <w:spacing w:before="0" w:beforeAutospacing="0" w:after="0" w:afterAutospacing="0" w:line="480" w:lineRule="exact"/>
              <w:ind w:left="0" w:right="0" w:firstLine="482"/>
              <w:rPr>
                <w:rFonts w:hint="default" w:ascii="Times New Roman" w:hAnsi="Times New Roman" w:cs="Times New Roman"/>
                <w:color w:val="auto"/>
                <w:sz w:val="24"/>
                <w:szCs w:val="24"/>
                <w:highlight w:val="none"/>
                <w:lang w:val="en-US" w:eastAsia="zh-CN"/>
              </w:rPr>
            </w:pPr>
            <w:r>
              <w:rPr>
                <w:rFonts w:hint="default"/>
                <w:color w:val="auto"/>
                <w:sz w:val="24"/>
                <w:highlight w:val="none"/>
              </w:rPr>
              <w:t>集气罩未收集到的颗粒物通过全封闭车间无组织排放，无组织颗粒物产生量为</w:t>
            </w:r>
            <w:r>
              <w:rPr>
                <w:rFonts w:hint="eastAsia"/>
                <w:color w:val="auto"/>
                <w:sz w:val="24"/>
                <w:highlight w:val="none"/>
                <w:lang w:val="en-US" w:eastAsia="zh-CN"/>
              </w:rPr>
              <w:t>6</w:t>
            </w:r>
            <w:r>
              <w:rPr>
                <w:rFonts w:hint="default"/>
                <w:color w:val="auto"/>
                <w:sz w:val="24"/>
                <w:highlight w:val="none"/>
              </w:rPr>
              <w:t>t/a×（1-9</w:t>
            </w:r>
            <w:r>
              <w:rPr>
                <w:rFonts w:hint="eastAsia"/>
                <w:color w:val="auto"/>
                <w:sz w:val="24"/>
                <w:highlight w:val="none"/>
                <w:lang w:val="en-US" w:eastAsia="zh-CN"/>
              </w:rPr>
              <w:t>0</w:t>
            </w:r>
            <w:r>
              <w:rPr>
                <w:rFonts w:hint="default"/>
                <w:color w:val="auto"/>
                <w:sz w:val="24"/>
                <w:highlight w:val="none"/>
              </w:rPr>
              <w:t>%）=</w:t>
            </w:r>
            <w:r>
              <w:rPr>
                <w:rFonts w:hint="eastAsia"/>
                <w:color w:val="auto"/>
                <w:sz w:val="24"/>
                <w:highlight w:val="none"/>
                <w:lang w:val="en-US" w:eastAsia="zh-CN"/>
              </w:rPr>
              <w:t>0.6</w:t>
            </w:r>
            <w:r>
              <w:rPr>
                <w:rFonts w:hint="default"/>
                <w:color w:val="auto"/>
                <w:sz w:val="24"/>
                <w:highlight w:val="none"/>
              </w:rPr>
              <w:t>t/a。</w:t>
            </w:r>
            <w:r>
              <w:rPr>
                <w:rFonts w:hint="eastAsia"/>
                <w:color w:val="auto"/>
                <w:sz w:val="24"/>
                <w:highlight w:val="none"/>
                <w:lang w:val="en-US" w:eastAsia="zh-CN"/>
              </w:rPr>
              <w:t>本项目生产车间为</w:t>
            </w:r>
            <w:r>
              <w:rPr>
                <w:rFonts w:hint="default"/>
                <w:color w:val="auto"/>
                <w:sz w:val="24"/>
                <w:highlight w:val="none"/>
              </w:rPr>
              <w:t>全封闭</w:t>
            </w:r>
            <w:r>
              <w:rPr>
                <w:rFonts w:hint="eastAsia"/>
                <w:color w:val="auto"/>
                <w:sz w:val="24"/>
                <w:highlight w:val="none"/>
                <w:lang w:val="en-US" w:eastAsia="zh-CN"/>
              </w:rPr>
              <w:t>钢混</w:t>
            </w:r>
            <w:r>
              <w:rPr>
                <w:rFonts w:hint="default"/>
                <w:color w:val="auto"/>
                <w:sz w:val="24"/>
                <w:highlight w:val="none"/>
              </w:rPr>
              <w:t>结构，颗粒物经车间阻隔后在车间内重力沉降，车间阻隔效率按90%计，则颗粒物无组织排放量为0.</w:t>
            </w:r>
            <w:r>
              <w:rPr>
                <w:rFonts w:hint="eastAsia"/>
                <w:color w:val="auto"/>
                <w:sz w:val="24"/>
                <w:highlight w:val="none"/>
                <w:lang w:val="en-US" w:eastAsia="zh-CN"/>
              </w:rPr>
              <w:t>06</w:t>
            </w:r>
            <w:r>
              <w:rPr>
                <w:rFonts w:hint="default"/>
                <w:color w:val="auto"/>
                <w:sz w:val="24"/>
                <w:highlight w:val="none"/>
              </w:rPr>
              <w:t>t/a。</w:t>
            </w:r>
          </w:p>
          <w:p w14:paraId="0CE3ED7C">
            <w:pPr>
              <w:keepNext w:val="0"/>
              <w:keepLines w:val="0"/>
              <w:widowControl/>
              <w:suppressLineNumbers w:val="0"/>
              <w:spacing w:before="0" w:beforeAutospacing="0" w:after="0" w:afterAutospacing="0" w:line="480" w:lineRule="exact"/>
              <w:ind w:left="0" w:right="0" w:firstLine="482"/>
              <w:rPr>
                <w:rFonts w:hint="eastAsia"/>
                <w:color w:val="auto"/>
                <w:sz w:val="24"/>
                <w:highlight w:val="none"/>
                <w:lang w:val="en-US" w:eastAsia="zh-CN"/>
              </w:rPr>
            </w:pPr>
            <w:r>
              <w:rPr>
                <w:rFonts w:hint="eastAsia"/>
                <w:color w:val="auto"/>
                <w:sz w:val="24"/>
                <w:highlight w:val="none"/>
                <w:lang w:val="en-US" w:eastAsia="zh-CN"/>
              </w:rPr>
              <w:t>⑤出料废气</w:t>
            </w:r>
          </w:p>
          <w:p w14:paraId="4AA86726">
            <w:pPr>
              <w:keepNext w:val="0"/>
              <w:keepLines w:val="0"/>
              <w:widowControl/>
              <w:suppressLineNumbers w:val="0"/>
              <w:spacing w:before="0" w:beforeAutospacing="0" w:after="0" w:afterAutospacing="0" w:line="480" w:lineRule="exact"/>
              <w:ind w:left="0" w:right="0" w:firstLine="482"/>
              <w:rPr>
                <w:rFonts w:hint="eastAsia" w:eastAsia="黑体"/>
                <w:color w:val="auto"/>
                <w:sz w:val="24"/>
                <w:highlight w:val="none"/>
                <w:lang w:val="en-US" w:eastAsia="zh-CN"/>
              </w:rPr>
            </w:pPr>
            <w:r>
              <w:rPr>
                <w:rFonts w:hint="eastAsia"/>
                <w:color w:val="auto"/>
                <w:sz w:val="24"/>
                <w:highlight w:val="none"/>
                <w:lang w:val="en-US" w:eastAsia="zh-CN"/>
              </w:rPr>
              <w:t>本项目成品为块状或饼状，出料产尘量较小。评价要求成品出料池（1.6m×1.2m）上方各设置1个集气罩（共2个），废气经收集后引入1台布袋除尘器（TA004）处理后，由1根20m高排气筒（DA011）排放。成品出料池</w:t>
            </w:r>
            <w:r>
              <w:rPr>
                <w:rFonts w:hint="default"/>
                <w:color w:val="auto"/>
                <w:sz w:val="24"/>
                <w:highlight w:val="none"/>
              </w:rPr>
              <w:t>集气罩技术参数表见表</w:t>
            </w:r>
            <w:r>
              <w:rPr>
                <w:rFonts w:hint="default"/>
                <w:b w:val="0"/>
                <w:bCs/>
                <w:color w:val="auto"/>
                <w:sz w:val="24"/>
                <w:szCs w:val="24"/>
                <w:highlight w:val="none"/>
                <w:lang w:val="en-US" w:eastAsia="zh-CN"/>
              </w:rPr>
              <w:t>4</w:t>
            </w:r>
            <w:r>
              <w:rPr>
                <w:rFonts w:hint="eastAsia"/>
                <w:b w:val="0"/>
                <w:bCs/>
                <w:color w:val="auto"/>
                <w:sz w:val="24"/>
                <w:szCs w:val="24"/>
                <w:highlight w:val="none"/>
                <w:lang w:val="en-US" w:eastAsia="zh-CN"/>
              </w:rPr>
              <w:t>-6</w:t>
            </w:r>
            <w:r>
              <w:rPr>
                <w:rFonts w:hint="eastAsia" w:eastAsia="黑体" w:cs="Times New Roman"/>
                <w:b w:val="0"/>
                <w:bCs w:val="0"/>
                <w:color w:val="auto"/>
                <w:highlight w:val="none"/>
                <w:lang w:eastAsia="zh-CN"/>
              </w:rPr>
              <w:t>。</w:t>
            </w:r>
          </w:p>
          <w:p w14:paraId="00118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jc w:val="center"/>
              <w:textAlignment w:val="auto"/>
              <w:outlineLvl w:val="9"/>
              <w:rPr>
                <w:rFonts w:hint="eastAsia" w:ascii="黑体" w:hAnsi="黑体" w:eastAsia="黑体" w:cs="黑体"/>
                <w:b w:val="0"/>
                <w:bCs w:val="0"/>
                <w:color w:val="auto"/>
                <w:highlight w:val="none"/>
              </w:rPr>
            </w:pPr>
            <w:r>
              <w:rPr>
                <w:rFonts w:hint="eastAsia" w:ascii="Times New Roman" w:hAnsi="Times New Roman" w:eastAsia="宋体" w:cs="Times New Roman"/>
                <w:b/>
                <w:bCs w:val="0"/>
                <w:color w:val="auto"/>
                <w:sz w:val="21"/>
                <w:szCs w:val="16"/>
                <w:highlight w:val="none"/>
                <w:lang w:val="en-US" w:eastAsia="zh-CN"/>
              </w:rPr>
              <w:t>表</w:t>
            </w:r>
            <w:r>
              <w:rPr>
                <w:rFonts w:hint="default"/>
                <w:b/>
                <w:bCs w:val="0"/>
                <w:color w:val="auto"/>
                <w:sz w:val="21"/>
                <w:szCs w:val="21"/>
                <w:highlight w:val="none"/>
                <w:lang w:val="en-US" w:eastAsia="zh-CN"/>
              </w:rPr>
              <w:t>4</w:t>
            </w:r>
            <w:r>
              <w:rPr>
                <w:rFonts w:hint="eastAsia"/>
                <w:b/>
                <w:bCs w:val="0"/>
                <w:color w:val="auto"/>
                <w:sz w:val="21"/>
                <w:szCs w:val="21"/>
                <w:highlight w:val="none"/>
                <w:lang w:val="en-US" w:eastAsia="zh-CN"/>
              </w:rPr>
              <w:t>-6</w:t>
            </w:r>
            <w:r>
              <w:rPr>
                <w:rFonts w:hint="eastAsia" w:ascii="Times New Roman" w:hAnsi="Times New Roman" w:eastAsia="宋体" w:cs="Times New Roman"/>
                <w:b/>
                <w:bCs w:val="0"/>
                <w:color w:val="auto"/>
                <w:sz w:val="21"/>
                <w:szCs w:val="16"/>
                <w:highlight w:val="none"/>
                <w:lang w:val="en-US" w:eastAsia="zh-CN"/>
              </w:rPr>
              <w:t xml:space="preserve">  集气罩设置参数一览表</w:t>
            </w:r>
          </w:p>
          <w:tbl>
            <w:tblPr>
              <w:tblStyle w:val="31"/>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1089"/>
              <w:gridCol w:w="1730"/>
              <w:gridCol w:w="1662"/>
              <w:gridCol w:w="1437"/>
              <w:gridCol w:w="1634"/>
            </w:tblGrid>
            <w:tr w14:paraId="27B6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72" w:type="pct"/>
                  <w:tcBorders>
                    <w:tl2br w:val="nil"/>
                    <w:tr2bl w:val="nil"/>
                  </w:tcBorders>
                  <w:noWrap w:val="0"/>
                  <w:vAlign w:val="center"/>
                </w:tcPr>
                <w:p w14:paraId="32EA5E1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设备名称</w:t>
                  </w:r>
                </w:p>
              </w:tc>
              <w:tc>
                <w:tcPr>
                  <w:tcW w:w="595" w:type="pct"/>
                  <w:tcBorders>
                    <w:tl2br w:val="nil"/>
                    <w:tr2bl w:val="nil"/>
                  </w:tcBorders>
                  <w:noWrap w:val="0"/>
                  <w:vAlign w:val="center"/>
                </w:tcPr>
                <w:p w14:paraId="6E7BB14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风罩位置</w:t>
                  </w:r>
                </w:p>
              </w:tc>
              <w:tc>
                <w:tcPr>
                  <w:tcW w:w="945" w:type="pct"/>
                  <w:tcBorders>
                    <w:tl2br w:val="nil"/>
                    <w:tr2bl w:val="nil"/>
                  </w:tcBorders>
                  <w:noWrap w:val="0"/>
                  <w:vAlign w:val="center"/>
                </w:tcPr>
                <w:p w14:paraId="6D67D587">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进料口尺寸m</w:t>
                  </w:r>
                </w:p>
              </w:tc>
              <w:tc>
                <w:tcPr>
                  <w:tcW w:w="908" w:type="pct"/>
                  <w:tcBorders>
                    <w:tl2br w:val="nil"/>
                    <w:tr2bl w:val="nil"/>
                  </w:tcBorders>
                  <w:noWrap w:val="0"/>
                  <w:vAlign w:val="center"/>
                </w:tcPr>
                <w:p w14:paraId="5813F81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b/>
                      <w:bCs/>
                      <w:color w:val="auto"/>
                      <w:szCs w:val="21"/>
                      <w:highlight w:val="none"/>
                      <w:lang w:val="en-US" w:eastAsia="zh-CN"/>
                    </w:rPr>
                  </w:pPr>
                  <w:r>
                    <w:rPr>
                      <w:rFonts w:hint="eastAsia"/>
                      <w:b/>
                      <w:bCs/>
                      <w:color w:val="auto"/>
                      <w:szCs w:val="21"/>
                      <w:highlight w:val="none"/>
                      <w:lang w:val="en-US" w:eastAsia="zh-CN"/>
                    </w:rPr>
                    <w:t>集气效率%</w:t>
                  </w:r>
                </w:p>
              </w:tc>
              <w:tc>
                <w:tcPr>
                  <w:tcW w:w="785" w:type="pct"/>
                  <w:tcBorders>
                    <w:tl2br w:val="nil"/>
                    <w:tr2bl w:val="nil"/>
                  </w:tcBorders>
                  <w:noWrap w:val="0"/>
                  <w:vAlign w:val="center"/>
                </w:tcPr>
                <w:p w14:paraId="2438DEF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处理设备</w:t>
                  </w:r>
                </w:p>
              </w:tc>
              <w:tc>
                <w:tcPr>
                  <w:tcW w:w="892" w:type="pct"/>
                  <w:tcBorders>
                    <w:tl2br w:val="nil"/>
                    <w:tr2bl w:val="nil"/>
                  </w:tcBorders>
                  <w:noWrap w:val="0"/>
                  <w:vAlign w:val="center"/>
                </w:tcPr>
                <w:p w14:paraId="1611934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排气筒编号</w:t>
                  </w:r>
                </w:p>
              </w:tc>
            </w:tr>
            <w:tr w14:paraId="5B1F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72" w:type="pct"/>
                  <w:tcBorders>
                    <w:tl2br w:val="nil"/>
                    <w:tr2bl w:val="nil"/>
                  </w:tcBorders>
                  <w:noWrap w:val="0"/>
                  <w:vAlign w:val="center"/>
                </w:tcPr>
                <w:p w14:paraId="180B4A6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rPr>
                  </w:pPr>
                  <w:r>
                    <w:rPr>
                      <w:rFonts w:hint="eastAsia"/>
                      <w:color w:val="auto"/>
                      <w:szCs w:val="21"/>
                      <w:highlight w:val="none"/>
                      <w:lang w:val="en-US" w:eastAsia="zh-CN"/>
                    </w:rPr>
                    <w:t>成品出料池</w:t>
                  </w:r>
                </w:p>
              </w:tc>
              <w:tc>
                <w:tcPr>
                  <w:tcW w:w="595" w:type="pct"/>
                  <w:tcBorders>
                    <w:tl2br w:val="nil"/>
                    <w:tr2bl w:val="nil"/>
                  </w:tcBorders>
                  <w:noWrap w:val="0"/>
                  <w:vAlign w:val="center"/>
                </w:tcPr>
                <w:p w14:paraId="3D1FF4A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45" w:type="pct"/>
                  <w:tcBorders>
                    <w:tl2br w:val="nil"/>
                    <w:tr2bl w:val="nil"/>
                  </w:tcBorders>
                  <w:noWrap w:val="0"/>
                  <w:vAlign w:val="center"/>
                </w:tcPr>
                <w:p w14:paraId="5F9A971D">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rPr>
                    <w:t>×</w:t>
                  </w:r>
                  <w:r>
                    <w:rPr>
                      <w:rFonts w:hint="eastAsia"/>
                      <w:color w:val="auto"/>
                      <w:szCs w:val="21"/>
                      <w:highlight w:val="none"/>
                      <w:lang w:val="en-US" w:eastAsia="zh-CN"/>
                    </w:rPr>
                    <w:t>1.5</w:t>
                  </w:r>
                </w:p>
              </w:tc>
              <w:tc>
                <w:tcPr>
                  <w:tcW w:w="908" w:type="pct"/>
                  <w:vMerge w:val="restart"/>
                  <w:tcBorders>
                    <w:tl2br w:val="nil"/>
                    <w:tr2bl w:val="nil"/>
                  </w:tcBorders>
                  <w:noWrap w:val="0"/>
                  <w:vAlign w:val="center"/>
                </w:tcPr>
                <w:p w14:paraId="3058E82B">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90</w:t>
                  </w:r>
                </w:p>
              </w:tc>
              <w:tc>
                <w:tcPr>
                  <w:tcW w:w="785" w:type="pct"/>
                  <w:vMerge w:val="restart"/>
                  <w:tcBorders>
                    <w:tl2br w:val="nil"/>
                    <w:tr2bl w:val="nil"/>
                  </w:tcBorders>
                  <w:noWrap w:val="0"/>
                  <w:vAlign w:val="center"/>
                </w:tcPr>
                <w:p w14:paraId="2ADF84A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eastAsia="zh-CN"/>
                    </w:rPr>
                  </w:pPr>
                  <w:r>
                    <w:rPr>
                      <w:rFonts w:hint="default"/>
                      <w:color w:val="auto"/>
                      <w:szCs w:val="21"/>
                      <w:highlight w:val="none"/>
                    </w:rPr>
                    <w:t>布袋除尘器</w:t>
                  </w:r>
                  <w:r>
                    <w:rPr>
                      <w:rFonts w:hint="eastAsia"/>
                      <w:color w:val="auto"/>
                      <w:szCs w:val="21"/>
                      <w:highlight w:val="none"/>
                      <w:lang w:eastAsia="zh-CN"/>
                    </w:rPr>
                    <w:t>（</w:t>
                  </w:r>
                  <w:r>
                    <w:rPr>
                      <w:rFonts w:hint="eastAsia"/>
                      <w:color w:val="auto"/>
                      <w:szCs w:val="21"/>
                      <w:highlight w:val="none"/>
                      <w:lang w:val="en-US" w:eastAsia="zh-CN"/>
                    </w:rPr>
                    <w:t>TA004</w:t>
                  </w:r>
                  <w:r>
                    <w:rPr>
                      <w:rFonts w:hint="eastAsia"/>
                      <w:color w:val="auto"/>
                      <w:szCs w:val="21"/>
                      <w:highlight w:val="none"/>
                      <w:lang w:eastAsia="zh-CN"/>
                    </w:rPr>
                    <w:t>）</w:t>
                  </w:r>
                </w:p>
              </w:tc>
              <w:tc>
                <w:tcPr>
                  <w:tcW w:w="892" w:type="pct"/>
                  <w:vMerge w:val="restart"/>
                  <w:tcBorders>
                    <w:tl2br w:val="nil"/>
                    <w:tr2bl w:val="nil"/>
                  </w:tcBorders>
                  <w:noWrap w:val="0"/>
                  <w:vAlign w:val="center"/>
                </w:tcPr>
                <w:p w14:paraId="09B7C7D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default"/>
                      <w:color w:val="auto"/>
                      <w:szCs w:val="21"/>
                      <w:highlight w:val="none"/>
                    </w:rPr>
                    <w:t>DA0</w:t>
                  </w:r>
                  <w:r>
                    <w:rPr>
                      <w:rFonts w:hint="eastAsia"/>
                      <w:color w:val="auto"/>
                      <w:szCs w:val="21"/>
                      <w:highlight w:val="none"/>
                      <w:lang w:val="en-US" w:eastAsia="zh-CN"/>
                    </w:rPr>
                    <w:t>11</w:t>
                  </w:r>
                </w:p>
              </w:tc>
            </w:tr>
            <w:tr w14:paraId="0D56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72" w:type="pct"/>
                  <w:tcBorders>
                    <w:tl2br w:val="nil"/>
                    <w:tr2bl w:val="nil"/>
                  </w:tcBorders>
                  <w:noWrap w:val="0"/>
                  <w:vAlign w:val="center"/>
                </w:tcPr>
                <w:p w14:paraId="4B894ECB">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成品出料池</w:t>
                  </w:r>
                </w:p>
              </w:tc>
              <w:tc>
                <w:tcPr>
                  <w:tcW w:w="595" w:type="pct"/>
                  <w:tcBorders>
                    <w:tl2br w:val="nil"/>
                    <w:tr2bl w:val="nil"/>
                  </w:tcBorders>
                  <w:noWrap w:val="0"/>
                  <w:vAlign w:val="center"/>
                </w:tcPr>
                <w:p w14:paraId="6D6AF6E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default"/>
                      <w:color w:val="auto"/>
                      <w:szCs w:val="21"/>
                      <w:highlight w:val="none"/>
                    </w:rPr>
                    <w:t>顶吸罩</w:t>
                  </w:r>
                </w:p>
              </w:tc>
              <w:tc>
                <w:tcPr>
                  <w:tcW w:w="945" w:type="pct"/>
                  <w:tcBorders>
                    <w:tl2br w:val="nil"/>
                    <w:tr2bl w:val="nil"/>
                  </w:tcBorders>
                  <w:noWrap w:val="0"/>
                  <w:vAlign w:val="center"/>
                </w:tcPr>
                <w:p w14:paraId="1716E822">
                  <w:pPr>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rPr>
                    <w:t>×</w:t>
                  </w:r>
                  <w:r>
                    <w:rPr>
                      <w:rFonts w:hint="eastAsia"/>
                      <w:color w:val="auto"/>
                      <w:szCs w:val="21"/>
                      <w:highlight w:val="none"/>
                      <w:lang w:val="en-US" w:eastAsia="zh-CN"/>
                    </w:rPr>
                    <w:t>1.5</w:t>
                  </w:r>
                </w:p>
              </w:tc>
              <w:tc>
                <w:tcPr>
                  <w:tcW w:w="908" w:type="pct"/>
                  <w:vMerge w:val="continue"/>
                  <w:tcBorders>
                    <w:tl2br w:val="nil"/>
                    <w:tr2bl w:val="nil"/>
                  </w:tcBorders>
                  <w:noWrap w:val="0"/>
                  <w:vAlign w:val="center"/>
                </w:tcPr>
                <w:p w14:paraId="4DF565CF">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p>
              </w:tc>
              <w:tc>
                <w:tcPr>
                  <w:tcW w:w="785" w:type="pct"/>
                  <w:vMerge w:val="continue"/>
                  <w:tcBorders>
                    <w:tl2br w:val="nil"/>
                    <w:tr2bl w:val="nil"/>
                  </w:tcBorders>
                  <w:noWrap w:val="0"/>
                  <w:vAlign w:val="center"/>
                </w:tcPr>
                <w:p w14:paraId="1A1918D1">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2" w:type="pct"/>
                  <w:vMerge w:val="continue"/>
                  <w:tcBorders>
                    <w:tl2br w:val="nil"/>
                    <w:tr2bl w:val="nil"/>
                  </w:tcBorders>
                  <w:noWrap w:val="0"/>
                  <w:vAlign w:val="center"/>
                </w:tcPr>
                <w:p w14:paraId="405FDE8D">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bl>
          <w:p w14:paraId="56AC11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根据《排风罩的分类及技术条件》（GB/T 16758-2008）附录A中排风罩的排风量计算公式：</w:t>
            </w:r>
          </w:p>
          <w:p w14:paraId="40D7B1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snapToGrid w:val="0"/>
                <w:color w:val="auto"/>
                <w:position w:val="-10"/>
                <w:sz w:val="24"/>
                <w:szCs w:val="20"/>
                <w:highlight w:val="none"/>
                <w:lang w:val="en-US" w:eastAsia="zh-CN"/>
              </w:rPr>
              <w:object>
                <v:shape id="_x0000_i1029" o:spt="75" type="#_x0000_t75" style="height:16pt;width:38pt;" o:ole="t" filled="f" o:preferrelative="t" stroked="f" coordsize="21600,21600">
                  <v:path/>
                  <v:fill on="f" focussize="0,0"/>
                  <v:stroke on="f"/>
                  <v:imagedata r:id="rId22" o:title=""/>
                  <o:lock v:ext="edit" aspectratio="t"/>
                  <w10:wrap type="none"/>
                  <w10:anchorlock/>
                </v:shape>
                <o:OLEObject Type="Embed" ProgID="Equation.KSEE3" ShapeID="_x0000_i1029" DrawAspect="Content" ObjectID="_1468075729" r:id="rId27">
                  <o:LockedField>false</o:LockedField>
                </o:OLEObject>
              </w:object>
            </w:r>
          </w:p>
          <w:p w14:paraId="6FC87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式中：Q—</w:t>
            </w:r>
            <w:r>
              <w:rPr>
                <w:rFonts w:hint="eastAsia" w:cs="Times New Roman"/>
                <w:color w:val="auto"/>
                <w:sz w:val="24"/>
                <w:highlight w:val="none"/>
                <w:lang w:val="en-US" w:eastAsia="zh-CN"/>
              </w:rPr>
              <w:t>排风罩的</w:t>
            </w:r>
            <w:r>
              <w:rPr>
                <w:rFonts w:hint="eastAsia" w:ascii="Times New Roman" w:hAnsi="Times New Roman" w:eastAsia="宋体" w:cs="Times New Roman"/>
                <w:color w:val="auto"/>
                <w:sz w:val="24"/>
                <w:highlight w:val="none"/>
                <w:lang w:val="en-US" w:eastAsia="zh-CN"/>
              </w:rPr>
              <w:t>排气量，m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/h；</w:t>
            </w:r>
          </w:p>
          <w:p w14:paraId="57EE44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F—</w:t>
            </w:r>
            <w:r>
              <w:rPr>
                <w:rFonts w:hint="eastAsia" w:cs="Times New Roman"/>
                <w:color w:val="auto"/>
                <w:sz w:val="24"/>
                <w:highlight w:val="none"/>
                <w:lang w:val="en-US" w:eastAsia="zh-CN"/>
              </w:rPr>
              <w:t>排风罩罩口面积</w:t>
            </w:r>
            <w:r>
              <w:rPr>
                <w:rFonts w:hint="eastAsia" w:ascii="Times New Roman" w:hAnsi="Times New Roman" w:eastAsia="宋体" w:cs="Times New Roman"/>
                <w:color w:val="auto"/>
                <w:sz w:val="24"/>
                <w:highlight w:val="none"/>
                <w:lang w:val="en-US" w:eastAsia="zh-CN"/>
              </w:rPr>
              <w:t>，m；</w:t>
            </w:r>
          </w:p>
          <w:p w14:paraId="44C3E9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snapToGrid w:val="0"/>
                <w:color w:val="auto"/>
                <w:position w:val="-6"/>
                <w:sz w:val="24"/>
                <w:szCs w:val="20"/>
                <w:highlight w:val="none"/>
                <w:lang w:val="en-US" w:eastAsia="zh-CN"/>
              </w:rPr>
              <w:object>
                <v:shape id="_x0000_i1030" o:spt="75" type="#_x0000_t75" style="height:13pt;width:10pt;" o:ole="t" filled="f" o:preferrelative="t" stroked="f" coordsize="21600,21600">
                  <v:path/>
                  <v:fill on="f" focussize="0,0"/>
                  <v:stroke on="f"/>
                  <v:imagedata r:id="rId24" o:title=""/>
                  <o:lock v:ext="edit" aspectratio="t"/>
                  <w10:wrap type="none"/>
                  <w10:anchorlock/>
                </v:shape>
                <o:OLEObject Type="Embed" ProgID="Equation.KSEE3" ShapeID="_x0000_i1030" DrawAspect="Content" ObjectID="_1468075730" r:id="rId28">
                  <o:LockedField>false</o:LockedField>
                </o:OLEObject>
              </w:objec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排风罩罩口平均</w:t>
            </w:r>
            <w:r>
              <w:rPr>
                <w:rFonts w:hint="eastAsia" w:ascii="Times New Roman" w:hAnsi="Times New Roman" w:eastAsia="宋体" w:cs="Times New Roman"/>
                <w:color w:val="auto"/>
                <w:sz w:val="24"/>
                <w:highlight w:val="none"/>
                <w:lang w:val="en-US" w:eastAsia="zh-CN"/>
              </w:rPr>
              <w:t>风速，m/s。</w:t>
            </w:r>
          </w:p>
          <w:p w14:paraId="2689A07C">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color w:val="auto"/>
                <w:sz w:val="24"/>
                <w:highlight w:val="none"/>
              </w:rPr>
            </w:pPr>
            <w:r>
              <w:rPr>
                <w:rFonts w:hint="eastAsia" w:ascii="Times New Roman" w:hAnsi="Times New Roman" w:eastAsia="宋体" w:cs="Times New Roman"/>
                <w:snapToGrid w:val="0"/>
                <w:color w:val="auto"/>
                <w:sz w:val="24"/>
                <w:szCs w:val="20"/>
                <w:highlight w:val="none"/>
                <w:lang w:val="en-US" w:eastAsia="zh-CN"/>
              </w:rPr>
              <w:t>根据《局部排风设施控制风速检测与评估技术规范》（AO/T 4274-2016）中要求，顶吸罩罩口风速取1.2m/s。</w:t>
            </w:r>
            <w:r>
              <w:rPr>
                <w:rFonts w:hint="eastAsia"/>
                <w:color w:val="auto"/>
                <w:sz w:val="24"/>
                <w:highlight w:val="none"/>
              </w:rPr>
              <w:t>经计算，</w:t>
            </w:r>
            <w:r>
              <w:rPr>
                <w:rFonts w:hint="eastAsia"/>
                <w:color w:val="auto"/>
                <w:sz w:val="24"/>
                <w:highlight w:val="none"/>
                <w:lang w:val="en-US" w:eastAsia="zh-CN"/>
              </w:rPr>
              <w:t>此工序</w:t>
            </w:r>
            <w:r>
              <w:rPr>
                <w:rFonts w:hint="eastAsia"/>
                <w:color w:val="auto"/>
                <w:sz w:val="24"/>
                <w:highlight w:val="none"/>
              </w:rPr>
              <w:t>需配套的风量见下表</w:t>
            </w:r>
            <w:r>
              <w:rPr>
                <w:rFonts w:hint="default"/>
                <w:b w:val="0"/>
                <w:bCs/>
                <w:color w:val="auto"/>
                <w:sz w:val="24"/>
                <w:szCs w:val="24"/>
                <w:highlight w:val="none"/>
                <w:lang w:val="en-US" w:eastAsia="zh-CN"/>
              </w:rPr>
              <w:t>4</w:t>
            </w:r>
            <w:r>
              <w:rPr>
                <w:rFonts w:hint="eastAsia"/>
                <w:b w:val="0"/>
                <w:bCs/>
                <w:color w:val="auto"/>
                <w:sz w:val="24"/>
                <w:szCs w:val="24"/>
                <w:highlight w:val="none"/>
                <w:lang w:val="en-US" w:eastAsia="zh-CN"/>
              </w:rPr>
              <w:t>-7</w:t>
            </w:r>
            <w:r>
              <w:rPr>
                <w:rFonts w:hint="eastAsia"/>
                <w:color w:val="auto"/>
                <w:sz w:val="24"/>
                <w:highlight w:val="none"/>
              </w:rPr>
              <w:t>。</w:t>
            </w:r>
          </w:p>
          <w:p w14:paraId="156DB4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rightChars="0"/>
              <w:jc w:val="center"/>
              <w:textAlignment w:val="auto"/>
              <w:outlineLvl w:val="9"/>
              <w:rPr>
                <w:rFonts w:hint="default" w:ascii="Times New Roman" w:hAnsi="Times New Roman" w:eastAsia="宋体" w:cs="Times New Roman"/>
                <w:b/>
                <w:bCs w:val="0"/>
                <w:color w:val="auto"/>
                <w:sz w:val="21"/>
                <w:szCs w:val="16"/>
                <w:highlight w:val="none"/>
                <w:lang w:val="en-US" w:eastAsia="zh-CN"/>
              </w:rPr>
            </w:pPr>
            <w:r>
              <w:rPr>
                <w:rFonts w:hint="eastAsia" w:ascii="Times New Roman" w:hAnsi="Times New Roman" w:eastAsia="宋体" w:cs="Times New Roman"/>
                <w:b/>
                <w:bCs w:val="0"/>
                <w:color w:val="auto"/>
                <w:sz w:val="21"/>
                <w:szCs w:val="16"/>
                <w:highlight w:val="none"/>
                <w:lang w:val="en-US" w:eastAsia="zh-CN"/>
              </w:rPr>
              <w:t>表4</w:t>
            </w:r>
            <w:r>
              <w:rPr>
                <w:rFonts w:hint="eastAsia" w:cs="Times New Roman"/>
                <w:b/>
                <w:bCs w:val="0"/>
                <w:color w:val="auto"/>
                <w:sz w:val="21"/>
                <w:szCs w:val="16"/>
                <w:highlight w:val="none"/>
                <w:lang w:val="en-US" w:eastAsia="zh-CN"/>
              </w:rPr>
              <w:t>-7</w:t>
            </w:r>
            <w:r>
              <w:rPr>
                <w:rFonts w:hint="default" w:ascii="Times New Roman" w:hAnsi="Times New Roman" w:eastAsia="宋体" w:cs="Times New Roman"/>
                <w:b/>
                <w:bCs w:val="0"/>
                <w:color w:val="auto"/>
                <w:sz w:val="21"/>
                <w:szCs w:val="16"/>
                <w:highlight w:val="none"/>
                <w:lang w:val="en-US" w:eastAsia="zh-CN"/>
              </w:rPr>
              <w:t xml:space="preserve"> </w:t>
            </w:r>
            <w:r>
              <w:rPr>
                <w:rFonts w:hint="eastAsia" w:ascii="Times New Roman" w:hAnsi="Times New Roman" w:eastAsia="宋体" w:cs="Times New Roman"/>
                <w:b/>
                <w:bCs w:val="0"/>
                <w:color w:val="auto"/>
                <w:sz w:val="21"/>
                <w:szCs w:val="16"/>
                <w:highlight w:val="none"/>
                <w:lang w:val="en-US" w:eastAsia="zh-CN"/>
              </w:rPr>
              <w:t xml:space="preserve"> 该工序需配套的风量一览表</w:t>
            </w:r>
          </w:p>
          <w:tbl>
            <w:tblPr>
              <w:tblStyle w:val="31"/>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2605"/>
              <w:gridCol w:w="2239"/>
              <w:gridCol w:w="1634"/>
            </w:tblGrid>
            <w:tr w14:paraId="1C45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0B3C42E9">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b/>
                      <w:bCs/>
                      <w:color w:val="auto"/>
                      <w:szCs w:val="21"/>
                      <w:highlight w:val="none"/>
                      <w:lang w:val="en-US" w:eastAsia="zh-CN"/>
                    </w:rPr>
                  </w:pPr>
                  <w:r>
                    <w:rPr>
                      <w:rFonts w:hint="default"/>
                      <w:b/>
                      <w:bCs/>
                      <w:color w:val="auto"/>
                      <w:szCs w:val="21"/>
                      <w:highlight w:val="none"/>
                    </w:rPr>
                    <w:t>设备名称</w:t>
                  </w:r>
                </w:p>
              </w:tc>
              <w:tc>
                <w:tcPr>
                  <w:tcW w:w="1424" w:type="pct"/>
                  <w:tcBorders>
                    <w:tl2br w:val="nil"/>
                    <w:tr2bl w:val="nil"/>
                  </w:tcBorders>
                  <w:noWrap w:val="0"/>
                  <w:vAlign w:val="center"/>
                </w:tcPr>
                <w:p w14:paraId="36BCE69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计算风量（m</w:t>
                  </w:r>
                  <w:r>
                    <w:rPr>
                      <w:rFonts w:hint="default"/>
                      <w:b/>
                      <w:bCs/>
                      <w:color w:val="auto"/>
                      <w:szCs w:val="21"/>
                      <w:highlight w:val="none"/>
                      <w:vertAlign w:val="superscript"/>
                    </w:rPr>
                    <w:t>3</w:t>
                  </w:r>
                  <w:r>
                    <w:rPr>
                      <w:rFonts w:hint="default"/>
                      <w:b/>
                      <w:bCs/>
                      <w:color w:val="auto"/>
                      <w:szCs w:val="21"/>
                      <w:highlight w:val="none"/>
                    </w:rPr>
                    <w:t>/h）</w:t>
                  </w:r>
                </w:p>
              </w:tc>
              <w:tc>
                <w:tcPr>
                  <w:tcW w:w="1224" w:type="pct"/>
                  <w:tcBorders>
                    <w:tl2br w:val="nil"/>
                    <w:tr2bl w:val="nil"/>
                  </w:tcBorders>
                  <w:noWrap w:val="0"/>
                  <w:vAlign w:val="center"/>
                </w:tcPr>
                <w:p w14:paraId="6EF429F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处理设备</w:t>
                  </w:r>
                </w:p>
              </w:tc>
              <w:tc>
                <w:tcPr>
                  <w:tcW w:w="893" w:type="pct"/>
                  <w:tcBorders>
                    <w:tl2br w:val="nil"/>
                    <w:tr2bl w:val="nil"/>
                  </w:tcBorders>
                  <w:noWrap w:val="0"/>
                  <w:vAlign w:val="center"/>
                </w:tcPr>
                <w:p w14:paraId="5CCEBEF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b/>
                      <w:bCs/>
                      <w:color w:val="auto"/>
                      <w:szCs w:val="21"/>
                      <w:highlight w:val="none"/>
                    </w:rPr>
                  </w:pPr>
                  <w:r>
                    <w:rPr>
                      <w:rFonts w:hint="default"/>
                      <w:b/>
                      <w:bCs/>
                      <w:color w:val="auto"/>
                      <w:szCs w:val="21"/>
                      <w:highlight w:val="none"/>
                    </w:rPr>
                    <w:t>排气筒编号</w:t>
                  </w:r>
                </w:p>
              </w:tc>
            </w:tr>
            <w:tr w14:paraId="694B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460298AA">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eastAsia"/>
                      <w:color w:val="auto"/>
                      <w:szCs w:val="21"/>
                      <w:highlight w:val="none"/>
                      <w:lang w:val="en-US" w:eastAsia="zh-CN"/>
                    </w:rPr>
                    <w:t>成品出料池</w:t>
                  </w:r>
                </w:p>
              </w:tc>
              <w:tc>
                <w:tcPr>
                  <w:tcW w:w="1424" w:type="pct"/>
                  <w:tcBorders>
                    <w:tl2br w:val="nil"/>
                    <w:tr2bl w:val="nil"/>
                  </w:tcBorders>
                  <w:noWrap w:val="0"/>
                  <w:vAlign w:val="center"/>
                </w:tcPr>
                <w:p w14:paraId="367DF26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12960</w:t>
                  </w:r>
                </w:p>
              </w:tc>
              <w:tc>
                <w:tcPr>
                  <w:tcW w:w="1224" w:type="pct"/>
                  <w:vMerge w:val="restart"/>
                  <w:tcBorders>
                    <w:tl2br w:val="nil"/>
                    <w:tr2bl w:val="nil"/>
                  </w:tcBorders>
                  <w:noWrap w:val="0"/>
                  <w:vAlign w:val="center"/>
                </w:tcPr>
                <w:p w14:paraId="0177F792">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eastAsia="宋体"/>
                      <w:color w:val="auto"/>
                      <w:szCs w:val="21"/>
                      <w:highlight w:val="none"/>
                      <w:lang w:val="en-US" w:eastAsia="zh-CN"/>
                    </w:rPr>
                  </w:pPr>
                  <w:r>
                    <w:rPr>
                      <w:rFonts w:hint="default"/>
                      <w:color w:val="auto"/>
                      <w:szCs w:val="21"/>
                      <w:highlight w:val="none"/>
                    </w:rPr>
                    <w:t>布袋除尘器</w:t>
                  </w:r>
                  <w:r>
                    <w:rPr>
                      <w:rFonts w:hint="eastAsia"/>
                      <w:color w:val="auto"/>
                      <w:szCs w:val="21"/>
                      <w:highlight w:val="none"/>
                      <w:lang w:eastAsia="zh-CN"/>
                    </w:rPr>
                    <w:t>（</w:t>
                  </w:r>
                  <w:r>
                    <w:rPr>
                      <w:rFonts w:hint="eastAsia"/>
                      <w:color w:val="auto"/>
                      <w:szCs w:val="21"/>
                      <w:highlight w:val="none"/>
                      <w:lang w:val="en-US" w:eastAsia="zh-CN"/>
                    </w:rPr>
                    <w:t>TA004</w:t>
                  </w:r>
                  <w:r>
                    <w:rPr>
                      <w:rFonts w:hint="eastAsia"/>
                      <w:color w:val="auto"/>
                      <w:szCs w:val="21"/>
                      <w:highlight w:val="none"/>
                      <w:lang w:eastAsia="zh-CN"/>
                    </w:rPr>
                    <w:t>）</w:t>
                  </w:r>
                </w:p>
              </w:tc>
              <w:tc>
                <w:tcPr>
                  <w:tcW w:w="893" w:type="pct"/>
                  <w:vMerge w:val="restart"/>
                  <w:tcBorders>
                    <w:tl2br w:val="nil"/>
                    <w:tr2bl w:val="nil"/>
                  </w:tcBorders>
                  <w:noWrap w:val="0"/>
                  <w:vAlign w:val="center"/>
                </w:tcPr>
                <w:p w14:paraId="5025D38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default"/>
                      <w:color w:val="auto"/>
                      <w:szCs w:val="21"/>
                      <w:highlight w:val="none"/>
                    </w:rPr>
                    <w:t>DA0</w:t>
                  </w:r>
                  <w:r>
                    <w:rPr>
                      <w:rFonts w:hint="eastAsia"/>
                      <w:color w:val="auto"/>
                      <w:szCs w:val="21"/>
                      <w:highlight w:val="none"/>
                      <w:lang w:val="en-US" w:eastAsia="zh-CN"/>
                    </w:rPr>
                    <w:t>11</w:t>
                  </w:r>
                </w:p>
              </w:tc>
            </w:tr>
            <w:tr w14:paraId="36F3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50EDC4D8">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r>
                    <w:rPr>
                      <w:rFonts w:hint="eastAsia"/>
                      <w:color w:val="auto"/>
                      <w:szCs w:val="21"/>
                      <w:highlight w:val="none"/>
                      <w:lang w:val="en-US" w:eastAsia="zh-CN"/>
                    </w:rPr>
                    <w:t>成品出料池</w:t>
                  </w:r>
                </w:p>
              </w:tc>
              <w:tc>
                <w:tcPr>
                  <w:tcW w:w="1424" w:type="pct"/>
                  <w:tcBorders>
                    <w:tl2br w:val="nil"/>
                    <w:tr2bl w:val="nil"/>
                  </w:tcBorders>
                  <w:noWrap w:val="0"/>
                  <w:vAlign w:val="center"/>
                </w:tcPr>
                <w:p w14:paraId="5E544D36">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eastAsia="宋体"/>
                      <w:color w:val="auto"/>
                      <w:szCs w:val="21"/>
                      <w:highlight w:val="none"/>
                      <w:lang w:val="en-US" w:eastAsia="zh-CN"/>
                    </w:rPr>
                  </w:pPr>
                  <w:r>
                    <w:rPr>
                      <w:rFonts w:hint="eastAsia"/>
                      <w:color w:val="auto"/>
                      <w:szCs w:val="21"/>
                      <w:highlight w:val="none"/>
                      <w:lang w:val="en-US" w:eastAsia="zh-CN"/>
                    </w:rPr>
                    <w:t>12960</w:t>
                  </w:r>
                </w:p>
              </w:tc>
              <w:tc>
                <w:tcPr>
                  <w:tcW w:w="1224" w:type="pct"/>
                  <w:vMerge w:val="continue"/>
                  <w:tcBorders>
                    <w:tl2br w:val="nil"/>
                    <w:tr2bl w:val="nil"/>
                  </w:tcBorders>
                  <w:noWrap w:val="0"/>
                  <w:vAlign w:val="center"/>
                </w:tcPr>
                <w:p w14:paraId="71C0178E">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1BD306D4">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r w14:paraId="61D9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457" w:type="pct"/>
                  <w:tcBorders>
                    <w:tl2br w:val="nil"/>
                    <w:tr2bl w:val="nil"/>
                  </w:tcBorders>
                  <w:noWrap w:val="0"/>
                  <w:vAlign w:val="center"/>
                </w:tcPr>
                <w:p w14:paraId="0EA31885">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eastAsia"/>
                      <w:color w:val="auto"/>
                      <w:szCs w:val="21"/>
                      <w:highlight w:val="none"/>
                      <w:lang w:val="en-US" w:eastAsia="zh-CN"/>
                    </w:rPr>
                  </w:pPr>
                  <w:r>
                    <w:rPr>
                      <w:rFonts w:hint="eastAsia"/>
                      <w:color w:val="auto"/>
                      <w:szCs w:val="21"/>
                      <w:highlight w:val="none"/>
                      <w:lang w:val="en-US" w:eastAsia="zh-CN"/>
                    </w:rPr>
                    <w:t>合计</w:t>
                  </w:r>
                </w:p>
              </w:tc>
              <w:tc>
                <w:tcPr>
                  <w:tcW w:w="1424" w:type="pct"/>
                  <w:tcBorders>
                    <w:tl2br w:val="nil"/>
                    <w:tr2bl w:val="nil"/>
                  </w:tcBorders>
                  <w:noWrap w:val="0"/>
                  <w:vAlign w:val="center"/>
                </w:tcPr>
                <w:p w14:paraId="652AA733">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lang w:val="en-US" w:eastAsia="zh-CN"/>
                    </w:rPr>
                  </w:pPr>
                  <w:r>
                    <w:rPr>
                      <w:rFonts w:hint="eastAsia"/>
                      <w:color w:val="auto"/>
                      <w:szCs w:val="21"/>
                      <w:highlight w:val="none"/>
                      <w:lang w:val="en-US" w:eastAsia="zh-CN"/>
                    </w:rPr>
                    <w:t>25920</w:t>
                  </w:r>
                </w:p>
              </w:tc>
              <w:tc>
                <w:tcPr>
                  <w:tcW w:w="1224" w:type="pct"/>
                  <w:vMerge w:val="continue"/>
                  <w:tcBorders>
                    <w:tl2br w:val="nil"/>
                    <w:tr2bl w:val="nil"/>
                  </w:tcBorders>
                  <w:noWrap w:val="0"/>
                  <w:vAlign w:val="center"/>
                </w:tcPr>
                <w:p w14:paraId="637EE9EC">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c>
                <w:tcPr>
                  <w:tcW w:w="893" w:type="pct"/>
                  <w:vMerge w:val="continue"/>
                  <w:tcBorders>
                    <w:tl2br w:val="nil"/>
                    <w:tr2bl w:val="nil"/>
                  </w:tcBorders>
                  <w:noWrap w:val="0"/>
                  <w:vAlign w:val="center"/>
                </w:tcPr>
                <w:p w14:paraId="238E920D">
                  <w:pPr>
                    <w:pStyle w:val="12"/>
                    <w:keepNext w:val="0"/>
                    <w:keepLines w:val="0"/>
                    <w:suppressLineNumbers w:val="0"/>
                    <w:spacing w:before="100" w:beforeAutospacing="1" w:after="100" w:afterAutospacing="1" w:line="240" w:lineRule="auto"/>
                    <w:ind w:left="0" w:leftChars="0" w:right="0" w:rightChars="0" w:firstLine="0" w:firstLineChars="0"/>
                    <w:jc w:val="center"/>
                    <w:rPr>
                      <w:rFonts w:hint="default"/>
                      <w:color w:val="auto"/>
                      <w:szCs w:val="21"/>
                      <w:highlight w:val="none"/>
                    </w:rPr>
                  </w:pPr>
                </w:p>
              </w:tc>
            </w:tr>
          </w:tbl>
          <w:p w14:paraId="083D5772">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eastAsia" w:ascii="Times New Roman" w:hAnsi="Times New Roman" w:eastAsia="宋体" w:cs="Times New Roman"/>
                <w:snapToGrid w:val="0"/>
                <w:color w:val="auto"/>
                <w:sz w:val="24"/>
                <w:szCs w:val="20"/>
                <w:highlight w:val="none"/>
                <w:lang w:val="en-US" w:eastAsia="zh-CN"/>
              </w:rPr>
            </w:pPr>
            <w:r>
              <w:rPr>
                <w:rFonts w:hint="eastAsia" w:ascii="Times New Roman" w:hAnsi="Times New Roman" w:eastAsia="宋体" w:cs="Times New Roman"/>
                <w:snapToGrid w:val="0"/>
                <w:color w:val="auto"/>
                <w:sz w:val="24"/>
                <w:szCs w:val="20"/>
                <w:highlight w:val="none"/>
                <w:lang w:val="en-US" w:eastAsia="zh-CN"/>
              </w:rPr>
              <w:t>经计算：</w:t>
            </w:r>
            <w:r>
              <w:rPr>
                <w:rFonts w:hint="eastAsia" w:cs="Times New Roman"/>
                <w:snapToGrid w:val="0"/>
                <w:color w:val="auto"/>
                <w:sz w:val="24"/>
                <w:szCs w:val="20"/>
                <w:highlight w:val="none"/>
                <w:lang w:val="en-US" w:eastAsia="zh-CN"/>
              </w:rPr>
              <w:t>出料</w:t>
            </w:r>
            <w:r>
              <w:rPr>
                <w:rFonts w:hint="eastAsia"/>
                <w:color w:val="auto"/>
                <w:sz w:val="24"/>
                <w:highlight w:val="none"/>
                <w:lang w:val="en-US" w:eastAsia="zh-CN"/>
              </w:rPr>
              <w:t>工序</w:t>
            </w:r>
            <w:r>
              <w:rPr>
                <w:rFonts w:hint="eastAsia" w:cs="Times New Roman"/>
                <w:snapToGrid w:val="0"/>
                <w:color w:val="auto"/>
                <w:sz w:val="24"/>
                <w:szCs w:val="20"/>
                <w:highlight w:val="none"/>
                <w:lang w:val="en-US" w:eastAsia="zh-CN"/>
              </w:rPr>
              <w:t>所需</w:t>
            </w:r>
            <w:r>
              <w:rPr>
                <w:rFonts w:hint="eastAsia" w:ascii="Times New Roman" w:hAnsi="Times New Roman" w:eastAsia="宋体" w:cs="Times New Roman"/>
                <w:snapToGrid w:val="0"/>
                <w:color w:val="auto"/>
                <w:sz w:val="24"/>
                <w:szCs w:val="20"/>
                <w:highlight w:val="none"/>
                <w:lang w:val="en-US" w:eastAsia="zh-CN"/>
              </w:rPr>
              <w:t>风量为25920m</w:t>
            </w:r>
            <w:r>
              <w:rPr>
                <w:rFonts w:hint="eastAsia" w:ascii="Times New Roman" w:hAnsi="Times New Roman" w:eastAsia="宋体" w:cs="Times New Roman"/>
                <w:snapToGrid w:val="0"/>
                <w:color w:val="auto"/>
                <w:sz w:val="24"/>
                <w:szCs w:val="20"/>
                <w:highlight w:val="none"/>
                <w:vertAlign w:val="superscript"/>
                <w:lang w:val="en-US" w:eastAsia="zh-CN"/>
              </w:rPr>
              <w:t>3</w:t>
            </w:r>
            <w:r>
              <w:rPr>
                <w:rFonts w:hint="eastAsia" w:ascii="Times New Roman" w:hAnsi="Times New Roman" w:eastAsia="宋体" w:cs="Times New Roman"/>
                <w:snapToGrid w:val="0"/>
                <w:color w:val="auto"/>
                <w:sz w:val="24"/>
                <w:szCs w:val="20"/>
                <w:highlight w:val="none"/>
                <w:lang w:val="en-US" w:eastAsia="zh-CN"/>
              </w:rPr>
              <w:t>/h</w:t>
            </w:r>
            <w:r>
              <w:rPr>
                <w:rFonts w:hint="eastAsia" w:cs="Times New Roman"/>
                <w:snapToGrid w:val="0"/>
                <w:color w:val="auto"/>
                <w:sz w:val="24"/>
                <w:szCs w:val="20"/>
                <w:highlight w:val="none"/>
                <w:lang w:val="en-US" w:eastAsia="zh-CN"/>
              </w:rPr>
              <w:t>。</w:t>
            </w:r>
            <w:r>
              <w:rPr>
                <w:rFonts w:hint="eastAsia" w:ascii="Times New Roman" w:hAnsi="Times New Roman" w:eastAsia="宋体" w:cs="Times New Roman"/>
                <w:snapToGrid w:val="0"/>
                <w:color w:val="auto"/>
                <w:sz w:val="24"/>
                <w:szCs w:val="20"/>
                <w:highlight w:val="none"/>
                <w:lang w:val="en-US" w:eastAsia="zh-CN"/>
              </w:rPr>
              <w:t>布袋材质：覆膜（PTFE）涤纶针刺毡，过滤风速0.8m/min，过滤面积</w:t>
            </w:r>
            <w:r>
              <w:rPr>
                <w:rFonts w:hint="eastAsia" w:cs="Times New Roman"/>
                <w:snapToGrid w:val="0"/>
                <w:color w:val="auto"/>
                <w:sz w:val="24"/>
                <w:szCs w:val="20"/>
                <w:highlight w:val="none"/>
                <w:lang w:val="en-US" w:eastAsia="zh-CN"/>
              </w:rPr>
              <w:t>540</w:t>
            </w:r>
            <w:r>
              <w:rPr>
                <w:rFonts w:hint="eastAsia" w:ascii="Times New Roman" w:hAnsi="Times New Roman" w:eastAsia="宋体" w:cs="Times New Roman"/>
                <w:snapToGrid w:val="0"/>
                <w:color w:val="auto"/>
                <w:sz w:val="24"/>
                <w:szCs w:val="20"/>
                <w:highlight w:val="none"/>
                <w:lang w:val="en-US" w:eastAsia="zh-CN"/>
              </w:rPr>
              <w:t>m</w:t>
            </w:r>
            <w:r>
              <w:rPr>
                <w:rFonts w:hint="eastAsia" w:ascii="Times New Roman" w:hAnsi="Times New Roman" w:eastAsia="宋体" w:cs="Times New Roman"/>
                <w:snapToGrid w:val="0"/>
                <w:color w:val="auto"/>
                <w:sz w:val="24"/>
                <w:szCs w:val="20"/>
                <w:highlight w:val="none"/>
                <w:vertAlign w:val="superscript"/>
                <w:lang w:val="en-US" w:eastAsia="zh-CN"/>
              </w:rPr>
              <w:t>2</w:t>
            </w:r>
            <w:r>
              <w:rPr>
                <w:rFonts w:hint="eastAsia" w:cs="Times New Roman"/>
                <w:snapToGrid w:val="0"/>
                <w:color w:val="auto"/>
                <w:sz w:val="24"/>
                <w:szCs w:val="20"/>
                <w:highlight w:val="none"/>
                <w:lang w:val="en-US" w:eastAsia="zh-CN"/>
              </w:rPr>
              <w:t>。</w:t>
            </w:r>
          </w:p>
          <w:p w14:paraId="10EEDF68">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textAlignment w:val="auto"/>
              <w:rPr>
                <w:rFonts w:hint="default" w:ascii="Times New Roman" w:hAnsi="Times New Roman" w:cs="Times New Roman"/>
                <w:color w:val="auto"/>
                <w:sz w:val="24"/>
                <w:szCs w:val="24"/>
                <w:highlight w:val="none"/>
                <w:vertAlign w:val="baseline"/>
                <w:lang w:val="en-US" w:eastAsia="zh-CN"/>
              </w:rPr>
            </w:pPr>
            <w:r>
              <w:rPr>
                <w:rFonts w:hint="eastAsia"/>
                <w:color w:val="auto"/>
                <w:sz w:val="24"/>
                <w:highlight w:val="none"/>
                <w:lang w:val="en-US" w:eastAsia="zh-CN"/>
              </w:rPr>
              <w:t>参照同类型项目，出料产尘系数按</w:t>
            </w:r>
            <w:r>
              <w:rPr>
                <w:rFonts w:hint="eastAsia" w:ascii="Times New Roman" w:hAnsi="Times New Roman" w:eastAsia="宋体" w:cs="Times New Roman"/>
                <w:color w:val="auto"/>
                <w:kern w:val="2"/>
                <w:sz w:val="24"/>
                <w:szCs w:val="24"/>
                <w:highlight w:val="none"/>
                <w:lang w:val="en-US" w:eastAsia="zh-CN" w:bidi="ar-SA"/>
              </w:rPr>
              <w:t>0.</w:t>
            </w:r>
            <w:r>
              <w:rPr>
                <w:rFonts w:hint="eastAsia"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kg/t</w:t>
            </w:r>
            <w:r>
              <w:rPr>
                <w:rFonts w:hint="eastAsia" w:ascii="Times New Roman" w:hAnsi="Times New Roman"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原料计算</w:t>
            </w:r>
            <w:r>
              <w:rPr>
                <w:rFonts w:hint="eastAsia" w:cs="Times New Roman"/>
                <w:color w:val="auto"/>
                <w:kern w:val="2"/>
                <w:sz w:val="24"/>
                <w:szCs w:val="24"/>
                <w:highlight w:val="none"/>
                <w:lang w:val="en-US" w:eastAsia="zh-CN" w:bidi="ar-SA"/>
              </w:rPr>
              <w:t>，本项目原料废钢铁年用量为30万t，年运行时间为7920h，</w:t>
            </w:r>
            <w:r>
              <w:rPr>
                <w:rFonts w:hint="eastAsia" w:ascii="Times New Roman" w:hAnsi="Times New Roman" w:cs="Times New Roman"/>
                <w:color w:val="auto"/>
                <w:sz w:val="24"/>
                <w:szCs w:val="24"/>
                <w:highlight w:val="none"/>
                <w:vertAlign w:val="baseline"/>
                <w:lang w:val="en-US" w:eastAsia="zh-CN"/>
              </w:rPr>
              <w:t>则有组织颗粒物产生量为</w:t>
            </w:r>
            <w:r>
              <w:rPr>
                <w:rFonts w:hint="eastAsia" w:cs="Times New Roman"/>
                <w:color w:val="auto"/>
                <w:sz w:val="24"/>
                <w:szCs w:val="24"/>
                <w:highlight w:val="none"/>
                <w:vertAlign w:val="baseline"/>
                <w:lang w:val="en-US" w:eastAsia="zh-CN"/>
              </w:rPr>
              <w:t>3</w:t>
            </w:r>
            <w:r>
              <w:rPr>
                <w:rFonts w:hint="default" w:ascii="Times New Roman" w:hAnsi="Times New Roman" w:cs="Times New Roman"/>
                <w:color w:val="auto"/>
                <w:sz w:val="24"/>
                <w:szCs w:val="24"/>
                <w:highlight w:val="none"/>
                <w:vertAlign w:val="baseline"/>
                <w:lang w:val="en-US" w:eastAsia="zh-CN"/>
              </w:rPr>
              <w:t>t/a</w:t>
            </w:r>
            <w:r>
              <w:rPr>
                <w:rFonts w:hint="eastAsia"/>
                <w:color w:val="auto"/>
                <w:sz w:val="24"/>
                <w:szCs w:val="24"/>
                <w:highlight w:val="none"/>
                <w:lang w:val="en-US" w:eastAsia="zh-CN"/>
              </w:rPr>
              <w:t>，产生速率</w:t>
            </w:r>
            <w:r>
              <w:rPr>
                <w:rFonts w:hint="eastAsia" w:cs="Times New Roman"/>
                <w:color w:val="auto"/>
                <w:sz w:val="24"/>
                <w:szCs w:val="24"/>
                <w:highlight w:val="none"/>
                <w:lang w:val="en-US" w:eastAsia="zh-CN"/>
              </w:rPr>
              <w:t>0.38</w:t>
            </w:r>
            <w:r>
              <w:rPr>
                <w:rFonts w:hint="default" w:ascii="Times New Roman" w:hAnsi="Times New Roman" w:cs="Times New Roman"/>
                <w:color w:val="auto"/>
                <w:sz w:val="24"/>
                <w:szCs w:val="24"/>
                <w:highlight w:val="none"/>
                <w:lang w:val="en-US" w:eastAsia="zh-CN"/>
              </w:rPr>
              <w:t>kg/h</w:t>
            </w:r>
            <w:r>
              <w:rPr>
                <w:rFonts w:hint="eastAsia" w:cs="Times New Roman"/>
                <w:color w:val="auto"/>
                <w:sz w:val="24"/>
                <w:szCs w:val="24"/>
                <w:highlight w:val="none"/>
                <w:vertAlign w:val="baseline"/>
                <w:lang w:val="en-US" w:eastAsia="zh-CN"/>
              </w:rPr>
              <w:t>，产生浓度为14.66</w:t>
            </w:r>
            <w:r>
              <w:rPr>
                <w:rFonts w:hint="default" w:ascii="Times New Roman" w:hAnsi="Times New Roman" w:eastAsia="宋体" w:cs="Times New Roman"/>
                <w:color w:val="auto"/>
                <w:spacing w:val="0"/>
                <w:position w:val="0"/>
                <w:sz w:val="24"/>
                <w:highlight w:val="none"/>
                <w:lang w:val="en-US" w:eastAsia="zh-CN"/>
              </w:rPr>
              <w:t>mg/m</w:t>
            </w:r>
            <w:r>
              <w:rPr>
                <w:rFonts w:hint="default" w:ascii="Times New Roman" w:hAnsi="Times New Roman" w:eastAsia="宋体" w:cs="Times New Roman"/>
                <w:color w:val="auto"/>
                <w:spacing w:val="0"/>
                <w:position w:val="0"/>
                <w:sz w:val="24"/>
                <w:highlight w:val="none"/>
                <w:vertAlign w:val="superscript"/>
                <w:lang w:val="en-US" w:eastAsia="zh-CN"/>
              </w:rPr>
              <w:t>3</w:t>
            </w:r>
            <w:r>
              <w:rPr>
                <w:rFonts w:hint="eastAsia" w:cs="Times New Roman"/>
                <w:color w:val="auto"/>
                <w:spacing w:val="0"/>
                <w:position w:val="0"/>
                <w:sz w:val="24"/>
                <w:highlight w:val="none"/>
                <w:vertAlign w:val="baseline"/>
                <w:lang w:val="en-US" w:eastAsia="zh-CN"/>
              </w:rPr>
              <w:t>。</w:t>
            </w:r>
          </w:p>
          <w:p w14:paraId="08A72DA2">
            <w:pPr>
              <w:keepNext w:val="0"/>
              <w:keepLines w:val="0"/>
              <w:suppressLineNumbers w:val="0"/>
              <w:spacing w:before="0" w:beforeAutospacing="0" w:after="0" w:afterAutospacing="0" w:line="460" w:lineRule="exact"/>
              <w:ind w:left="0" w:right="0" w:firstLine="480"/>
              <w:rPr>
                <w:rFonts w:hint="default"/>
                <w:color w:val="auto"/>
                <w:sz w:val="24"/>
                <w:highlight w:val="none"/>
              </w:rPr>
            </w:pPr>
            <w:r>
              <w:rPr>
                <w:rFonts w:hint="default"/>
                <w:color w:val="auto"/>
                <w:sz w:val="24"/>
                <w:highlight w:val="none"/>
              </w:rPr>
              <w:t>颗粒物排放浓度按许可排放浓度10mg/m</w:t>
            </w:r>
            <w:r>
              <w:rPr>
                <w:rFonts w:hint="default"/>
                <w:color w:val="auto"/>
                <w:sz w:val="24"/>
                <w:highlight w:val="none"/>
                <w:vertAlign w:val="superscript"/>
              </w:rPr>
              <w:t>3</w:t>
            </w:r>
            <w:r>
              <w:rPr>
                <w:rFonts w:hint="default"/>
                <w:color w:val="auto"/>
                <w:sz w:val="24"/>
                <w:highlight w:val="none"/>
              </w:rPr>
              <w:t>计，依据颗粒物许可排放浓度、风量和年设计运行时间，有组织颗粒物排放量为：</w:t>
            </w:r>
            <w:r>
              <w:rPr>
                <w:rFonts w:hint="eastAsia" w:ascii="Times New Roman" w:hAnsi="Times New Roman" w:eastAsia="宋体" w:cs="Times New Roman"/>
                <w:snapToGrid w:val="0"/>
                <w:color w:val="auto"/>
                <w:sz w:val="24"/>
                <w:szCs w:val="20"/>
                <w:highlight w:val="none"/>
                <w:lang w:val="en-US" w:eastAsia="zh-CN"/>
              </w:rPr>
              <w:t>25920</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/h×10mg/m</w:t>
            </w:r>
            <w:r>
              <w:rPr>
                <w:rFonts w:hint="default"/>
                <w:color w:val="auto"/>
                <w:sz w:val="24"/>
                <w:highlight w:val="none"/>
                <w:vertAlign w:val="superscript"/>
              </w:rPr>
              <w:t>3</w:t>
            </w:r>
            <w:r>
              <w:rPr>
                <w:rFonts w:hint="default"/>
                <w:color w:val="auto"/>
                <w:sz w:val="24"/>
                <w:highlight w:val="none"/>
              </w:rPr>
              <w:t>×3</w:t>
            </w:r>
            <w:r>
              <w:rPr>
                <w:rFonts w:hint="eastAsia"/>
                <w:color w:val="auto"/>
                <w:sz w:val="24"/>
                <w:highlight w:val="none"/>
                <w:lang w:val="en-US" w:eastAsia="zh-CN"/>
              </w:rPr>
              <w:t>3</w:t>
            </w:r>
            <w:r>
              <w:rPr>
                <w:rFonts w:hint="default"/>
                <w:color w:val="auto"/>
                <w:sz w:val="24"/>
                <w:highlight w:val="none"/>
              </w:rPr>
              <w:t>0d/a×24h×</w:t>
            </w:r>
            <w:r>
              <w:rPr>
                <w:rFonts w:hint="eastAsia"/>
                <w:color w:val="auto"/>
                <w:sz w:val="24"/>
                <w:highlight w:val="none"/>
                <w:lang w:val="en-US" w:eastAsia="zh-CN"/>
              </w:rPr>
              <w:t>10</w:t>
            </w:r>
            <w:r>
              <w:rPr>
                <w:rFonts w:hint="eastAsia"/>
                <w:color w:val="auto"/>
                <w:sz w:val="24"/>
                <w:highlight w:val="none"/>
                <w:vertAlign w:val="superscript"/>
                <w:lang w:val="en-US" w:eastAsia="zh-CN"/>
              </w:rPr>
              <w:t>-9</w:t>
            </w:r>
            <w:r>
              <w:rPr>
                <w:rFonts w:hint="default"/>
                <w:color w:val="auto"/>
                <w:sz w:val="24"/>
                <w:highlight w:val="none"/>
              </w:rPr>
              <w:t>=</w:t>
            </w:r>
            <w:r>
              <w:rPr>
                <w:rFonts w:hint="eastAsia"/>
                <w:color w:val="auto"/>
                <w:sz w:val="24"/>
                <w:highlight w:val="none"/>
                <w:lang w:val="en-US" w:eastAsia="zh-CN"/>
              </w:rPr>
              <w:t>2.053</w:t>
            </w:r>
            <w:r>
              <w:rPr>
                <w:rFonts w:hint="default"/>
                <w:color w:val="auto"/>
                <w:sz w:val="24"/>
                <w:highlight w:val="none"/>
              </w:rPr>
              <w:t>t/a</w:t>
            </w:r>
          </w:p>
          <w:p w14:paraId="51D4917F">
            <w:pPr>
              <w:keepNext w:val="0"/>
              <w:keepLines w:val="0"/>
              <w:suppressLineNumbers w:val="0"/>
              <w:spacing w:before="0" w:beforeAutospacing="0" w:after="0" w:afterAutospacing="0" w:line="460" w:lineRule="exact"/>
              <w:ind w:left="0" w:right="0" w:firstLine="480"/>
              <w:rPr>
                <w:rFonts w:hint="default"/>
                <w:color w:val="auto"/>
                <w:sz w:val="24"/>
                <w:highlight w:val="none"/>
              </w:rPr>
            </w:pPr>
            <w:r>
              <w:rPr>
                <w:rFonts w:hint="default"/>
                <w:color w:val="auto"/>
                <w:sz w:val="24"/>
                <w:highlight w:val="none"/>
              </w:rPr>
              <w:t>排放速率</w:t>
            </w:r>
            <w:r>
              <w:rPr>
                <w:rFonts w:hint="eastAsia"/>
                <w:color w:val="auto"/>
                <w:sz w:val="24"/>
                <w:highlight w:val="none"/>
                <w:lang w:eastAsia="zh-CN"/>
              </w:rPr>
              <w:t>：</w:t>
            </w:r>
            <w:r>
              <w:rPr>
                <w:rFonts w:hint="eastAsia"/>
                <w:color w:val="auto"/>
                <w:sz w:val="24"/>
                <w:highlight w:val="none"/>
                <w:lang w:val="en-US" w:eastAsia="zh-CN"/>
              </w:rPr>
              <w:t>2.053</w:t>
            </w:r>
            <w:r>
              <w:rPr>
                <w:rFonts w:hint="default"/>
                <w:color w:val="auto"/>
                <w:sz w:val="24"/>
                <w:highlight w:val="none"/>
              </w:rPr>
              <w:t>t/a÷3</w:t>
            </w:r>
            <w:r>
              <w:rPr>
                <w:rFonts w:hint="eastAsia"/>
                <w:color w:val="auto"/>
                <w:sz w:val="24"/>
                <w:highlight w:val="none"/>
                <w:lang w:val="en-US" w:eastAsia="zh-CN"/>
              </w:rPr>
              <w:t>3</w:t>
            </w:r>
            <w:r>
              <w:rPr>
                <w:rFonts w:hint="default"/>
                <w:color w:val="auto"/>
                <w:sz w:val="24"/>
                <w:highlight w:val="none"/>
              </w:rPr>
              <w:t>0d/a÷24h/d×</w:t>
            </w:r>
            <w:r>
              <w:rPr>
                <w:rFonts w:hint="eastAsia"/>
                <w:color w:val="auto"/>
                <w:sz w:val="24"/>
                <w:highlight w:val="none"/>
                <w:lang w:val="en-US" w:eastAsia="zh-CN"/>
              </w:rPr>
              <w:t>10</w:t>
            </w:r>
            <w:r>
              <w:rPr>
                <w:rFonts w:hint="eastAsia"/>
                <w:color w:val="auto"/>
                <w:sz w:val="24"/>
                <w:highlight w:val="none"/>
                <w:vertAlign w:val="superscript"/>
                <w:lang w:val="en-US" w:eastAsia="zh-CN"/>
              </w:rPr>
              <w:t>3</w:t>
            </w:r>
            <w:r>
              <w:rPr>
                <w:rFonts w:hint="default"/>
                <w:color w:val="auto"/>
                <w:sz w:val="24"/>
                <w:highlight w:val="none"/>
              </w:rPr>
              <w:t>=0.</w:t>
            </w:r>
            <w:r>
              <w:rPr>
                <w:rFonts w:hint="eastAsia"/>
                <w:color w:val="auto"/>
                <w:sz w:val="24"/>
                <w:highlight w:val="none"/>
                <w:lang w:val="en-US" w:eastAsia="zh-CN"/>
              </w:rPr>
              <w:t>26</w:t>
            </w:r>
            <w:r>
              <w:rPr>
                <w:rFonts w:hint="default"/>
                <w:color w:val="auto"/>
                <w:sz w:val="24"/>
                <w:highlight w:val="none"/>
              </w:rPr>
              <w:t>kg/h</w:t>
            </w:r>
          </w:p>
          <w:p w14:paraId="56037158">
            <w:pPr>
              <w:keepNext w:val="0"/>
              <w:keepLines w:val="0"/>
              <w:widowControl/>
              <w:suppressLineNumbers w:val="0"/>
              <w:spacing w:before="0" w:beforeAutospacing="0" w:after="0" w:afterAutospacing="0" w:line="480" w:lineRule="exact"/>
              <w:ind w:left="0" w:right="0" w:firstLine="482"/>
              <w:rPr>
                <w:rFonts w:hint="default" w:ascii="Times New Roman" w:hAnsi="Times New Roman" w:cs="Times New Roman"/>
                <w:color w:val="auto"/>
                <w:sz w:val="24"/>
                <w:szCs w:val="24"/>
                <w:highlight w:val="none"/>
                <w:lang w:val="en-US" w:eastAsia="zh-CN"/>
              </w:rPr>
            </w:pPr>
            <w:r>
              <w:rPr>
                <w:rFonts w:hint="default"/>
                <w:color w:val="auto"/>
                <w:sz w:val="24"/>
                <w:highlight w:val="none"/>
              </w:rPr>
              <w:t>集气罩未收集到的颗粒物通过全封闭车间无组织排放，无组织颗粒物产生量为</w:t>
            </w:r>
            <w:r>
              <w:rPr>
                <w:rFonts w:hint="eastAsia"/>
                <w:color w:val="auto"/>
                <w:sz w:val="24"/>
                <w:highlight w:val="none"/>
                <w:lang w:val="en-US" w:eastAsia="zh-CN"/>
              </w:rPr>
              <w:t>3</w:t>
            </w:r>
            <w:r>
              <w:rPr>
                <w:rFonts w:hint="default"/>
                <w:color w:val="auto"/>
                <w:sz w:val="24"/>
                <w:highlight w:val="none"/>
              </w:rPr>
              <w:t>t/a×（1-9</w:t>
            </w:r>
            <w:r>
              <w:rPr>
                <w:rFonts w:hint="eastAsia"/>
                <w:color w:val="auto"/>
                <w:sz w:val="24"/>
                <w:highlight w:val="none"/>
                <w:lang w:val="en-US" w:eastAsia="zh-CN"/>
              </w:rPr>
              <w:t>0</w:t>
            </w:r>
            <w:r>
              <w:rPr>
                <w:rFonts w:hint="default"/>
                <w:color w:val="auto"/>
                <w:sz w:val="24"/>
                <w:highlight w:val="none"/>
              </w:rPr>
              <w:t>%）=</w:t>
            </w:r>
            <w:r>
              <w:rPr>
                <w:rFonts w:hint="eastAsia"/>
                <w:color w:val="auto"/>
                <w:sz w:val="24"/>
                <w:highlight w:val="none"/>
                <w:lang w:val="en-US" w:eastAsia="zh-CN"/>
              </w:rPr>
              <w:t>0.3</w:t>
            </w:r>
            <w:r>
              <w:rPr>
                <w:rFonts w:hint="default"/>
                <w:color w:val="auto"/>
                <w:sz w:val="24"/>
                <w:highlight w:val="none"/>
              </w:rPr>
              <w:t>t/a。</w:t>
            </w:r>
            <w:r>
              <w:rPr>
                <w:rFonts w:hint="eastAsia"/>
                <w:color w:val="auto"/>
                <w:sz w:val="24"/>
                <w:highlight w:val="none"/>
                <w:lang w:val="en-US" w:eastAsia="zh-CN"/>
              </w:rPr>
              <w:t>本项目生产车间为</w:t>
            </w:r>
            <w:r>
              <w:rPr>
                <w:rFonts w:hint="default"/>
                <w:color w:val="auto"/>
                <w:sz w:val="24"/>
                <w:highlight w:val="none"/>
              </w:rPr>
              <w:t>全封闭</w:t>
            </w:r>
            <w:r>
              <w:rPr>
                <w:rFonts w:hint="eastAsia"/>
                <w:color w:val="auto"/>
                <w:sz w:val="24"/>
                <w:highlight w:val="none"/>
                <w:lang w:val="en-US" w:eastAsia="zh-CN"/>
              </w:rPr>
              <w:t>钢混</w:t>
            </w:r>
            <w:r>
              <w:rPr>
                <w:rFonts w:hint="default"/>
                <w:color w:val="auto"/>
                <w:sz w:val="24"/>
                <w:highlight w:val="none"/>
              </w:rPr>
              <w:t>结构，颗粒物经车间阻隔后在车间内重力沉降，车间阻隔效率按90%计，则颗粒物无组织排放量为0.</w:t>
            </w:r>
            <w:r>
              <w:rPr>
                <w:rFonts w:hint="eastAsia"/>
                <w:color w:val="auto"/>
                <w:sz w:val="24"/>
                <w:highlight w:val="none"/>
                <w:lang w:val="en-US" w:eastAsia="zh-CN"/>
              </w:rPr>
              <w:t>03</w:t>
            </w:r>
            <w:r>
              <w:rPr>
                <w:rFonts w:hint="default"/>
                <w:color w:val="auto"/>
                <w:sz w:val="24"/>
                <w:highlight w:val="none"/>
              </w:rPr>
              <w:t>t/a。</w:t>
            </w:r>
          </w:p>
          <w:p w14:paraId="34164B10">
            <w:pPr>
              <w:pStyle w:val="104"/>
              <w:keepNext w:val="0"/>
              <w:keepLines w:val="0"/>
              <w:suppressLineNumbers w:val="0"/>
              <w:adjustRightInd w:val="0"/>
              <w:snapToGrid w:val="0"/>
              <w:spacing w:before="0" w:beforeAutospacing="0" w:after="0" w:afterAutospacing="0" w:line="480" w:lineRule="exact"/>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eastAsia" w:cs="Times New Roman"/>
                <w:b/>
                <w:bCs w:val="0"/>
                <w:color w:val="auto"/>
                <w:sz w:val="21"/>
                <w:szCs w:val="21"/>
                <w:highlight w:val="none"/>
                <w:lang w:val="en-US" w:eastAsia="zh-CN"/>
              </w:rPr>
              <w:t>8</w:t>
            </w:r>
            <w:r>
              <w:rPr>
                <w:rFonts w:hint="default" w:ascii="Times New Roman" w:hAnsi="Times New Roman" w:eastAsia="宋体" w:cs="Times New Roman"/>
                <w:b/>
                <w:bCs w:val="0"/>
                <w:color w:val="auto"/>
                <w:sz w:val="21"/>
                <w:szCs w:val="21"/>
                <w:highlight w:val="none"/>
              </w:rPr>
              <w:t xml:space="preserve"> </w:t>
            </w:r>
            <w:r>
              <w:rPr>
                <w:rFonts w:hint="eastAsia" w:ascii="Times New Roman" w:hAnsi="Times New Roman" w:eastAsia="宋体" w:cs="Times New Roman"/>
                <w:b/>
                <w:bCs w:val="0"/>
                <w:color w:val="auto"/>
                <w:sz w:val="21"/>
                <w:szCs w:val="21"/>
                <w:highlight w:val="none"/>
                <w:lang w:val="en-US" w:eastAsia="zh-CN"/>
              </w:rPr>
              <w:t xml:space="preserve"> </w:t>
            </w:r>
            <w:r>
              <w:rPr>
                <w:rFonts w:hint="default" w:ascii="Times New Roman" w:hAnsi="Times New Roman" w:eastAsia="宋体" w:cs="Times New Roman"/>
                <w:b/>
                <w:bCs w:val="0"/>
                <w:color w:val="auto"/>
                <w:sz w:val="21"/>
                <w:szCs w:val="21"/>
                <w:highlight w:val="none"/>
              </w:rPr>
              <w:t>废气污染源排放情况表</w:t>
            </w:r>
          </w:p>
          <w:tbl>
            <w:tblPr>
              <w:tblStyle w:val="31"/>
              <w:tblW w:w="499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680"/>
              <w:gridCol w:w="473"/>
              <w:gridCol w:w="965"/>
              <w:gridCol w:w="724"/>
              <w:gridCol w:w="2387"/>
              <w:gridCol w:w="824"/>
              <w:gridCol w:w="846"/>
              <w:gridCol w:w="798"/>
              <w:gridCol w:w="758"/>
            </w:tblGrid>
            <w:tr w14:paraId="70330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372" w:type="pct"/>
                  <w:vMerge w:val="restart"/>
                  <w:tcBorders>
                    <w:tl2br w:val="nil"/>
                    <w:tr2bl w:val="nil"/>
                  </w:tcBorders>
                  <w:noWrap w:val="0"/>
                  <w:vAlign w:val="center"/>
                </w:tcPr>
                <w:p w14:paraId="3FE62E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bookmarkStart w:id="15" w:name="_Hlk151452647"/>
                  <w:r>
                    <w:rPr>
                      <w:rFonts w:hint="default" w:ascii="Times New Roman" w:hAnsi="Times New Roman" w:cs="Times New Roman"/>
                      <w:b/>
                      <w:bCs w:val="0"/>
                      <w:color w:val="auto"/>
                      <w:sz w:val="18"/>
                      <w:szCs w:val="18"/>
                      <w:highlight w:val="none"/>
                    </w:rPr>
                    <w:t>污染源</w:t>
                  </w:r>
                </w:p>
              </w:tc>
              <w:tc>
                <w:tcPr>
                  <w:tcW w:w="372" w:type="pct"/>
                  <w:vMerge w:val="restart"/>
                  <w:tcBorders>
                    <w:tl2br w:val="nil"/>
                    <w:tr2bl w:val="nil"/>
                  </w:tcBorders>
                  <w:noWrap w:val="0"/>
                  <w:vAlign w:val="center"/>
                </w:tcPr>
                <w:p w14:paraId="20020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污染物类型</w:t>
                  </w:r>
                </w:p>
              </w:tc>
              <w:tc>
                <w:tcPr>
                  <w:tcW w:w="259" w:type="pct"/>
                  <w:vMerge w:val="restart"/>
                  <w:tcBorders>
                    <w:tl2br w:val="nil"/>
                    <w:tr2bl w:val="nil"/>
                  </w:tcBorders>
                  <w:noWrap w:val="0"/>
                  <w:vAlign w:val="center"/>
                </w:tcPr>
                <w:p w14:paraId="45D2E8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排放形式</w:t>
                  </w:r>
                </w:p>
              </w:tc>
              <w:tc>
                <w:tcPr>
                  <w:tcW w:w="924" w:type="pct"/>
                  <w:gridSpan w:val="2"/>
                  <w:tcBorders>
                    <w:tl2br w:val="nil"/>
                    <w:tr2bl w:val="nil"/>
                  </w:tcBorders>
                  <w:noWrap w:val="0"/>
                  <w:vAlign w:val="center"/>
                </w:tcPr>
                <w:p w14:paraId="1F520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产生情况</w:t>
                  </w:r>
                </w:p>
              </w:tc>
              <w:tc>
                <w:tcPr>
                  <w:tcW w:w="1757" w:type="pct"/>
                  <w:gridSpan w:val="2"/>
                  <w:tcBorders>
                    <w:tl2br w:val="nil"/>
                    <w:tr2bl w:val="nil"/>
                  </w:tcBorders>
                  <w:noWrap w:val="0"/>
                  <w:vAlign w:val="center"/>
                </w:tcPr>
                <w:p w14:paraId="05F51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污染物治理设施</w:t>
                  </w:r>
                </w:p>
              </w:tc>
              <w:tc>
                <w:tcPr>
                  <w:tcW w:w="1313" w:type="pct"/>
                  <w:gridSpan w:val="3"/>
                  <w:tcBorders>
                    <w:tl2br w:val="nil"/>
                    <w:tr2bl w:val="nil"/>
                  </w:tcBorders>
                  <w:noWrap w:val="0"/>
                  <w:vAlign w:val="center"/>
                </w:tcPr>
                <w:p w14:paraId="2CF220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排放情况</w:t>
                  </w:r>
                </w:p>
              </w:tc>
            </w:tr>
            <w:tr w14:paraId="1649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jc w:val="center"/>
              </w:trPr>
              <w:tc>
                <w:tcPr>
                  <w:tcW w:w="372" w:type="pct"/>
                  <w:vMerge w:val="continue"/>
                  <w:tcBorders>
                    <w:tl2br w:val="nil"/>
                    <w:tr2bl w:val="nil"/>
                  </w:tcBorders>
                  <w:noWrap w:val="0"/>
                  <w:vAlign w:val="center"/>
                </w:tcPr>
                <w:p w14:paraId="0EDCC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p>
              </w:tc>
              <w:tc>
                <w:tcPr>
                  <w:tcW w:w="372" w:type="pct"/>
                  <w:vMerge w:val="continue"/>
                  <w:tcBorders>
                    <w:tl2br w:val="nil"/>
                    <w:tr2bl w:val="nil"/>
                  </w:tcBorders>
                  <w:noWrap w:val="0"/>
                  <w:vAlign w:val="center"/>
                </w:tcPr>
                <w:p w14:paraId="5BB5A5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p>
              </w:tc>
              <w:tc>
                <w:tcPr>
                  <w:tcW w:w="259" w:type="pct"/>
                  <w:vMerge w:val="continue"/>
                  <w:tcBorders>
                    <w:tl2br w:val="nil"/>
                    <w:tr2bl w:val="nil"/>
                  </w:tcBorders>
                  <w:noWrap w:val="0"/>
                  <w:vAlign w:val="center"/>
                </w:tcPr>
                <w:p w14:paraId="202500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p>
              </w:tc>
              <w:tc>
                <w:tcPr>
                  <w:tcW w:w="528" w:type="pct"/>
                  <w:tcBorders>
                    <w:tl2br w:val="nil"/>
                    <w:tr2bl w:val="nil"/>
                  </w:tcBorders>
                  <w:noWrap w:val="0"/>
                  <w:vAlign w:val="center"/>
                </w:tcPr>
                <w:p w14:paraId="65C2F7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产生浓度(mg/m</w:t>
                  </w:r>
                  <w:r>
                    <w:rPr>
                      <w:rFonts w:hint="default" w:ascii="Times New Roman" w:hAnsi="Times New Roman" w:cs="Times New Roman"/>
                      <w:b/>
                      <w:bCs w:val="0"/>
                      <w:color w:val="auto"/>
                      <w:sz w:val="18"/>
                      <w:szCs w:val="18"/>
                      <w:highlight w:val="none"/>
                      <w:vertAlign w:val="superscript"/>
                    </w:rPr>
                    <w:t>3</w:t>
                  </w:r>
                  <w:r>
                    <w:rPr>
                      <w:rFonts w:hint="default" w:ascii="Times New Roman" w:hAnsi="Times New Roman" w:cs="Times New Roman"/>
                      <w:b/>
                      <w:bCs w:val="0"/>
                      <w:color w:val="auto"/>
                      <w:sz w:val="18"/>
                      <w:szCs w:val="18"/>
                      <w:highlight w:val="none"/>
                    </w:rPr>
                    <w:t>)</w:t>
                  </w:r>
                </w:p>
              </w:tc>
              <w:tc>
                <w:tcPr>
                  <w:tcW w:w="396" w:type="pct"/>
                  <w:tcBorders>
                    <w:tl2br w:val="nil"/>
                    <w:tr2bl w:val="nil"/>
                  </w:tcBorders>
                  <w:noWrap w:val="0"/>
                  <w:vAlign w:val="center"/>
                </w:tcPr>
                <w:p w14:paraId="46F4A4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产生量(t/a)</w:t>
                  </w:r>
                </w:p>
              </w:tc>
              <w:tc>
                <w:tcPr>
                  <w:tcW w:w="1306" w:type="pct"/>
                  <w:tcBorders>
                    <w:tl2br w:val="nil"/>
                    <w:tr2bl w:val="nil"/>
                  </w:tcBorders>
                  <w:noWrap w:val="0"/>
                  <w:vAlign w:val="center"/>
                </w:tcPr>
                <w:p w14:paraId="02A9D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名称工艺</w:t>
                  </w:r>
                </w:p>
              </w:tc>
              <w:tc>
                <w:tcPr>
                  <w:tcW w:w="451" w:type="pct"/>
                  <w:tcBorders>
                    <w:tl2br w:val="nil"/>
                    <w:tr2bl w:val="nil"/>
                  </w:tcBorders>
                  <w:noWrap w:val="0"/>
                  <w:vAlign w:val="center"/>
                </w:tcPr>
                <w:p w14:paraId="77971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是否为可行性技术</w:t>
                  </w:r>
                </w:p>
              </w:tc>
              <w:tc>
                <w:tcPr>
                  <w:tcW w:w="463" w:type="pct"/>
                  <w:tcBorders>
                    <w:tl2br w:val="nil"/>
                    <w:tr2bl w:val="nil"/>
                  </w:tcBorders>
                  <w:noWrap w:val="0"/>
                  <w:vAlign w:val="center"/>
                </w:tcPr>
                <w:p w14:paraId="4E6456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排放</w:t>
                  </w:r>
                </w:p>
                <w:p w14:paraId="64C95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浓度(mg/m</w:t>
                  </w:r>
                  <w:r>
                    <w:rPr>
                      <w:rFonts w:hint="default" w:ascii="Times New Roman" w:hAnsi="Times New Roman" w:cs="Times New Roman"/>
                      <w:b/>
                      <w:bCs w:val="0"/>
                      <w:color w:val="auto"/>
                      <w:sz w:val="18"/>
                      <w:szCs w:val="18"/>
                      <w:highlight w:val="none"/>
                      <w:vertAlign w:val="superscript"/>
                    </w:rPr>
                    <w:t>3</w:t>
                  </w:r>
                  <w:r>
                    <w:rPr>
                      <w:rFonts w:hint="default" w:ascii="Times New Roman" w:hAnsi="Times New Roman" w:cs="Times New Roman"/>
                      <w:b/>
                      <w:bCs w:val="0"/>
                      <w:color w:val="auto"/>
                      <w:sz w:val="18"/>
                      <w:szCs w:val="18"/>
                      <w:highlight w:val="none"/>
                    </w:rPr>
                    <w:t>)</w:t>
                  </w:r>
                </w:p>
              </w:tc>
              <w:tc>
                <w:tcPr>
                  <w:tcW w:w="436" w:type="pct"/>
                  <w:tcBorders>
                    <w:tl2br w:val="nil"/>
                    <w:tr2bl w:val="nil"/>
                  </w:tcBorders>
                  <w:noWrap w:val="0"/>
                  <w:vAlign w:val="center"/>
                </w:tcPr>
                <w:p w14:paraId="213C1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排放</w:t>
                  </w:r>
                </w:p>
                <w:p w14:paraId="24C63D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速率(kg/h)</w:t>
                  </w:r>
                </w:p>
              </w:tc>
              <w:tc>
                <w:tcPr>
                  <w:tcW w:w="413" w:type="pct"/>
                  <w:tcBorders>
                    <w:tl2br w:val="nil"/>
                    <w:tr2bl w:val="nil"/>
                  </w:tcBorders>
                  <w:noWrap w:val="0"/>
                  <w:vAlign w:val="center"/>
                </w:tcPr>
                <w:p w14:paraId="4D4449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val="0"/>
                      <w:color w:val="auto"/>
                      <w:sz w:val="18"/>
                      <w:szCs w:val="18"/>
                      <w:highlight w:val="none"/>
                    </w:rPr>
                  </w:pPr>
                  <w:r>
                    <w:rPr>
                      <w:rFonts w:hint="default" w:ascii="Times New Roman" w:hAnsi="Times New Roman" w:cs="Times New Roman"/>
                      <w:b/>
                      <w:bCs w:val="0"/>
                      <w:color w:val="auto"/>
                      <w:sz w:val="18"/>
                      <w:szCs w:val="18"/>
                      <w:highlight w:val="none"/>
                    </w:rPr>
                    <w:t>排放量(t/a)</w:t>
                  </w:r>
                </w:p>
              </w:tc>
            </w:tr>
            <w:tr w14:paraId="4F451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jc w:val="center"/>
              </w:trPr>
              <w:tc>
                <w:tcPr>
                  <w:tcW w:w="372" w:type="pct"/>
                  <w:tcBorders>
                    <w:tl2br w:val="nil"/>
                    <w:tr2bl w:val="nil"/>
                  </w:tcBorders>
                  <w:noWrap w:val="0"/>
                  <w:vAlign w:val="center"/>
                </w:tcPr>
                <w:p w14:paraId="656BC8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iCs/>
                      <w:color w:val="auto"/>
                      <w:sz w:val="18"/>
                      <w:szCs w:val="18"/>
                      <w:highlight w:val="none"/>
                    </w:rPr>
                    <w:t>车辆运输</w:t>
                  </w:r>
                </w:p>
              </w:tc>
              <w:tc>
                <w:tcPr>
                  <w:tcW w:w="372" w:type="pct"/>
                  <w:tcBorders>
                    <w:tl2br w:val="nil"/>
                    <w:tr2bl w:val="nil"/>
                  </w:tcBorders>
                  <w:noWrap w:val="0"/>
                  <w:vAlign w:val="center"/>
                </w:tcPr>
                <w:p w14:paraId="3078FC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rPr>
                    <w:t>颗粒物</w:t>
                  </w:r>
                </w:p>
              </w:tc>
              <w:tc>
                <w:tcPr>
                  <w:tcW w:w="259" w:type="pct"/>
                  <w:tcBorders>
                    <w:tl2br w:val="nil"/>
                    <w:tr2bl w:val="nil"/>
                  </w:tcBorders>
                  <w:noWrap w:val="0"/>
                  <w:vAlign w:val="center"/>
                </w:tcPr>
                <w:p w14:paraId="6E328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无组织</w:t>
                  </w:r>
                </w:p>
              </w:tc>
              <w:tc>
                <w:tcPr>
                  <w:tcW w:w="528" w:type="pct"/>
                  <w:tcBorders>
                    <w:tl2br w:val="nil"/>
                    <w:tr2bl w:val="nil"/>
                  </w:tcBorders>
                  <w:noWrap w:val="0"/>
                  <w:vAlign w:val="center"/>
                </w:tcPr>
                <w:p w14:paraId="284F2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w:t>
                  </w:r>
                </w:p>
              </w:tc>
              <w:tc>
                <w:tcPr>
                  <w:tcW w:w="396" w:type="pct"/>
                  <w:tcBorders>
                    <w:tl2br w:val="nil"/>
                    <w:tr2bl w:val="nil"/>
                  </w:tcBorders>
                  <w:noWrap w:val="0"/>
                  <w:vAlign w:val="center"/>
                </w:tcPr>
                <w:p w14:paraId="54062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3.82</w:t>
                  </w:r>
                </w:p>
              </w:tc>
              <w:tc>
                <w:tcPr>
                  <w:tcW w:w="1306" w:type="pct"/>
                  <w:tcBorders>
                    <w:tl2br w:val="nil"/>
                    <w:tr2bl w:val="nil"/>
                  </w:tcBorders>
                  <w:noWrap w:val="0"/>
                  <w:vAlign w:val="center"/>
                </w:tcPr>
                <w:p w14:paraId="3DAC8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采用厢式车运输或加盖篷布、限速行驶，定期对道路进行抑尘洒水</w:t>
                  </w:r>
                </w:p>
              </w:tc>
              <w:tc>
                <w:tcPr>
                  <w:tcW w:w="451" w:type="pct"/>
                  <w:tcBorders>
                    <w:tl2br w:val="nil"/>
                    <w:tr2bl w:val="nil"/>
                  </w:tcBorders>
                  <w:noWrap w:val="0"/>
                  <w:vAlign w:val="center"/>
                </w:tcPr>
                <w:p w14:paraId="1BBEB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099361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w:t>
                  </w:r>
                </w:p>
              </w:tc>
              <w:tc>
                <w:tcPr>
                  <w:tcW w:w="436" w:type="pct"/>
                  <w:tcBorders>
                    <w:tl2br w:val="nil"/>
                    <w:tr2bl w:val="nil"/>
                  </w:tcBorders>
                  <w:noWrap w:val="0"/>
                  <w:vAlign w:val="center"/>
                </w:tcPr>
                <w:p w14:paraId="5DBF6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w:t>
                  </w:r>
                </w:p>
              </w:tc>
              <w:tc>
                <w:tcPr>
                  <w:tcW w:w="413" w:type="pct"/>
                  <w:tcBorders>
                    <w:tl2br w:val="nil"/>
                    <w:tr2bl w:val="nil"/>
                  </w:tcBorders>
                  <w:noWrap w:val="0"/>
                  <w:vAlign w:val="center"/>
                </w:tcPr>
                <w:p w14:paraId="46435C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0.</w:t>
                  </w:r>
                  <w:r>
                    <w:rPr>
                      <w:rFonts w:hint="default" w:ascii="Times New Roman" w:hAnsi="Times New Roman" w:cs="Times New Roman"/>
                      <w:bCs/>
                      <w:color w:val="auto"/>
                      <w:sz w:val="18"/>
                      <w:szCs w:val="18"/>
                      <w:highlight w:val="none"/>
                      <w:lang w:val="en-US" w:eastAsia="zh-CN"/>
                    </w:rPr>
                    <w:t>38</w:t>
                  </w:r>
                  <w:r>
                    <w:rPr>
                      <w:rFonts w:hint="default" w:ascii="Times New Roman" w:hAnsi="Times New Roman" w:cs="Times New Roman"/>
                      <w:bCs/>
                      <w:color w:val="auto"/>
                      <w:sz w:val="18"/>
                      <w:szCs w:val="18"/>
                      <w:highlight w:val="none"/>
                    </w:rPr>
                    <w:t>2</w:t>
                  </w:r>
                </w:p>
              </w:tc>
            </w:tr>
            <w:tr w14:paraId="630ED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jc w:val="center"/>
              </w:trPr>
              <w:tc>
                <w:tcPr>
                  <w:tcW w:w="372" w:type="pct"/>
                  <w:vMerge w:val="restart"/>
                  <w:tcBorders>
                    <w:tl2br w:val="nil"/>
                    <w:tr2bl w:val="nil"/>
                  </w:tcBorders>
                  <w:noWrap w:val="0"/>
                  <w:vAlign w:val="center"/>
                </w:tcPr>
                <w:p w14:paraId="6ACFBB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iCs/>
                      <w:color w:val="auto"/>
                      <w:sz w:val="18"/>
                      <w:szCs w:val="18"/>
                      <w:highlight w:val="none"/>
                      <w:lang w:val="en-US" w:eastAsia="zh-CN"/>
                    </w:rPr>
                  </w:pPr>
                  <w:r>
                    <w:rPr>
                      <w:rFonts w:hint="default" w:ascii="Times New Roman" w:hAnsi="Times New Roman" w:cs="Times New Roman"/>
                      <w:bCs/>
                      <w:iCs/>
                      <w:color w:val="auto"/>
                      <w:sz w:val="18"/>
                      <w:szCs w:val="18"/>
                      <w:highlight w:val="none"/>
                      <w:lang w:val="en-US" w:eastAsia="zh-CN"/>
                    </w:rPr>
                    <w:t>上料</w:t>
                  </w:r>
                </w:p>
              </w:tc>
              <w:tc>
                <w:tcPr>
                  <w:tcW w:w="372" w:type="pct"/>
                  <w:vMerge w:val="restart"/>
                  <w:tcBorders>
                    <w:tl2br w:val="nil"/>
                    <w:tr2bl w:val="nil"/>
                  </w:tcBorders>
                  <w:noWrap w:val="0"/>
                  <w:vAlign w:val="center"/>
                </w:tcPr>
                <w:p w14:paraId="2B6269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259" w:type="pct"/>
                  <w:tcBorders>
                    <w:tl2br w:val="nil"/>
                    <w:tr2bl w:val="nil"/>
                  </w:tcBorders>
                  <w:noWrap w:val="0"/>
                  <w:vAlign w:val="center"/>
                </w:tcPr>
                <w:p w14:paraId="1549E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有组织</w:t>
                  </w:r>
                </w:p>
              </w:tc>
              <w:tc>
                <w:tcPr>
                  <w:tcW w:w="528" w:type="pct"/>
                  <w:tcBorders>
                    <w:tl2br w:val="nil"/>
                    <w:tr2bl w:val="nil"/>
                  </w:tcBorders>
                  <w:noWrap w:val="0"/>
                  <w:vAlign w:val="center"/>
                </w:tcPr>
                <w:p w14:paraId="4C8473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eastAsia" w:cs="Times New Roman"/>
                      <w:color w:val="auto"/>
                      <w:sz w:val="18"/>
                      <w:szCs w:val="18"/>
                      <w:highlight w:val="none"/>
                      <w:vertAlign w:val="baseline"/>
                      <w:lang w:val="en-US" w:eastAsia="zh-CN"/>
                    </w:rPr>
                    <w:t>48.87</w:t>
                  </w:r>
                </w:p>
              </w:tc>
              <w:tc>
                <w:tcPr>
                  <w:tcW w:w="396" w:type="pct"/>
                  <w:tcBorders>
                    <w:tl2br w:val="nil"/>
                    <w:tr2bl w:val="nil"/>
                  </w:tcBorders>
                  <w:noWrap w:val="0"/>
                  <w:vAlign w:val="center"/>
                </w:tcPr>
                <w:p w14:paraId="022FA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12</w:t>
                  </w:r>
                </w:p>
              </w:tc>
              <w:tc>
                <w:tcPr>
                  <w:tcW w:w="1306" w:type="pct"/>
                  <w:tcBorders>
                    <w:tl2br w:val="nil"/>
                    <w:tr2bl w:val="nil"/>
                  </w:tcBorders>
                  <w:noWrap w:val="0"/>
                  <w:vAlign w:val="center"/>
                </w:tcPr>
                <w:p w14:paraId="63733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废气经</w:t>
                  </w:r>
                  <w:r>
                    <w:rPr>
                      <w:rFonts w:hint="eastAsia" w:cs="Times New Roman"/>
                      <w:bCs/>
                      <w:color w:val="auto"/>
                      <w:sz w:val="18"/>
                      <w:szCs w:val="18"/>
                      <w:highlight w:val="none"/>
                      <w:lang w:val="en-US" w:eastAsia="zh-CN"/>
                    </w:rPr>
                    <w:t>3个</w:t>
                  </w:r>
                  <w:r>
                    <w:rPr>
                      <w:rFonts w:hint="default" w:ascii="Times New Roman" w:hAnsi="Times New Roman" w:cs="Times New Roman"/>
                      <w:bCs/>
                      <w:color w:val="auto"/>
                      <w:sz w:val="18"/>
                      <w:szCs w:val="18"/>
                      <w:highlight w:val="none"/>
                      <w:lang w:val="en-US" w:eastAsia="zh-CN"/>
                    </w:rPr>
                    <w:t>集气罩收集后引入布袋布袋除尘器处理后，由1根20m高排气筒</w:t>
                  </w:r>
                  <w:r>
                    <w:rPr>
                      <w:rFonts w:hint="default" w:ascii="Times New Roman" w:hAnsi="Times New Roman" w:cs="Times New Roman"/>
                      <w:color w:val="auto"/>
                      <w:sz w:val="18"/>
                      <w:szCs w:val="18"/>
                      <w:highlight w:val="none"/>
                    </w:rPr>
                    <w:t>（DA00</w:t>
                  </w:r>
                  <w:r>
                    <w:rPr>
                      <w:rFonts w:hint="default" w:ascii="Times New Roman" w:hAnsi="Times New Roman" w:cs="Times New Roman"/>
                      <w:color w:val="auto"/>
                      <w:sz w:val="18"/>
                      <w:szCs w:val="18"/>
                      <w:highlight w:val="none"/>
                      <w:lang w:val="en-US" w:eastAsia="zh-CN"/>
                    </w:rPr>
                    <w:t>8</w:t>
                  </w:r>
                  <w:r>
                    <w:rPr>
                      <w:rFonts w:hint="default" w:ascii="Times New Roman" w:hAnsi="Times New Roman" w:cs="Times New Roman"/>
                      <w:color w:val="auto"/>
                      <w:sz w:val="18"/>
                      <w:szCs w:val="18"/>
                      <w:highlight w:val="none"/>
                    </w:rPr>
                    <w:t>）</w:t>
                  </w:r>
                  <w:r>
                    <w:rPr>
                      <w:rFonts w:hint="default" w:ascii="Times New Roman" w:hAnsi="Times New Roman" w:cs="Times New Roman"/>
                      <w:bCs/>
                      <w:color w:val="auto"/>
                      <w:sz w:val="18"/>
                      <w:szCs w:val="18"/>
                      <w:highlight w:val="none"/>
                      <w:lang w:val="en-US" w:eastAsia="zh-CN"/>
                    </w:rPr>
                    <w:t>排放</w:t>
                  </w:r>
                </w:p>
              </w:tc>
              <w:tc>
                <w:tcPr>
                  <w:tcW w:w="451" w:type="pct"/>
                  <w:tcBorders>
                    <w:tl2br w:val="nil"/>
                    <w:tr2bl w:val="nil"/>
                  </w:tcBorders>
                  <w:noWrap w:val="0"/>
                  <w:vAlign w:val="center"/>
                </w:tcPr>
                <w:p w14:paraId="5723FC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52B6F0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10</w:t>
                  </w:r>
                </w:p>
              </w:tc>
              <w:tc>
                <w:tcPr>
                  <w:tcW w:w="436" w:type="pct"/>
                  <w:tcBorders>
                    <w:tl2br w:val="nil"/>
                    <w:tr2bl w:val="nil"/>
                  </w:tcBorders>
                  <w:noWrap w:val="0"/>
                  <w:vAlign w:val="center"/>
                </w:tcPr>
                <w:p w14:paraId="0F366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rPr>
                  </w:pPr>
                  <w:r>
                    <w:rPr>
                      <w:rFonts w:hint="default" w:ascii="Times New Roman" w:hAnsi="Times New Roman" w:cs="Times New Roman"/>
                      <w:color w:val="auto"/>
                      <w:sz w:val="18"/>
                      <w:szCs w:val="18"/>
                      <w:highlight w:val="none"/>
                    </w:rPr>
                    <w:t>0.</w:t>
                  </w:r>
                  <w:r>
                    <w:rPr>
                      <w:rFonts w:hint="eastAsia" w:cs="Times New Roman"/>
                      <w:color w:val="auto"/>
                      <w:sz w:val="18"/>
                      <w:szCs w:val="18"/>
                      <w:highlight w:val="none"/>
                      <w:lang w:val="en-US" w:eastAsia="zh-CN"/>
                    </w:rPr>
                    <w:t>31</w:t>
                  </w:r>
                </w:p>
              </w:tc>
              <w:tc>
                <w:tcPr>
                  <w:tcW w:w="413" w:type="pct"/>
                  <w:tcBorders>
                    <w:tl2br w:val="nil"/>
                    <w:tr2bl w:val="nil"/>
                  </w:tcBorders>
                  <w:noWrap w:val="0"/>
                  <w:vAlign w:val="center"/>
                </w:tcPr>
                <w:p w14:paraId="6034D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2.463</w:t>
                  </w:r>
                </w:p>
              </w:tc>
            </w:tr>
            <w:tr w14:paraId="1D301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jc w:val="center"/>
              </w:trPr>
              <w:tc>
                <w:tcPr>
                  <w:tcW w:w="372" w:type="pct"/>
                  <w:vMerge w:val="continue"/>
                  <w:tcBorders>
                    <w:tl2br w:val="nil"/>
                    <w:tr2bl w:val="nil"/>
                  </w:tcBorders>
                  <w:noWrap w:val="0"/>
                  <w:vAlign w:val="center"/>
                </w:tcPr>
                <w:p w14:paraId="27500A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iCs/>
                      <w:color w:val="auto"/>
                      <w:sz w:val="18"/>
                      <w:szCs w:val="18"/>
                      <w:highlight w:val="none"/>
                      <w:lang w:val="en-US" w:eastAsia="zh-CN"/>
                    </w:rPr>
                  </w:pPr>
                </w:p>
              </w:tc>
              <w:tc>
                <w:tcPr>
                  <w:tcW w:w="372" w:type="pct"/>
                  <w:vMerge w:val="continue"/>
                  <w:tcBorders>
                    <w:tl2br w:val="nil"/>
                    <w:tr2bl w:val="nil"/>
                  </w:tcBorders>
                  <w:noWrap w:val="0"/>
                  <w:vAlign w:val="center"/>
                </w:tcPr>
                <w:p w14:paraId="69A823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p>
              </w:tc>
              <w:tc>
                <w:tcPr>
                  <w:tcW w:w="259" w:type="pct"/>
                  <w:tcBorders>
                    <w:tl2br w:val="nil"/>
                    <w:tr2bl w:val="nil"/>
                  </w:tcBorders>
                  <w:noWrap w:val="0"/>
                  <w:vAlign w:val="center"/>
                </w:tcPr>
                <w:p w14:paraId="17C8E0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rPr>
                    <w:t>无组织</w:t>
                  </w:r>
                </w:p>
              </w:tc>
              <w:tc>
                <w:tcPr>
                  <w:tcW w:w="528" w:type="pct"/>
                  <w:tcBorders>
                    <w:tl2br w:val="nil"/>
                    <w:tr2bl w:val="nil"/>
                  </w:tcBorders>
                  <w:noWrap w:val="0"/>
                  <w:vAlign w:val="center"/>
                </w:tcPr>
                <w:p w14:paraId="4D95F2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c>
                <w:tcPr>
                  <w:tcW w:w="396" w:type="pct"/>
                  <w:tcBorders>
                    <w:tl2br w:val="nil"/>
                    <w:tr2bl w:val="nil"/>
                  </w:tcBorders>
                  <w:noWrap w:val="0"/>
                  <w:vAlign w:val="center"/>
                </w:tcPr>
                <w:p w14:paraId="357AB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1.2</w:t>
                  </w:r>
                </w:p>
              </w:tc>
              <w:tc>
                <w:tcPr>
                  <w:tcW w:w="1306" w:type="pct"/>
                  <w:tcBorders>
                    <w:tl2br w:val="nil"/>
                    <w:tr2bl w:val="nil"/>
                  </w:tcBorders>
                  <w:noWrap w:val="0"/>
                  <w:vAlign w:val="center"/>
                </w:tcPr>
                <w:p w14:paraId="4C8567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全封闭生产车间，定期打扫</w:t>
                  </w:r>
                </w:p>
              </w:tc>
              <w:tc>
                <w:tcPr>
                  <w:tcW w:w="451" w:type="pct"/>
                  <w:tcBorders>
                    <w:tl2br w:val="nil"/>
                    <w:tr2bl w:val="nil"/>
                  </w:tcBorders>
                  <w:noWrap w:val="0"/>
                  <w:vAlign w:val="center"/>
                </w:tcPr>
                <w:p w14:paraId="1613DD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6D6BF5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w:t>
                  </w:r>
                </w:p>
              </w:tc>
              <w:tc>
                <w:tcPr>
                  <w:tcW w:w="436" w:type="pct"/>
                  <w:tcBorders>
                    <w:tl2br w:val="nil"/>
                    <w:tr2bl w:val="nil"/>
                  </w:tcBorders>
                  <w:noWrap w:val="0"/>
                  <w:vAlign w:val="center"/>
                </w:tcPr>
                <w:p w14:paraId="2D32B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w:t>
                  </w:r>
                </w:p>
              </w:tc>
              <w:tc>
                <w:tcPr>
                  <w:tcW w:w="413" w:type="pct"/>
                  <w:tcBorders>
                    <w:tl2br w:val="nil"/>
                    <w:tr2bl w:val="nil"/>
                  </w:tcBorders>
                  <w:noWrap w:val="0"/>
                  <w:vAlign w:val="center"/>
                </w:tcPr>
                <w:p w14:paraId="02FBE2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0.</w:t>
                  </w:r>
                  <w:r>
                    <w:rPr>
                      <w:rFonts w:hint="eastAsia" w:ascii="Times New Roman" w:hAnsi="Times New Roman" w:cs="Times New Roman"/>
                      <w:bCs/>
                      <w:color w:val="auto"/>
                      <w:sz w:val="18"/>
                      <w:szCs w:val="18"/>
                      <w:highlight w:val="none"/>
                      <w:lang w:val="en-US" w:eastAsia="zh-CN"/>
                    </w:rPr>
                    <w:t>12</w:t>
                  </w:r>
                </w:p>
              </w:tc>
            </w:tr>
            <w:tr w14:paraId="3C80D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9" w:hRule="atLeast"/>
                <w:jc w:val="center"/>
              </w:trPr>
              <w:tc>
                <w:tcPr>
                  <w:tcW w:w="372" w:type="pct"/>
                  <w:vMerge w:val="restart"/>
                  <w:tcBorders>
                    <w:tl2br w:val="nil"/>
                    <w:tr2bl w:val="nil"/>
                  </w:tcBorders>
                  <w:noWrap w:val="0"/>
                  <w:vAlign w:val="center"/>
                </w:tcPr>
                <w:p w14:paraId="79C11B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highlight w:val="none"/>
                    </w:rPr>
                    <w:t>回转</w:t>
                  </w:r>
                  <w:r>
                    <w:rPr>
                      <w:rFonts w:hint="eastAsia" w:cs="Times New Roman"/>
                      <w:bCs/>
                      <w:color w:val="auto"/>
                      <w:sz w:val="18"/>
                      <w:szCs w:val="18"/>
                      <w:highlight w:val="none"/>
                      <w:lang w:val="en-US" w:eastAsia="zh-CN"/>
                    </w:rPr>
                    <w:t>窑</w:t>
                  </w:r>
                </w:p>
              </w:tc>
              <w:tc>
                <w:tcPr>
                  <w:tcW w:w="372" w:type="pct"/>
                  <w:tcBorders>
                    <w:tl2br w:val="nil"/>
                    <w:tr2bl w:val="nil"/>
                  </w:tcBorders>
                  <w:noWrap w:val="0"/>
                  <w:vAlign w:val="center"/>
                </w:tcPr>
                <w:p w14:paraId="5AF3C4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259" w:type="pct"/>
                  <w:vMerge w:val="restart"/>
                  <w:tcBorders>
                    <w:tl2br w:val="nil"/>
                    <w:tr2bl w:val="nil"/>
                  </w:tcBorders>
                  <w:noWrap w:val="0"/>
                  <w:vAlign w:val="center"/>
                </w:tcPr>
                <w:p w14:paraId="0B5247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有组织</w:t>
                  </w:r>
                </w:p>
              </w:tc>
              <w:tc>
                <w:tcPr>
                  <w:tcW w:w="528" w:type="pct"/>
                  <w:tcBorders>
                    <w:tl2br w:val="nil"/>
                    <w:tr2bl w:val="nil"/>
                  </w:tcBorders>
                  <w:noWrap w:val="0"/>
                  <w:vAlign w:val="center"/>
                </w:tcPr>
                <w:p w14:paraId="214FCA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1369</w:t>
                  </w:r>
                </w:p>
              </w:tc>
              <w:tc>
                <w:tcPr>
                  <w:tcW w:w="396" w:type="pct"/>
                  <w:tcBorders>
                    <w:tl2br w:val="nil"/>
                    <w:tr2bl w:val="nil"/>
                  </w:tcBorders>
                  <w:noWrap w:val="0"/>
                  <w:vAlign w:val="center"/>
                </w:tcPr>
                <w:p w14:paraId="68364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color w:val="auto"/>
                      <w:kern w:val="0"/>
                      <w:sz w:val="18"/>
                      <w:szCs w:val="18"/>
                      <w:highlight w:val="none"/>
                      <w:lang w:val="en-US" w:eastAsia="zh-CN" w:bidi="ar"/>
                    </w:rPr>
                    <w:t>6</w:t>
                  </w:r>
                  <w:r>
                    <w:rPr>
                      <w:rFonts w:hint="default" w:ascii="Times New Roman" w:hAnsi="Times New Roman" w:cs="Times New Roman"/>
                      <w:color w:val="auto"/>
                      <w:sz w:val="18"/>
                      <w:szCs w:val="18"/>
                      <w:highlight w:val="none"/>
                      <w:lang w:val="en-US" w:eastAsia="zh-CN"/>
                    </w:rPr>
                    <w:t>0.936</w:t>
                  </w:r>
                </w:p>
              </w:tc>
              <w:tc>
                <w:tcPr>
                  <w:tcW w:w="1306" w:type="pct"/>
                  <w:vMerge w:val="restart"/>
                  <w:tcBorders>
                    <w:tl2br w:val="nil"/>
                    <w:tr2bl w:val="nil"/>
                  </w:tcBorders>
                  <w:noWrap w:val="0"/>
                  <w:vAlign w:val="center"/>
                </w:tcPr>
                <w:p w14:paraId="65465D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回转窑</w:t>
                  </w:r>
                  <w:r>
                    <w:rPr>
                      <w:rFonts w:hint="default" w:ascii="Times New Roman" w:hAnsi="Times New Roman" w:cs="Times New Roman"/>
                      <w:color w:val="auto"/>
                      <w:sz w:val="18"/>
                      <w:szCs w:val="18"/>
                      <w:highlight w:val="none"/>
                    </w:rPr>
                    <w:t>采用低氮燃烧器，</w:t>
                  </w:r>
                  <w:r>
                    <w:rPr>
                      <w:rFonts w:hint="default" w:ascii="Times New Roman" w:hAnsi="Times New Roman" w:cs="Times New Roman"/>
                      <w:color w:val="auto"/>
                      <w:sz w:val="18"/>
                      <w:szCs w:val="18"/>
                      <w:highlight w:val="none"/>
                      <w:lang w:val="en-US" w:eastAsia="zh-CN"/>
                    </w:rPr>
                    <w:t>加热</w:t>
                  </w:r>
                  <w:r>
                    <w:rPr>
                      <w:rFonts w:hint="default" w:ascii="Times New Roman" w:hAnsi="Times New Roman" w:cs="Times New Roman"/>
                      <w:color w:val="auto"/>
                      <w:sz w:val="18"/>
                      <w:szCs w:val="18"/>
                      <w:highlight w:val="none"/>
                    </w:rPr>
                    <w:t>烟气</w:t>
                  </w:r>
                  <w:r>
                    <w:rPr>
                      <w:rFonts w:hint="default" w:ascii="Times New Roman" w:hAnsi="Times New Roman" w:cs="Times New Roman"/>
                      <w:color w:val="auto"/>
                      <w:sz w:val="18"/>
                      <w:szCs w:val="18"/>
                      <w:highlight w:val="none"/>
                      <w:lang w:val="en-US" w:eastAsia="zh-CN"/>
                    </w:rPr>
                    <w:t>经</w:t>
                  </w:r>
                  <w:r>
                    <w:rPr>
                      <w:rFonts w:hint="default" w:ascii="Times New Roman" w:hAnsi="Times New Roman" w:cs="Times New Roman"/>
                      <w:color w:val="auto"/>
                      <w:sz w:val="18"/>
                      <w:szCs w:val="18"/>
                      <w:highlight w:val="none"/>
                    </w:rPr>
                    <w:t>1台</w:t>
                  </w:r>
                  <w:r>
                    <w:rPr>
                      <w:rFonts w:hint="default" w:ascii="Times New Roman" w:hAnsi="Times New Roman" w:cs="Times New Roman"/>
                      <w:color w:val="auto"/>
                      <w:sz w:val="18"/>
                      <w:szCs w:val="18"/>
                      <w:highlight w:val="none"/>
                      <w:lang w:val="en-US" w:eastAsia="zh-CN"/>
                    </w:rPr>
                    <w:t>旋风除尘器+1台脉冲式</w:t>
                  </w:r>
                  <w:r>
                    <w:rPr>
                      <w:rFonts w:hint="default" w:ascii="Times New Roman" w:hAnsi="Times New Roman" w:cs="Times New Roman"/>
                      <w:color w:val="auto"/>
                      <w:sz w:val="18"/>
                      <w:szCs w:val="18"/>
                      <w:highlight w:val="none"/>
                    </w:rPr>
                    <w:t>布袋除尘器处理后经</w:t>
                  </w:r>
                  <w:r>
                    <w:rPr>
                      <w:rFonts w:hint="default" w:ascii="Times New Roman" w:hAnsi="Times New Roman" w:cs="Times New Roman"/>
                      <w:color w:val="auto"/>
                      <w:sz w:val="18"/>
                      <w:szCs w:val="18"/>
                      <w:highlight w:val="none"/>
                      <w:lang w:val="en-US" w:eastAsia="zh-CN"/>
                    </w:rPr>
                    <w:t>20</w:t>
                  </w:r>
                  <w:r>
                    <w:rPr>
                      <w:rFonts w:hint="default" w:ascii="Times New Roman" w:hAnsi="Times New Roman" w:cs="Times New Roman"/>
                      <w:color w:val="auto"/>
                      <w:sz w:val="18"/>
                      <w:szCs w:val="18"/>
                      <w:highlight w:val="none"/>
                    </w:rPr>
                    <w:t>m高排气筒（DA00</w:t>
                  </w:r>
                  <w:r>
                    <w:rPr>
                      <w:rFonts w:hint="default" w:ascii="Times New Roman" w:hAnsi="Times New Roman" w:cs="Times New Roman"/>
                      <w:color w:val="auto"/>
                      <w:sz w:val="18"/>
                      <w:szCs w:val="18"/>
                      <w:highlight w:val="none"/>
                      <w:lang w:val="en-US" w:eastAsia="zh-CN"/>
                    </w:rPr>
                    <w:t>9</w:t>
                  </w:r>
                  <w:r>
                    <w:rPr>
                      <w:rFonts w:hint="default" w:ascii="Times New Roman" w:hAnsi="Times New Roman" w:cs="Times New Roman"/>
                      <w:color w:val="auto"/>
                      <w:sz w:val="18"/>
                      <w:szCs w:val="18"/>
                      <w:highlight w:val="none"/>
                    </w:rPr>
                    <w:t>）排放</w:t>
                  </w:r>
                </w:p>
              </w:tc>
              <w:tc>
                <w:tcPr>
                  <w:tcW w:w="451" w:type="pct"/>
                  <w:vMerge w:val="restart"/>
                  <w:tcBorders>
                    <w:tl2br w:val="nil"/>
                    <w:tr2bl w:val="nil"/>
                  </w:tcBorders>
                  <w:noWrap w:val="0"/>
                  <w:vAlign w:val="center"/>
                </w:tcPr>
                <w:p w14:paraId="7C24C5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255B9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1.37</w:t>
                  </w:r>
                </w:p>
              </w:tc>
              <w:tc>
                <w:tcPr>
                  <w:tcW w:w="436" w:type="pct"/>
                  <w:tcBorders>
                    <w:tl2br w:val="nil"/>
                    <w:tr2bl w:val="nil"/>
                  </w:tcBorders>
                  <w:noWrap w:val="0"/>
                  <w:vAlign w:val="center"/>
                </w:tcPr>
                <w:p w14:paraId="08DB79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0.0077</w:t>
                  </w:r>
                </w:p>
              </w:tc>
              <w:tc>
                <w:tcPr>
                  <w:tcW w:w="413" w:type="pct"/>
                  <w:tcBorders>
                    <w:tl2br w:val="nil"/>
                    <w:tr2bl w:val="nil"/>
                  </w:tcBorders>
                  <w:noWrap w:val="0"/>
                  <w:vAlign w:val="center"/>
                </w:tcPr>
                <w:p w14:paraId="08A25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0.061</w:t>
                  </w:r>
                </w:p>
              </w:tc>
            </w:tr>
            <w:tr w14:paraId="716EA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372" w:type="pct"/>
                  <w:vMerge w:val="continue"/>
                  <w:tcBorders>
                    <w:tl2br w:val="nil"/>
                    <w:tr2bl w:val="nil"/>
                  </w:tcBorders>
                  <w:noWrap w:val="0"/>
                  <w:vAlign w:val="center"/>
                </w:tcPr>
                <w:p w14:paraId="1D857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372" w:type="pct"/>
                  <w:tcBorders>
                    <w:tl2br w:val="nil"/>
                    <w:tr2bl w:val="nil"/>
                  </w:tcBorders>
                  <w:noWrap w:val="0"/>
                  <w:vAlign w:val="center"/>
                </w:tcPr>
                <w:p w14:paraId="4F6E4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SO</w:t>
                  </w:r>
                  <w:r>
                    <w:rPr>
                      <w:rFonts w:hint="default" w:ascii="Times New Roman" w:hAnsi="Times New Roman" w:cs="Times New Roman"/>
                      <w:color w:val="auto"/>
                      <w:sz w:val="18"/>
                      <w:szCs w:val="18"/>
                      <w:highlight w:val="none"/>
                      <w:vertAlign w:val="subscript"/>
                    </w:rPr>
                    <w:t>2</w:t>
                  </w:r>
                </w:p>
              </w:tc>
              <w:tc>
                <w:tcPr>
                  <w:tcW w:w="259" w:type="pct"/>
                  <w:vMerge w:val="continue"/>
                  <w:tcBorders>
                    <w:tl2br w:val="nil"/>
                    <w:tr2bl w:val="nil"/>
                  </w:tcBorders>
                  <w:noWrap w:val="0"/>
                  <w:vAlign w:val="center"/>
                </w:tcPr>
                <w:p w14:paraId="72D374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528" w:type="pct"/>
                  <w:tcBorders>
                    <w:tl2br w:val="nil"/>
                    <w:tr2bl w:val="nil"/>
                  </w:tcBorders>
                  <w:noWrap w:val="0"/>
                  <w:vAlign w:val="center"/>
                </w:tcPr>
                <w:p w14:paraId="19C6D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2.94</w:t>
                  </w:r>
                </w:p>
              </w:tc>
              <w:tc>
                <w:tcPr>
                  <w:tcW w:w="396" w:type="pct"/>
                  <w:tcBorders>
                    <w:tl2br w:val="nil"/>
                    <w:tr2bl w:val="nil"/>
                  </w:tcBorders>
                  <w:noWrap w:val="0"/>
                  <w:vAlign w:val="center"/>
                </w:tcPr>
                <w:p w14:paraId="290DE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0.131</w:t>
                  </w:r>
                </w:p>
              </w:tc>
              <w:tc>
                <w:tcPr>
                  <w:tcW w:w="1306" w:type="pct"/>
                  <w:vMerge w:val="continue"/>
                  <w:tcBorders>
                    <w:tl2br w:val="nil"/>
                    <w:tr2bl w:val="nil"/>
                  </w:tcBorders>
                  <w:noWrap w:val="0"/>
                  <w:vAlign w:val="center"/>
                </w:tcPr>
                <w:p w14:paraId="0A65B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sz w:val="18"/>
                      <w:szCs w:val="18"/>
                      <w:highlight w:val="none"/>
                    </w:rPr>
                  </w:pPr>
                </w:p>
              </w:tc>
              <w:tc>
                <w:tcPr>
                  <w:tcW w:w="451" w:type="pct"/>
                  <w:vMerge w:val="continue"/>
                  <w:tcBorders>
                    <w:tl2br w:val="nil"/>
                    <w:tr2bl w:val="nil"/>
                  </w:tcBorders>
                  <w:noWrap w:val="0"/>
                  <w:vAlign w:val="center"/>
                </w:tcPr>
                <w:p w14:paraId="46E8C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463" w:type="pct"/>
                  <w:tcBorders>
                    <w:tl2br w:val="nil"/>
                    <w:tr2bl w:val="nil"/>
                  </w:tcBorders>
                  <w:noWrap w:val="0"/>
                  <w:vAlign w:val="center"/>
                </w:tcPr>
                <w:p w14:paraId="66ED6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2.94</w:t>
                  </w:r>
                </w:p>
              </w:tc>
              <w:tc>
                <w:tcPr>
                  <w:tcW w:w="436" w:type="pct"/>
                  <w:tcBorders>
                    <w:tl2br w:val="nil"/>
                    <w:tr2bl w:val="nil"/>
                  </w:tcBorders>
                  <w:noWrap w:val="0"/>
                  <w:vAlign w:val="center"/>
                </w:tcPr>
                <w:p w14:paraId="49A0B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0.017</w:t>
                  </w:r>
                </w:p>
              </w:tc>
              <w:tc>
                <w:tcPr>
                  <w:tcW w:w="413" w:type="pct"/>
                  <w:tcBorders>
                    <w:tl2br w:val="nil"/>
                    <w:tr2bl w:val="nil"/>
                  </w:tcBorders>
                  <w:noWrap w:val="0"/>
                  <w:vAlign w:val="center"/>
                </w:tcPr>
                <w:p w14:paraId="4BE08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0.131</w:t>
                  </w:r>
                </w:p>
              </w:tc>
            </w:tr>
            <w:tr w14:paraId="6A7FC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372" w:type="pct"/>
                  <w:vMerge w:val="continue"/>
                  <w:tcBorders>
                    <w:tl2br w:val="nil"/>
                    <w:tr2bl w:val="nil"/>
                  </w:tcBorders>
                  <w:noWrap w:val="0"/>
                  <w:vAlign w:val="center"/>
                </w:tcPr>
                <w:p w14:paraId="1D72A3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372" w:type="pct"/>
                  <w:tcBorders>
                    <w:tl2br w:val="nil"/>
                    <w:tr2bl w:val="nil"/>
                  </w:tcBorders>
                  <w:noWrap w:val="0"/>
                  <w:vAlign w:val="center"/>
                </w:tcPr>
                <w:p w14:paraId="467C3B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NOx</w:t>
                  </w:r>
                </w:p>
              </w:tc>
              <w:tc>
                <w:tcPr>
                  <w:tcW w:w="259" w:type="pct"/>
                  <w:vMerge w:val="continue"/>
                  <w:tcBorders>
                    <w:tl2br w:val="nil"/>
                    <w:tr2bl w:val="nil"/>
                  </w:tcBorders>
                  <w:noWrap w:val="0"/>
                  <w:vAlign w:val="center"/>
                </w:tcPr>
                <w:p w14:paraId="7DAF44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528" w:type="pct"/>
                  <w:tcBorders>
                    <w:tl2br w:val="nil"/>
                    <w:tr2bl w:val="nil"/>
                  </w:tcBorders>
                  <w:noWrap w:val="0"/>
                  <w:vAlign w:val="center"/>
                </w:tcPr>
                <w:p w14:paraId="1D5627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137.5</w:t>
                  </w:r>
                </w:p>
              </w:tc>
              <w:tc>
                <w:tcPr>
                  <w:tcW w:w="396" w:type="pct"/>
                  <w:tcBorders>
                    <w:tl2br w:val="nil"/>
                    <w:tr2bl w:val="nil"/>
                  </w:tcBorders>
                  <w:noWrap w:val="0"/>
                  <w:vAlign w:val="center"/>
                </w:tcPr>
                <w:p w14:paraId="434E8E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6.12</w:t>
                  </w:r>
                </w:p>
              </w:tc>
              <w:tc>
                <w:tcPr>
                  <w:tcW w:w="1306" w:type="pct"/>
                  <w:vMerge w:val="continue"/>
                  <w:tcBorders>
                    <w:tl2br w:val="nil"/>
                    <w:tr2bl w:val="nil"/>
                  </w:tcBorders>
                  <w:noWrap w:val="0"/>
                  <w:vAlign w:val="center"/>
                </w:tcPr>
                <w:p w14:paraId="5FC008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sz w:val="18"/>
                      <w:szCs w:val="18"/>
                      <w:highlight w:val="none"/>
                    </w:rPr>
                  </w:pPr>
                </w:p>
              </w:tc>
              <w:tc>
                <w:tcPr>
                  <w:tcW w:w="451" w:type="pct"/>
                  <w:vMerge w:val="continue"/>
                  <w:tcBorders>
                    <w:tl2br w:val="nil"/>
                    <w:tr2bl w:val="nil"/>
                  </w:tcBorders>
                  <w:noWrap w:val="0"/>
                  <w:vAlign w:val="center"/>
                </w:tcPr>
                <w:p w14:paraId="6CE357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463" w:type="pct"/>
                  <w:tcBorders>
                    <w:tl2br w:val="nil"/>
                    <w:tr2bl w:val="nil"/>
                  </w:tcBorders>
                  <w:noWrap w:val="0"/>
                  <w:vAlign w:val="center"/>
                </w:tcPr>
                <w:p w14:paraId="5B507C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rPr>
                    <w:t>68.</w:t>
                  </w:r>
                  <w:r>
                    <w:rPr>
                      <w:rFonts w:hint="default" w:ascii="Times New Roman" w:hAnsi="Times New Roman" w:cs="Times New Roman"/>
                      <w:color w:val="auto"/>
                      <w:sz w:val="18"/>
                      <w:szCs w:val="18"/>
                      <w:highlight w:val="none"/>
                      <w:lang w:val="en-US" w:eastAsia="zh-CN"/>
                    </w:rPr>
                    <w:t>75</w:t>
                  </w:r>
                </w:p>
              </w:tc>
              <w:tc>
                <w:tcPr>
                  <w:tcW w:w="436" w:type="pct"/>
                  <w:tcBorders>
                    <w:tl2br w:val="nil"/>
                    <w:tr2bl w:val="nil"/>
                  </w:tcBorders>
                  <w:noWrap w:val="0"/>
                  <w:vAlign w:val="center"/>
                </w:tcPr>
                <w:p w14:paraId="28F6D5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0.386</w:t>
                  </w:r>
                </w:p>
              </w:tc>
              <w:tc>
                <w:tcPr>
                  <w:tcW w:w="413" w:type="pct"/>
                  <w:tcBorders>
                    <w:tl2br w:val="nil"/>
                    <w:tr2bl w:val="nil"/>
                  </w:tcBorders>
                  <w:noWrap w:val="0"/>
                  <w:vAlign w:val="center"/>
                </w:tcPr>
                <w:p w14:paraId="33281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color w:val="auto"/>
                      <w:sz w:val="18"/>
                      <w:szCs w:val="18"/>
                      <w:highlight w:val="none"/>
                      <w:lang w:val="en-US" w:eastAsia="zh-CN"/>
                    </w:rPr>
                    <w:t>3.06</w:t>
                  </w:r>
                </w:p>
              </w:tc>
            </w:tr>
            <w:tr w14:paraId="50AE4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372" w:type="pct"/>
                  <w:vMerge w:val="restart"/>
                  <w:tcBorders>
                    <w:tl2br w:val="nil"/>
                    <w:tr2bl w:val="nil"/>
                  </w:tcBorders>
                  <w:noWrap w:val="0"/>
                  <w:vAlign w:val="center"/>
                </w:tcPr>
                <w:p w14:paraId="795582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热压成型</w:t>
                  </w:r>
                </w:p>
              </w:tc>
              <w:tc>
                <w:tcPr>
                  <w:tcW w:w="372" w:type="pct"/>
                  <w:vMerge w:val="restart"/>
                  <w:tcBorders>
                    <w:tl2br w:val="nil"/>
                    <w:tr2bl w:val="nil"/>
                  </w:tcBorders>
                  <w:noWrap w:val="0"/>
                  <w:vAlign w:val="center"/>
                </w:tcPr>
                <w:p w14:paraId="183A9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259" w:type="pct"/>
                  <w:tcBorders>
                    <w:tl2br w:val="nil"/>
                    <w:tr2bl w:val="nil"/>
                  </w:tcBorders>
                  <w:noWrap w:val="0"/>
                  <w:vAlign w:val="center"/>
                </w:tcPr>
                <w:p w14:paraId="268BA4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有组织</w:t>
                  </w:r>
                </w:p>
              </w:tc>
              <w:tc>
                <w:tcPr>
                  <w:tcW w:w="528" w:type="pct"/>
                  <w:tcBorders>
                    <w:tl2br w:val="nil"/>
                    <w:tr2bl w:val="nil"/>
                  </w:tcBorders>
                  <w:noWrap w:val="0"/>
                  <w:vAlign w:val="center"/>
                </w:tcPr>
                <w:p w14:paraId="1BB64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eastAsia" w:ascii="Times New Roman" w:hAnsi="Times New Roman" w:cs="Times New Roman"/>
                      <w:color w:val="auto"/>
                      <w:sz w:val="18"/>
                      <w:szCs w:val="18"/>
                      <w:highlight w:val="none"/>
                      <w:vertAlign w:val="baseline"/>
                      <w:lang w:val="en-US" w:eastAsia="zh-CN"/>
                    </w:rPr>
                    <w:t>37.48</w:t>
                  </w:r>
                </w:p>
              </w:tc>
              <w:tc>
                <w:tcPr>
                  <w:tcW w:w="396" w:type="pct"/>
                  <w:tcBorders>
                    <w:tl2br w:val="nil"/>
                    <w:tr2bl w:val="nil"/>
                  </w:tcBorders>
                  <w:noWrap w:val="0"/>
                  <w:vAlign w:val="center"/>
                </w:tcPr>
                <w:p w14:paraId="7AA6C5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color w:val="auto"/>
                      <w:sz w:val="18"/>
                      <w:szCs w:val="18"/>
                      <w:highlight w:val="none"/>
                      <w:vertAlign w:val="baseline"/>
                      <w:lang w:val="en-US" w:eastAsia="zh-CN"/>
                    </w:rPr>
                    <w:t>6</w:t>
                  </w:r>
                </w:p>
              </w:tc>
              <w:tc>
                <w:tcPr>
                  <w:tcW w:w="1306" w:type="pct"/>
                  <w:tcBorders>
                    <w:tl2br w:val="nil"/>
                    <w:tr2bl w:val="nil"/>
                  </w:tcBorders>
                  <w:noWrap w:val="0"/>
                  <w:vAlign w:val="center"/>
                </w:tcPr>
                <w:p w14:paraId="468875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热压成型机设置2个集气罩，对辊成型机上方设置集气管道，废气经收集</w:t>
                  </w:r>
                  <w:r>
                    <w:rPr>
                      <w:rFonts w:hint="default" w:ascii="Times New Roman" w:hAnsi="Times New Roman" w:cs="Times New Roman"/>
                      <w:bCs/>
                      <w:color w:val="auto"/>
                      <w:sz w:val="18"/>
                      <w:szCs w:val="18"/>
                      <w:highlight w:val="none"/>
                      <w:lang w:val="en-US" w:eastAsia="zh-CN"/>
                    </w:rPr>
                    <w:t>引入布袋布袋除尘器处理后，由1根20m高排气筒</w:t>
                  </w:r>
                  <w:r>
                    <w:rPr>
                      <w:rFonts w:hint="default" w:ascii="Times New Roman" w:hAnsi="Times New Roman" w:cs="Times New Roman"/>
                      <w:color w:val="auto"/>
                      <w:sz w:val="18"/>
                      <w:szCs w:val="18"/>
                      <w:highlight w:val="none"/>
                    </w:rPr>
                    <w:t>（DA0</w:t>
                  </w:r>
                  <w:r>
                    <w:rPr>
                      <w:rFonts w:hint="default" w:ascii="Times New Roman" w:hAnsi="Times New Roman" w:cs="Times New Roman"/>
                      <w:color w:val="auto"/>
                      <w:sz w:val="18"/>
                      <w:szCs w:val="18"/>
                      <w:highlight w:val="none"/>
                      <w:lang w:val="en-US" w:eastAsia="zh-CN"/>
                    </w:rPr>
                    <w:t>10</w:t>
                  </w:r>
                  <w:r>
                    <w:rPr>
                      <w:rFonts w:hint="default" w:ascii="Times New Roman" w:hAnsi="Times New Roman" w:cs="Times New Roman"/>
                      <w:color w:val="auto"/>
                      <w:sz w:val="18"/>
                      <w:szCs w:val="18"/>
                      <w:highlight w:val="none"/>
                    </w:rPr>
                    <w:t>）</w:t>
                  </w:r>
                  <w:r>
                    <w:rPr>
                      <w:rFonts w:hint="default" w:ascii="Times New Roman" w:hAnsi="Times New Roman" w:cs="Times New Roman"/>
                      <w:bCs/>
                      <w:color w:val="auto"/>
                      <w:sz w:val="18"/>
                      <w:szCs w:val="18"/>
                      <w:highlight w:val="none"/>
                      <w:lang w:val="en-US" w:eastAsia="zh-CN"/>
                    </w:rPr>
                    <w:t>排放</w:t>
                  </w:r>
                </w:p>
              </w:tc>
              <w:tc>
                <w:tcPr>
                  <w:tcW w:w="451" w:type="pct"/>
                  <w:tcBorders>
                    <w:tl2br w:val="nil"/>
                    <w:tr2bl w:val="nil"/>
                  </w:tcBorders>
                  <w:noWrap w:val="0"/>
                  <w:vAlign w:val="center"/>
                </w:tcPr>
                <w:p w14:paraId="06F118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3B79F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798" w:type="dxa"/>
                  <w:tcBorders>
                    <w:tl2br w:val="nil"/>
                    <w:tr2bl w:val="nil"/>
                  </w:tcBorders>
                  <w:noWrap w:val="0"/>
                  <w:vAlign w:val="center"/>
                </w:tcPr>
                <w:p w14:paraId="10F3A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color w:val="auto"/>
                      <w:sz w:val="18"/>
                      <w:szCs w:val="18"/>
                      <w:highlight w:val="none"/>
                    </w:rPr>
                    <w:t>0.</w:t>
                  </w:r>
                  <w:r>
                    <w:rPr>
                      <w:rFonts w:hint="eastAsia" w:ascii="Times New Roman" w:hAnsi="Times New Roman" w:cs="Times New Roman"/>
                      <w:color w:val="auto"/>
                      <w:sz w:val="18"/>
                      <w:szCs w:val="18"/>
                      <w:highlight w:val="none"/>
                      <w:lang w:val="en-US" w:eastAsia="zh-CN"/>
                    </w:rPr>
                    <w:t>2</w:t>
                  </w:r>
                </w:p>
              </w:tc>
              <w:tc>
                <w:tcPr>
                  <w:tcW w:w="758" w:type="dxa"/>
                  <w:tcBorders>
                    <w:tl2br w:val="nil"/>
                    <w:tr2bl w:val="nil"/>
                  </w:tcBorders>
                  <w:noWrap w:val="0"/>
                  <w:vAlign w:val="center"/>
                </w:tcPr>
                <w:p w14:paraId="61AAF1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rPr>
                    <w:t>1.</w:t>
                  </w:r>
                  <w:r>
                    <w:rPr>
                      <w:rFonts w:hint="eastAsia" w:ascii="Times New Roman" w:hAnsi="Times New Roman" w:cs="Times New Roman"/>
                      <w:color w:val="auto"/>
                      <w:sz w:val="18"/>
                      <w:szCs w:val="18"/>
                      <w:highlight w:val="none"/>
                      <w:lang w:val="en-US" w:eastAsia="zh-CN"/>
                    </w:rPr>
                    <w:t>606</w:t>
                  </w:r>
                </w:p>
              </w:tc>
            </w:tr>
            <w:tr w14:paraId="2AA34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372" w:type="pct"/>
                  <w:vMerge w:val="continue"/>
                  <w:tcBorders>
                    <w:tl2br w:val="nil"/>
                    <w:tr2bl w:val="nil"/>
                  </w:tcBorders>
                  <w:noWrap w:val="0"/>
                  <w:vAlign w:val="center"/>
                </w:tcPr>
                <w:p w14:paraId="6DE10F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p>
              </w:tc>
              <w:tc>
                <w:tcPr>
                  <w:tcW w:w="372" w:type="pct"/>
                  <w:vMerge w:val="continue"/>
                  <w:tcBorders>
                    <w:tl2br w:val="nil"/>
                    <w:tr2bl w:val="nil"/>
                  </w:tcBorders>
                  <w:noWrap w:val="0"/>
                  <w:vAlign w:val="center"/>
                </w:tcPr>
                <w:p w14:paraId="6FCC1D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p>
              </w:tc>
              <w:tc>
                <w:tcPr>
                  <w:tcW w:w="259" w:type="pct"/>
                  <w:tcBorders>
                    <w:tl2br w:val="nil"/>
                    <w:tr2bl w:val="nil"/>
                  </w:tcBorders>
                  <w:noWrap w:val="0"/>
                  <w:vAlign w:val="center"/>
                </w:tcPr>
                <w:p w14:paraId="36723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无组织</w:t>
                  </w:r>
                </w:p>
              </w:tc>
              <w:tc>
                <w:tcPr>
                  <w:tcW w:w="528" w:type="pct"/>
                  <w:tcBorders>
                    <w:tl2br w:val="nil"/>
                    <w:tr2bl w:val="nil"/>
                  </w:tcBorders>
                  <w:noWrap w:val="0"/>
                  <w:vAlign w:val="center"/>
                </w:tcPr>
                <w:p w14:paraId="208EE0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c>
                <w:tcPr>
                  <w:tcW w:w="396" w:type="pct"/>
                  <w:tcBorders>
                    <w:tl2br w:val="nil"/>
                    <w:tr2bl w:val="nil"/>
                  </w:tcBorders>
                  <w:noWrap w:val="0"/>
                  <w:vAlign w:val="center"/>
                </w:tcPr>
                <w:p w14:paraId="01604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w:t>
                  </w:r>
                  <w:r>
                    <w:rPr>
                      <w:rFonts w:hint="eastAsia" w:cs="Times New Roman"/>
                      <w:color w:val="auto"/>
                      <w:sz w:val="18"/>
                      <w:szCs w:val="18"/>
                      <w:highlight w:val="none"/>
                      <w:lang w:val="en-US" w:eastAsia="zh-CN"/>
                    </w:rPr>
                    <w:t>6</w:t>
                  </w:r>
                </w:p>
              </w:tc>
              <w:tc>
                <w:tcPr>
                  <w:tcW w:w="1306" w:type="pct"/>
                  <w:tcBorders>
                    <w:tl2br w:val="nil"/>
                    <w:tr2bl w:val="nil"/>
                  </w:tcBorders>
                  <w:noWrap w:val="0"/>
                  <w:vAlign w:val="center"/>
                </w:tcPr>
                <w:p w14:paraId="0B6566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bCs/>
                      <w:color w:val="auto"/>
                      <w:sz w:val="18"/>
                      <w:szCs w:val="18"/>
                      <w:highlight w:val="none"/>
                      <w:lang w:val="en-US" w:eastAsia="zh-CN"/>
                    </w:rPr>
                    <w:t>全封闭生产车间，定期打扫</w:t>
                  </w:r>
                </w:p>
              </w:tc>
              <w:tc>
                <w:tcPr>
                  <w:tcW w:w="451" w:type="pct"/>
                  <w:tcBorders>
                    <w:tl2br w:val="nil"/>
                    <w:tr2bl w:val="nil"/>
                  </w:tcBorders>
                  <w:noWrap w:val="0"/>
                  <w:vAlign w:val="center"/>
                </w:tcPr>
                <w:p w14:paraId="2C6E4A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2F89D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bCs/>
                      <w:color w:val="auto"/>
                      <w:sz w:val="18"/>
                      <w:szCs w:val="18"/>
                      <w:highlight w:val="none"/>
                    </w:rPr>
                    <w:t>/</w:t>
                  </w:r>
                </w:p>
              </w:tc>
              <w:tc>
                <w:tcPr>
                  <w:tcW w:w="436" w:type="pct"/>
                  <w:tcBorders>
                    <w:tl2br w:val="nil"/>
                    <w:tr2bl w:val="nil"/>
                  </w:tcBorders>
                  <w:noWrap w:val="0"/>
                  <w:vAlign w:val="center"/>
                </w:tcPr>
                <w:p w14:paraId="2961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rPr>
                    <w:t>/</w:t>
                  </w:r>
                </w:p>
              </w:tc>
              <w:tc>
                <w:tcPr>
                  <w:tcW w:w="413" w:type="pct"/>
                  <w:tcBorders>
                    <w:tl2br w:val="nil"/>
                    <w:tr2bl w:val="nil"/>
                  </w:tcBorders>
                  <w:noWrap w:val="0"/>
                  <w:vAlign w:val="center"/>
                </w:tcPr>
                <w:p w14:paraId="72DD6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w:t>
                  </w:r>
                  <w:r>
                    <w:rPr>
                      <w:rFonts w:hint="eastAsia" w:ascii="Times New Roman" w:hAnsi="Times New Roman" w:cs="Times New Roman"/>
                      <w:color w:val="auto"/>
                      <w:sz w:val="18"/>
                      <w:szCs w:val="18"/>
                      <w:highlight w:val="none"/>
                      <w:lang w:val="en-US" w:eastAsia="zh-CN"/>
                    </w:rPr>
                    <w:t>6</w:t>
                  </w:r>
                </w:p>
              </w:tc>
            </w:tr>
            <w:tr w14:paraId="6E76E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372" w:type="pct"/>
                  <w:vMerge w:val="restart"/>
                  <w:tcBorders>
                    <w:tl2br w:val="nil"/>
                    <w:tr2bl w:val="nil"/>
                  </w:tcBorders>
                  <w:noWrap w:val="0"/>
                  <w:vAlign w:val="center"/>
                </w:tcPr>
                <w:p w14:paraId="47A7E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出料</w:t>
                  </w:r>
                </w:p>
              </w:tc>
              <w:tc>
                <w:tcPr>
                  <w:tcW w:w="372" w:type="pct"/>
                  <w:vMerge w:val="restart"/>
                  <w:tcBorders>
                    <w:tl2br w:val="nil"/>
                    <w:tr2bl w:val="nil"/>
                  </w:tcBorders>
                  <w:noWrap w:val="0"/>
                  <w:vAlign w:val="center"/>
                </w:tcPr>
                <w:p w14:paraId="3BABA5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颗粒物</w:t>
                  </w:r>
                </w:p>
              </w:tc>
              <w:tc>
                <w:tcPr>
                  <w:tcW w:w="259" w:type="pct"/>
                  <w:tcBorders>
                    <w:tl2br w:val="nil"/>
                    <w:tr2bl w:val="nil"/>
                  </w:tcBorders>
                  <w:noWrap w:val="0"/>
                  <w:vAlign w:val="center"/>
                </w:tcPr>
                <w:p w14:paraId="00E8E8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lang w:val="en-US" w:eastAsia="zh-CN"/>
                    </w:rPr>
                    <w:t>有组织</w:t>
                  </w:r>
                </w:p>
              </w:tc>
              <w:tc>
                <w:tcPr>
                  <w:tcW w:w="528" w:type="pct"/>
                  <w:tcBorders>
                    <w:tl2br w:val="nil"/>
                    <w:tr2bl w:val="nil"/>
                  </w:tcBorders>
                  <w:noWrap w:val="0"/>
                  <w:vAlign w:val="center"/>
                </w:tcPr>
                <w:p w14:paraId="236DC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14.66</w:t>
                  </w:r>
                </w:p>
              </w:tc>
              <w:tc>
                <w:tcPr>
                  <w:tcW w:w="396" w:type="pct"/>
                  <w:tcBorders>
                    <w:tl2br w:val="nil"/>
                    <w:tr2bl w:val="nil"/>
                  </w:tcBorders>
                  <w:noWrap w:val="0"/>
                  <w:vAlign w:val="center"/>
                </w:tcPr>
                <w:p w14:paraId="147C2B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3</w:t>
                  </w:r>
                </w:p>
              </w:tc>
              <w:tc>
                <w:tcPr>
                  <w:tcW w:w="1306" w:type="pct"/>
                  <w:tcBorders>
                    <w:tl2br w:val="nil"/>
                    <w:tr2bl w:val="nil"/>
                  </w:tcBorders>
                  <w:noWrap w:val="0"/>
                  <w:vAlign w:val="center"/>
                </w:tcPr>
                <w:p w14:paraId="222765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成品出料池上方各设置1个集气罩（共2个），废气经收集后引入1台布袋除尘器处理后，由1根20m高排气筒（DA011）排放</w:t>
                  </w:r>
                </w:p>
              </w:tc>
              <w:tc>
                <w:tcPr>
                  <w:tcW w:w="451" w:type="pct"/>
                  <w:tcBorders>
                    <w:tl2br w:val="nil"/>
                    <w:tr2bl w:val="nil"/>
                  </w:tcBorders>
                  <w:noWrap w:val="0"/>
                  <w:vAlign w:val="center"/>
                </w:tcPr>
                <w:p w14:paraId="2A406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436AA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10</w:t>
                  </w:r>
                </w:p>
              </w:tc>
              <w:tc>
                <w:tcPr>
                  <w:tcW w:w="436" w:type="pct"/>
                  <w:tcBorders>
                    <w:tl2br w:val="nil"/>
                    <w:tr2bl w:val="nil"/>
                  </w:tcBorders>
                  <w:noWrap w:val="0"/>
                  <w:vAlign w:val="center"/>
                </w:tcPr>
                <w:p w14:paraId="7FEA7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color w:val="auto"/>
                      <w:sz w:val="18"/>
                      <w:szCs w:val="18"/>
                      <w:highlight w:val="none"/>
                    </w:rPr>
                    <w:t>0.</w:t>
                  </w:r>
                  <w:r>
                    <w:rPr>
                      <w:rFonts w:hint="default" w:ascii="Times New Roman" w:hAnsi="Times New Roman" w:cs="Times New Roman"/>
                      <w:color w:val="auto"/>
                      <w:sz w:val="18"/>
                      <w:szCs w:val="18"/>
                      <w:highlight w:val="none"/>
                      <w:lang w:val="en-US" w:eastAsia="zh-CN"/>
                    </w:rPr>
                    <w:t>26</w:t>
                  </w:r>
                </w:p>
              </w:tc>
              <w:tc>
                <w:tcPr>
                  <w:tcW w:w="413" w:type="pct"/>
                  <w:tcBorders>
                    <w:tl2br w:val="nil"/>
                    <w:tr2bl w:val="nil"/>
                  </w:tcBorders>
                  <w:noWrap w:val="0"/>
                  <w:vAlign w:val="center"/>
                </w:tcPr>
                <w:p w14:paraId="39224B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2.053</w:t>
                  </w:r>
                </w:p>
              </w:tc>
            </w:tr>
            <w:tr w14:paraId="0A75D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372" w:type="pct"/>
                  <w:vMerge w:val="continue"/>
                  <w:tcBorders>
                    <w:tl2br w:val="nil"/>
                    <w:tr2bl w:val="nil"/>
                  </w:tcBorders>
                  <w:noWrap w:val="0"/>
                  <w:vAlign w:val="center"/>
                </w:tcPr>
                <w:p w14:paraId="744BD2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p>
              </w:tc>
              <w:tc>
                <w:tcPr>
                  <w:tcW w:w="372" w:type="pct"/>
                  <w:vMerge w:val="continue"/>
                  <w:tcBorders>
                    <w:tl2br w:val="nil"/>
                    <w:tr2bl w:val="nil"/>
                  </w:tcBorders>
                  <w:noWrap w:val="0"/>
                  <w:vAlign w:val="center"/>
                </w:tcPr>
                <w:p w14:paraId="06AB9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p>
              </w:tc>
              <w:tc>
                <w:tcPr>
                  <w:tcW w:w="259" w:type="pct"/>
                  <w:tcBorders>
                    <w:tl2br w:val="nil"/>
                    <w:tr2bl w:val="nil"/>
                  </w:tcBorders>
                  <w:noWrap w:val="0"/>
                  <w:vAlign w:val="center"/>
                </w:tcPr>
                <w:p w14:paraId="1780F2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无组织</w:t>
                  </w:r>
                </w:p>
              </w:tc>
              <w:tc>
                <w:tcPr>
                  <w:tcW w:w="528" w:type="pct"/>
                  <w:tcBorders>
                    <w:tl2br w:val="nil"/>
                    <w:tr2bl w:val="nil"/>
                  </w:tcBorders>
                  <w:noWrap w:val="0"/>
                  <w:vAlign w:val="center"/>
                </w:tcPr>
                <w:p w14:paraId="2A6D7A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w:t>
                  </w:r>
                </w:p>
              </w:tc>
              <w:tc>
                <w:tcPr>
                  <w:tcW w:w="396" w:type="pct"/>
                  <w:tcBorders>
                    <w:tl2br w:val="nil"/>
                    <w:tr2bl w:val="nil"/>
                  </w:tcBorders>
                  <w:noWrap w:val="0"/>
                  <w:vAlign w:val="center"/>
                </w:tcPr>
                <w:p w14:paraId="39E92B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0.</w:t>
                  </w:r>
                  <w:r>
                    <w:rPr>
                      <w:rFonts w:hint="eastAsia" w:cs="Times New Roman"/>
                      <w:bCs/>
                      <w:color w:val="auto"/>
                      <w:sz w:val="18"/>
                      <w:szCs w:val="18"/>
                      <w:highlight w:val="none"/>
                      <w:lang w:val="en-US" w:eastAsia="zh-CN"/>
                    </w:rPr>
                    <w:t>3</w:t>
                  </w:r>
                </w:p>
              </w:tc>
              <w:tc>
                <w:tcPr>
                  <w:tcW w:w="1306" w:type="pct"/>
                  <w:tcBorders>
                    <w:tl2br w:val="nil"/>
                    <w:tr2bl w:val="nil"/>
                  </w:tcBorders>
                  <w:noWrap w:val="0"/>
                  <w:vAlign w:val="center"/>
                </w:tcPr>
                <w:p w14:paraId="75B71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bCs/>
                      <w:color w:val="auto"/>
                      <w:sz w:val="18"/>
                      <w:szCs w:val="18"/>
                      <w:highlight w:val="none"/>
                      <w:lang w:val="en-US" w:eastAsia="zh-CN"/>
                    </w:rPr>
                    <w:t>全封闭生产车间，定期打扫</w:t>
                  </w:r>
                </w:p>
              </w:tc>
              <w:tc>
                <w:tcPr>
                  <w:tcW w:w="451" w:type="pct"/>
                  <w:tcBorders>
                    <w:tl2br w:val="nil"/>
                    <w:tr2bl w:val="nil"/>
                  </w:tcBorders>
                  <w:noWrap w:val="0"/>
                  <w:vAlign w:val="center"/>
                </w:tcPr>
                <w:p w14:paraId="0481A3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是</w:t>
                  </w:r>
                </w:p>
              </w:tc>
              <w:tc>
                <w:tcPr>
                  <w:tcW w:w="463" w:type="pct"/>
                  <w:tcBorders>
                    <w:tl2br w:val="nil"/>
                    <w:tr2bl w:val="nil"/>
                  </w:tcBorders>
                  <w:noWrap w:val="0"/>
                  <w:vAlign w:val="center"/>
                </w:tcPr>
                <w:p w14:paraId="01EDC4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bCs/>
                      <w:color w:val="auto"/>
                      <w:sz w:val="18"/>
                      <w:szCs w:val="18"/>
                      <w:highlight w:val="none"/>
                    </w:rPr>
                    <w:t>/</w:t>
                  </w:r>
                </w:p>
              </w:tc>
              <w:tc>
                <w:tcPr>
                  <w:tcW w:w="436" w:type="pct"/>
                  <w:tcBorders>
                    <w:tl2br w:val="nil"/>
                    <w:tr2bl w:val="nil"/>
                  </w:tcBorders>
                  <w:noWrap w:val="0"/>
                  <w:vAlign w:val="center"/>
                </w:tcPr>
                <w:p w14:paraId="05AD1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rPr>
                    <w:t>/</w:t>
                  </w:r>
                </w:p>
              </w:tc>
              <w:tc>
                <w:tcPr>
                  <w:tcW w:w="413" w:type="pct"/>
                  <w:tcBorders>
                    <w:tl2br w:val="nil"/>
                    <w:tr2bl w:val="nil"/>
                  </w:tcBorders>
                  <w:noWrap w:val="0"/>
                  <w:vAlign w:val="center"/>
                </w:tcPr>
                <w:p w14:paraId="2F05C1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0.0</w:t>
                  </w:r>
                  <w:r>
                    <w:rPr>
                      <w:rFonts w:hint="eastAsia" w:cs="Times New Roman"/>
                      <w:color w:val="auto"/>
                      <w:sz w:val="18"/>
                      <w:szCs w:val="18"/>
                      <w:highlight w:val="none"/>
                      <w:lang w:val="en-US" w:eastAsia="zh-CN"/>
                    </w:rPr>
                    <w:t>3</w:t>
                  </w:r>
                </w:p>
              </w:tc>
            </w:tr>
            <w:bookmarkEnd w:id="15"/>
          </w:tbl>
          <w:p w14:paraId="0648100D">
            <w:pPr>
              <w:pStyle w:val="104"/>
              <w:keepNext w:val="0"/>
              <w:keepLines w:val="0"/>
              <w:suppressLineNumbers w:val="0"/>
              <w:adjustRightInd w:val="0"/>
              <w:snapToGrid w:val="0"/>
              <w:spacing w:before="0" w:beforeAutospacing="0" w:after="0" w:afterAutospacing="0" w:line="480" w:lineRule="exact"/>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eastAsia" w:cs="Times New Roman"/>
                <w:b/>
                <w:bCs w:val="0"/>
                <w:color w:val="auto"/>
                <w:sz w:val="21"/>
                <w:szCs w:val="21"/>
                <w:highlight w:val="none"/>
                <w:lang w:val="en-US" w:eastAsia="zh-CN"/>
              </w:rPr>
              <w:t>9</w:t>
            </w:r>
            <w:r>
              <w:rPr>
                <w:rFonts w:hint="default" w:ascii="Times New Roman" w:hAnsi="Times New Roman" w:eastAsia="宋体" w:cs="Times New Roman"/>
                <w:b/>
                <w:bCs w:val="0"/>
                <w:color w:val="auto"/>
                <w:sz w:val="21"/>
                <w:szCs w:val="21"/>
                <w:highlight w:val="none"/>
              </w:rPr>
              <w:t xml:space="preserve">  排气筒基本情况表</w:t>
            </w:r>
          </w:p>
          <w:tbl>
            <w:tblPr>
              <w:tblStyle w:val="31"/>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1129"/>
              <w:gridCol w:w="862"/>
              <w:gridCol w:w="613"/>
              <w:gridCol w:w="637"/>
              <w:gridCol w:w="775"/>
              <w:gridCol w:w="1288"/>
              <w:gridCol w:w="1225"/>
              <w:gridCol w:w="1840"/>
            </w:tblGrid>
            <w:tr w14:paraId="5FC51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23" w:type="pct"/>
                  <w:vMerge w:val="restart"/>
                  <w:tcBorders>
                    <w:tl2br w:val="nil"/>
                    <w:tr2bl w:val="nil"/>
                  </w:tcBorders>
                  <w:noWrap w:val="0"/>
                  <w:vAlign w:val="center"/>
                </w:tcPr>
                <w:p w14:paraId="52A9E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编号</w:t>
                  </w:r>
                </w:p>
              </w:tc>
              <w:tc>
                <w:tcPr>
                  <w:tcW w:w="617" w:type="pct"/>
                  <w:vMerge w:val="restart"/>
                  <w:tcBorders>
                    <w:tl2br w:val="nil"/>
                    <w:tr2bl w:val="nil"/>
                  </w:tcBorders>
                  <w:noWrap w:val="0"/>
                  <w:vAlign w:val="center"/>
                </w:tcPr>
                <w:p w14:paraId="5C18FB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名称</w:t>
                  </w:r>
                </w:p>
              </w:tc>
              <w:tc>
                <w:tcPr>
                  <w:tcW w:w="471" w:type="pct"/>
                  <w:vMerge w:val="restart"/>
                  <w:tcBorders>
                    <w:tl2br w:val="nil"/>
                    <w:tr2bl w:val="nil"/>
                  </w:tcBorders>
                  <w:noWrap w:val="0"/>
                  <w:vAlign w:val="center"/>
                </w:tcPr>
                <w:p w14:paraId="5DBE5C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污染物类型</w:t>
                  </w:r>
                </w:p>
              </w:tc>
              <w:tc>
                <w:tcPr>
                  <w:tcW w:w="335" w:type="pct"/>
                  <w:vMerge w:val="restart"/>
                  <w:tcBorders>
                    <w:tl2br w:val="nil"/>
                    <w:tr2bl w:val="nil"/>
                  </w:tcBorders>
                  <w:noWrap w:val="0"/>
                  <w:vAlign w:val="center"/>
                </w:tcPr>
                <w:p w14:paraId="64594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高度/m</w:t>
                  </w:r>
                </w:p>
              </w:tc>
              <w:tc>
                <w:tcPr>
                  <w:tcW w:w="348" w:type="pct"/>
                  <w:vMerge w:val="restart"/>
                  <w:tcBorders>
                    <w:tl2br w:val="nil"/>
                    <w:tr2bl w:val="nil"/>
                  </w:tcBorders>
                  <w:noWrap w:val="0"/>
                  <w:vAlign w:val="center"/>
                </w:tcPr>
                <w:p w14:paraId="0BA891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内径/m</w:t>
                  </w:r>
                </w:p>
              </w:tc>
              <w:tc>
                <w:tcPr>
                  <w:tcW w:w="423" w:type="pct"/>
                  <w:vMerge w:val="restart"/>
                  <w:tcBorders>
                    <w:tl2br w:val="nil"/>
                    <w:tr2bl w:val="nil"/>
                  </w:tcBorders>
                  <w:noWrap w:val="0"/>
                  <w:vAlign w:val="center"/>
                </w:tcPr>
                <w:p w14:paraId="05BF88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烟气温度/℃</w:t>
                  </w:r>
                </w:p>
              </w:tc>
              <w:tc>
                <w:tcPr>
                  <w:tcW w:w="1374" w:type="pct"/>
                  <w:gridSpan w:val="2"/>
                  <w:tcBorders>
                    <w:tl2br w:val="nil"/>
                    <w:tr2bl w:val="nil"/>
                  </w:tcBorders>
                  <w:noWrap w:val="0"/>
                  <w:vAlign w:val="center"/>
                </w:tcPr>
                <w:p w14:paraId="142592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地理坐标</w:t>
                  </w:r>
                </w:p>
              </w:tc>
              <w:tc>
                <w:tcPr>
                  <w:tcW w:w="1006" w:type="pct"/>
                  <w:vMerge w:val="restart"/>
                  <w:tcBorders>
                    <w:tl2br w:val="nil"/>
                    <w:tr2bl w:val="nil"/>
                  </w:tcBorders>
                  <w:noWrap w:val="0"/>
                  <w:vAlign w:val="center"/>
                </w:tcPr>
                <w:p w14:paraId="56B68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排放标准</w:t>
                  </w:r>
                </w:p>
              </w:tc>
            </w:tr>
            <w:tr w14:paraId="7C1D3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23" w:type="pct"/>
                  <w:vMerge w:val="continue"/>
                  <w:tcBorders>
                    <w:tl2br w:val="nil"/>
                    <w:tr2bl w:val="nil"/>
                  </w:tcBorders>
                  <w:noWrap w:val="0"/>
                  <w:vAlign w:val="center"/>
                </w:tcPr>
                <w:p w14:paraId="4416A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c>
                <w:tcPr>
                  <w:tcW w:w="617" w:type="pct"/>
                  <w:vMerge w:val="continue"/>
                  <w:tcBorders>
                    <w:tl2br w:val="nil"/>
                    <w:tr2bl w:val="nil"/>
                  </w:tcBorders>
                  <w:noWrap w:val="0"/>
                  <w:vAlign w:val="center"/>
                </w:tcPr>
                <w:p w14:paraId="4874B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c>
                <w:tcPr>
                  <w:tcW w:w="471" w:type="pct"/>
                  <w:vMerge w:val="continue"/>
                  <w:tcBorders>
                    <w:tl2br w:val="nil"/>
                    <w:tr2bl w:val="nil"/>
                  </w:tcBorders>
                  <w:noWrap w:val="0"/>
                  <w:vAlign w:val="center"/>
                </w:tcPr>
                <w:p w14:paraId="39F61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c>
                <w:tcPr>
                  <w:tcW w:w="335" w:type="pct"/>
                  <w:vMerge w:val="continue"/>
                  <w:tcBorders>
                    <w:tl2br w:val="nil"/>
                    <w:tr2bl w:val="nil"/>
                  </w:tcBorders>
                  <w:noWrap w:val="0"/>
                  <w:vAlign w:val="center"/>
                </w:tcPr>
                <w:p w14:paraId="2438F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c>
                <w:tcPr>
                  <w:tcW w:w="348" w:type="pct"/>
                  <w:vMerge w:val="continue"/>
                  <w:tcBorders>
                    <w:tl2br w:val="nil"/>
                    <w:tr2bl w:val="nil"/>
                  </w:tcBorders>
                  <w:noWrap w:val="0"/>
                  <w:vAlign w:val="center"/>
                </w:tcPr>
                <w:p w14:paraId="328222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c>
                <w:tcPr>
                  <w:tcW w:w="423" w:type="pct"/>
                  <w:vMerge w:val="continue"/>
                  <w:tcBorders>
                    <w:tl2br w:val="nil"/>
                    <w:tr2bl w:val="nil"/>
                  </w:tcBorders>
                  <w:noWrap w:val="0"/>
                  <w:vAlign w:val="center"/>
                </w:tcPr>
                <w:p w14:paraId="03289D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c>
                <w:tcPr>
                  <w:tcW w:w="704" w:type="pct"/>
                  <w:tcBorders>
                    <w:tl2br w:val="nil"/>
                    <w:tr2bl w:val="nil"/>
                  </w:tcBorders>
                  <w:noWrap w:val="0"/>
                  <w:vAlign w:val="center"/>
                </w:tcPr>
                <w:p w14:paraId="617BF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N</w:t>
                  </w:r>
                </w:p>
              </w:tc>
              <w:tc>
                <w:tcPr>
                  <w:tcW w:w="669" w:type="pct"/>
                  <w:tcBorders>
                    <w:tl2br w:val="nil"/>
                    <w:tr2bl w:val="nil"/>
                  </w:tcBorders>
                  <w:noWrap w:val="0"/>
                  <w:vAlign w:val="center"/>
                </w:tcPr>
                <w:p w14:paraId="5EBF03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val="0"/>
                      <w:color w:val="auto"/>
                      <w:sz w:val="18"/>
                      <w:szCs w:val="18"/>
                      <w:highlight w:val="none"/>
                    </w:rPr>
                  </w:pPr>
                  <w:r>
                    <w:rPr>
                      <w:rFonts w:hint="default"/>
                      <w:b/>
                      <w:bCs w:val="0"/>
                      <w:color w:val="auto"/>
                      <w:sz w:val="18"/>
                      <w:szCs w:val="18"/>
                      <w:highlight w:val="none"/>
                    </w:rPr>
                    <w:t>E</w:t>
                  </w:r>
                </w:p>
              </w:tc>
              <w:tc>
                <w:tcPr>
                  <w:tcW w:w="1006" w:type="pct"/>
                  <w:vMerge w:val="continue"/>
                  <w:tcBorders>
                    <w:tl2br w:val="nil"/>
                    <w:tr2bl w:val="nil"/>
                  </w:tcBorders>
                  <w:noWrap w:val="0"/>
                  <w:vAlign w:val="center"/>
                </w:tcPr>
                <w:p w14:paraId="400DE2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p>
              </w:tc>
            </w:tr>
            <w:tr w14:paraId="49A39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23" w:type="pct"/>
                  <w:tcBorders>
                    <w:tl2br w:val="nil"/>
                    <w:tr2bl w:val="nil"/>
                  </w:tcBorders>
                  <w:noWrap w:val="0"/>
                  <w:vAlign w:val="center"/>
                </w:tcPr>
                <w:p w14:paraId="2E9147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bCs/>
                      <w:color w:val="auto"/>
                      <w:sz w:val="18"/>
                      <w:szCs w:val="18"/>
                      <w:highlight w:val="none"/>
                      <w:lang w:eastAsia="zh-CN"/>
                    </w:rPr>
                  </w:pPr>
                  <w:r>
                    <w:rPr>
                      <w:rFonts w:hint="default"/>
                      <w:bCs/>
                      <w:color w:val="auto"/>
                      <w:sz w:val="18"/>
                      <w:szCs w:val="18"/>
                      <w:highlight w:val="none"/>
                    </w:rPr>
                    <w:t>DA00</w:t>
                  </w:r>
                  <w:r>
                    <w:rPr>
                      <w:rFonts w:hint="eastAsia"/>
                      <w:bCs/>
                      <w:color w:val="auto"/>
                      <w:sz w:val="18"/>
                      <w:szCs w:val="18"/>
                      <w:highlight w:val="none"/>
                      <w:lang w:val="en-US" w:eastAsia="zh-CN"/>
                    </w:rPr>
                    <w:t>8</w:t>
                  </w:r>
                </w:p>
              </w:tc>
              <w:tc>
                <w:tcPr>
                  <w:tcW w:w="617" w:type="pct"/>
                  <w:tcBorders>
                    <w:tl2br w:val="nil"/>
                    <w:tr2bl w:val="nil"/>
                  </w:tcBorders>
                  <w:noWrap w:val="0"/>
                  <w:vAlign w:val="center"/>
                </w:tcPr>
                <w:p w14:paraId="757C65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上料废气</w:t>
                  </w:r>
                </w:p>
                <w:p w14:paraId="14EB04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排气筒</w:t>
                  </w:r>
                </w:p>
              </w:tc>
              <w:tc>
                <w:tcPr>
                  <w:tcW w:w="471" w:type="pct"/>
                  <w:tcBorders>
                    <w:tl2br w:val="nil"/>
                    <w:tr2bl w:val="nil"/>
                  </w:tcBorders>
                  <w:noWrap w:val="0"/>
                  <w:vAlign w:val="center"/>
                </w:tcPr>
                <w:p w14:paraId="2711E3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r>
                    <w:rPr>
                      <w:rFonts w:hint="default"/>
                      <w:color w:val="auto"/>
                      <w:sz w:val="18"/>
                      <w:szCs w:val="18"/>
                      <w:highlight w:val="none"/>
                    </w:rPr>
                    <w:t>颗粒物</w:t>
                  </w:r>
                </w:p>
              </w:tc>
              <w:tc>
                <w:tcPr>
                  <w:tcW w:w="335" w:type="pct"/>
                  <w:tcBorders>
                    <w:tl2br w:val="nil"/>
                    <w:tr2bl w:val="nil"/>
                  </w:tcBorders>
                  <w:noWrap w:val="0"/>
                  <w:vAlign w:val="center"/>
                </w:tcPr>
                <w:p w14:paraId="75F410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20</w:t>
                  </w:r>
                </w:p>
              </w:tc>
              <w:tc>
                <w:tcPr>
                  <w:tcW w:w="348" w:type="pct"/>
                  <w:tcBorders>
                    <w:tl2br w:val="nil"/>
                    <w:tr2bl w:val="nil"/>
                  </w:tcBorders>
                  <w:noWrap w:val="0"/>
                  <w:vAlign w:val="center"/>
                </w:tcPr>
                <w:p w14:paraId="4E43A1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0.6</w:t>
                  </w:r>
                </w:p>
              </w:tc>
              <w:tc>
                <w:tcPr>
                  <w:tcW w:w="423" w:type="pct"/>
                  <w:tcBorders>
                    <w:tl2br w:val="nil"/>
                    <w:tr2bl w:val="nil"/>
                  </w:tcBorders>
                  <w:noWrap w:val="0"/>
                  <w:vAlign w:val="center"/>
                </w:tcPr>
                <w:p w14:paraId="14ECCD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20</w:t>
                  </w:r>
                </w:p>
              </w:tc>
              <w:tc>
                <w:tcPr>
                  <w:tcW w:w="704" w:type="pct"/>
                  <w:tcBorders>
                    <w:tl2br w:val="nil"/>
                    <w:tr2bl w:val="nil"/>
                  </w:tcBorders>
                  <w:noWrap w:val="0"/>
                  <w:vAlign w:val="center"/>
                </w:tcPr>
                <w:p w14:paraId="51ADC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r>
                    <w:rPr>
                      <w:rFonts w:hint="default"/>
                      <w:bCs/>
                      <w:color w:val="auto"/>
                      <w:sz w:val="18"/>
                      <w:szCs w:val="18"/>
                      <w:highlight w:val="none"/>
                    </w:rPr>
                    <w:t>112°58′42.64″</w:t>
                  </w:r>
                </w:p>
              </w:tc>
              <w:tc>
                <w:tcPr>
                  <w:tcW w:w="669" w:type="pct"/>
                  <w:tcBorders>
                    <w:tl2br w:val="nil"/>
                    <w:tr2bl w:val="nil"/>
                  </w:tcBorders>
                  <w:noWrap w:val="0"/>
                  <w:vAlign w:val="center"/>
                </w:tcPr>
                <w:p w14:paraId="77F2FD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r>
                    <w:rPr>
                      <w:rFonts w:hint="default"/>
                      <w:bCs/>
                      <w:color w:val="auto"/>
                      <w:sz w:val="18"/>
                      <w:szCs w:val="18"/>
                      <w:highlight w:val="none"/>
                    </w:rPr>
                    <w:t>36°13′36.12″</w:t>
                  </w:r>
                </w:p>
              </w:tc>
              <w:tc>
                <w:tcPr>
                  <w:tcW w:w="1006" w:type="pct"/>
                  <w:tcBorders>
                    <w:tl2br w:val="nil"/>
                    <w:tr2bl w:val="nil"/>
                  </w:tcBorders>
                  <w:noWrap w:val="0"/>
                  <w:vAlign w:val="center"/>
                </w:tcPr>
                <w:p w14:paraId="18BBF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rPr>
                  </w:pPr>
                  <w:r>
                    <w:rPr>
                      <w:rFonts w:hint="default"/>
                      <w:color w:val="auto"/>
                      <w:sz w:val="18"/>
                      <w:szCs w:val="18"/>
                      <w:highlight w:val="none"/>
                      <w:lang w:val="zh-CN"/>
                    </w:rPr>
                    <w:t>《钢铁工业大气污染物排放标准》</w:t>
                  </w:r>
                  <w:r>
                    <w:rPr>
                      <w:rFonts w:hint="eastAsia"/>
                      <w:color w:val="auto"/>
                      <w:sz w:val="18"/>
                      <w:szCs w:val="18"/>
                      <w:highlight w:val="none"/>
                      <w:lang w:val="zh-CN"/>
                    </w:rPr>
                    <w:t>（</w:t>
                  </w:r>
                  <w:r>
                    <w:rPr>
                      <w:rFonts w:hint="default"/>
                      <w:color w:val="auto"/>
                      <w:sz w:val="18"/>
                      <w:szCs w:val="18"/>
                      <w:highlight w:val="none"/>
                      <w:lang w:val="zh-CN"/>
                    </w:rPr>
                    <w:t>DB14/2249-2020</w:t>
                  </w:r>
                  <w:r>
                    <w:rPr>
                      <w:rFonts w:hint="eastAsia"/>
                      <w:color w:val="auto"/>
                      <w:sz w:val="18"/>
                      <w:szCs w:val="18"/>
                      <w:highlight w:val="none"/>
                      <w:lang w:val="zh-CN"/>
                    </w:rPr>
                    <w:t>）</w:t>
                  </w:r>
                  <w:r>
                    <w:rPr>
                      <w:rFonts w:hint="default"/>
                      <w:color w:val="auto"/>
                      <w:sz w:val="18"/>
                      <w:szCs w:val="18"/>
                      <w:highlight w:val="none"/>
                      <w:lang w:val="zh-CN"/>
                    </w:rPr>
                    <w:t>表1炼钢其他生产设施排放限值</w:t>
                  </w:r>
                </w:p>
              </w:tc>
            </w:tr>
            <w:tr w14:paraId="2FB83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23" w:type="pct"/>
                  <w:tcBorders>
                    <w:tl2br w:val="nil"/>
                    <w:tr2bl w:val="nil"/>
                  </w:tcBorders>
                  <w:noWrap w:val="0"/>
                  <w:vAlign w:val="center"/>
                </w:tcPr>
                <w:p w14:paraId="23597C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bCs/>
                      <w:color w:val="auto"/>
                      <w:sz w:val="18"/>
                      <w:szCs w:val="18"/>
                      <w:highlight w:val="none"/>
                      <w:lang w:val="en-US" w:eastAsia="zh-CN"/>
                    </w:rPr>
                  </w:pPr>
                  <w:r>
                    <w:rPr>
                      <w:rFonts w:hint="default"/>
                      <w:bCs/>
                      <w:color w:val="auto"/>
                      <w:sz w:val="18"/>
                      <w:szCs w:val="18"/>
                      <w:highlight w:val="none"/>
                    </w:rPr>
                    <w:t>DA00</w:t>
                  </w:r>
                  <w:r>
                    <w:rPr>
                      <w:rFonts w:hint="eastAsia"/>
                      <w:bCs/>
                      <w:color w:val="auto"/>
                      <w:sz w:val="18"/>
                      <w:szCs w:val="18"/>
                      <w:highlight w:val="none"/>
                      <w:lang w:val="en-US" w:eastAsia="zh-CN"/>
                    </w:rPr>
                    <w:t>9</w:t>
                  </w:r>
                </w:p>
              </w:tc>
              <w:tc>
                <w:tcPr>
                  <w:tcW w:w="617" w:type="pct"/>
                  <w:tcBorders>
                    <w:tl2br w:val="nil"/>
                    <w:tr2bl w:val="nil"/>
                  </w:tcBorders>
                  <w:noWrap w:val="0"/>
                  <w:vAlign w:val="center"/>
                </w:tcPr>
                <w:p w14:paraId="4D4FF4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回转窑</w:t>
                  </w:r>
                </w:p>
                <w:p w14:paraId="540A5C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废气排气筒</w:t>
                  </w:r>
                </w:p>
              </w:tc>
              <w:tc>
                <w:tcPr>
                  <w:tcW w:w="471" w:type="pct"/>
                  <w:tcBorders>
                    <w:tl2br w:val="nil"/>
                    <w:tr2bl w:val="nil"/>
                  </w:tcBorders>
                  <w:noWrap w:val="0"/>
                  <w:vAlign w:val="center"/>
                </w:tcPr>
                <w:p w14:paraId="58413B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18"/>
                      <w:szCs w:val="18"/>
                      <w:highlight w:val="none"/>
                    </w:rPr>
                  </w:pPr>
                  <w:r>
                    <w:rPr>
                      <w:rFonts w:hint="default"/>
                      <w:color w:val="auto"/>
                      <w:sz w:val="18"/>
                      <w:szCs w:val="18"/>
                      <w:highlight w:val="none"/>
                    </w:rPr>
                    <w:t>颗粒物、SO</w:t>
                  </w:r>
                  <w:r>
                    <w:rPr>
                      <w:rFonts w:hint="default"/>
                      <w:color w:val="auto"/>
                      <w:sz w:val="18"/>
                      <w:szCs w:val="18"/>
                      <w:highlight w:val="none"/>
                      <w:vertAlign w:val="subscript"/>
                    </w:rPr>
                    <w:t>2</w:t>
                  </w:r>
                  <w:r>
                    <w:rPr>
                      <w:rFonts w:hint="default"/>
                      <w:color w:val="auto"/>
                      <w:sz w:val="18"/>
                      <w:szCs w:val="18"/>
                      <w:highlight w:val="none"/>
                    </w:rPr>
                    <w:t>、NOx</w:t>
                  </w:r>
                </w:p>
              </w:tc>
              <w:tc>
                <w:tcPr>
                  <w:tcW w:w="335" w:type="pct"/>
                  <w:tcBorders>
                    <w:tl2br w:val="nil"/>
                    <w:tr2bl w:val="nil"/>
                  </w:tcBorders>
                  <w:noWrap w:val="0"/>
                  <w:vAlign w:val="center"/>
                </w:tcPr>
                <w:p w14:paraId="663705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20</w:t>
                  </w:r>
                </w:p>
              </w:tc>
              <w:tc>
                <w:tcPr>
                  <w:tcW w:w="348" w:type="pct"/>
                  <w:tcBorders>
                    <w:tl2br w:val="nil"/>
                    <w:tr2bl w:val="nil"/>
                  </w:tcBorders>
                  <w:noWrap w:val="0"/>
                  <w:vAlign w:val="center"/>
                </w:tcPr>
                <w:p w14:paraId="541DE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1.2</w:t>
                  </w:r>
                </w:p>
              </w:tc>
              <w:tc>
                <w:tcPr>
                  <w:tcW w:w="423" w:type="pct"/>
                  <w:tcBorders>
                    <w:tl2br w:val="nil"/>
                    <w:tr2bl w:val="nil"/>
                  </w:tcBorders>
                  <w:noWrap w:val="0"/>
                  <w:vAlign w:val="center"/>
                </w:tcPr>
                <w:p w14:paraId="338C9B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bCs/>
                      <w:color w:val="auto"/>
                      <w:sz w:val="18"/>
                      <w:szCs w:val="18"/>
                      <w:highlight w:val="none"/>
                    </w:rPr>
                  </w:pPr>
                  <w:r>
                    <w:rPr>
                      <w:rFonts w:hint="default"/>
                      <w:bCs/>
                      <w:color w:val="auto"/>
                      <w:sz w:val="18"/>
                      <w:szCs w:val="18"/>
                      <w:highlight w:val="none"/>
                    </w:rPr>
                    <w:t>70</w:t>
                  </w:r>
                </w:p>
              </w:tc>
              <w:tc>
                <w:tcPr>
                  <w:tcW w:w="704" w:type="pct"/>
                  <w:tcBorders>
                    <w:tl2br w:val="nil"/>
                    <w:tr2bl w:val="nil"/>
                  </w:tcBorders>
                  <w:noWrap w:val="0"/>
                  <w:vAlign w:val="center"/>
                </w:tcPr>
                <w:p w14:paraId="50CC30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112°58′45.40″</w:t>
                  </w:r>
                </w:p>
              </w:tc>
              <w:tc>
                <w:tcPr>
                  <w:tcW w:w="669" w:type="pct"/>
                  <w:tcBorders>
                    <w:tl2br w:val="nil"/>
                    <w:tr2bl w:val="nil"/>
                  </w:tcBorders>
                  <w:noWrap w:val="0"/>
                  <w:vAlign w:val="center"/>
                </w:tcPr>
                <w:p w14:paraId="5D155A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36°13′36.16″</w:t>
                  </w:r>
                </w:p>
              </w:tc>
              <w:tc>
                <w:tcPr>
                  <w:tcW w:w="1006" w:type="pct"/>
                  <w:tcBorders>
                    <w:tl2br w:val="nil"/>
                    <w:tr2bl w:val="nil"/>
                  </w:tcBorders>
                  <w:noWrap w:val="0"/>
                  <w:vAlign w:val="center"/>
                </w:tcPr>
                <w:p w14:paraId="14CD5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val="zh-CN"/>
                    </w:rPr>
                  </w:pPr>
                  <w:r>
                    <w:rPr>
                      <w:rFonts w:hint="default"/>
                      <w:color w:val="auto"/>
                      <w:sz w:val="18"/>
                      <w:szCs w:val="18"/>
                      <w:highlight w:val="none"/>
                      <w:lang w:val="zh-CN"/>
                    </w:rPr>
                    <w:t>长治市人民政府办公室关于印发长治市大气和水污染物排放管控要求的通知》（长政办规〔2023〕1号）</w:t>
                  </w:r>
                  <w:r>
                    <w:rPr>
                      <w:rFonts w:hint="default"/>
                      <w:color w:val="auto"/>
                      <w:sz w:val="18"/>
                      <w:szCs w:val="18"/>
                      <w:highlight w:val="none"/>
                      <w:lang w:val="zh-CN" w:eastAsia="zh-CN"/>
                    </w:rPr>
                    <w:t>钢铁</w:t>
                  </w:r>
                  <w:r>
                    <w:rPr>
                      <w:rFonts w:hint="default"/>
                      <w:color w:val="auto"/>
                      <w:sz w:val="18"/>
                      <w:szCs w:val="18"/>
                      <w:highlight w:val="none"/>
                      <w:lang w:val="zh-CN"/>
                    </w:rPr>
                    <w:t>行业管控要求</w:t>
                  </w:r>
                  <w:r>
                    <w:rPr>
                      <w:rFonts w:hint="default"/>
                      <w:color w:val="auto"/>
                      <w:sz w:val="18"/>
                      <w:szCs w:val="18"/>
                      <w:highlight w:val="none"/>
                      <w:lang w:val="zh-CN" w:eastAsia="zh-CN"/>
                    </w:rPr>
                    <w:t>加热炉</w:t>
                  </w:r>
                  <w:r>
                    <w:rPr>
                      <w:rFonts w:hint="default"/>
                      <w:color w:val="auto"/>
                      <w:sz w:val="18"/>
                      <w:szCs w:val="18"/>
                      <w:highlight w:val="none"/>
                      <w:lang w:val="zh-CN"/>
                    </w:rPr>
                    <w:t>限值要求</w:t>
                  </w:r>
                </w:p>
              </w:tc>
            </w:tr>
            <w:tr w14:paraId="345C9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23" w:type="pct"/>
                  <w:tcBorders>
                    <w:tl2br w:val="nil"/>
                    <w:tr2bl w:val="nil"/>
                  </w:tcBorders>
                  <w:noWrap w:val="0"/>
                  <w:vAlign w:val="center"/>
                </w:tcPr>
                <w:p w14:paraId="2E3BC0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default"/>
                      <w:bCs/>
                      <w:color w:val="auto"/>
                      <w:sz w:val="18"/>
                      <w:szCs w:val="18"/>
                      <w:highlight w:val="none"/>
                    </w:rPr>
                    <w:t>DA0</w:t>
                  </w:r>
                  <w:r>
                    <w:rPr>
                      <w:rFonts w:hint="eastAsia"/>
                      <w:bCs/>
                      <w:color w:val="auto"/>
                      <w:sz w:val="18"/>
                      <w:szCs w:val="18"/>
                      <w:highlight w:val="none"/>
                      <w:lang w:val="en-US" w:eastAsia="zh-CN"/>
                    </w:rPr>
                    <w:t>10</w:t>
                  </w:r>
                </w:p>
              </w:tc>
              <w:tc>
                <w:tcPr>
                  <w:tcW w:w="617" w:type="pct"/>
                  <w:tcBorders>
                    <w:tl2br w:val="nil"/>
                    <w:tr2bl w:val="nil"/>
                  </w:tcBorders>
                  <w:noWrap w:val="0"/>
                  <w:vAlign w:val="center"/>
                </w:tcPr>
                <w:p w14:paraId="68525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热压成型</w:t>
                  </w:r>
                </w:p>
                <w:p w14:paraId="712F2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废气排气筒</w:t>
                  </w:r>
                </w:p>
              </w:tc>
              <w:tc>
                <w:tcPr>
                  <w:tcW w:w="471" w:type="pct"/>
                  <w:tcBorders>
                    <w:tl2br w:val="nil"/>
                    <w:tr2bl w:val="nil"/>
                  </w:tcBorders>
                  <w:noWrap w:val="0"/>
                  <w:vAlign w:val="center"/>
                </w:tcPr>
                <w:p w14:paraId="6183D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18"/>
                      <w:szCs w:val="18"/>
                      <w:highlight w:val="none"/>
                    </w:rPr>
                  </w:pPr>
                  <w:r>
                    <w:rPr>
                      <w:rFonts w:hint="default"/>
                      <w:color w:val="auto"/>
                      <w:sz w:val="18"/>
                      <w:szCs w:val="18"/>
                      <w:highlight w:val="none"/>
                    </w:rPr>
                    <w:t>颗粒物</w:t>
                  </w:r>
                </w:p>
              </w:tc>
              <w:tc>
                <w:tcPr>
                  <w:tcW w:w="335" w:type="pct"/>
                  <w:tcBorders>
                    <w:tl2br w:val="nil"/>
                    <w:tr2bl w:val="nil"/>
                  </w:tcBorders>
                  <w:noWrap w:val="0"/>
                  <w:vAlign w:val="center"/>
                </w:tcPr>
                <w:p w14:paraId="5D04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lang w:val="en-US" w:eastAsia="zh-CN"/>
                    </w:rPr>
                  </w:pPr>
                  <w:r>
                    <w:rPr>
                      <w:rFonts w:hint="eastAsia"/>
                      <w:bCs/>
                      <w:color w:val="auto"/>
                      <w:sz w:val="18"/>
                      <w:szCs w:val="18"/>
                      <w:highlight w:val="none"/>
                      <w:lang w:val="en-US" w:eastAsia="zh-CN"/>
                    </w:rPr>
                    <w:t>20</w:t>
                  </w:r>
                </w:p>
              </w:tc>
              <w:tc>
                <w:tcPr>
                  <w:tcW w:w="348" w:type="pct"/>
                  <w:tcBorders>
                    <w:tl2br w:val="nil"/>
                    <w:tr2bl w:val="nil"/>
                  </w:tcBorders>
                  <w:noWrap w:val="0"/>
                  <w:vAlign w:val="center"/>
                </w:tcPr>
                <w:p w14:paraId="1C327A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0.6</w:t>
                  </w:r>
                </w:p>
              </w:tc>
              <w:tc>
                <w:tcPr>
                  <w:tcW w:w="423" w:type="pct"/>
                  <w:tcBorders>
                    <w:tl2br w:val="nil"/>
                    <w:tr2bl w:val="nil"/>
                  </w:tcBorders>
                  <w:noWrap w:val="0"/>
                  <w:vAlign w:val="center"/>
                </w:tcPr>
                <w:p w14:paraId="59ACD7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50</w:t>
                  </w:r>
                </w:p>
              </w:tc>
              <w:tc>
                <w:tcPr>
                  <w:tcW w:w="704" w:type="pct"/>
                  <w:tcBorders>
                    <w:tl2br w:val="nil"/>
                    <w:tr2bl w:val="nil"/>
                  </w:tcBorders>
                  <w:noWrap w:val="0"/>
                  <w:vAlign w:val="center"/>
                </w:tcPr>
                <w:p w14:paraId="448EEC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112°58′46.93″</w:t>
                  </w:r>
                </w:p>
              </w:tc>
              <w:tc>
                <w:tcPr>
                  <w:tcW w:w="669" w:type="pct"/>
                  <w:tcBorders>
                    <w:tl2br w:val="nil"/>
                    <w:tr2bl w:val="nil"/>
                  </w:tcBorders>
                  <w:noWrap w:val="0"/>
                  <w:vAlign w:val="center"/>
                </w:tcPr>
                <w:p w14:paraId="0ADCC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36°13′36.24″</w:t>
                  </w:r>
                </w:p>
              </w:tc>
              <w:tc>
                <w:tcPr>
                  <w:tcW w:w="1006" w:type="pct"/>
                  <w:vMerge w:val="restart"/>
                  <w:tcBorders>
                    <w:tl2br w:val="nil"/>
                    <w:tr2bl w:val="nil"/>
                  </w:tcBorders>
                  <w:noWrap w:val="0"/>
                  <w:vAlign w:val="center"/>
                </w:tcPr>
                <w:p w14:paraId="75F626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val="zh-CN"/>
                    </w:rPr>
                  </w:pPr>
                  <w:r>
                    <w:rPr>
                      <w:rFonts w:hint="default"/>
                      <w:color w:val="auto"/>
                      <w:sz w:val="18"/>
                      <w:szCs w:val="18"/>
                      <w:highlight w:val="none"/>
                      <w:lang w:val="zh-CN"/>
                    </w:rPr>
                    <w:t>《钢铁工业大气污染物排放标准》</w:t>
                  </w:r>
                  <w:r>
                    <w:rPr>
                      <w:rFonts w:hint="eastAsia"/>
                      <w:color w:val="auto"/>
                      <w:sz w:val="18"/>
                      <w:szCs w:val="18"/>
                      <w:highlight w:val="none"/>
                      <w:lang w:val="zh-CN"/>
                    </w:rPr>
                    <w:t>（</w:t>
                  </w:r>
                  <w:r>
                    <w:rPr>
                      <w:rFonts w:hint="default"/>
                      <w:color w:val="auto"/>
                      <w:sz w:val="18"/>
                      <w:szCs w:val="18"/>
                      <w:highlight w:val="none"/>
                      <w:lang w:val="zh-CN"/>
                    </w:rPr>
                    <w:t>DB14/2249-2020</w:t>
                  </w:r>
                  <w:r>
                    <w:rPr>
                      <w:rFonts w:hint="eastAsia"/>
                      <w:color w:val="auto"/>
                      <w:sz w:val="18"/>
                      <w:szCs w:val="18"/>
                      <w:highlight w:val="none"/>
                      <w:lang w:val="zh-CN"/>
                    </w:rPr>
                    <w:t>）</w:t>
                  </w:r>
                  <w:r>
                    <w:rPr>
                      <w:rFonts w:hint="default"/>
                      <w:color w:val="auto"/>
                      <w:sz w:val="18"/>
                      <w:szCs w:val="18"/>
                      <w:highlight w:val="none"/>
                      <w:lang w:val="zh-CN"/>
                    </w:rPr>
                    <w:t>表1炼钢其他生产设施排放限值</w:t>
                  </w:r>
                </w:p>
              </w:tc>
            </w:tr>
            <w:tr w14:paraId="3B377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23" w:type="pct"/>
                  <w:tcBorders>
                    <w:tl2br w:val="nil"/>
                    <w:tr2bl w:val="nil"/>
                  </w:tcBorders>
                  <w:noWrap w:val="0"/>
                  <w:vAlign w:val="center"/>
                </w:tcPr>
                <w:p w14:paraId="5B13E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Cs/>
                      <w:color w:val="auto"/>
                      <w:sz w:val="18"/>
                      <w:szCs w:val="18"/>
                      <w:highlight w:val="none"/>
                      <w:lang w:val="en-US"/>
                    </w:rPr>
                  </w:pPr>
                  <w:r>
                    <w:rPr>
                      <w:rFonts w:hint="default"/>
                      <w:bCs/>
                      <w:color w:val="auto"/>
                      <w:sz w:val="18"/>
                      <w:szCs w:val="18"/>
                      <w:highlight w:val="none"/>
                    </w:rPr>
                    <w:t>DA0</w:t>
                  </w:r>
                  <w:r>
                    <w:rPr>
                      <w:rFonts w:hint="eastAsia"/>
                      <w:bCs/>
                      <w:color w:val="auto"/>
                      <w:sz w:val="18"/>
                      <w:szCs w:val="18"/>
                      <w:highlight w:val="none"/>
                      <w:lang w:val="en-US" w:eastAsia="zh-CN"/>
                    </w:rPr>
                    <w:t>11</w:t>
                  </w:r>
                </w:p>
              </w:tc>
              <w:tc>
                <w:tcPr>
                  <w:tcW w:w="617" w:type="pct"/>
                  <w:tcBorders>
                    <w:tl2br w:val="nil"/>
                    <w:tr2bl w:val="nil"/>
                  </w:tcBorders>
                  <w:noWrap w:val="0"/>
                  <w:vAlign w:val="center"/>
                </w:tcPr>
                <w:p w14:paraId="7AFBA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出料废气</w:t>
                  </w:r>
                </w:p>
                <w:p w14:paraId="3F338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排气筒</w:t>
                  </w:r>
                </w:p>
              </w:tc>
              <w:tc>
                <w:tcPr>
                  <w:tcW w:w="471" w:type="pct"/>
                  <w:tcBorders>
                    <w:tl2br w:val="nil"/>
                    <w:tr2bl w:val="nil"/>
                  </w:tcBorders>
                  <w:noWrap w:val="0"/>
                  <w:vAlign w:val="center"/>
                </w:tcPr>
                <w:p w14:paraId="56ADFE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18"/>
                      <w:szCs w:val="18"/>
                      <w:highlight w:val="none"/>
                    </w:rPr>
                  </w:pPr>
                  <w:r>
                    <w:rPr>
                      <w:rFonts w:hint="default"/>
                      <w:color w:val="auto"/>
                      <w:sz w:val="18"/>
                      <w:szCs w:val="18"/>
                      <w:highlight w:val="none"/>
                    </w:rPr>
                    <w:t>颗粒物</w:t>
                  </w:r>
                </w:p>
              </w:tc>
              <w:tc>
                <w:tcPr>
                  <w:tcW w:w="335" w:type="pct"/>
                  <w:tcBorders>
                    <w:tl2br w:val="nil"/>
                    <w:tr2bl w:val="nil"/>
                  </w:tcBorders>
                  <w:noWrap w:val="0"/>
                  <w:vAlign w:val="center"/>
                </w:tcPr>
                <w:p w14:paraId="32502B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20</w:t>
                  </w:r>
                </w:p>
              </w:tc>
              <w:tc>
                <w:tcPr>
                  <w:tcW w:w="348" w:type="pct"/>
                  <w:tcBorders>
                    <w:tl2br w:val="nil"/>
                    <w:tr2bl w:val="nil"/>
                  </w:tcBorders>
                  <w:noWrap w:val="0"/>
                  <w:vAlign w:val="center"/>
                </w:tcPr>
                <w:p w14:paraId="45CFA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bCs/>
                      <w:color w:val="auto"/>
                      <w:sz w:val="18"/>
                      <w:szCs w:val="18"/>
                      <w:highlight w:val="none"/>
                    </w:rPr>
                  </w:pPr>
                  <w:r>
                    <w:rPr>
                      <w:rFonts w:hint="eastAsia"/>
                      <w:bCs/>
                      <w:color w:val="auto"/>
                      <w:sz w:val="18"/>
                      <w:szCs w:val="18"/>
                      <w:highlight w:val="none"/>
                      <w:lang w:val="en-US" w:eastAsia="zh-CN"/>
                    </w:rPr>
                    <w:t>0.6</w:t>
                  </w:r>
                </w:p>
              </w:tc>
              <w:tc>
                <w:tcPr>
                  <w:tcW w:w="423" w:type="pct"/>
                  <w:tcBorders>
                    <w:tl2br w:val="nil"/>
                    <w:tr2bl w:val="nil"/>
                  </w:tcBorders>
                  <w:noWrap w:val="0"/>
                  <w:vAlign w:val="center"/>
                </w:tcPr>
                <w:p w14:paraId="65AFD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Cs/>
                      <w:color w:val="auto"/>
                      <w:sz w:val="18"/>
                      <w:szCs w:val="18"/>
                      <w:highlight w:val="none"/>
                      <w:lang w:val="en-US" w:eastAsia="zh-CN"/>
                    </w:rPr>
                  </w:pPr>
                  <w:r>
                    <w:rPr>
                      <w:rFonts w:hint="eastAsia"/>
                      <w:bCs/>
                      <w:color w:val="auto"/>
                      <w:sz w:val="18"/>
                      <w:szCs w:val="18"/>
                      <w:highlight w:val="none"/>
                      <w:lang w:val="en-US" w:eastAsia="zh-CN"/>
                    </w:rPr>
                    <w:t>20</w:t>
                  </w:r>
                </w:p>
              </w:tc>
              <w:tc>
                <w:tcPr>
                  <w:tcW w:w="704" w:type="pct"/>
                  <w:tcBorders>
                    <w:tl2br w:val="nil"/>
                    <w:tr2bl w:val="nil"/>
                  </w:tcBorders>
                  <w:noWrap w:val="0"/>
                  <w:vAlign w:val="center"/>
                </w:tcPr>
                <w:p w14:paraId="79C81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112°58′47.87″</w:t>
                  </w:r>
                </w:p>
              </w:tc>
              <w:tc>
                <w:tcPr>
                  <w:tcW w:w="669" w:type="pct"/>
                  <w:tcBorders>
                    <w:tl2br w:val="nil"/>
                    <w:tr2bl w:val="nil"/>
                  </w:tcBorders>
                  <w:noWrap w:val="0"/>
                  <w:vAlign w:val="center"/>
                </w:tcPr>
                <w:p w14:paraId="4D0A21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36°13′36.22″</w:t>
                  </w:r>
                </w:p>
              </w:tc>
              <w:tc>
                <w:tcPr>
                  <w:tcW w:w="1006" w:type="pct"/>
                  <w:vMerge w:val="continue"/>
                  <w:tcBorders>
                    <w:tl2br w:val="nil"/>
                    <w:tr2bl w:val="nil"/>
                  </w:tcBorders>
                  <w:noWrap w:val="0"/>
                  <w:vAlign w:val="center"/>
                </w:tcPr>
                <w:p w14:paraId="41E216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color w:val="auto"/>
                      <w:sz w:val="18"/>
                      <w:szCs w:val="18"/>
                      <w:highlight w:val="none"/>
                      <w:lang w:val="zh-CN"/>
                    </w:rPr>
                  </w:pPr>
                </w:p>
              </w:tc>
            </w:tr>
          </w:tbl>
          <w:p w14:paraId="12A512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eastAsia="宋体"/>
                <w:b w:val="0"/>
                <w:bCs w:val="0"/>
                <w:color w:val="auto"/>
                <w:sz w:val="24"/>
                <w:highlight w:val="none"/>
                <w:lang w:eastAsia="zh-CN"/>
              </w:rPr>
            </w:pPr>
            <w:r>
              <w:rPr>
                <w:rFonts w:hint="eastAsia"/>
                <w:b w:val="0"/>
                <w:bCs w:val="0"/>
                <w:color w:val="auto"/>
                <w:sz w:val="24"/>
                <w:highlight w:val="none"/>
                <w:lang w:eastAsia="zh-CN"/>
              </w:rPr>
              <w:t>（</w:t>
            </w:r>
            <w:r>
              <w:rPr>
                <w:rFonts w:hint="eastAsia"/>
                <w:b w:val="0"/>
                <w:bCs w:val="0"/>
                <w:color w:val="auto"/>
                <w:sz w:val="24"/>
                <w:highlight w:val="none"/>
                <w:lang w:val="en-US" w:eastAsia="zh-CN"/>
              </w:rPr>
              <w:t>2</w:t>
            </w:r>
            <w:r>
              <w:rPr>
                <w:rFonts w:hint="eastAsia"/>
                <w:b w:val="0"/>
                <w:bCs w:val="0"/>
                <w:color w:val="auto"/>
                <w:sz w:val="24"/>
                <w:highlight w:val="none"/>
                <w:lang w:eastAsia="zh-CN"/>
              </w:rPr>
              <w:t>）</w:t>
            </w:r>
            <w:r>
              <w:rPr>
                <w:rFonts w:hint="eastAsia"/>
                <w:b w:val="0"/>
                <w:bCs w:val="0"/>
                <w:color w:val="auto"/>
                <w:sz w:val="24"/>
                <w:highlight w:val="none"/>
                <w:lang w:val="en-US" w:eastAsia="zh-CN"/>
              </w:rPr>
              <w:t>非正常工况排放情况</w:t>
            </w:r>
          </w:p>
          <w:p w14:paraId="093155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Times New Roman" w:hAnsi="Times New Roman" w:eastAsia="宋体" w:cs="Times New Roman"/>
                <w:b w:val="0"/>
                <w:bCs/>
                <w:color w:val="auto"/>
                <w:spacing w:val="-10"/>
                <w:sz w:val="24"/>
                <w:szCs w:val="24"/>
                <w:highlight w:val="none"/>
                <w:vertAlign w:val="baseline"/>
                <w:lang w:val="en-US" w:eastAsia="zh-CN"/>
              </w:rPr>
            </w:pPr>
            <w:r>
              <w:rPr>
                <w:rFonts w:hint="default" w:ascii="Times New Roman" w:hAnsi="Times New Roman" w:eastAsia="宋体" w:cs="Times New Roman"/>
                <w:b w:val="0"/>
                <w:bCs/>
                <w:color w:val="auto"/>
                <w:spacing w:val="0"/>
                <w:sz w:val="24"/>
                <w:szCs w:val="24"/>
                <w:highlight w:val="none"/>
                <w:lang w:val="en-US" w:eastAsia="zh-CN"/>
              </w:rPr>
              <w:t>非正常排放是指生产过程中开停车、设备检修、工艺设备运转异常等非正常工况下的污染物排放，以及污染物排放控制措施达不到应有效率等情况下的排放。本</w:t>
            </w:r>
            <w:r>
              <w:rPr>
                <w:rFonts w:hint="eastAsia" w:ascii="Times New Roman" w:hAnsi="Times New Roman" w:eastAsia="宋体" w:cs="Times New Roman"/>
                <w:b w:val="0"/>
                <w:bCs/>
                <w:color w:val="auto"/>
                <w:spacing w:val="0"/>
                <w:sz w:val="24"/>
                <w:szCs w:val="24"/>
                <w:highlight w:val="none"/>
                <w:lang w:val="en-US" w:eastAsia="zh-CN"/>
              </w:rPr>
              <w:t>项目</w:t>
            </w:r>
            <w:r>
              <w:rPr>
                <w:rFonts w:hint="default" w:ascii="Times New Roman" w:hAnsi="Times New Roman" w:eastAsia="宋体" w:cs="Times New Roman"/>
                <w:b w:val="0"/>
                <w:bCs/>
                <w:color w:val="auto"/>
                <w:spacing w:val="0"/>
                <w:sz w:val="24"/>
                <w:szCs w:val="24"/>
                <w:highlight w:val="none"/>
                <w:lang w:val="en-US" w:eastAsia="zh-CN"/>
              </w:rPr>
              <w:t>非正常情况排放主要为废气处理设施故障，具体详见</w:t>
            </w:r>
            <w:r>
              <w:rPr>
                <w:rFonts w:hint="eastAsia" w:ascii="Times New Roman" w:hAnsi="Times New Roman" w:eastAsia="宋体" w:cs="Times New Roman"/>
                <w:b w:val="0"/>
                <w:bCs/>
                <w:color w:val="auto"/>
                <w:spacing w:val="0"/>
                <w:sz w:val="24"/>
                <w:szCs w:val="24"/>
                <w:highlight w:val="none"/>
                <w:lang w:val="en-US" w:eastAsia="zh-CN"/>
              </w:rPr>
              <w:t>下表</w:t>
            </w:r>
            <w:r>
              <w:rPr>
                <w:rFonts w:hint="eastAsia" w:ascii="Times New Roman" w:hAnsi="Times New Roman" w:eastAsia="宋体" w:cs="Times New Roman"/>
                <w:b w:val="0"/>
                <w:bCs/>
                <w:color w:val="auto"/>
                <w:spacing w:val="-10"/>
                <w:sz w:val="24"/>
                <w:szCs w:val="24"/>
                <w:highlight w:val="none"/>
                <w:vertAlign w:val="baseline"/>
                <w:lang w:val="en-US" w:eastAsia="zh-CN"/>
              </w:rPr>
              <w:t>。</w:t>
            </w:r>
          </w:p>
          <w:p w14:paraId="0BDE5A55">
            <w:pPr>
              <w:pStyle w:val="104"/>
              <w:keepNext w:val="0"/>
              <w:keepLines w:val="0"/>
              <w:suppressLineNumbers w:val="0"/>
              <w:adjustRightInd w:val="0"/>
              <w:snapToGrid w:val="0"/>
              <w:spacing w:before="0" w:beforeAutospacing="0" w:after="0" w:afterAutospacing="0" w:line="480" w:lineRule="exact"/>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eastAsia" w:cs="Times New Roman"/>
                <w:b/>
                <w:bCs w:val="0"/>
                <w:color w:val="auto"/>
                <w:sz w:val="21"/>
                <w:szCs w:val="21"/>
                <w:highlight w:val="none"/>
                <w:lang w:val="en-US" w:eastAsia="zh-CN"/>
              </w:rPr>
              <w:t>10</w:t>
            </w:r>
            <w:r>
              <w:rPr>
                <w:rFonts w:hint="eastAsia" w:ascii="Times New Roman" w:hAnsi="Times New Roman" w:eastAsia="宋体" w:cs="Times New Roman"/>
                <w:b/>
                <w:bCs w:val="0"/>
                <w:color w:val="auto"/>
                <w:sz w:val="21"/>
                <w:szCs w:val="21"/>
                <w:highlight w:val="none"/>
                <w:lang w:val="en-US" w:eastAsia="zh-CN"/>
              </w:rPr>
              <w:t xml:space="preserve">  废气污染物非正常排放量核算表</w:t>
            </w:r>
          </w:p>
          <w:tbl>
            <w:tblPr>
              <w:tblStyle w:val="32"/>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271"/>
              <w:gridCol w:w="938"/>
              <w:gridCol w:w="900"/>
              <w:gridCol w:w="1125"/>
              <w:gridCol w:w="1087"/>
              <w:gridCol w:w="975"/>
              <w:gridCol w:w="950"/>
              <w:gridCol w:w="1382"/>
            </w:tblGrid>
            <w:tr w14:paraId="09A8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Align w:val="center"/>
                </w:tcPr>
                <w:p w14:paraId="625957D0">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r>
                    <w:rPr>
                      <w:rFonts w:hint="default" w:ascii="Times New Roman" w:hAnsi="Times New Roman" w:eastAsia="宋体" w:cs="Times New Roman"/>
                      <w:b/>
                      <w:bCs/>
                      <w:color w:val="auto"/>
                      <w:kern w:val="2"/>
                      <w:sz w:val="21"/>
                      <w:szCs w:val="21"/>
                      <w:highlight w:val="none"/>
                      <w:lang w:val="en-US" w:eastAsia="zh-CN" w:bidi="ar-SA"/>
                    </w:rPr>
                    <w:t>序号</w:t>
                  </w:r>
                </w:p>
              </w:tc>
              <w:tc>
                <w:tcPr>
                  <w:tcW w:w="1271" w:type="dxa"/>
                  <w:vAlign w:val="center"/>
                </w:tcPr>
                <w:p w14:paraId="0A148E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kern w:val="2"/>
                      <w:sz w:val="21"/>
                      <w:szCs w:val="21"/>
                      <w:highlight w:val="none"/>
                      <w:lang w:val="en-US" w:eastAsia="zh-CN" w:bidi="ar-SA"/>
                    </w:rPr>
                    <w:t>污染源</w:t>
                  </w:r>
                </w:p>
              </w:tc>
              <w:tc>
                <w:tcPr>
                  <w:tcW w:w="938" w:type="dxa"/>
                  <w:vAlign w:val="center"/>
                </w:tcPr>
                <w:p w14:paraId="672E6D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default" w:ascii="Times New Roman" w:hAnsi="Times New Roman" w:eastAsia="宋体" w:cs="Times New Roman"/>
                      <w:b/>
                      <w:bCs/>
                      <w:color w:val="auto"/>
                      <w:kern w:val="2"/>
                      <w:sz w:val="21"/>
                      <w:szCs w:val="21"/>
                      <w:highlight w:val="none"/>
                      <w:lang w:val="en-US" w:eastAsia="zh-CN" w:bidi="ar-SA"/>
                    </w:rPr>
                    <w:t>污染物种类</w:t>
                  </w:r>
                </w:p>
              </w:tc>
              <w:tc>
                <w:tcPr>
                  <w:tcW w:w="900" w:type="dxa"/>
                  <w:vAlign w:val="center"/>
                </w:tcPr>
                <w:p w14:paraId="6F3B6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kern w:val="2"/>
                      <w:sz w:val="21"/>
                      <w:szCs w:val="21"/>
                      <w:highlight w:val="none"/>
                      <w:lang w:val="en-US" w:eastAsia="zh-CN" w:bidi="ar-SA"/>
                    </w:rPr>
                    <w:t>非正常排放原因</w:t>
                  </w:r>
                </w:p>
              </w:tc>
              <w:tc>
                <w:tcPr>
                  <w:tcW w:w="1125" w:type="dxa"/>
                  <w:vAlign w:val="center"/>
                </w:tcPr>
                <w:p w14:paraId="6B19A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kern w:val="2"/>
                      <w:sz w:val="21"/>
                      <w:szCs w:val="21"/>
                      <w:highlight w:val="none"/>
                      <w:lang w:val="en-US" w:eastAsia="zh-CN" w:bidi="ar-SA"/>
                    </w:rPr>
                    <w:t>非正常排放浓度</w:t>
                  </w:r>
                  <w:r>
                    <w:rPr>
                      <w:rFonts w:hint="default" w:ascii="Times New Roman" w:hAnsi="Times New Roman" w:eastAsia="宋体" w:cs="Times New Roman"/>
                      <w:b/>
                      <w:bCs/>
                      <w:color w:val="auto"/>
                      <w:kern w:val="2"/>
                      <w:sz w:val="21"/>
                      <w:szCs w:val="21"/>
                      <w:highlight w:val="none"/>
                      <w:lang w:val="en-US" w:eastAsia="zh-CN" w:bidi="ar-SA"/>
                    </w:rPr>
                    <w:t>mg/m</w:t>
                  </w:r>
                  <w:r>
                    <w:rPr>
                      <w:rFonts w:hint="default" w:ascii="Times New Roman" w:hAnsi="Times New Roman" w:eastAsia="宋体" w:cs="Times New Roman"/>
                      <w:b/>
                      <w:bCs/>
                      <w:color w:val="auto"/>
                      <w:kern w:val="2"/>
                      <w:sz w:val="21"/>
                      <w:szCs w:val="21"/>
                      <w:highlight w:val="none"/>
                      <w:vertAlign w:val="superscript"/>
                      <w:lang w:val="en-US" w:eastAsia="zh-CN" w:bidi="ar-SA"/>
                    </w:rPr>
                    <w:t>3</w:t>
                  </w:r>
                </w:p>
              </w:tc>
              <w:tc>
                <w:tcPr>
                  <w:tcW w:w="1087" w:type="dxa"/>
                  <w:vAlign w:val="center"/>
                </w:tcPr>
                <w:p w14:paraId="1C532E1A">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非正常排放速率</w:t>
                  </w:r>
                </w:p>
                <w:p w14:paraId="6498E9FA">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sz w:val="21"/>
                      <w:szCs w:val="21"/>
                      <w:highlight w:val="none"/>
                      <w:lang w:val="en-US" w:eastAsia="zh-CN"/>
                    </w:rPr>
                    <w:t>kg/h</w:t>
                  </w:r>
                </w:p>
              </w:tc>
              <w:tc>
                <w:tcPr>
                  <w:tcW w:w="975" w:type="dxa"/>
                  <w:vAlign w:val="center"/>
                </w:tcPr>
                <w:p w14:paraId="7B6E9FF1">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单次持续时间</w:t>
                  </w:r>
                </w:p>
                <w:p w14:paraId="6494A718">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sz w:val="21"/>
                      <w:szCs w:val="21"/>
                      <w:highlight w:val="none"/>
                      <w:lang w:val="en-US" w:eastAsia="zh-CN"/>
                    </w:rPr>
                    <w:t>h</w:t>
                  </w:r>
                </w:p>
              </w:tc>
              <w:tc>
                <w:tcPr>
                  <w:tcW w:w="950" w:type="dxa"/>
                  <w:vAlign w:val="center"/>
                </w:tcPr>
                <w:p w14:paraId="794C2622">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年发生频次</w:t>
                  </w:r>
                </w:p>
                <w:p w14:paraId="19CB2650">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sz w:val="21"/>
                      <w:szCs w:val="21"/>
                      <w:highlight w:val="none"/>
                      <w:lang w:val="en-US" w:eastAsia="zh-CN"/>
                    </w:rPr>
                    <w:t>次</w:t>
                  </w:r>
                </w:p>
              </w:tc>
              <w:tc>
                <w:tcPr>
                  <w:tcW w:w="1382" w:type="dxa"/>
                  <w:vAlign w:val="center"/>
                </w:tcPr>
                <w:p w14:paraId="2FCDF7C6">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default"/>
                      <w:color w:val="auto"/>
                      <w:sz w:val="21"/>
                      <w:szCs w:val="21"/>
                      <w:highlight w:val="none"/>
                      <w:vertAlign w:val="baseline"/>
                    </w:rPr>
                  </w:pPr>
                  <w:r>
                    <w:rPr>
                      <w:rFonts w:hint="eastAsia" w:ascii="Times New Roman" w:hAnsi="Times New Roman" w:eastAsia="宋体" w:cs="Times New Roman"/>
                      <w:b/>
                      <w:bCs/>
                      <w:color w:val="auto"/>
                      <w:sz w:val="21"/>
                      <w:szCs w:val="21"/>
                      <w:highlight w:val="none"/>
                      <w:lang w:val="en-US" w:eastAsia="zh-CN"/>
                    </w:rPr>
                    <w:t>应对措施</w:t>
                  </w:r>
                </w:p>
              </w:tc>
            </w:tr>
            <w:tr w14:paraId="2836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Align w:val="center"/>
                </w:tcPr>
                <w:p w14:paraId="2ACC5081">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color w:val="auto"/>
                      <w:sz w:val="21"/>
                      <w:szCs w:val="21"/>
                      <w:highlight w:val="none"/>
                      <w:vertAlign w:val="baseline"/>
                      <w:lang w:val="en-US" w:eastAsia="zh-CN"/>
                    </w:rPr>
                    <w:t>1</w:t>
                  </w:r>
                </w:p>
              </w:tc>
              <w:tc>
                <w:tcPr>
                  <w:tcW w:w="1271" w:type="dxa"/>
                  <w:vAlign w:val="center"/>
                </w:tcPr>
                <w:p w14:paraId="7384E6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Cs/>
                      <w:iCs/>
                      <w:color w:val="auto"/>
                      <w:sz w:val="21"/>
                      <w:szCs w:val="21"/>
                      <w:highlight w:val="none"/>
                      <w:lang w:val="en-US" w:eastAsia="zh-CN"/>
                    </w:rPr>
                    <w:t>上料</w:t>
                  </w:r>
                </w:p>
              </w:tc>
              <w:tc>
                <w:tcPr>
                  <w:tcW w:w="938" w:type="dxa"/>
                  <w:vAlign w:val="center"/>
                </w:tcPr>
                <w:p w14:paraId="742B11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color w:val="auto"/>
                      <w:sz w:val="21"/>
                      <w:szCs w:val="21"/>
                      <w:highlight w:val="none"/>
                    </w:rPr>
                    <w:t>颗粒物</w:t>
                  </w:r>
                </w:p>
              </w:tc>
              <w:tc>
                <w:tcPr>
                  <w:tcW w:w="900" w:type="dxa"/>
                  <w:vMerge w:val="restart"/>
                  <w:vAlign w:val="center"/>
                </w:tcPr>
                <w:p w14:paraId="0C90879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r>
                    <w:rPr>
                      <w:rFonts w:hint="default" w:ascii="Times New Roman" w:hAnsi="Times New Roman" w:eastAsia="宋体" w:cs="Times New Roman"/>
                      <w:b w:val="0"/>
                      <w:bCs w:val="0"/>
                      <w:color w:val="auto"/>
                      <w:kern w:val="2"/>
                      <w:sz w:val="21"/>
                      <w:szCs w:val="21"/>
                      <w:highlight w:val="none"/>
                      <w:lang w:val="en-US" w:eastAsia="zh-CN" w:bidi="ar-SA"/>
                    </w:rPr>
                    <w:t>废气处理设施故障</w:t>
                  </w:r>
                </w:p>
              </w:tc>
              <w:tc>
                <w:tcPr>
                  <w:tcW w:w="1125" w:type="dxa"/>
                  <w:vAlign w:val="center"/>
                </w:tcPr>
                <w:p w14:paraId="07B41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48.87</w:t>
                  </w:r>
                </w:p>
              </w:tc>
              <w:tc>
                <w:tcPr>
                  <w:tcW w:w="1087" w:type="dxa"/>
                  <w:vAlign w:val="center"/>
                </w:tcPr>
                <w:p w14:paraId="000F4A62">
                  <w:pPr>
                    <w:pStyle w:val="2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1.52</w:t>
                  </w:r>
                </w:p>
              </w:tc>
              <w:tc>
                <w:tcPr>
                  <w:tcW w:w="975" w:type="dxa"/>
                  <w:vAlign w:val="center"/>
                </w:tcPr>
                <w:p w14:paraId="02924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val="en-US" w:eastAsia="zh-CN" w:bidi="ar-SA"/>
                    </w:rPr>
                    <w:t>0.5</w:t>
                  </w:r>
                </w:p>
              </w:tc>
              <w:tc>
                <w:tcPr>
                  <w:tcW w:w="950" w:type="dxa"/>
                  <w:vAlign w:val="center"/>
                </w:tcPr>
                <w:p w14:paraId="3E92E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382" w:type="dxa"/>
                  <w:vMerge w:val="restart"/>
                  <w:vAlign w:val="center"/>
                </w:tcPr>
                <w:p w14:paraId="6FD622DB">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both"/>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立即停止生产，及时检修，故障解决后，恢复生产</w:t>
                  </w:r>
                </w:p>
              </w:tc>
            </w:tr>
            <w:tr w14:paraId="6BCF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Merge w:val="restart"/>
                  <w:vAlign w:val="center"/>
                </w:tcPr>
                <w:p w14:paraId="302FFE1A">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w:t>
                  </w:r>
                </w:p>
              </w:tc>
              <w:tc>
                <w:tcPr>
                  <w:tcW w:w="1271" w:type="dxa"/>
                  <w:vMerge w:val="restart"/>
                  <w:vAlign w:val="center"/>
                </w:tcPr>
                <w:p w14:paraId="777B5A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eastAsia="宋体"/>
                      <w:color w:val="auto"/>
                      <w:sz w:val="21"/>
                      <w:szCs w:val="21"/>
                      <w:highlight w:val="none"/>
                      <w:vertAlign w:val="baseline"/>
                      <w:lang w:val="en-US" w:eastAsia="zh-CN"/>
                    </w:rPr>
                  </w:pPr>
                  <w:r>
                    <w:rPr>
                      <w:rFonts w:hint="default" w:ascii="Times New Roman" w:hAnsi="Times New Roman" w:cs="Times New Roman"/>
                      <w:bCs/>
                      <w:color w:val="auto"/>
                      <w:sz w:val="21"/>
                      <w:szCs w:val="21"/>
                      <w:highlight w:val="none"/>
                    </w:rPr>
                    <w:t>回转</w:t>
                  </w:r>
                  <w:r>
                    <w:rPr>
                      <w:rFonts w:hint="eastAsia" w:cs="Times New Roman"/>
                      <w:bCs/>
                      <w:color w:val="auto"/>
                      <w:sz w:val="21"/>
                      <w:szCs w:val="21"/>
                      <w:highlight w:val="none"/>
                      <w:lang w:val="en-US" w:eastAsia="zh-CN"/>
                    </w:rPr>
                    <w:t>窑</w:t>
                  </w:r>
                </w:p>
              </w:tc>
              <w:tc>
                <w:tcPr>
                  <w:tcW w:w="938" w:type="dxa"/>
                  <w:vAlign w:val="center"/>
                </w:tcPr>
                <w:p w14:paraId="5BED16BB">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r>
                    <w:rPr>
                      <w:rFonts w:hint="default"/>
                      <w:color w:val="auto"/>
                      <w:sz w:val="21"/>
                      <w:szCs w:val="21"/>
                      <w:highlight w:val="none"/>
                    </w:rPr>
                    <w:t>颗粒物</w:t>
                  </w:r>
                </w:p>
              </w:tc>
              <w:tc>
                <w:tcPr>
                  <w:tcW w:w="900" w:type="dxa"/>
                  <w:vMerge w:val="continue"/>
                  <w:vAlign w:val="center"/>
                </w:tcPr>
                <w:p w14:paraId="26ECF079">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125" w:type="dxa"/>
                  <w:vAlign w:val="center"/>
                </w:tcPr>
                <w:p w14:paraId="4A463A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lang w:val="en-US" w:eastAsia="zh-CN"/>
                    </w:rPr>
                    <w:t>1369</w:t>
                  </w:r>
                </w:p>
              </w:tc>
              <w:tc>
                <w:tcPr>
                  <w:tcW w:w="1087" w:type="dxa"/>
                  <w:vAlign w:val="center"/>
                </w:tcPr>
                <w:p w14:paraId="76A9146F">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7.69</w:t>
                  </w:r>
                </w:p>
              </w:tc>
              <w:tc>
                <w:tcPr>
                  <w:tcW w:w="975" w:type="dxa"/>
                  <w:vMerge w:val="restart"/>
                  <w:vAlign w:val="center"/>
                </w:tcPr>
                <w:p w14:paraId="0EACD2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0.5</w:t>
                  </w:r>
                </w:p>
              </w:tc>
              <w:tc>
                <w:tcPr>
                  <w:tcW w:w="950" w:type="dxa"/>
                  <w:vMerge w:val="restart"/>
                  <w:vAlign w:val="center"/>
                </w:tcPr>
                <w:p w14:paraId="581265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382" w:type="dxa"/>
                  <w:vMerge w:val="continue"/>
                  <w:vAlign w:val="center"/>
                </w:tcPr>
                <w:p w14:paraId="3686497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r>
            <w:tr w14:paraId="3894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Merge w:val="continue"/>
                  <w:vAlign w:val="center"/>
                </w:tcPr>
                <w:p w14:paraId="7D5BE18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271" w:type="dxa"/>
                  <w:vMerge w:val="continue"/>
                  <w:vAlign w:val="center"/>
                </w:tcPr>
                <w:p w14:paraId="6455AEA3">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938" w:type="dxa"/>
                  <w:vAlign w:val="center"/>
                </w:tcPr>
                <w:p w14:paraId="54C8197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r>
                    <w:rPr>
                      <w:rFonts w:hint="default"/>
                      <w:color w:val="auto"/>
                      <w:sz w:val="21"/>
                      <w:szCs w:val="21"/>
                      <w:highlight w:val="none"/>
                    </w:rPr>
                    <w:t>SO</w:t>
                  </w:r>
                  <w:r>
                    <w:rPr>
                      <w:rFonts w:hint="default"/>
                      <w:color w:val="auto"/>
                      <w:sz w:val="21"/>
                      <w:szCs w:val="21"/>
                      <w:highlight w:val="none"/>
                      <w:vertAlign w:val="subscript"/>
                    </w:rPr>
                    <w:t>2</w:t>
                  </w:r>
                </w:p>
              </w:tc>
              <w:tc>
                <w:tcPr>
                  <w:tcW w:w="900" w:type="dxa"/>
                  <w:vMerge w:val="continue"/>
                  <w:vAlign w:val="center"/>
                </w:tcPr>
                <w:p w14:paraId="50BCDC1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125" w:type="dxa"/>
                  <w:vAlign w:val="center"/>
                </w:tcPr>
                <w:p w14:paraId="74C807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lang w:val="en-US" w:eastAsia="zh-CN"/>
                    </w:rPr>
                    <w:t>2.94</w:t>
                  </w:r>
                </w:p>
              </w:tc>
              <w:tc>
                <w:tcPr>
                  <w:tcW w:w="1087" w:type="dxa"/>
                  <w:vAlign w:val="center"/>
                </w:tcPr>
                <w:p w14:paraId="4E218E22">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0.02</w:t>
                  </w:r>
                </w:p>
              </w:tc>
              <w:tc>
                <w:tcPr>
                  <w:tcW w:w="975" w:type="dxa"/>
                  <w:vMerge w:val="continue"/>
                  <w:vAlign w:val="center"/>
                </w:tcPr>
                <w:p w14:paraId="2C52E68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950" w:type="dxa"/>
                  <w:vMerge w:val="continue"/>
                  <w:vAlign w:val="center"/>
                </w:tcPr>
                <w:p w14:paraId="2EFAAF8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382" w:type="dxa"/>
                  <w:vMerge w:val="continue"/>
                  <w:vAlign w:val="center"/>
                </w:tcPr>
                <w:p w14:paraId="3A59C581">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r>
            <w:tr w14:paraId="7E53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Merge w:val="continue"/>
                  <w:vAlign w:val="center"/>
                </w:tcPr>
                <w:p w14:paraId="79274421">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271" w:type="dxa"/>
                  <w:vMerge w:val="continue"/>
                  <w:vAlign w:val="center"/>
                </w:tcPr>
                <w:p w14:paraId="664FFC23">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938" w:type="dxa"/>
                  <w:vAlign w:val="center"/>
                </w:tcPr>
                <w:p w14:paraId="50622132">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r>
                    <w:rPr>
                      <w:rFonts w:hint="default"/>
                      <w:color w:val="auto"/>
                      <w:sz w:val="21"/>
                      <w:szCs w:val="21"/>
                      <w:highlight w:val="none"/>
                    </w:rPr>
                    <w:t>NOx</w:t>
                  </w:r>
                </w:p>
              </w:tc>
              <w:tc>
                <w:tcPr>
                  <w:tcW w:w="900" w:type="dxa"/>
                  <w:vMerge w:val="continue"/>
                  <w:vAlign w:val="center"/>
                </w:tcPr>
                <w:p w14:paraId="05468FF2">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125" w:type="dxa"/>
                  <w:vAlign w:val="center"/>
                </w:tcPr>
                <w:p w14:paraId="35EA27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b w:val="0"/>
                      <w:bCs w:val="0"/>
                      <w:color w:val="auto"/>
                      <w:sz w:val="21"/>
                      <w:szCs w:val="21"/>
                      <w:highlight w:val="none"/>
                      <w:vertAlign w:val="baseline"/>
                    </w:rPr>
                  </w:pPr>
                  <w:r>
                    <w:rPr>
                      <w:rFonts w:hint="default" w:ascii="Times New Roman" w:hAnsi="Times New Roman" w:cs="Times New Roman"/>
                      <w:b w:val="0"/>
                      <w:bCs w:val="0"/>
                      <w:color w:val="auto"/>
                      <w:sz w:val="21"/>
                      <w:szCs w:val="21"/>
                      <w:highlight w:val="none"/>
                      <w:lang w:val="en-US" w:eastAsia="zh-CN"/>
                    </w:rPr>
                    <w:t>137.5</w:t>
                  </w:r>
                </w:p>
              </w:tc>
              <w:tc>
                <w:tcPr>
                  <w:tcW w:w="1087" w:type="dxa"/>
                  <w:vAlign w:val="center"/>
                </w:tcPr>
                <w:p w14:paraId="2369EA7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eastAsia="宋体"/>
                      <w:b w:val="0"/>
                      <w:bCs w:val="0"/>
                      <w:color w:val="auto"/>
                      <w:sz w:val="21"/>
                      <w:szCs w:val="21"/>
                      <w:highlight w:val="none"/>
                      <w:vertAlign w:val="baseline"/>
                      <w:lang w:val="en-US" w:eastAsia="zh-CN"/>
                    </w:rPr>
                  </w:pPr>
                  <w:r>
                    <w:rPr>
                      <w:rFonts w:hint="eastAsia"/>
                      <w:b w:val="0"/>
                      <w:bCs w:val="0"/>
                      <w:color w:val="auto"/>
                      <w:sz w:val="21"/>
                      <w:szCs w:val="21"/>
                      <w:highlight w:val="none"/>
                      <w:vertAlign w:val="baseline"/>
                      <w:lang w:val="en-US" w:eastAsia="zh-CN"/>
                    </w:rPr>
                    <w:t>0.77</w:t>
                  </w:r>
                </w:p>
              </w:tc>
              <w:tc>
                <w:tcPr>
                  <w:tcW w:w="975" w:type="dxa"/>
                  <w:vMerge w:val="continue"/>
                  <w:vAlign w:val="center"/>
                </w:tcPr>
                <w:p w14:paraId="7F0AEB42">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950" w:type="dxa"/>
                  <w:vMerge w:val="continue"/>
                  <w:vAlign w:val="center"/>
                </w:tcPr>
                <w:p w14:paraId="0C42D0C2">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382" w:type="dxa"/>
                  <w:vMerge w:val="continue"/>
                  <w:vAlign w:val="center"/>
                </w:tcPr>
                <w:p w14:paraId="46756B63">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r>
            <w:tr w14:paraId="1FC6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Align w:val="center"/>
                </w:tcPr>
                <w:p w14:paraId="6A06E0FB">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p>
              </w:tc>
              <w:tc>
                <w:tcPr>
                  <w:tcW w:w="1271" w:type="dxa"/>
                  <w:vAlign w:val="center"/>
                </w:tcPr>
                <w:p w14:paraId="07EF6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default" w:ascii="Times New Roman" w:hAnsi="Times New Roman" w:cs="Times New Roman"/>
                      <w:bCs/>
                      <w:color w:val="auto"/>
                      <w:sz w:val="21"/>
                      <w:szCs w:val="21"/>
                      <w:highlight w:val="none"/>
                      <w:lang w:val="en-US" w:eastAsia="zh-CN"/>
                    </w:rPr>
                    <w:t>热压成型</w:t>
                  </w:r>
                </w:p>
              </w:tc>
              <w:tc>
                <w:tcPr>
                  <w:tcW w:w="938" w:type="dxa"/>
                  <w:vAlign w:val="center"/>
                </w:tcPr>
                <w:p w14:paraId="6318FB85">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rPr>
                  </w:pPr>
                  <w:r>
                    <w:rPr>
                      <w:rFonts w:hint="default"/>
                      <w:color w:val="auto"/>
                      <w:sz w:val="21"/>
                      <w:szCs w:val="21"/>
                      <w:highlight w:val="none"/>
                    </w:rPr>
                    <w:t>颗粒物</w:t>
                  </w:r>
                </w:p>
              </w:tc>
              <w:tc>
                <w:tcPr>
                  <w:tcW w:w="900" w:type="dxa"/>
                  <w:vMerge w:val="continue"/>
                  <w:vAlign w:val="center"/>
                </w:tcPr>
                <w:p w14:paraId="3CB74A15">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125" w:type="dxa"/>
                  <w:vAlign w:val="center"/>
                </w:tcPr>
                <w:p w14:paraId="6E29DD00">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bCs/>
                      <w:color w:val="auto"/>
                      <w:sz w:val="21"/>
                      <w:szCs w:val="21"/>
                      <w:highlight w:val="none"/>
                      <w:lang w:val="en-US" w:eastAsia="zh-CN"/>
                    </w:rPr>
                  </w:pPr>
                  <w:r>
                    <w:rPr>
                      <w:rFonts w:hint="eastAsia" w:ascii="Times New Roman" w:hAnsi="Times New Roman" w:cs="Times New Roman"/>
                      <w:color w:val="auto"/>
                      <w:sz w:val="21"/>
                      <w:szCs w:val="21"/>
                      <w:highlight w:val="none"/>
                      <w:vertAlign w:val="baseline"/>
                      <w:lang w:val="en-US" w:eastAsia="zh-CN"/>
                    </w:rPr>
                    <w:t>37.48</w:t>
                  </w:r>
                </w:p>
              </w:tc>
              <w:tc>
                <w:tcPr>
                  <w:tcW w:w="1087" w:type="dxa"/>
                  <w:vAlign w:val="center"/>
                </w:tcPr>
                <w:p w14:paraId="1AD0302D">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0.76</w:t>
                  </w:r>
                </w:p>
              </w:tc>
              <w:tc>
                <w:tcPr>
                  <w:tcW w:w="975" w:type="dxa"/>
                  <w:vAlign w:val="center"/>
                </w:tcPr>
                <w:p w14:paraId="785994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0.5</w:t>
                  </w:r>
                </w:p>
              </w:tc>
              <w:tc>
                <w:tcPr>
                  <w:tcW w:w="950" w:type="dxa"/>
                  <w:vAlign w:val="center"/>
                </w:tcPr>
                <w:p w14:paraId="34627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382" w:type="dxa"/>
                  <w:vMerge w:val="continue"/>
                  <w:vAlign w:val="center"/>
                </w:tcPr>
                <w:p w14:paraId="024C304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r>
            <w:tr w14:paraId="1815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22" w:type="dxa"/>
                  <w:vAlign w:val="center"/>
                </w:tcPr>
                <w:p w14:paraId="58256294">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4</w:t>
                  </w:r>
                </w:p>
              </w:tc>
              <w:tc>
                <w:tcPr>
                  <w:tcW w:w="1271" w:type="dxa"/>
                  <w:vAlign w:val="center"/>
                </w:tcPr>
                <w:p w14:paraId="28CFEC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default" w:ascii="Times New Roman" w:hAnsi="Times New Roman" w:cs="Times New Roman"/>
                      <w:bCs/>
                      <w:color w:val="auto"/>
                      <w:sz w:val="21"/>
                      <w:szCs w:val="21"/>
                      <w:highlight w:val="none"/>
                      <w:lang w:val="en-US" w:eastAsia="zh-CN"/>
                    </w:rPr>
                    <w:t>出料</w:t>
                  </w:r>
                </w:p>
              </w:tc>
              <w:tc>
                <w:tcPr>
                  <w:tcW w:w="938" w:type="dxa"/>
                  <w:vAlign w:val="center"/>
                </w:tcPr>
                <w:p w14:paraId="7087620B">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rPr>
                  </w:pPr>
                  <w:r>
                    <w:rPr>
                      <w:rFonts w:hint="default"/>
                      <w:color w:val="auto"/>
                      <w:sz w:val="21"/>
                      <w:szCs w:val="21"/>
                      <w:highlight w:val="none"/>
                    </w:rPr>
                    <w:t>颗粒物</w:t>
                  </w:r>
                </w:p>
              </w:tc>
              <w:tc>
                <w:tcPr>
                  <w:tcW w:w="900" w:type="dxa"/>
                  <w:vMerge w:val="continue"/>
                  <w:vAlign w:val="center"/>
                </w:tcPr>
                <w:p w14:paraId="423E3D29">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c>
                <w:tcPr>
                  <w:tcW w:w="1125" w:type="dxa"/>
                  <w:vAlign w:val="center"/>
                </w:tcPr>
                <w:p w14:paraId="32DDD57B">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eastAsia"/>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14.66</w:t>
                  </w:r>
                </w:p>
              </w:tc>
              <w:tc>
                <w:tcPr>
                  <w:tcW w:w="1087" w:type="dxa"/>
                  <w:vAlign w:val="center"/>
                </w:tcPr>
                <w:p w14:paraId="3FC2DC14">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0.38</w:t>
                  </w:r>
                </w:p>
              </w:tc>
              <w:tc>
                <w:tcPr>
                  <w:tcW w:w="975" w:type="dxa"/>
                  <w:vAlign w:val="center"/>
                </w:tcPr>
                <w:p w14:paraId="4F02B6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0.5</w:t>
                  </w:r>
                </w:p>
              </w:tc>
              <w:tc>
                <w:tcPr>
                  <w:tcW w:w="950" w:type="dxa"/>
                  <w:vAlign w:val="center"/>
                </w:tcPr>
                <w:p w14:paraId="04644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vertAlign w:val="baseline"/>
                    </w:rPr>
                  </w:pPr>
                  <w:r>
                    <w:rPr>
                      <w:rFonts w:hint="eastAsia" w:ascii="Times New Roman" w:hAnsi="Times New Roman" w:eastAsia="宋体" w:cs="Times New Roman"/>
                      <w:b w:val="0"/>
                      <w:bCs w:val="0"/>
                      <w:color w:val="auto"/>
                      <w:kern w:val="2"/>
                      <w:sz w:val="21"/>
                      <w:szCs w:val="21"/>
                      <w:highlight w:val="none"/>
                      <w:lang w:val="en-US" w:eastAsia="zh-CN" w:bidi="ar-SA"/>
                    </w:rPr>
                    <w:t>1</w:t>
                  </w:r>
                </w:p>
              </w:tc>
              <w:tc>
                <w:tcPr>
                  <w:tcW w:w="1382" w:type="dxa"/>
                  <w:vMerge w:val="continue"/>
                  <w:vAlign w:val="center"/>
                </w:tcPr>
                <w:p w14:paraId="664AD7C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rPr>
                  </w:pPr>
                </w:p>
              </w:tc>
            </w:tr>
          </w:tbl>
          <w:p w14:paraId="27E52B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b w:val="0"/>
                <w:bCs w:val="0"/>
                <w:color w:val="auto"/>
                <w:sz w:val="24"/>
                <w:highlight w:val="none"/>
                <w:lang w:eastAsia="zh-CN"/>
              </w:rPr>
              <w:t>（</w:t>
            </w:r>
            <w:r>
              <w:rPr>
                <w:rFonts w:hint="eastAsia"/>
                <w:b w:val="0"/>
                <w:bCs w:val="0"/>
                <w:color w:val="auto"/>
                <w:sz w:val="24"/>
                <w:highlight w:val="none"/>
                <w:lang w:val="en-US" w:eastAsia="zh-CN"/>
              </w:rPr>
              <w:t>3</w:t>
            </w:r>
            <w:r>
              <w:rPr>
                <w:rFonts w:hint="eastAsia"/>
                <w:b w:val="0"/>
                <w:bCs w:val="0"/>
                <w:color w:val="auto"/>
                <w:sz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大气环境影响分析</w:t>
            </w:r>
          </w:p>
          <w:p w14:paraId="09DFCE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本项目运营期产生的废气污染物为颗粒物</w:t>
            </w:r>
            <w:r>
              <w:rPr>
                <w:rFonts w:hint="eastAsia" w:cs="Times New Roman"/>
                <w:b w:val="0"/>
                <w:bCs/>
                <w:color w:val="auto"/>
                <w:sz w:val="24"/>
                <w:szCs w:val="24"/>
                <w:highlight w:val="none"/>
                <w:lang w:val="en-US" w:eastAsia="zh-CN"/>
              </w:rPr>
              <w:t>、</w:t>
            </w:r>
            <w:r>
              <w:rPr>
                <w:rFonts w:hint="default"/>
                <w:color w:val="auto"/>
                <w:sz w:val="24"/>
                <w:szCs w:val="24"/>
                <w:highlight w:val="none"/>
              </w:rPr>
              <w:t>SO</w:t>
            </w:r>
            <w:r>
              <w:rPr>
                <w:rFonts w:hint="default"/>
                <w:color w:val="auto"/>
                <w:sz w:val="24"/>
                <w:szCs w:val="24"/>
                <w:highlight w:val="none"/>
                <w:vertAlign w:val="subscript"/>
              </w:rPr>
              <w:t>2</w:t>
            </w:r>
            <w:r>
              <w:rPr>
                <w:rFonts w:hint="eastAsia" w:cs="Times New Roman"/>
                <w:b w:val="0"/>
                <w:bCs/>
                <w:color w:val="auto"/>
                <w:sz w:val="24"/>
                <w:szCs w:val="24"/>
                <w:highlight w:val="none"/>
                <w:lang w:val="en-US" w:eastAsia="zh-CN"/>
              </w:rPr>
              <w:t>、</w:t>
            </w:r>
            <w:r>
              <w:rPr>
                <w:rFonts w:hint="default"/>
                <w:color w:val="auto"/>
                <w:sz w:val="21"/>
                <w:szCs w:val="21"/>
                <w:highlight w:val="none"/>
              </w:rPr>
              <w:t>NOx</w:t>
            </w:r>
            <w:r>
              <w:rPr>
                <w:rFonts w:hint="eastAsia"/>
                <w:color w:val="auto"/>
                <w:sz w:val="21"/>
                <w:szCs w:val="21"/>
                <w:highlight w:val="none"/>
                <w:lang w:eastAsia="zh-CN"/>
              </w:rPr>
              <w:t>，</w:t>
            </w:r>
            <w:r>
              <w:rPr>
                <w:rFonts w:hint="eastAsia" w:ascii="Times New Roman" w:hAnsi="Times New Roman" w:eastAsia="宋体" w:cs="Times New Roman"/>
                <w:b w:val="0"/>
                <w:bCs/>
                <w:color w:val="auto"/>
                <w:sz w:val="24"/>
                <w:szCs w:val="24"/>
                <w:highlight w:val="none"/>
                <w:lang w:val="en-US" w:eastAsia="zh-CN"/>
              </w:rPr>
              <w:t>根据现场勘察，项目厂界外500m范围内</w:t>
            </w:r>
            <w:r>
              <w:rPr>
                <w:rFonts w:hint="eastAsia" w:cs="Times New Roman"/>
                <w:b w:val="0"/>
                <w:bCs/>
                <w:color w:val="auto"/>
                <w:sz w:val="24"/>
                <w:szCs w:val="24"/>
                <w:highlight w:val="none"/>
                <w:lang w:val="en-US" w:eastAsia="zh-CN"/>
              </w:rPr>
              <w:t>大气</w:t>
            </w:r>
            <w:r>
              <w:rPr>
                <w:rFonts w:hint="eastAsia" w:ascii="Times New Roman" w:hAnsi="Times New Roman" w:eastAsia="宋体" w:cs="Times New Roman"/>
                <w:b w:val="0"/>
                <w:bCs/>
                <w:color w:val="auto"/>
                <w:sz w:val="24"/>
                <w:szCs w:val="24"/>
                <w:highlight w:val="none"/>
                <w:lang w:val="en-US" w:eastAsia="zh-CN"/>
              </w:rPr>
              <w:t>环境保护目标为厂区南侧约280m处的康庄村，所在区域环境空气质量为不达标区，当地政府全面贯彻落实大气污染防治攻坚措施，将不断改善区域环境空气质量。</w:t>
            </w:r>
          </w:p>
          <w:p w14:paraId="68198F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本项目有组织废气污染源</w:t>
            </w:r>
            <w:r>
              <w:rPr>
                <w:rFonts w:hint="eastAsia" w:cs="Times New Roman"/>
                <w:b w:val="0"/>
                <w:bCs/>
                <w:color w:val="auto"/>
                <w:sz w:val="24"/>
                <w:szCs w:val="24"/>
                <w:highlight w:val="none"/>
                <w:lang w:val="en-US" w:eastAsia="zh-CN"/>
              </w:rPr>
              <w:t>主要</w:t>
            </w:r>
            <w:r>
              <w:rPr>
                <w:rFonts w:hint="eastAsia" w:ascii="Times New Roman" w:hAnsi="Times New Roman" w:eastAsia="宋体" w:cs="Times New Roman"/>
                <w:b w:val="0"/>
                <w:bCs/>
                <w:color w:val="auto"/>
                <w:sz w:val="24"/>
                <w:szCs w:val="24"/>
                <w:highlight w:val="none"/>
                <w:lang w:val="en-US" w:eastAsia="zh-CN"/>
              </w:rPr>
              <w:t>为原料废钢铁</w:t>
            </w:r>
            <w:r>
              <w:rPr>
                <w:rFonts w:hint="eastAsia" w:cs="Times New Roman"/>
                <w:b w:val="0"/>
                <w:bCs/>
                <w:color w:val="auto"/>
                <w:sz w:val="24"/>
                <w:szCs w:val="24"/>
                <w:highlight w:val="none"/>
                <w:lang w:val="en-US" w:eastAsia="zh-CN"/>
              </w:rPr>
              <w:t>上料废气、</w:t>
            </w:r>
            <w:r>
              <w:rPr>
                <w:rFonts w:hint="eastAsia" w:ascii="Times New Roman" w:hAnsi="Times New Roman" w:eastAsia="宋体" w:cs="Times New Roman"/>
                <w:b w:val="0"/>
                <w:bCs/>
                <w:color w:val="auto"/>
                <w:sz w:val="24"/>
                <w:szCs w:val="24"/>
                <w:highlight w:val="none"/>
                <w:lang w:val="en-US" w:eastAsia="zh-CN"/>
              </w:rPr>
              <w:t>加热产生的烟气</w:t>
            </w:r>
            <w:r>
              <w:rPr>
                <w:rFonts w:hint="eastAsia" w:cs="Times New Roman"/>
                <w:b w:val="0"/>
                <w:bCs/>
                <w:color w:val="auto"/>
                <w:sz w:val="24"/>
                <w:szCs w:val="24"/>
                <w:highlight w:val="none"/>
                <w:lang w:val="en-US" w:eastAsia="zh-CN"/>
              </w:rPr>
              <w:t>、热压成型废气、出料废气</w:t>
            </w:r>
            <w:r>
              <w:rPr>
                <w:rFonts w:hint="eastAsia"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每个料仓上方设置1个集气罩（共3个），上料</w:t>
            </w:r>
            <w:r>
              <w:rPr>
                <w:rFonts w:hint="eastAsia" w:ascii="Times New Roman" w:hAnsi="Times New Roman" w:eastAsia="宋体" w:cs="Times New Roman"/>
                <w:b w:val="0"/>
                <w:bCs/>
                <w:color w:val="auto"/>
                <w:sz w:val="24"/>
                <w:szCs w:val="24"/>
                <w:highlight w:val="none"/>
                <w:lang w:val="en-US" w:eastAsia="zh-CN"/>
              </w:rPr>
              <w:t>废气经集气罩收集后引入布袋除尘器</w:t>
            </w:r>
            <w:r>
              <w:rPr>
                <w:rFonts w:hint="eastAsia" w:cs="Times New Roman"/>
                <w:b w:val="0"/>
                <w:bCs/>
                <w:color w:val="auto"/>
                <w:sz w:val="24"/>
                <w:szCs w:val="24"/>
                <w:highlight w:val="none"/>
                <w:lang w:val="en-US" w:eastAsia="zh-CN"/>
              </w:rPr>
              <w:t>（TA001）</w:t>
            </w:r>
            <w:r>
              <w:rPr>
                <w:rFonts w:hint="eastAsia" w:ascii="Times New Roman" w:hAnsi="Times New Roman" w:eastAsia="宋体" w:cs="Times New Roman"/>
                <w:b w:val="0"/>
                <w:bCs/>
                <w:color w:val="auto"/>
                <w:sz w:val="24"/>
                <w:szCs w:val="24"/>
                <w:highlight w:val="none"/>
                <w:lang w:val="en-US" w:eastAsia="zh-CN"/>
              </w:rPr>
              <w:t>处理后，由1根20m高排气筒（DA008）排放</w:t>
            </w:r>
            <w:r>
              <w:rPr>
                <w:rFonts w:hint="eastAsia" w:cs="Times New Roman"/>
                <w:b w:val="0"/>
                <w:bCs/>
                <w:color w:val="auto"/>
                <w:sz w:val="24"/>
                <w:szCs w:val="24"/>
                <w:highlight w:val="none"/>
                <w:lang w:val="en-US" w:eastAsia="zh-CN"/>
              </w:rPr>
              <w:t>；回转窑</w:t>
            </w:r>
            <w:r>
              <w:rPr>
                <w:rFonts w:hint="eastAsia" w:ascii="Times New Roman" w:hAnsi="Times New Roman" w:eastAsia="宋体" w:cs="Times New Roman"/>
                <w:b w:val="0"/>
                <w:bCs/>
                <w:color w:val="auto"/>
                <w:sz w:val="24"/>
                <w:szCs w:val="24"/>
                <w:highlight w:val="none"/>
                <w:lang w:val="en-US" w:eastAsia="zh-CN"/>
              </w:rPr>
              <w:t>设置低氮燃烧器，</w:t>
            </w:r>
            <w:r>
              <w:rPr>
                <w:rFonts w:hint="eastAsia" w:cs="Times New Roman"/>
                <w:b w:val="0"/>
                <w:bCs/>
                <w:color w:val="auto"/>
                <w:sz w:val="24"/>
                <w:szCs w:val="24"/>
                <w:highlight w:val="none"/>
                <w:lang w:val="en-US" w:eastAsia="zh-CN"/>
              </w:rPr>
              <w:t>加热产生的</w:t>
            </w:r>
            <w:r>
              <w:rPr>
                <w:rFonts w:hint="eastAsia" w:ascii="Times New Roman" w:hAnsi="Times New Roman" w:eastAsia="宋体" w:cs="Times New Roman"/>
                <w:b w:val="0"/>
                <w:bCs/>
                <w:color w:val="auto"/>
                <w:sz w:val="24"/>
                <w:szCs w:val="24"/>
                <w:highlight w:val="none"/>
                <w:lang w:val="en-US" w:eastAsia="zh-CN"/>
              </w:rPr>
              <w:t>烟气采用1台</w:t>
            </w:r>
            <w:r>
              <w:rPr>
                <w:rFonts w:hint="eastAsia" w:cs="Times New Roman"/>
                <w:b w:val="0"/>
                <w:bCs/>
                <w:color w:val="auto"/>
                <w:sz w:val="24"/>
                <w:szCs w:val="24"/>
                <w:highlight w:val="none"/>
                <w:lang w:val="en-US" w:eastAsia="zh-CN"/>
              </w:rPr>
              <w:t>旋风除尘器+1台脉冲式</w:t>
            </w:r>
            <w:r>
              <w:rPr>
                <w:rFonts w:hint="eastAsia" w:ascii="Times New Roman" w:hAnsi="Times New Roman" w:eastAsia="宋体" w:cs="Times New Roman"/>
                <w:b w:val="0"/>
                <w:bCs/>
                <w:color w:val="auto"/>
                <w:sz w:val="24"/>
                <w:szCs w:val="24"/>
                <w:highlight w:val="none"/>
                <w:lang w:val="en-US" w:eastAsia="zh-CN"/>
              </w:rPr>
              <w:t>布袋除尘器</w:t>
            </w:r>
            <w:r>
              <w:rPr>
                <w:rFonts w:hint="eastAsia" w:cs="Times New Roman"/>
                <w:b w:val="0"/>
                <w:bCs/>
                <w:color w:val="auto"/>
                <w:sz w:val="24"/>
                <w:szCs w:val="24"/>
                <w:highlight w:val="none"/>
                <w:lang w:val="en-US" w:eastAsia="zh-CN"/>
              </w:rPr>
              <w:t>（TA002）</w:t>
            </w:r>
            <w:r>
              <w:rPr>
                <w:rFonts w:hint="eastAsia" w:ascii="Times New Roman" w:hAnsi="Times New Roman" w:eastAsia="宋体" w:cs="Times New Roman"/>
                <w:b w:val="0"/>
                <w:bCs/>
                <w:color w:val="auto"/>
                <w:sz w:val="24"/>
                <w:szCs w:val="24"/>
                <w:highlight w:val="none"/>
                <w:lang w:val="en-US" w:eastAsia="zh-CN"/>
              </w:rPr>
              <w:t>处理后经20m高排气筒（DA00</w:t>
            </w:r>
            <w:r>
              <w:rPr>
                <w:rFonts w:hint="eastAsia" w:cs="Times New Roman"/>
                <w:b w:val="0"/>
                <w:bCs/>
                <w:color w:val="auto"/>
                <w:sz w:val="24"/>
                <w:szCs w:val="24"/>
                <w:highlight w:val="none"/>
                <w:lang w:val="en-US" w:eastAsia="zh-CN"/>
              </w:rPr>
              <w:t>9</w:t>
            </w:r>
            <w:r>
              <w:rPr>
                <w:rFonts w:hint="eastAsia" w:ascii="Times New Roman" w:hAnsi="Times New Roman" w:eastAsia="宋体" w:cs="Times New Roman"/>
                <w:b w:val="0"/>
                <w:bCs/>
                <w:color w:val="auto"/>
                <w:sz w:val="24"/>
                <w:szCs w:val="24"/>
                <w:highlight w:val="none"/>
                <w:lang w:val="en-US" w:eastAsia="zh-CN"/>
              </w:rPr>
              <w:t>）排放</w:t>
            </w:r>
            <w:r>
              <w:rPr>
                <w:rFonts w:hint="eastAsia" w:cs="Times New Roman"/>
                <w:b w:val="0"/>
                <w:bCs/>
                <w:color w:val="auto"/>
                <w:sz w:val="24"/>
                <w:szCs w:val="24"/>
                <w:highlight w:val="none"/>
                <w:lang w:val="en-US" w:eastAsia="zh-CN"/>
              </w:rPr>
              <w:t>；每台热压成型机上方分别设置1个集气罩（共2个），对辊成型机上方设置集气管道，废气经收集引入布袋除尘器（TA003）处理后，由1根20m高排气筒（DA010）排放；成品出料池上方各设置1个集气罩（共2个），废气经收集后引入1台布袋除尘器（TA004）处理后，由1根20m高排气筒（DA011）排放。</w:t>
            </w:r>
          </w:p>
          <w:p w14:paraId="6D663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本项目上料、热压成型、出料废气产生的颗粒物</w:t>
            </w:r>
            <w:r>
              <w:rPr>
                <w:rFonts w:hint="default"/>
                <w:color w:val="auto"/>
                <w:sz w:val="24"/>
                <w:highlight w:val="none"/>
                <w:lang w:val="zh-CN"/>
              </w:rPr>
              <w:t>参照执行《钢铁工业大气污染物排放标准》</w:t>
            </w:r>
            <w:r>
              <w:rPr>
                <w:rFonts w:hint="eastAsia"/>
                <w:color w:val="auto"/>
                <w:sz w:val="24"/>
                <w:highlight w:val="none"/>
                <w:lang w:val="zh-CN"/>
              </w:rPr>
              <w:t>（</w:t>
            </w:r>
            <w:r>
              <w:rPr>
                <w:rFonts w:hint="default"/>
                <w:color w:val="auto"/>
                <w:sz w:val="24"/>
                <w:highlight w:val="none"/>
                <w:lang w:val="zh-CN"/>
              </w:rPr>
              <w:t>DB14/2249-2020</w:t>
            </w:r>
            <w:r>
              <w:rPr>
                <w:rFonts w:hint="eastAsia"/>
                <w:color w:val="auto"/>
                <w:sz w:val="24"/>
                <w:highlight w:val="none"/>
                <w:lang w:val="zh-CN"/>
              </w:rPr>
              <w:t>）</w:t>
            </w:r>
            <w:r>
              <w:rPr>
                <w:rFonts w:hint="default"/>
                <w:color w:val="auto"/>
                <w:sz w:val="24"/>
                <w:highlight w:val="none"/>
                <w:lang w:val="zh-CN"/>
              </w:rPr>
              <w:t>表1炼钢其他生产设施排放限值</w:t>
            </w:r>
            <w:r>
              <w:rPr>
                <w:rFonts w:hint="eastAsia"/>
                <w:color w:val="auto"/>
                <w:sz w:val="24"/>
                <w:highlight w:val="none"/>
                <w:lang w:val="zh-CN"/>
              </w:rPr>
              <w:t>。</w:t>
            </w:r>
            <w:r>
              <w:rPr>
                <w:rFonts w:hint="default" w:ascii="Times New Roman" w:hAnsi="Times New Roman" w:cs="Times New Roman"/>
                <w:color w:val="auto"/>
                <w:sz w:val="24"/>
                <w:szCs w:val="24"/>
                <w:highlight w:val="none"/>
                <w:lang w:val="en-US" w:eastAsia="zh-CN"/>
              </w:rPr>
              <w:t>回转窑</w:t>
            </w:r>
            <w:r>
              <w:rPr>
                <w:rFonts w:hint="eastAsia" w:ascii="Times New Roman" w:hAnsi="Times New Roman" w:cs="Times New Roman"/>
                <w:color w:val="auto"/>
                <w:sz w:val="24"/>
                <w:szCs w:val="24"/>
                <w:highlight w:val="none"/>
                <w:lang w:val="en-US" w:eastAsia="zh-CN"/>
              </w:rPr>
              <w:t>加热产生的</w:t>
            </w:r>
            <w:r>
              <w:rPr>
                <w:rFonts w:hint="default" w:ascii="Times New Roman" w:hAnsi="Times New Roman" w:cs="Times New Roman"/>
                <w:color w:val="auto"/>
                <w:sz w:val="24"/>
                <w:szCs w:val="24"/>
                <w:highlight w:val="none"/>
                <w:lang w:val="en-US" w:eastAsia="zh-CN"/>
              </w:rPr>
              <w:t>颗粒物、SO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、NOx</w:t>
            </w:r>
            <w:r>
              <w:rPr>
                <w:rFonts w:hint="default" w:ascii="Times New Roman" w:hAnsi="Times New Roman" w:cs="Times New Roman"/>
                <w:color w:val="auto"/>
                <w:sz w:val="24"/>
                <w:szCs w:val="24"/>
                <w:highlight w:val="none"/>
                <w:lang w:val="zh-CN"/>
              </w:rPr>
              <w:t>排放浓度参照执行《长治市人民政府办公室关于印发长治市大气和水污染物排放管控要求的通知》（长政办规〔2023〕1号）</w:t>
            </w:r>
            <w:r>
              <w:rPr>
                <w:rFonts w:hint="default" w:ascii="Times New Roman" w:hAnsi="Times New Roman" w:cs="Times New Roman"/>
                <w:color w:val="auto"/>
                <w:sz w:val="24"/>
                <w:szCs w:val="24"/>
                <w:highlight w:val="none"/>
                <w:lang w:val="en-US" w:eastAsia="zh-CN"/>
              </w:rPr>
              <w:t>钢铁</w:t>
            </w:r>
            <w:r>
              <w:rPr>
                <w:rFonts w:hint="default" w:ascii="Times New Roman" w:hAnsi="Times New Roman" w:cs="Times New Roman"/>
                <w:color w:val="auto"/>
                <w:sz w:val="24"/>
                <w:szCs w:val="24"/>
                <w:highlight w:val="none"/>
                <w:lang w:val="zh-CN"/>
              </w:rPr>
              <w:t>行业管控要求</w:t>
            </w:r>
            <w:r>
              <w:rPr>
                <w:rFonts w:hint="default" w:ascii="Times New Roman" w:hAnsi="Times New Roman" w:cs="Times New Roman"/>
                <w:color w:val="auto"/>
                <w:sz w:val="24"/>
                <w:szCs w:val="24"/>
                <w:highlight w:val="none"/>
                <w:lang w:val="en-US" w:eastAsia="zh-CN"/>
              </w:rPr>
              <w:t>加热炉</w:t>
            </w:r>
            <w:r>
              <w:rPr>
                <w:rFonts w:hint="default" w:ascii="Times New Roman" w:hAnsi="Times New Roman" w:cs="Times New Roman"/>
                <w:color w:val="auto"/>
                <w:sz w:val="24"/>
                <w:szCs w:val="24"/>
                <w:highlight w:val="none"/>
                <w:lang w:val="zh-CN"/>
              </w:rPr>
              <w:t>限值要求</w:t>
            </w:r>
            <w:r>
              <w:rPr>
                <w:rFonts w:hint="eastAsia" w:ascii="Times New Roman" w:hAnsi="Times New Roman" w:eastAsia="宋体" w:cs="Times New Roman"/>
                <w:b w:val="0"/>
                <w:bCs/>
                <w:color w:val="auto"/>
                <w:sz w:val="24"/>
                <w:szCs w:val="24"/>
                <w:highlight w:val="none"/>
                <w:lang w:val="en-US" w:eastAsia="zh-CN"/>
              </w:rPr>
              <w:t>，能够实现达标排放。</w:t>
            </w:r>
          </w:p>
          <w:p w14:paraId="0091EE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本项目无组织废气污染源主要为</w:t>
            </w:r>
            <w:r>
              <w:rPr>
                <w:rFonts w:hint="eastAsia" w:cs="Times New Roman"/>
                <w:color w:val="auto"/>
                <w:sz w:val="24"/>
                <w:szCs w:val="24"/>
                <w:highlight w:val="none"/>
                <w:lang w:val="en-US" w:eastAsia="zh-CN"/>
              </w:rPr>
              <w:t>原料及成品运输产生的扬尘及集气罩未能收集的无组织颗粒物</w:t>
            </w:r>
            <w:r>
              <w:rPr>
                <w:rFonts w:hint="eastAsia"/>
                <w:bCs/>
                <w:color w:val="auto"/>
                <w:sz w:val="24"/>
                <w:szCs w:val="24"/>
                <w:highlight w:val="none"/>
                <w:lang w:eastAsia="zh-CN"/>
              </w:rPr>
              <w:t>。</w:t>
            </w:r>
            <w:r>
              <w:rPr>
                <w:rFonts w:hint="eastAsia"/>
                <w:bCs/>
                <w:color w:val="auto"/>
                <w:sz w:val="24"/>
                <w:szCs w:val="24"/>
                <w:highlight w:val="none"/>
                <w:lang w:val="en-US" w:eastAsia="zh-CN"/>
              </w:rPr>
              <w:t>原料及成品堆放区为位于全封闭生产车间内，</w:t>
            </w:r>
            <w:r>
              <w:rPr>
                <w:rFonts w:hint="eastAsia"/>
                <w:color w:val="auto"/>
                <w:sz w:val="24"/>
                <w:highlight w:val="none"/>
                <w:lang w:val="en-US" w:eastAsia="zh-CN"/>
              </w:rPr>
              <w:t>建设单位应建立厂区清扫管理制度，有专人定期洒水抑尘，确保厂区内不得有露天堆场、道路积尘等现象。</w:t>
            </w:r>
            <w:r>
              <w:rPr>
                <w:rFonts w:hint="eastAsia" w:cs="Times New Roman"/>
                <w:b w:val="0"/>
                <w:bCs/>
                <w:color w:val="auto"/>
                <w:sz w:val="24"/>
                <w:szCs w:val="24"/>
                <w:highlight w:val="none"/>
                <w:lang w:val="en-US" w:eastAsia="zh-CN"/>
              </w:rPr>
              <w:t>采取以上措施后，可减少无组织废气的排放。</w:t>
            </w:r>
          </w:p>
          <w:p w14:paraId="57EAAE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hAnsi="宋体"/>
                <w:bCs/>
                <w:snapToGrid w:val="0"/>
                <w:color w:val="auto"/>
                <w:kern w:val="0"/>
                <w:sz w:val="24"/>
                <w:highlight w:val="none"/>
              </w:rPr>
            </w:pPr>
            <w:r>
              <w:rPr>
                <w:rFonts w:hint="eastAsia" w:cs="Times New Roman"/>
                <w:b w:val="0"/>
                <w:bCs/>
                <w:color w:val="auto"/>
                <w:sz w:val="24"/>
                <w:szCs w:val="24"/>
                <w:highlight w:val="none"/>
                <w:lang w:val="en-US" w:eastAsia="zh-CN"/>
              </w:rPr>
              <w:t>评价要求</w:t>
            </w:r>
            <w:r>
              <w:rPr>
                <w:rFonts w:hint="default" w:ascii="Times New Roman" w:hAnsi="Times New Roman" w:cs="Times New Roman"/>
                <w:b w:val="0"/>
                <w:bCs w:val="0"/>
                <w:color w:val="auto"/>
                <w:sz w:val="24"/>
                <w:szCs w:val="24"/>
                <w:highlight w:val="none"/>
                <w:lang w:val="en-US" w:eastAsia="zh-CN"/>
              </w:rPr>
              <w:t>为保证清洁运输，应合理规划路线及运输时间，错开高峰期，减轻车辆堵塞、怠速等尾气排放，</w:t>
            </w:r>
            <w:r>
              <w:rPr>
                <w:rFonts w:hint="eastAsia" w:ascii="Times New Roman" w:hAnsi="Times New Roman" w:cs="Times New Roman"/>
                <w:b w:val="0"/>
                <w:bCs w:val="0"/>
                <w:color w:val="auto"/>
                <w:sz w:val="24"/>
                <w:szCs w:val="24"/>
                <w:highlight w:val="none"/>
                <w:lang w:val="en-US" w:eastAsia="zh-CN"/>
              </w:rPr>
              <w:t>运输道路为</w:t>
            </w:r>
            <w:r>
              <w:rPr>
                <w:rFonts w:hint="eastAsia" w:cs="Times New Roman"/>
                <w:color w:val="auto"/>
                <w:sz w:val="24"/>
                <w:highlight w:val="none"/>
                <w:lang w:val="en-US" w:eastAsia="zh-CN"/>
              </w:rPr>
              <w:t>厂区东侧等乡村道路运输</w:t>
            </w:r>
            <w:r>
              <w:rPr>
                <w:rFonts w:hint="eastAsia" w:ascii="Times New Roman" w:hAnsi="Times New Roman" w:cs="Times New Roman"/>
                <w:b w:val="0"/>
                <w:bCs w:val="0"/>
                <w:color w:val="auto"/>
                <w:sz w:val="24"/>
                <w:szCs w:val="24"/>
                <w:highlight w:val="none"/>
                <w:lang w:val="en-US" w:eastAsia="zh-CN"/>
              </w:rPr>
              <w:t>，沿线村庄较少，运输车辆在路过村庄时应禁止鸣笛，限制车速等措施</w:t>
            </w:r>
            <w:r>
              <w:rPr>
                <w:rFonts w:hint="default" w:ascii="Times New Roman" w:hAnsi="Times New Roman" w:cs="Times New Roman"/>
                <w:b w:val="0"/>
                <w:bCs w:val="0"/>
                <w:color w:val="auto"/>
                <w:sz w:val="24"/>
                <w:szCs w:val="24"/>
                <w:highlight w:val="none"/>
                <w:lang w:val="en-US" w:eastAsia="zh-CN"/>
              </w:rPr>
              <w:t>，</w:t>
            </w:r>
            <w:r>
              <w:rPr>
                <w:rFonts w:hint="eastAsia" w:hAnsi="宋体"/>
                <w:bCs/>
                <w:snapToGrid w:val="0"/>
                <w:color w:val="auto"/>
                <w:kern w:val="0"/>
                <w:sz w:val="24"/>
                <w:highlight w:val="none"/>
              </w:rPr>
              <w:t>为本项目服务的所有运输车辆</w:t>
            </w:r>
            <w:r>
              <w:rPr>
                <w:rFonts w:hint="eastAsia" w:hAnsi="宋体"/>
                <w:bCs/>
                <w:snapToGrid w:val="0"/>
                <w:color w:val="auto"/>
                <w:kern w:val="0"/>
                <w:sz w:val="24"/>
                <w:highlight w:val="none"/>
                <w:lang w:val="en-US" w:eastAsia="zh-CN"/>
              </w:rPr>
              <w:t>均</w:t>
            </w:r>
            <w:r>
              <w:rPr>
                <w:rFonts w:hint="eastAsia" w:hAnsi="宋体"/>
                <w:bCs/>
                <w:snapToGrid w:val="0"/>
                <w:color w:val="auto"/>
                <w:kern w:val="0"/>
                <w:sz w:val="24"/>
                <w:highlight w:val="none"/>
              </w:rPr>
              <w:t>满足清洁运输的要求；厂区所有运输通道出入口按要求安装门禁系统，门禁视频监控数据连续保存6个月以上。</w:t>
            </w:r>
          </w:p>
          <w:p w14:paraId="14967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综上所述，本项目对生产环节产生的</w:t>
            </w:r>
            <w:r>
              <w:rPr>
                <w:rFonts w:hint="eastAsia" w:cs="Times New Roman"/>
                <w:b w:val="0"/>
                <w:bCs/>
                <w:color w:val="auto"/>
                <w:sz w:val="24"/>
                <w:szCs w:val="24"/>
                <w:highlight w:val="none"/>
                <w:lang w:val="en-US" w:eastAsia="zh-CN"/>
              </w:rPr>
              <w:t>有组织</w:t>
            </w:r>
            <w:r>
              <w:rPr>
                <w:rFonts w:hint="eastAsia" w:ascii="Times New Roman" w:hAnsi="Times New Roman" w:eastAsia="宋体" w:cs="Times New Roman"/>
                <w:b w:val="0"/>
                <w:bCs/>
                <w:color w:val="auto"/>
                <w:sz w:val="24"/>
                <w:szCs w:val="24"/>
                <w:highlight w:val="none"/>
                <w:lang w:val="en-US" w:eastAsia="zh-CN"/>
              </w:rPr>
              <w:t>废气进行收集处理</w:t>
            </w:r>
            <w:r>
              <w:rPr>
                <w:rFonts w:hint="eastAsia" w:cs="Times New Roman"/>
                <w:b w:val="0"/>
                <w:bCs/>
                <w:color w:val="auto"/>
                <w:sz w:val="24"/>
                <w:szCs w:val="24"/>
                <w:highlight w:val="none"/>
                <w:lang w:val="en-US" w:eastAsia="zh-CN"/>
              </w:rPr>
              <w:t>、对无组织废气</w:t>
            </w:r>
            <w:r>
              <w:rPr>
                <w:rFonts w:hint="eastAsia" w:ascii="Times New Roman" w:hAnsi="Times New Roman" w:eastAsia="宋体" w:cs="Times New Roman"/>
                <w:b w:val="0"/>
                <w:bCs/>
                <w:color w:val="auto"/>
                <w:sz w:val="24"/>
                <w:szCs w:val="24"/>
                <w:highlight w:val="none"/>
                <w:lang w:val="en-US" w:eastAsia="zh-CN"/>
              </w:rPr>
              <w:t>采取</w:t>
            </w:r>
            <w:r>
              <w:rPr>
                <w:rFonts w:hint="eastAsia" w:cs="Times New Roman"/>
                <w:b w:val="0"/>
                <w:bCs/>
                <w:color w:val="auto"/>
                <w:sz w:val="24"/>
                <w:szCs w:val="24"/>
                <w:highlight w:val="none"/>
                <w:lang w:val="en-US" w:eastAsia="zh-CN"/>
              </w:rPr>
              <w:t>以上</w:t>
            </w:r>
            <w:r>
              <w:rPr>
                <w:rFonts w:hint="eastAsia" w:ascii="Times New Roman" w:hAnsi="Times New Roman" w:eastAsia="宋体" w:cs="Times New Roman"/>
                <w:b w:val="0"/>
                <w:bCs/>
                <w:color w:val="auto"/>
                <w:sz w:val="24"/>
                <w:szCs w:val="24"/>
                <w:highlight w:val="none"/>
                <w:lang w:val="en-US" w:eastAsia="zh-CN"/>
              </w:rPr>
              <w:t>污染治理措施均为排污许可技术规范中可行技术，污染物均能实现达标排放，对区域大气环境的影响较小。</w:t>
            </w:r>
          </w:p>
          <w:p w14:paraId="7ED86B83">
            <w:pPr>
              <w:keepNext w:val="0"/>
              <w:keepLines w:val="0"/>
              <w:suppressLineNumbers w:val="0"/>
              <w:spacing w:before="0" w:beforeAutospacing="0" w:after="0" w:afterAutospacing="0" w:line="480" w:lineRule="exact"/>
              <w:ind w:left="0" w:right="0" w:firstLine="480" w:firstLineChars="200"/>
              <w:rPr>
                <w:rFonts w:hint="default" w:eastAsia="宋体"/>
                <w:b w:val="0"/>
                <w:bCs w:val="0"/>
                <w:color w:val="auto"/>
                <w:sz w:val="24"/>
                <w:highlight w:val="none"/>
                <w:lang w:val="en-US" w:eastAsia="zh-CN"/>
              </w:rPr>
            </w:pPr>
            <w:r>
              <w:rPr>
                <w:rFonts w:hint="eastAsia"/>
                <w:b w:val="0"/>
                <w:bCs w:val="0"/>
                <w:color w:val="auto"/>
                <w:sz w:val="24"/>
                <w:highlight w:val="none"/>
                <w:lang w:eastAsia="zh-CN"/>
              </w:rPr>
              <w:t>（</w:t>
            </w:r>
            <w:r>
              <w:rPr>
                <w:rFonts w:hint="eastAsia"/>
                <w:b w:val="0"/>
                <w:bCs w:val="0"/>
                <w:color w:val="auto"/>
                <w:sz w:val="24"/>
                <w:highlight w:val="none"/>
                <w:lang w:val="en-US" w:eastAsia="zh-CN"/>
              </w:rPr>
              <w:t>4</w:t>
            </w:r>
            <w:r>
              <w:rPr>
                <w:rFonts w:hint="eastAsia"/>
                <w:b w:val="0"/>
                <w:bCs w:val="0"/>
                <w:color w:val="auto"/>
                <w:sz w:val="24"/>
                <w:highlight w:val="none"/>
                <w:lang w:eastAsia="zh-CN"/>
              </w:rPr>
              <w:t>）</w:t>
            </w:r>
            <w:r>
              <w:rPr>
                <w:rFonts w:hint="eastAsia"/>
                <w:b w:val="0"/>
                <w:bCs w:val="0"/>
                <w:color w:val="auto"/>
                <w:sz w:val="24"/>
                <w:highlight w:val="none"/>
                <w:lang w:val="en-US" w:eastAsia="zh-CN"/>
              </w:rPr>
              <w:t>大气污染源监测计划</w:t>
            </w:r>
          </w:p>
          <w:p w14:paraId="42558051">
            <w:pPr>
              <w:keepNext w:val="0"/>
              <w:keepLines w:val="0"/>
              <w:suppressLineNumbers w:val="0"/>
              <w:spacing w:before="0" w:beforeAutospacing="0" w:after="0" w:afterAutospacing="0" w:line="480" w:lineRule="exact"/>
              <w:ind w:left="0" w:right="0" w:firstLine="480" w:firstLineChars="200"/>
              <w:rPr>
                <w:rFonts w:hint="default"/>
                <w:b/>
                <w:color w:val="auto"/>
                <w:sz w:val="24"/>
                <w:highlight w:val="none"/>
              </w:rPr>
            </w:pPr>
            <w:r>
              <w:rPr>
                <w:rFonts w:hint="default"/>
                <w:color w:val="auto"/>
                <w:sz w:val="24"/>
                <w:highlight w:val="none"/>
              </w:rPr>
              <w:t>根据《排污单位自行监测技术指南</w:t>
            </w:r>
            <w:r>
              <w:rPr>
                <w:rFonts w:hint="eastAsia"/>
                <w:color w:val="auto"/>
                <w:sz w:val="24"/>
                <w:highlight w:val="none"/>
                <w:lang w:val="en-US" w:eastAsia="zh-CN"/>
              </w:rPr>
              <w:t xml:space="preserve"> </w:t>
            </w:r>
            <w:r>
              <w:rPr>
                <w:rFonts w:hint="default"/>
                <w:color w:val="auto"/>
                <w:sz w:val="24"/>
                <w:highlight w:val="none"/>
              </w:rPr>
              <w:t>总则》（HJ819-2017），本项目大气污染源监测计划见表4-</w:t>
            </w:r>
            <w:r>
              <w:rPr>
                <w:rFonts w:hint="eastAsia"/>
                <w:color w:val="auto"/>
                <w:sz w:val="24"/>
                <w:highlight w:val="none"/>
                <w:lang w:val="en-US" w:eastAsia="zh-CN"/>
              </w:rPr>
              <w:t>11</w:t>
            </w:r>
            <w:r>
              <w:rPr>
                <w:rFonts w:hint="default"/>
                <w:color w:val="auto"/>
                <w:sz w:val="24"/>
                <w:highlight w:val="none"/>
              </w:rPr>
              <w:t>。</w:t>
            </w:r>
          </w:p>
          <w:p w14:paraId="7886267F">
            <w:pPr>
              <w:pStyle w:val="104"/>
              <w:keepNext w:val="0"/>
              <w:keepLines w:val="0"/>
              <w:suppressLineNumbers w:val="0"/>
              <w:adjustRightInd w:val="0"/>
              <w:snapToGrid w:val="0"/>
              <w:spacing w:before="0" w:beforeAutospacing="0" w:after="0" w:afterAutospacing="0" w:line="480" w:lineRule="exact"/>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eastAsia" w:cs="Times New Roman"/>
                <w:b/>
                <w:bCs w:val="0"/>
                <w:color w:val="auto"/>
                <w:sz w:val="21"/>
                <w:szCs w:val="21"/>
                <w:highlight w:val="none"/>
                <w:lang w:val="en-US" w:eastAsia="zh-CN"/>
              </w:rPr>
              <w:t>11</w:t>
            </w:r>
            <w:r>
              <w:rPr>
                <w:rFonts w:hint="eastAsia" w:ascii="Times New Roman" w:hAnsi="Times New Roman" w:eastAsia="宋体" w:cs="Times New Roman"/>
                <w:b/>
                <w:bCs w:val="0"/>
                <w:color w:val="auto"/>
                <w:sz w:val="21"/>
                <w:szCs w:val="21"/>
                <w:highlight w:val="none"/>
                <w:lang w:val="en-US" w:eastAsia="zh-CN"/>
              </w:rPr>
              <w:t xml:space="preserve">  </w:t>
            </w:r>
            <w:r>
              <w:rPr>
                <w:rFonts w:hint="default" w:ascii="Times New Roman" w:hAnsi="Times New Roman" w:eastAsia="宋体" w:cs="Times New Roman"/>
                <w:b/>
                <w:bCs w:val="0"/>
                <w:color w:val="auto"/>
                <w:sz w:val="21"/>
                <w:szCs w:val="21"/>
                <w:highlight w:val="none"/>
              </w:rPr>
              <w:t>大气污染源监测计划一览表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3491"/>
              <w:gridCol w:w="1900"/>
              <w:gridCol w:w="1338"/>
              <w:gridCol w:w="1340"/>
            </w:tblGrid>
            <w:tr w14:paraId="1E38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496" w:type="pct"/>
                  <w:gridSpan w:val="2"/>
                  <w:noWrap w:val="0"/>
                  <w:vAlign w:val="center"/>
                </w:tcPr>
                <w:p w14:paraId="64B180F0">
                  <w:pPr>
                    <w:keepNext w:val="0"/>
                    <w:keepLines w:val="0"/>
                    <w:suppressLineNumbers w:val="0"/>
                    <w:adjustRightInd w:val="0"/>
                    <w:snapToGrid w:val="0"/>
                    <w:spacing w:before="0" w:beforeAutospacing="0" w:after="0" w:afterAutospacing="0"/>
                    <w:ind w:left="0" w:right="0"/>
                    <w:jc w:val="center"/>
                    <w:rPr>
                      <w:rFonts w:hint="default"/>
                      <w:b/>
                      <w:bCs/>
                      <w:color w:val="auto"/>
                      <w:sz w:val="21"/>
                      <w:szCs w:val="21"/>
                      <w:highlight w:val="none"/>
                    </w:rPr>
                  </w:pPr>
                  <w:r>
                    <w:rPr>
                      <w:rFonts w:hint="default"/>
                      <w:b/>
                      <w:bCs/>
                      <w:color w:val="auto"/>
                      <w:sz w:val="21"/>
                      <w:szCs w:val="21"/>
                      <w:highlight w:val="none"/>
                    </w:rPr>
                    <w:t>监测点位</w:t>
                  </w:r>
                </w:p>
              </w:tc>
              <w:tc>
                <w:tcPr>
                  <w:tcW w:w="1039" w:type="pct"/>
                  <w:noWrap w:val="0"/>
                  <w:vAlign w:val="center"/>
                </w:tcPr>
                <w:p w14:paraId="1E7FAE82">
                  <w:pPr>
                    <w:keepNext w:val="0"/>
                    <w:keepLines w:val="0"/>
                    <w:suppressLineNumbers w:val="0"/>
                    <w:adjustRightInd w:val="0"/>
                    <w:snapToGrid w:val="0"/>
                    <w:spacing w:before="0" w:beforeAutospacing="0" w:after="0" w:afterAutospacing="0"/>
                    <w:ind w:left="0" w:right="0"/>
                    <w:jc w:val="center"/>
                    <w:rPr>
                      <w:rFonts w:hint="default"/>
                      <w:b/>
                      <w:bCs/>
                      <w:color w:val="auto"/>
                      <w:sz w:val="21"/>
                      <w:szCs w:val="21"/>
                      <w:highlight w:val="none"/>
                    </w:rPr>
                  </w:pPr>
                  <w:r>
                    <w:rPr>
                      <w:rFonts w:hint="default"/>
                      <w:b/>
                      <w:bCs/>
                      <w:color w:val="auto"/>
                      <w:sz w:val="21"/>
                      <w:szCs w:val="21"/>
                      <w:highlight w:val="none"/>
                    </w:rPr>
                    <w:t>监测项目</w:t>
                  </w:r>
                </w:p>
              </w:tc>
              <w:tc>
                <w:tcPr>
                  <w:tcW w:w="731" w:type="pct"/>
                  <w:noWrap w:val="0"/>
                  <w:vAlign w:val="center"/>
                </w:tcPr>
                <w:p w14:paraId="5022D1B8">
                  <w:pPr>
                    <w:keepNext w:val="0"/>
                    <w:keepLines w:val="0"/>
                    <w:suppressLineNumbers w:val="0"/>
                    <w:spacing w:before="0" w:beforeAutospacing="0" w:after="0" w:afterAutospacing="0"/>
                    <w:ind w:left="0" w:right="0"/>
                    <w:jc w:val="center"/>
                    <w:rPr>
                      <w:rFonts w:hint="default"/>
                      <w:b/>
                      <w:bCs/>
                      <w:color w:val="auto"/>
                      <w:sz w:val="21"/>
                      <w:szCs w:val="21"/>
                      <w:highlight w:val="none"/>
                    </w:rPr>
                  </w:pPr>
                  <w:r>
                    <w:rPr>
                      <w:rFonts w:hint="default"/>
                      <w:b/>
                      <w:bCs/>
                      <w:color w:val="auto"/>
                      <w:sz w:val="21"/>
                      <w:szCs w:val="21"/>
                      <w:highlight w:val="none"/>
                    </w:rPr>
                    <w:t>监测频率</w:t>
                  </w:r>
                </w:p>
              </w:tc>
              <w:tc>
                <w:tcPr>
                  <w:tcW w:w="732" w:type="pct"/>
                  <w:noWrap w:val="0"/>
                  <w:vAlign w:val="center"/>
                </w:tcPr>
                <w:p w14:paraId="122283BA">
                  <w:pPr>
                    <w:keepNext w:val="0"/>
                    <w:keepLines w:val="0"/>
                    <w:suppressLineNumbers w:val="0"/>
                    <w:adjustRightInd w:val="0"/>
                    <w:snapToGrid w:val="0"/>
                    <w:spacing w:before="0" w:beforeAutospacing="0" w:after="0" w:afterAutospacing="0"/>
                    <w:ind w:left="0" w:right="0"/>
                    <w:jc w:val="center"/>
                    <w:rPr>
                      <w:rFonts w:hint="default"/>
                      <w:b/>
                      <w:bCs/>
                      <w:color w:val="auto"/>
                      <w:sz w:val="21"/>
                      <w:szCs w:val="21"/>
                      <w:highlight w:val="none"/>
                    </w:rPr>
                  </w:pPr>
                  <w:r>
                    <w:rPr>
                      <w:rFonts w:hint="default"/>
                      <w:b/>
                      <w:bCs/>
                      <w:color w:val="auto"/>
                      <w:sz w:val="21"/>
                      <w:szCs w:val="21"/>
                      <w:highlight w:val="none"/>
                    </w:rPr>
                    <w:t>监测单位</w:t>
                  </w:r>
                </w:p>
              </w:tc>
            </w:tr>
            <w:tr w14:paraId="6D78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7" w:type="pct"/>
                  <w:vMerge w:val="restart"/>
                  <w:noWrap w:val="0"/>
                  <w:vAlign w:val="center"/>
                </w:tcPr>
                <w:p w14:paraId="73ABF67C">
                  <w:pPr>
                    <w:keepNext w:val="0"/>
                    <w:keepLines w:val="0"/>
                    <w:suppressLineNumbers w:val="0"/>
                    <w:snapToGrid w:val="0"/>
                    <w:spacing w:before="0" w:beforeAutospacing="0" w:after="0" w:afterAutospacing="0" w:line="240" w:lineRule="atLeast"/>
                    <w:ind w:left="0" w:right="0"/>
                    <w:jc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有组织</w:t>
                  </w:r>
                </w:p>
              </w:tc>
              <w:tc>
                <w:tcPr>
                  <w:tcW w:w="1909" w:type="pct"/>
                  <w:noWrap w:val="0"/>
                  <w:vAlign w:val="center"/>
                </w:tcPr>
                <w:p w14:paraId="48725C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DA008上料废气排气筒</w:t>
                  </w:r>
                </w:p>
              </w:tc>
              <w:tc>
                <w:tcPr>
                  <w:tcW w:w="1039" w:type="pct"/>
                  <w:noWrap w:val="0"/>
                  <w:vAlign w:val="center"/>
                </w:tcPr>
                <w:p w14:paraId="7FE3D195">
                  <w:pPr>
                    <w:keepNext w:val="0"/>
                    <w:keepLines w:val="0"/>
                    <w:suppressLineNumbers w:val="0"/>
                    <w:snapToGrid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颗粒物</w:t>
                  </w:r>
                </w:p>
              </w:tc>
              <w:tc>
                <w:tcPr>
                  <w:tcW w:w="731" w:type="pct"/>
                  <w:noWrap w:val="0"/>
                  <w:vAlign w:val="center"/>
                </w:tcPr>
                <w:p w14:paraId="21988470">
                  <w:pPr>
                    <w:keepNext w:val="0"/>
                    <w:keepLines w:val="0"/>
                    <w:suppressLineNumbers w:val="0"/>
                    <w:snapToGrid w:val="0"/>
                    <w:spacing w:before="0" w:beforeAutospacing="0" w:after="0" w:afterAutospacing="0"/>
                    <w:ind w:left="0" w:right="0"/>
                    <w:jc w:val="center"/>
                    <w:rPr>
                      <w:rFonts w:hint="default"/>
                      <w:color w:val="auto"/>
                      <w:sz w:val="21"/>
                      <w:szCs w:val="21"/>
                      <w:highlight w:val="none"/>
                      <w:lang w:val="en-US"/>
                    </w:rPr>
                  </w:pPr>
                  <w:r>
                    <w:rPr>
                      <w:rFonts w:hint="eastAsia"/>
                      <w:color w:val="auto"/>
                      <w:sz w:val="21"/>
                      <w:szCs w:val="21"/>
                      <w:highlight w:val="none"/>
                      <w:lang w:val="en-US" w:eastAsia="zh-CN"/>
                    </w:rPr>
                    <w:t>1次/年</w:t>
                  </w:r>
                </w:p>
              </w:tc>
              <w:tc>
                <w:tcPr>
                  <w:tcW w:w="732" w:type="pct"/>
                  <w:vMerge w:val="restart"/>
                  <w:noWrap w:val="0"/>
                  <w:vAlign w:val="center"/>
                </w:tcPr>
                <w:p w14:paraId="794AAB0C">
                  <w:pPr>
                    <w:keepNext w:val="0"/>
                    <w:keepLines w:val="0"/>
                    <w:suppressLineNumbers w:val="0"/>
                    <w:adjustRightInd w:val="0"/>
                    <w:snapToGrid w:val="0"/>
                    <w:spacing w:before="0" w:beforeAutospacing="0" w:after="0" w:afterAutospacing="0"/>
                    <w:ind w:left="0" w:right="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委托有资质第三方检测公司</w:t>
                  </w:r>
                </w:p>
              </w:tc>
            </w:tr>
            <w:tr w14:paraId="4013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7" w:type="pct"/>
                  <w:vMerge w:val="continue"/>
                  <w:noWrap w:val="0"/>
                  <w:vAlign w:val="center"/>
                </w:tcPr>
                <w:p w14:paraId="3300C28A">
                  <w:pPr>
                    <w:keepNext w:val="0"/>
                    <w:keepLines w:val="0"/>
                    <w:suppressLineNumbers w:val="0"/>
                    <w:snapToGrid w:val="0"/>
                    <w:spacing w:before="0" w:beforeAutospacing="0" w:after="0" w:afterAutospacing="0" w:line="240" w:lineRule="atLeast"/>
                    <w:ind w:left="0" w:right="0"/>
                    <w:jc w:val="center"/>
                    <w:rPr>
                      <w:rFonts w:hint="default"/>
                      <w:bCs/>
                      <w:color w:val="auto"/>
                      <w:sz w:val="21"/>
                      <w:szCs w:val="21"/>
                      <w:highlight w:val="none"/>
                    </w:rPr>
                  </w:pPr>
                </w:p>
              </w:tc>
              <w:tc>
                <w:tcPr>
                  <w:tcW w:w="1909" w:type="pct"/>
                  <w:noWrap w:val="0"/>
                  <w:vAlign w:val="center"/>
                </w:tcPr>
                <w:p w14:paraId="1DDBB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bCs/>
                      <w:color w:val="auto"/>
                      <w:sz w:val="21"/>
                      <w:szCs w:val="21"/>
                      <w:highlight w:val="none"/>
                    </w:rPr>
                  </w:pPr>
                  <w:r>
                    <w:rPr>
                      <w:rFonts w:hint="eastAsia"/>
                      <w:bCs/>
                      <w:color w:val="auto"/>
                      <w:sz w:val="21"/>
                      <w:szCs w:val="21"/>
                      <w:highlight w:val="none"/>
                      <w:lang w:val="en-US" w:eastAsia="zh-CN"/>
                    </w:rPr>
                    <w:t>DA009回转窑废气排气筒</w:t>
                  </w:r>
                </w:p>
              </w:tc>
              <w:tc>
                <w:tcPr>
                  <w:tcW w:w="1039" w:type="pct"/>
                  <w:noWrap w:val="0"/>
                  <w:vAlign w:val="center"/>
                </w:tcPr>
                <w:p w14:paraId="27D3E3B8">
                  <w:pPr>
                    <w:keepNext w:val="0"/>
                    <w:keepLines w:val="0"/>
                    <w:suppressLineNumbers w:val="0"/>
                    <w:snapToGrid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颗粒物、SO</w:t>
                  </w:r>
                  <w:r>
                    <w:rPr>
                      <w:rFonts w:hint="default"/>
                      <w:color w:val="auto"/>
                      <w:sz w:val="21"/>
                      <w:szCs w:val="21"/>
                      <w:highlight w:val="none"/>
                      <w:vertAlign w:val="subscript"/>
                    </w:rPr>
                    <w:t>2</w:t>
                  </w:r>
                  <w:r>
                    <w:rPr>
                      <w:rFonts w:hint="default"/>
                      <w:color w:val="auto"/>
                      <w:sz w:val="21"/>
                      <w:szCs w:val="21"/>
                      <w:highlight w:val="none"/>
                    </w:rPr>
                    <w:t>、NOx</w:t>
                  </w:r>
                </w:p>
              </w:tc>
              <w:tc>
                <w:tcPr>
                  <w:tcW w:w="731" w:type="pct"/>
                  <w:noWrap w:val="0"/>
                  <w:vAlign w:val="center"/>
                </w:tcPr>
                <w:p w14:paraId="00316032">
                  <w:pPr>
                    <w:keepNext w:val="0"/>
                    <w:keepLines w:val="0"/>
                    <w:suppressLineNumbers w:val="0"/>
                    <w:snapToGrid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lang w:val="en-US" w:eastAsia="zh-CN"/>
                    </w:rPr>
                    <w:t>1次/年</w:t>
                  </w:r>
                </w:p>
              </w:tc>
              <w:tc>
                <w:tcPr>
                  <w:tcW w:w="732" w:type="pct"/>
                  <w:vMerge w:val="continue"/>
                  <w:noWrap w:val="0"/>
                  <w:vAlign w:val="center"/>
                </w:tcPr>
                <w:p w14:paraId="45E5756A">
                  <w:pPr>
                    <w:keepNext w:val="0"/>
                    <w:keepLines w:val="0"/>
                    <w:suppressLineNumbers w:val="0"/>
                    <w:adjustRightInd w:val="0"/>
                    <w:snapToGrid w:val="0"/>
                    <w:spacing w:before="0" w:beforeAutospacing="0" w:after="0" w:afterAutospacing="0"/>
                    <w:ind w:left="0" w:right="0"/>
                    <w:jc w:val="center"/>
                    <w:rPr>
                      <w:rFonts w:hint="default"/>
                      <w:color w:val="auto"/>
                      <w:sz w:val="21"/>
                      <w:szCs w:val="21"/>
                      <w:highlight w:val="none"/>
                    </w:rPr>
                  </w:pPr>
                </w:p>
              </w:tc>
            </w:tr>
            <w:tr w14:paraId="2B47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7" w:type="pct"/>
                  <w:vMerge w:val="continue"/>
                  <w:noWrap w:val="0"/>
                  <w:vAlign w:val="center"/>
                </w:tcPr>
                <w:p w14:paraId="1E16154D">
                  <w:pPr>
                    <w:keepNext w:val="0"/>
                    <w:keepLines w:val="0"/>
                    <w:suppressLineNumbers w:val="0"/>
                    <w:snapToGrid w:val="0"/>
                    <w:spacing w:before="0" w:beforeAutospacing="0" w:after="0" w:afterAutospacing="0" w:line="240" w:lineRule="atLeast"/>
                    <w:ind w:left="0" w:right="0"/>
                    <w:jc w:val="center"/>
                    <w:rPr>
                      <w:rFonts w:hint="default"/>
                      <w:bCs/>
                      <w:color w:val="auto"/>
                      <w:sz w:val="21"/>
                      <w:szCs w:val="21"/>
                      <w:highlight w:val="none"/>
                    </w:rPr>
                  </w:pPr>
                </w:p>
              </w:tc>
              <w:tc>
                <w:tcPr>
                  <w:tcW w:w="1909" w:type="pct"/>
                  <w:noWrap w:val="0"/>
                  <w:vAlign w:val="center"/>
                </w:tcPr>
                <w:p w14:paraId="7FA1B1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rPr>
                  </w:pPr>
                  <w:r>
                    <w:rPr>
                      <w:rFonts w:hint="eastAsia"/>
                      <w:bCs/>
                      <w:color w:val="auto"/>
                      <w:sz w:val="21"/>
                      <w:szCs w:val="21"/>
                      <w:highlight w:val="none"/>
                      <w:lang w:val="en-US" w:eastAsia="zh-CN"/>
                    </w:rPr>
                    <w:t>DA010热压成型废气排气筒</w:t>
                  </w:r>
                </w:p>
              </w:tc>
              <w:tc>
                <w:tcPr>
                  <w:tcW w:w="1039" w:type="pct"/>
                  <w:noWrap w:val="0"/>
                  <w:vAlign w:val="center"/>
                </w:tcPr>
                <w:p w14:paraId="515005BC">
                  <w:pPr>
                    <w:keepNext w:val="0"/>
                    <w:keepLines w:val="0"/>
                    <w:suppressLineNumbers w:val="0"/>
                    <w:snapToGrid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颗粒物</w:t>
                  </w:r>
                </w:p>
              </w:tc>
              <w:tc>
                <w:tcPr>
                  <w:tcW w:w="731" w:type="pct"/>
                  <w:noWrap w:val="0"/>
                  <w:vAlign w:val="center"/>
                </w:tcPr>
                <w:p w14:paraId="0BF50A2F">
                  <w:pPr>
                    <w:keepNext w:val="0"/>
                    <w:keepLines w:val="0"/>
                    <w:suppressLineNumbers w:val="0"/>
                    <w:snapToGrid w:val="0"/>
                    <w:spacing w:before="0" w:beforeAutospacing="0" w:after="0" w:afterAutospacing="0"/>
                    <w:ind w:left="0" w:right="0"/>
                    <w:jc w:val="center"/>
                    <w:rPr>
                      <w:rFonts w:hint="default"/>
                      <w:color w:val="auto"/>
                      <w:sz w:val="21"/>
                      <w:szCs w:val="21"/>
                      <w:highlight w:val="none"/>
                    </w:rPr>
                  </w:pPr>
                  <w:r>
                    <w:rPr>
                      <w:rFonts w:hint="eastAsia"/>
                      <w:color w:val="auto"/>
                      <w:sz w:val="21"/>
                      <w:szCs w:val="21"/>
                      <w:highlight w:val="none"/>
                      <w:lang w:val="en-US" w:eastAsia="zh-CN"/>
                    </w:rPr>
                    <w:t>1次/年</w:t>
                  </w:r>
                </w:p>
              </w:tc>
              <w:tc>
                <w:tcPr>
                  <w:tcW w:w="732" w:type="pct"/>
                  <w:vMerge w:val="continue"/>
                  <w:noWrap w:val="0"/>
                  <w:vAlign w:val="center"/>
                </w:tcPr>
                <w:p w14:paraId="1E68E844">
                  <w:pPr>
                    <w:keepNext w:val="0"/>
                    <w:keepLines w:val="0"/>
                    <w:suppressLineNumbers w:val="0"/>
                    <w:adjustRightInd w:val="0"/>
                    <w:snapToGrid w:val="0"/>
                    <w:spacing w:before="0" w:beforeAutospacing="0" w:after="0" w:afterAutospacing="0"/>
                    <w:ind w:left="0" w:right="0"/>
                    <w:jc w:val="center"/>
                    <w:rPr>
                      <w:rFonts w:hint="default"/>
                      <w:color w:val="auto"/>
                      <w:sz w:val="21"/>
                      <w:szCs w:val="21"/>
                      <w:highlight w:val="none"/>
                    </w:rPr>
                  </w:pPr>
                </w:p>
              </w:tc>
            </w:tr>
            <w:tr w14:paraId="5D65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7" w:type="pct"/>
                  <w:vMerge w:val="continue"/>
                  <w:noWrap w:val="0"/>
                  <w:vAlign w:val="center"/>
                </w:tcPr>
                <w:p w14:paraId="37D93531">
                  <w:pPr>
                    <w:keepNext w:val="0"/>
                    <w:keepLines w:val="0"/>
                    <w:suppressLineNumbers w:val="0"/>
                    <w:snapToGrid w:val="0"/>
                    <w:spacing w:before="0" w:beforeAutospacing="0" w:after="0" w:afterAutospacing="0" w:line="240" w:lineRule="atLeast"/>
                    <w:ind w:left="0" w:right="0"/>
                    <w:jc w:val="center"/>
                    <w:rPr>
                      <w:rFonts w:hint="default"/>
                      <w:bCs/>
                      <w:color w:val="auto"/>
                      <w:sz w:val="21"/>
                      <w:szCs w:val="21"/>
                      <w:highlight w:val="none"/>
                    </w:rPr>
                  </w:pPr>
                </w:p>
              </w:tc>
              <w:tc>
                <w:tcPr>
                  <w:tcW w:w="1909" w:type="pct"/>
                  <w:noWrap w:val="0"/>
                  <w:vAlign w:val="center"/>
                </w:tcPr>
                <w:p w14:paraId="42D65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z w:val="21"/>
                      <w:szCs w:val="21"/>
                      <w:highlight w:val="none"/>
                    </w:rPr>
                  </w:pPr>
                  <w:r>
                    <w:rPr>
                      <w:rFonts w:hint="eastAsia"/>
                      <w:bCs/>
                      <w:color w:val="auto"/>
                      <w:sz w:val="21"/>
                      <w:szCs w:val="21"/>
                      <w:highlight w:val="none"/>
                      <w:lang w:val="en-US" w:eastAsia="zh-CN"/>
                    </w:rPr>
                    <w:t>DA011出料废气排气筒</w:t>
                  </w:r>
                </w:p>
              </w:tc>
              <w:tc>
                <w:tcPr>
                  <w:tcW w:w="1039" w:type="pct"/>
                  <w:noWrap w:val="0"/>
                  <w:vAlign w:val="center"/>
                </w:tcPr>
                <w:p w14:paraId="68EC25E5">
                  <w:pPr>
                    <w:keepNext w:val="0"/>
                    <w:keepLines w:val="0"/>
                    <w:suppressLineNumbers w:val="0"/>
                    <w:snapToGrid w:val="0"/>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颗粒物</w:t>
                  </w:r>
                </w:p>
              </w:tc>
              <w:tc>
                <w:tcPr>
                  <w:tcW w:w="731" w:type="pct"/>
                  <w:noWrap w:val="0"/>
                  <w:vAlign w:val="center"/>
                </w:tcPr>
                <w:p w14:paraId="4AD94A03">
                  <w:pPr>
                    <w:keepNext w:val="0"/>
                    <w:keepLines w:val="0"/>
                    <w:suppressLineNumbers w:val="0"/>
                    <w:snapToGrid w:val="0"/>
                    <w:spacing w:before="0" w:beforeAutospacing="0" w:after="0" w:afterAutospacing="0"/>
                    <w:ind w:left="0" w:right="0"/>
                    <w:jc w:val="center"/>
                    <w:rPr>
                      <w:rFonts w:hint="default"/>
                      <w:color w:val="auto"/>
                      <w:sz w:val="21"/>
                      <w:szCs w:val="21"/>
                      <w:highlight w:val="none"/>
                    </w:rPr>
                  </w:pPr>
                  <w:r>
                    <w:rPr>
                      <w:rFonts w:hint="eastAsia"/>
                      <w:color w:val="auto"/>
                      <w:sz w:val="21"/>
                      <w:szCs w:val="21"/>
                      <w:highlight w:val="none"/>
                      <w:lang w:val="en-US" w:eastAsia="zh-CN"/>
                    </w:rPr>
                    <w:t>1次/年</w:t>
                  </w:r>
                </w:p>
              </w:tc>
              <w:tc>
                <w:tcPr>
                  <w:tcW w:w="732" w:type="pct"/>
                  <w:vMerge w:val="continue"/>
                  <w:noWrap w:val="0"/>
                  <w:vAlign w:val="center"/>
                </w:tcPr>
                <w:p w14:paraId="6ED1BB1D">
                  <w:pPr>
                    <w:keepNext w:val="0"/>
                    <w:keepLines w:val="0"/>
                    <w:suppressLineNumbers w:val="0"/>
                    <w:adjustRightInd w:val="0"/>
                    <w:snapToGrid w:val="0"/>
                    <w:spacing w:before="0" w:beforeAutospacing="0" w:after="0" w:afterAutospacing="0"/>
                    <w:ind w:left="0" w:right="0"/>
                    <w:jc w:val="center"/>
                    <w:rPr>
                      <w:rFonts w:hint="default"/>
                      <w:color w:val="auto"/>
                      <w:sz w:val="21"/>
                      <w:szCs w:val="21"/>
                      <w:highlight w:val="none"/>
                    </w:rPr>
                  </w:pPr>
                </w:p>
              </w:tc>
            </w:tr>
            <w:tr w14:paraId="131D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87" w:type="pct"/>
                  <w:noWrap w:val="0"/>
                  <w:vAlign w:val="center"/>
                </w:tcPr>
                <w:p w14:paraId="526242E4">
                  <w:pPr>
                    <w:keepNext w:val="0"/>
                    <w:keepLines w:val="0"/>
                    <w:suppressLineNumbers w:val="0"/>
                    <w:snapToGrid w:val="0"/>
                    <w:spacing w:before="0" w:beforeAutospacing="0" w:after="0" w:afterAutospacing="0" w:line="240" w:lineRule="atLeast"/>
                    <w:ind w:left="0" w:leftChars="0" w:right="0" w:rightChars="0"/>
                    <w:jc w:val="center"/>
                    <w:rPr>
                      <w:rFonts w:hint="default"/>
                      <w:bCs/>
                      <w:color w:val="auto"/>
                      <w:sz w:val="21"/>
                      <w:szCs w:val="21"/>
                      <w:highlight w:val="none"/>
                    </w:rPr>
                  </w:pPr>
                  <w:r>
                    <w:rPr>
                      <w:rFonts w:hint="default"/>
                      <w:bCs/>
                      <w:color w:val="auto"/>
                      <w:sz w:val="21"/>
                      <w:szCs w:val="21"/>
                      <w:highlight w:val="none"/>
                    </w:rPr>
                    <w:t>无组织</w:t>
                  </w:r>
                </w:p>
              </w:tc>
              <w:tc>
                <w:tcPr>
                  <w:tcW w:w="1909" w:type="pct"/>
                  <w:noWrap w:val="0"/>
                  <w:vAlign w:val="center"/>
                </w:tcPr>
                <w:p w14:paraId="37CA05B4">
                  <w:pPr>
                    <w:keepNext w:val="0"/>
                    <w:keepLines w:val="0"/>
                    <w:suppressLineNumbers w:val="0"/>
                    <w:snapToGrid w:val="0"/>
                    <w:spacing w:before="0" w:beforeAutospacing="0" w:after="0" w:afterAutospacing="0" w:line="240" w:lineRule="atLeast"/>
                    <w:ind w:left="0" w:leftChars="0" w:right="0" w:rightChars="0"/>
                    <w:jc w:val="center"/>
                    <w:rPr>
                      <w:rFonts w:hint="default"/>
                      <w:color w:val="auto"/>
                      <w:sz w:val="21"/>
                      <w:szCs w:val="21"/>
                      <w:highlight w:val="none"/>
                    </w:rPr>
                  </w:pPr>
                  <w:r>
                    <w:rPr>
                      <w:rFonts w:hint="default"/>
                      <w:color w:val="auto"/>
                      <w:sz w:val="21"/>
                      <w:szCs w:val="21"/>
                      <w:highlight w:val="none"/>
                    </w:rPr>
                    <w:t>厂界无组织（厂区上风向1个点位，下风向4个点位）</w:t>
                  </w:r>
                </w:p>
              </w:tc>
              <w:tc>
                <w:tcPr>
                  <w:tcW w:w="1039" w:type="pct"/>
                  <w:noWrap w:val="0"/>
                  <w:vAlign w:val="center"/>
                </w:tcPr>
                <w:p w14:paraId="4895C3F6">
                  <w:pPr>
                    <w:keepNext w:val="0"/>
                    <w:keepLines w:val="0"/>
                    <w:suppressLineNumbers w:val="0"/>
                    <w:snapToGrid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颗粒物</w:t>
                  </w:r>
                </w:p>
              </w:tc>
              <w:tc>
                <w:tcPr>
                  <w:tcW w:w="731" w:type="pct"/>
                  <w:noWrap w:val="0"/>
                  <w:vAlign w:val="center"/>
                </w:tcPr>
                <w:p w14:paraId="7468C110">
                  <w:pPr>
                    <w:keepNext w:val="0"/>
                    <w:keepLines w:val="0"/>
                    <w:suppressLineNumbers w:val="0"/>
                    <w:snapToGrid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lang w:val="en-US" w:eastAsia="zh-CN"/>
                    </w:rPr>
                    <w:t>1次/年</w:t>
                  </w:r>
                </w:p>
              </w:tc>
              <w:tc>
                <w:tcPr>
                  <w:tcW w:w="732" w:type="pct"/>
                  <w:vMerge w:val="continue"/>
                  <w:noWrap w:val="0"/>
                  <w:vAlign w:val="center"/>
                </w:tcPr>
                <w:p w14:paraId="3AD68AD2">
                  <w:pPr>
                    <w:keepNext w:val="0"/>
                    <w:keepLines w:val="0"/>
                    <w:suppressLineNumbers w:val="0"/>
                    <w:adjustRightInd w:val="0"/>
                    <w:snapToGrid w:val="0"/>
                    <w:spacing w:before="0" w:beforeAutospacing="0" w:after="0" w:afterAutospacing="0"/>
                    <w:ind w:left="0" w:right="0"/>
                    <w:jc w:val="center"/>
                    <w:rPr>
                      <w:rFonts w:hint="default"/>
                      <w:color w:val="auto"/>
                      <w:sz w:val="21"/>
                      <w:szCs w:val="21"/>
                      <w:highlight w:val="none"/>
                    </w:rPr>
                  </w:pPr>
                </w:p>
              </w:tc>
            </w:tr>
          </w:tbl>
          <w:p w14:paraId="43D47D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2" w:firstLineChars="200"/>
              <w:textAlignment w:val="auto"/>
              <w:rPr>
                <w:rFonts w:hint="eastAsia" w:ascii="Times New Roman" w:hAnsi="Times New Roman" w:eastAsia="宋体" w:cs="Times New Roman"/>
                <w:b/>
                <w:color w:val="auto"/>
                <w:sz w:val="24"/>
                <w:szCs w:val="24"/>
                <w:highlight w:val="none"/>
                <w:lang w:eastAsia="zh-CN"/>
              </w:rPr>
            </w:pPr>
            <w:r>
              <w:rPr>
                <w:rFonts w:hint="eastAsia" w:cs="Times New Roman"/>
                <w:b/>
                <w:color w:val="auto"/>
                <w:sz w:val="24"/>
                <w:szCs w:val="24"/>
                <w:highlight w:val="none"/>
                <w:lang w:val="en-US" w:eastAsia="zh-CN"/>
              </w:rPr>
              <w:t>2、</w:t>
            </w:r>
            <w:r>
              <w:rPr>
                <w:rFonts w:hint="eastAsia" w:ascii="Times New Roman" w:hAnsi="Times New Roman" w:eastAsia="宋体" w:cs="Times New Roman"/>
                <w:b/>
                <w:color w:val="auto"/>
                <w:sz w:val="24"/>
                <w:szCs w:val="24"/>
                <w:highlight w:val="none"/>
                <w:lang w:val="en-US" w:eastAsia="zh-CN"/>
              </w:rPr>
              <w:t>废水</w:t>
            </w:r>
          </w:p>
          <w:p w14:paraId="7BD337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水环境污染源计算</w:t>
            </w:r>
          </w:p>
          <w:p w14:paraId="318DDF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①生活污水</w:t>
            </w:r>
          </w:p>
          <w:p w14:paraId="40EAB35C">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textAlignment w:val="auto"/>
              <w:rPr>
                <w:rFonts w:hint="default" w:cs="Times New Roman"/>
                <w:color w:val="auto"/>
                <w:sz w:val="24"/>
                <w:szCs w:val="24"/>
                <w:highlight w:val="none"/>
                <w:lang w:val="en-US" w:eastAsia="zh-CN"/>
              </w:rPr>
            </w:pPr>
            <w:r>
              <w:rPr>
                <w:rFonts w:hint="eastAsia" w:hAnsi="宋体"/>
                <w:color w:val="auto"/>
                <w:kern w:val="0"/>
                <w:sz w:val="24"/>
                <w:highlight w:val="none"/>
              </w:rPr>
              <w:t>本项目</w:t>
            </w:r>
            <w:r>
              <w:rPr>
                <w:rFonts w:hint="eastAsia" w:hAnsi="宋体"/>
                <w:color w:val="auto"/>
                <w:kern w:val="0"/>
                <w:sz w:val="24"/>
                <w:highlight w:val="none"/>
                <w:lang w:val="en-US" w:eastAsia="zh-CN"/>
              </w:rPr>
              <w:t>劳动定员30人，</w:t>
            </w:r>
            <w:r>
              <w:rPr>
                <w:rFonts w:hint="default" w:ascii="Times New Roman" w:hAnsi="Times New Roman" w:cs="Times New Roman"/>
                <w:bCs/>
                <w:color w:val="auto"/>
                <w:sz w:val="24"/>
                <w:szCs w:val="24"/>
                <w:highlight w:val="none"/>
              </w:rPr>
              <w:t>职工生活</w:t>
            </w:r>
            <w:r>
              <w:rPr>
                <w:rFonts w:hint="default" w:ascii="Times New Roman" w:hAnsi="Times New Roman" w:cs="Times New Roman"/>
                <w:color w:val="auto"/>
                <w:sz w:val="24"/>
                <w:szCs w:val="24"/>
                <w:highlight w:val="none"/>
              </w:rPr>
              <w:t>用水量为</w:t>
            </w:r>
            <w:r>
              <w:rPr>
                <w:rFonts w:hint="eastAsia" w:ascii="Times New Roman" w:hAnsi="Times New Roman" w:cs="Times New Roman"/>
                <w:color w:val="auto"/>
                <w:sz w:val="24"/>
                <w:szCs w:val="24"/>
                <w:highlight w:val="none"/>
                <w:lang w:val="en-US" w:eastAsia="zh-CN"/>
              </w:rPr>
              <w:t>2.4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生活污水排放量按照用水量的80%计，则生活污水排放量为</w:t>
            </w:r>
            <w:r>
              <w:rPr>
                <w:rFonts w:hint="eastAsia" w:ascii="Times New Roman" w:hAnsi="Times New Roman" w:cs="Times New Roman"/>
                <w:color w:val="auto"/>
                <w:sz w:val="24"/>
                <w:szCs w:val="24"/>
                <w:highlight w:val="none"/>
                <w:lang w:val="en-US" w:eastAsia="zh-CN"/>
              </w:rPr>
              <w:t>1.92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val="en-US" w:eastAsia="zh-CN"/>
              </w:rPr>
              <w:t>633.6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bCs/>
                <w:color w:val="auto"/>
                <w:sz w:val="24"/>
                <w:highlight w:val="none"/>
              </w:rPr>
              <w:t>主要污染为SS、BOD</w:t>
            </w:r>
            <w:r>
              <w:rPr>
                <w:rFonts w:hint="default"/>
                <w:bCs/>
                <w:color w:val="auto"/>
                <w:sz w:val="24"/>
                <w:highlight w:val="none"/>
                <w:vertAlign w:val="subscript"/>
              </w:rPr>
              <w:t>5</w:t>
            </w:r>
            <w:r>
              <w:rPr>
                <w:rFonts w:hint="default"/>
                <w:bCs/>
                <w:color w:val="auto"/>
                <w:sz w:val="24"/>
                <w:highlight w:val="none"/>
              </w:rPr>
              <w:t>、COD、氨氮</w:t>
            </w:r>
            <w:r>
              <w:rPr>
                <w:rFonts w:hint="default"/>
                <w:color w:val="auto"/>
                <w:sz w:val="24"/>
                <w:highlight w:val="none"/>
              </w:rPr>
              <w:t>，排入园区污水管网，最后进入</w:t>
            </w:r>
            <w:r>
              <w:rPr>
                <w:rFonts w:hint="default"/>
                <w:color w:val="auto"/>
                <w:kern w:val="0"/>
                <w:sz w:val="24"/>
                <w:highlight w:val="none"/>
              </w:rPr>
              <w:t>屯留</w:t>
            </w:r>
            <w:r>
              <w:rPr>
                <w:rFonts w:hint="default"/>
                <w:color w:val="auto"/>
                <w:sz w:val="24"/>
                <w:highlight w:val="none"/>
              </w:rPr>
              <w:t>区污水处理厂</w:t>
            </w:r>
            <w:r>
              <w:rPr>
                <w:rFonts w:hint="eastAsia" w:cs="Times New Roman"/>
                <w:color w:val="auto"/>
                <w:sz w:val="24"/>
                <w:szCs w:val="24"/>
                <w:highlight w:val="none"/>
                <w:lang w:val="en-US" w:eastAsia="zh-CN"/>
              </w:rPr>
              <w:t>。</w:t>
            </w:r>
          </w:p>
          <w:p w14:paraId="678AA1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Cs/>
                <w:color w:val="auto"/>
                <w:sz w:val="24"/>
                <w:highlight w:val="none"/>
                <w:lang w:val="en-US" w:eastAsia="zh-CN"/>
              </w:rPr>
            </w:pPr>
            <w:r>
              <w:rPr>
                <w:rFonts w:hint="eastAsia" w:cs="Times New Roman"/>
                <w:color w:val="auto"/>
                <w:sz w:val="24"/>
                <w:szCs w:val="24"/>
                <w:highlight w:val="none"/>
                <w:lang w:val="en-US" w:eastAsia="zh-CN"/>
              </w:rPr>
              <w:t>②生产</w:t>
            </w:r>
            <w:r>
              <w:rPr>
                <w:rFonts w:hint="default" w:ascii="Times New Roman" w:hAnsi="Times New Roman" w:eastAsia="宋体" w:cs="Times New Roman"/>
                <w:bCs/>
                <w:color w:val="auto"/>
                <w:sz w:val="24"/>
                <w:highlight w:val="none"/>
                <w:lang w:val="en-US" w:eastAsia="zh-CN"/>
              </w:rPr>
              <w:t>废水</w:t>
            </w:r>
          </w:p>
          <w:p w14:paraId="2DF02E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480" w:firstLineChars="200"/>
              <w:textAlignment w:val="auto"/>
              <w:rPr>
                <w:rFonts w:hint="eastAsia" w:cs="Times New Roman"/>
                <w:b w:val="0"/>
                <w:bCs/>
                <w:color w:val="auto"/>
                <w:sz w:val="24"/>
                <w:highlight w:val="none"/>
                <w:lang w:val="en-US" w:eastAsia="zh-CN"/>
              </w:rPr>
            </w:pPr>
            <w:r>
              <w:rPr>
                <w:rFonts w:hint="eastAsia" w:cs="Times New Roman"/>
                <w:color w:val="auto"/>
                <w:sz w:val="24"/>
                <w:szCs w:val="24"/>
                <w:highlight w:val="none"/>
                <w:lang w:val="en-US" w:eastAsia="zh-CN"/>
              </w:rPr>
              <w:t>根据企业提供的资料，闭式冷却塔排污量约为循环水量的0.2%，即排污量为0.3m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/h（7.2m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/d），年排放量为2376m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/a，循环系统排污水主要污染物为SS、COD等，可排入</w:t>
            </w:r>
            <w:r>
              <w:rPr>
                <w:rFonts w:hint="default"/>
                <w:color w:val="auto"/>
                <w:kern w:val="0"/>
                <w:sz w:val="24"/>
                <w:highlight w:val="none"/>
              </w:rPr>
              <w:t>园区污水管网进入</w:t>
            </w:r>
            <w:r>
              <w:rPr>
                <w:rFonts w:hint="eastAsia"/>
                <w:color w:val="auto"/>
                <w:kern w:val="0"/>
                <w:sz w:val="24"/>
                <w:highlight w:val="none"/>
                <w:lang w:val="en-US" w:eastAsia="zh-CN"/>
              </w:rPr>
              <w:t>屯留区污水处理厂</w:t>
            </w:r>
            <w:r>
              <w:rPr>
                <w:rFonts w:hint="eastAsia"/>
                <w:color w:val="auto"/>
                <w:kern w:val="0"/>
                <w:sz w:val="24"/>
                <w:highlight w:val="none"/>
                <w:lang w:eastAsia="zh-CN"/>
              </w:rPr>
              <w:t>。</w:t>
            </w:r>
          </w:p>
          <w:p w14:paraId="609EE468">
            <w:pPr>
              <w:keepNext w:val="0"/>
              <w:keepLines w:val="0"/>
              <w:suppressLineNumbers w:val="0"/>
              <w:spacing w:before="0" w:beforeAutospacing="0" w:after="0" w:afterAutospacing="0" w:line="480" w:lineRule="exact"/>
              <w:ind w:left="0" w:right="0"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本项目废水排放量见下表。</w:t>
            </w:r>
          </w:p>
          <w:p w14:paraId="54D9D8BB">
            <w:pPr>
              <w:keepNext w:val="0"/>
              <w:keepLines w:val="0"/>
              <w:suppressLineNumbers w:val="0"/>
              <w:spacing w:before="0" w:beforeAutospacing="0" w:after="0" w:afterAutospacing="0" w:line="460" w:lineRule="exact"/>
              <w:ind w:left="0" w:right="0" w:firstLine="422" w:firstLineChars="200"/>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表4-</w:t>
            </w:r>
            <w:r>
              <w:rPr>
                <w:rFonts w:hint="eastAsia" w:cs="Times New Roman"/>
                <w:b/>
                <w:bCs w:val="0"/>
                <w:color w:val="auto"/>
                <w:kern w:val="0"/>
                <w:sz w:val="21"/>
                <w:szCs w:val="21"/>
                <w:highlight w:val="none"/>
                <w:lang w:val="en-US" w:eastAsia="zh-CN" w:bidi="ar-SA"/>
              </w:rPr>
              <w:t>12</w:t>
            </w:r>
            <w:r>
              <w:rPr>
                <w:rFonts w:hint="default" w:ascii="Times New Roman" w:hAnsi="Times New Roman" w:eastAsia="宋体" w:cs="Times New Roman"/>
                <w:b/>
                <w:bCs w:val="0"/>
                <w:color w:val="auto"/>
                <w:kern w:val="0"/>
                <w:sz w:val="21"/>
                <w:szCs w:val="21"/>
                <w:highlight w:val="none"/>
                <w:lang w:val="en-US" w:eastAsia="zh-CN" w:bidi="ar-SA"/>
              </w:rPr>
              <w:t xml:space="preserve">  </w:t>
            </w:r>
            <w:r>
              <w:rPr>
                <w:rFonts w:hint="eastAsia" w:ascii="Times New Roman" w:hAnsi="Times New Roman" w:eastAsia="宋体" w:cs="Times New Roman"/>
                <w:b/>
                <w:bCs w:val="0"/>
                <w:color w:val="auto"/>
                <w:kern w:val="0"/>
                <w:sz w:val="21"/>
                <w:szCs w:val="21"/>
                <w:highlight w:val="none"/>
                <w:lang w:val="en-US" w:eastAsia="zh-CN" w:bidi="ar-SA"/>
              </w:rPr>
              <w:t>本项目各类废水</w:t>
            </w:r>
            <w:r>
              <w:rPr>
                <w:rFonts w:hint="default" w:ascii="Times New Roman" w:hAnsi="Times New Roman" w:eastAsia="宋体" w:cs="Times New Roman"/>
                <w:b/>
                <w:bCs w:val="0"/>
                <w:color w:val="auto"/>
                <w:kern w:val="0"/>
                <w:sz w:val="21"/>
                <w:szCs w:val="21"/>
                <w:highlight w:val="none"/>
                <w:lang w:val="en-US" w:eastAsia="zh-CN" w:bidi="ar-SA"/>
              </w:rPr>
              <w:t>污染物的产生浓度及产生量</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1247"/>
              <w:gridCol w:w="1717"/>
              <w:gridCol w:w="2966"/>
              <w:gridCol w:w="2096"/>
            </w:tblGrid>
            <w:tr w14:paraId="1C4C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tcBorders>
                    <w:tl2br w:val="nil"/>
                    <w:tr2bl w:val="nil"/>
                  </w:tcBorders>
                  <w:vAlign w:val="center"/>
                </w:tcPr>
                <w:p w14:paraId="445C55F9">
                  <w:pPr>
                    <w:keepNext w:val="0"/>
                    <w:keepLines w:val="0"/>
                    <w:suppressLineNumbers w:val="0"/>
                    <w:spacing w:before="0" w:beforeAutospacing="0" w:after="0" w:afterAutospacing="0"/>
                    <w:ind w:left="0" w:right="0"/>
                    <w:jc w:val="center"/>
                    <w:rPr>
                      <w:rFonts w:hint="default"/>
                      <w:b/>
                      <w:bCs/>
                      <w:color w:val="auto"/>
                      <w:szCs w:val="21"/>
                      <w:highlight w:val="none"/>
                    </w:rPr>
                  </w:pPr>
                  <w:r>
                    <w:rPr>
                      <w:rFonts w:hint="default"/>
                      <w:b/>
                      <w:bCs/>
                      <w:color w:val="auto"/>
                      <w:szCs w:val="21"/>
                      <w:highlight w:val="none"/>
                    </w:rPr>
                    <w:t>污染源</w:t>
                  </w:r>
                </w:p>
              </w:tc>
              <w:tc>
                <w:tcPr>
                  <w:tcW w:w="681" w:type="pct"/>
                  <w:tcBorders>
                    <w:tl2br w:val="nil"/>
                    <w:tr2bl w:val="nil"/>
                  </w:tcBorders>
                  <w:vAlign w:val="center"/>
                </w:tcPr>
                <w:p w14:paraId="255B1BB5">
                  <w:pPr>
                    <w:keepNext w:val="0"/>
                    <w:keepLines w:val="0"/>
                    <w:suppressLineNumbers w:val="0"/>
                    <w:spacing w:before="0" w:beforeAutospacing="0" w:after="0" w:afterAutospacing="0"/>
                    <w:ind w:left="0" w:right="0"/>
                    <w:jc w:val="center"/>
                    <w:rPr>
                      <w:rFonts w:hint="default"/>
                      <w:b/>
                      <w:bCs/>
                      <w:color w:val="auto"/>
                      <w:szCs w:val="21"/>
                      <w:highlight w:val="none"/>
                    </w:rPr>
                  </w:pPr>
                  <w:r>
                    <w:rPr>
                      <w:rFonts w:hint="default"/>
                      <w:b/>
                      <w:bCs/>
                      <w:color w:val="auto"/>
                      <w:szCs w:val="21"/>
                      <w:highlight w:val="none"/>
                    </w:rPr>
                    <w:t>污染物</w:t>
                  </w:r>
                </w:p>
              </w:tc>
              <w:tc>
                <w:tcPr>
                  <w:tcW w:w="938" w:type="pct"/>
                  <w:tcBorders>
                    <w:tl2br w:val="nil"/>
                    <w:tr2bl w:val="nil"/>
                  </w:tcBorders>
                  <w:vAlign w:val="center"/>
                </w:tcPr>
                <w:p w14:paraId="3342B7F6">
                  <w:pPr>
                    <w:keepNext w:val="0"/>
                    <w:keepLines w:val="0"/>
                    <w:suppressLineNumbers w:val="0"/>
                    <w:spacing w:before="0" w:beforeAutospacing="0" w:after="0" w:afterAutospacing="0"/>
                    <w:ind w:left="0" w:right="0"/>
                    <w:jc w:val="center"/>
                    <w:rPr>
                      <w:rFonts w:hint="default"/>
                      <w:b/>
                      <w:bCs/>
                      <w:color w:val="auto"/>
                      <w:szCs w:val="21"/>
                      <w:highlight w:val="none"/>
                    </w:rPr>
                  </w:pPr>
                  <w:r>
                    <w:rPr>
                      <w:rFonts w:hint="default"/>
                      <w:b/>
                      <w:bCs/>
                      <w:color w:val="auto"/>
                      <w:szCs w:val="21"/>
                      <w:highlight w:val="none"/>
                    </w:rPr>
                    <w:t>浓度值(mg/L)</w:t>
                  </w:r>
                </w:p>
              </w:tc>
              <w:tc>
                <w:tcPr>
                  <w:tcW w:w="1620" w:type="pct"/>
                  <w:tcBorders>
                    <w:tl2br w:val="nil"/>
                    <w:tr2bl w:val="nil"/>
                  </w:tcBorders>
                  <w:vAlign w:val="center"/>
                </w:tcPr>
                <w:p w14:paraId="21981D9A">
                  <w:pPr>
                    <w:keepNext w:val="0"/>
                    <w:keepLines w:val="0"/>
                    <w:suppressLineNumbers w:val="0"/>
                    <w:spacing w:before="0" w:beforeAutospacing="0" w:after="0" w:afterAutospacing="0"/>
                    <w:ind w:left="0" w:right="0"/>
                    <w:jc w:val="center"/>
                    <w:rPr>
                      <w:rFonts w:hint="default"/>
                      <w:b/>
                      <w:bCs/>
                      <w:color w:val="auto"/>
                      <w:szCs w:val="21"/>
                      <w:highlight w:val="none"/>
                    </w:rPr>
                  </w:pPr>
                  <w:r>
                    <w:rPr>
                      <w:rFonts w:hint="default"/>
                      <w:b/>
                      <w:bCs/>
                      <w:color w:val="auto"/>
                      <w:szCs w:val="21"/>
                      <w:highlight w:val="none"/>
                    </w:rPr>
                    <w:t>废水排放量（m</w:t>
                  </w:r>
                  <w:r>
                    <w:rPr>
                      <w:rFonts w:hint="default"/>
                      <w:b/>
                      <w:bCs/>
                      <w:color w:val="auto"/>
                      <w:szCs w:val="21"/>
                      <w:highlight w:val="none"/>
                      <w:vertAlign w:val="superscript"/>
                    </w:rPr>
                    <w:t>3</w:t>
                  </w:r>
                  <w:r>
                    <w:rPr>
                      <w:rFonts w:hint="default"/>
                      <w:b/>
                      <w:bCs/>
                      <w:color w:val="auto"/>
                      <w:szCs w:val="21"/>
                      <w:highlight w:val="none"/>
                    </w:rPr>
                    <w:t>/a）</w:t>
                  </w:r>
                </w:p>
              </w:tc>
              <w:tc>
                <w:tcPr>
                  <w:tcW w:w="1145" w:type="pct"/>
                  <w:tcBorders>
                    <w:tl2br w:val="nil"/>
                    <w:tr2bl w:val="nil"/>
                  </w:tcBorders>
                  <w:vAlign w:val="center"/>
                </w:tcPr>
                <w:p w14:paraId="63B4707D">
                  <w:pPr>
                    <w:keepNext w:val="0"/>
                    <w:keepLines w:val="0"/>
                    <w:suppressLineNumbers w:val="0"/>
                    <w:spacing w:before="0" w:beforeAutospacing="0" w:after="0" w:afterAutospacing="0"/>
                    <w:ind w:left="0" w:right="0"/>
                    <w:jc w:val="center"/>
                    <w:rPr>
                      <w:rFonts w:hint="default"/>
                      <w:b/>
                      <w:bCs/>
                      <w:color w:val="auto"/>
                      <w:szCs w:val="21"/>
                      <w:highlight w:val="none"/>
                    </w:rPr>
                  </w:pPr>
                  <w:r>
                    <w:rPr>
                      <w:rFonts w:hint="default"/>
                      <w:b/>
                      <w:bCs/>
                      <w:color w:val="auto"/>
                      <w:szCs w:val="21"/>
                      <w:highlight w:val="none"/>
                    </w:rPr>
                    <w:t>产生量（t/a）</w:t>
                  </w:r>
                </w:p>
              </w:tc>
            </w:tr>
            <w:tr w14:paraId="2CC1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restart"/>
                  <w:tcBorders>
                    <w:tl2br w:val="nil"/>
                    <w:tr2bl w:val="nil"/>
                  </w:tcBorders>
                  <w:vAlign w:val="center"/>
                </w:tcPr>
                <w:p w14:paraId="381476E0">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生活废水</w:t>
                  </w:r>
                </w:p>
              </w:tc>
              <w:tc>
                <w:tcPr>
                  <w:tcW w:w="681" w:type="pct"/>
                  <w:tcBorders>
                    <w:tl2br w:val="nil"/>
                    <w:tr2bl w:val="nil"/>
                  </w:tcBorders>
                  <w:vAlign w:val="center"/>
                </w:tcPr>
                <w:p w14:paraId="0421447F">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pH</w:t>
                  </w:r>
                </w:p>
              </w:tc>
              <w:tc>
                <w:tcPr>
                  <w:tcW w:w="938" w:type="pct"/>
                  <w:tcBorders>
                    <w:tl2br w:val="nil"/>
                    <w:tr2bl w:val="nil"/>
                  </w:tcBorders>
                  <w:vAlign w:val="center"/>
                </w:tcPr>
                <w:p w14:paraId="0B4D7CCE">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6～9</w:t>
                  </w:r>
                </w:p>
              </w:tc>
              <w:tc>
                <w:tcPr>
                  <w:tcW w:w="1620" w:type="pct"/>
                  <w:vMerge w:val="restart"/>
                  <w:tcBorders>
                    <w:tl2br w:val="nil"/>
                    <w:tr2bl w:val="nil"/>
                  </w:tcBorders>
                  <w:vAlign w:val="center"/>
                </w:tcPr>
                <w:p w14:paraId="36B994F2">
                  <w:pPr>
                    <w:keepNext w:val="0"/>
                    <w:keepLines w:val="0"/>
                    <w:suppressLineNumbers w:val="0"/>
                    <w:spacing w:before="0" w:beforeAutospacing="0" w:after="0" w:afterAutospacing="0"/>
                    <w:ind w:left="0" w:right="0"/>
                    <w:jc w:val="center"/>
                    <w:rPr>
                      <w:rFonts w:hint="default"/>
                      <w:color w:val="auto"/>
                      <w:szCs w:val="21"/>
                      <w:highlight w:val="none"/>
                      <w:lang w:val="en-US"/>
                    </w:rPr>
                  </w:pPr>
                  <w:r>
                    <w:rPr>
                      <w:rFonts w:hint="eastAsia" w:cs="Times New Roman"/>
                      <w:color w:val="auto"/>
                      <w:sz w:val="21"/>
                      <w:szCs w:val="21"/>
                      <w:highlight w:val="none"/>
                      <w:lang w:val="en-US" w:eastAsia="zh-CN"/>
                    </w:rPr>
                    <w:t>633.6</w:t>
                  </w:r>
                </w:p>
              </w:tc>
              <w:tc>
                <w:tcPr>
                  <w:tcW w:w="1145" w:type="pct"/>
                  <w:tcBorders>
                    <w:tl2br w:val="nil"/>
                    <w:tr2bl w:val="nil"/>
                  </w:tcBorders>
                  <w:vAlign w:val="center"/>
                </w:tcPr>
                <w:p w14:paraId="0893E4E7">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w:t>
                  </w:r>
                </w:p>
              </w:tc>
            </w:tr>
            <w:tr w14:paraId="4ACE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0B28A9D2">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320794E3">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COD</w:t>
                  </w:r>
                </w:p>
              </w:tc>
              <w:tc>
                <w:tcPr>
                  <w:tcW w:w="938" w:type="pct"/>
                  <w:tcBorders>
                    <w:tl2br w:val="nil"/>
                    <w:tr2bl w:val="nil"/>
                  </w:tcBorders>
                  <w:vAlign w:val="center"/>
                </w:tcPr>
                <w:p w14:paraId="67E799C3">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300</w:t>
                  </w:r>
                </w:p>
              </w:tc>
              <w:tc>
                <w:tcPr>
                  <w:tcW w:w="1620" w:type="pct"/>
                  <w:vMerge w:val="continue"/>
                  <w:tcBorders>
                    <w:tl2br w:val="nil"/>
                    <w:tr2bl w:val="nil"/>
                  </w:tcBorders>
                  <w:vAlign w:val="center"/>
                </w:tcPr>
                <w:p w14:paraId="3B02AAC0">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705D6A94">
                  <w:pPr>
                    <w:keepNext w:val="0"/>
                    <w:keepLines w:val="0"/>
                    <w:suppressLineNumbers w:val="0"/>
                    <w:spacing w:before="0" w:beforeAutospacing="0" w:after="0" w:afterAutospacing="0"/>
                    <w:ind w:left="0" w:right="0"/>
                    <w:jc w:val="center"/>
                    <w:rPr>
                      <w:rFonts w:hint="default"/>
                      <w:color w:val="auto"/>
                      <w:szCs w:val="21"/>
                      <w:highlight w:val="none"/>
                      <w:lang w:val="en-US"/>
                    </w:rPr>
                  </w:pPr>
                  <w:r>
                    <w:rPr>
                      <w:rFonts w:hint="eastAsia"/>
                      <w:color w:val="auto"/>
                      <w:szCs w:val="21"/>
                      <w:highlight w:val="none"/>
                      <w:lang w:val="en-US" w:eastAsia="zh-CN"/>
                    </w:rPr>
                    <w:t>0.19</w:t>
                  </w:r>
                </w:p>
              </w:tc>
            </w:tr>
            <w:tr w14:paraId="23F4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73DD4A76">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0B7E73A0">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BOD</w:t>
                  </w:r>
                  <w:r>
                    <w:rPr>
                      <w:rFonts w:hint="default"/>
                      <w:color w:val="auto"/>
                      <w:szCs w:val="21"/>
                      <w:highlight w:val="none"/>
                      <w:vertAlign w:val="subscript"/>
                    </w:rPr>
                    <w:t>5</w:t>
                  </w:r>
                </w:p>
              </w:tc>
              <w:tc>
                <w:tcPr>
                  <w:tcW w:w="938" w:type="pct"/>
                  <w:tcBorders>
                    <w:tl2br w:val="nil"/>
                    <w:tr2bl w:val="nil"/>
                  </w:tcBorders>
                  <w:vAlign w:val="center"/>
                </w:tcPr>
                <w:p w14:paraId="0D268430">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250</w:t>
                  </w:r>
                </w:p>
              </w:tc>
              <w:tc>
                <w:tcPr>
                  <w:tcW w:w="1620" w:type="pct"/>
                  <w:vMerge w:val="continue"/>
                  <w:tcBorders>
                    <w:tl2br w:val="nil"/>
                    <w:tr2bl w:val="nil"/>
                  </w:tcBorders>
                  <w:vAlign w:val="center"/>
                </w:tcPr>
                <w:p w14:paraId="19A9EEB8">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2737D50C">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0.158</w:t>
                  </w:r>
                </w:p>
              </w:tc>
            </w:tr>
            <w:tr w14:paraId="401B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0892732E">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75595C1D">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SS</w:t>
                  </w:r>
                </w:p>
              </w:tc>
              <w:tc>
                <w:tcPr>
                  <w:tcW w:w="938" w:type="pct"/>
                  <w:tcBorders>
                    <w:tl2br w:val="nil"/>
                    <w:tr2bl w:val="nil"/>
                  </w:tcBorders>
                  <w:vAlign w:val="center"/>
                </w:tcPr>
                <w:p w14:paraId="002FAB6A">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300</w:t>
                  </w:r>
                </w:p>
              </w:tc>
              <w:tc>
                <w:tcPr>
                  <w:tcW w:w="1620" w:type="pct"/>
                  <w:vMerge w:val="continue"/>
                  <w:tcBorders>
                    <w:tl2br w:val="nil"/>
                    <w:tr2bl w:val="nil"/>
                  </w:tcBorders>
                  <w:vAlign w:val="center"/>
                </w:tcPr>
                <w:p w14:paraId="3FCFC41F">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20A39F19">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lang w:val="en-US" w:eastAsia="zh-CN"/>
                    </w:rPr>
                    <w:t>0.19</w:t>
                  </w:r>
                </w:p>
              </w:tc>
            </w:tr>
            <w:tr w14:paraId="3A6C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72B3D4A6">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77F1CFF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NH</w:t>
                  </w:r>
                  <w:r>
                    <w:rPr>
                      <w:rFonts w:hint="default"/>
                      <w:color w:val="auto"/>
                      <w:szCs w:val="21"/>
                      <w:highlight w:val="none"/>
                      <w:vertAlign w:val="subscript"/>
                    </w:rPr>
                    <w:t>3</w:t>
                  </w:r>
                  <w:r>
                    <w:rPr>
                      <w:rFonts w:hint="default"/>
                      <w:color w:val="auto"/>
                      <w:szCs w:val="21"/>
                      <w:highlight w:val="none"/>
                    </w:rPr>
                    <w:t>-N</w:t>
                  </w:r>
                </w:p>
              </w:tc>
              <w:tc>
                <w:tcPr>
                  <w:tcW w:w="938" w:type="pct"/>
                  <w:tcBorders>
                    <w:tl2br w:val="nil"/>
                    <w:tr2bl w:val="nil"/>
                  </w:tcBorders>
                  <w:vAlign w:val="center"/>
                </w:tcPr>
                <w:p w14:paraId="12C4846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40</w:t>
                  </w:r>
                </w:p>
              </w:tc>
              <w:tc>
                <w:tcPr>
                  <w:tcW w:w="1620" w:type="pct"/>
                  <w:vMerge w:val="continue"/>
                  <w:tcBorders>
                    <w:tl2br w:val="nil"/>
                    <w:tr2bl w:val="nil"/>
                  </w:tcBorders>
                  <w:vAlign w:val="center"/>
                </w:tcPr>
                <w:p w14:paraId="18187ADA">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7E2DB457">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0.025</w:t>
                  </w:r>
                </w:p>
              </w:tc>
            </w:tr>
            <w:tr w14:paraId="5C84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restart"/>
                  <w:tcBorders>
                    <w:tl2br w:val="nil"/>
                    <w:tr2bl w:val="nil"/>
                  </w:tcBorders>
                  <w:vAlign w:val="center"/>
                </w:tcPr>
                <w:p w14:paraId="25192655">
                  <w:pPr>
                    <w:keepNext w:val="0"/>
                    <w:keepLines w:val="0"/>
                    <w:widowControl/>
                    <w:suppressLineNumbers w:val="0"/>
                    <w:spacing w:before="0" w:beforeAutospacing="0" w:after="0" w:afterAutospacing="0"/>
                    <w:ind w:left="0" w:right="0"/>
                    <w:jc w:val="left"/>
                    <w:rPr>
                      <w:rFonts w:hint="default"/>
                      <w:color w:val="auto"/>
                      <w:szCs w:val="21"/>
                      <w:highlight w:val="none"/>
                    </w:rPr>
                  </w:pPr>
                  <w:r>
                    <w:rPr>
                      <w:rFonts w:hint="eastAsia"/>
                      <w:color w:val="auto"/>
                      <w:szCs w:val="21"/>
                      <w:highlight w:val="none"/>
                      <w:lang w:val="en-US" w:eastAsia="zh-CN"/>
                    </w:rPr>
                    <w:t>生产</w:t>
                  </w:r>
                  <w:r>
                    <w:rPr>
                      <w:rFonts w:hint="default"/>
                      <w:color w:val="auto"/>
                      <w:szCs w:val="21"/>
                      <w:highlight w:val="none"/>
                      <w:lang w:val="en-US" w:eastAsia="zh-CN"/>
                    </w:rPr>
                    <w:t>废水</w:t>
                  </w:r>
                </w:p>
              </w:tc>
              <w:tc>
                <w:tcPr>
                  <w:tcW w:w="681" w:type="pct"/>
                  <w:tcBorders>
                    <w:tl2br w:val="nil"/>
                    <w:tr2bl w:val="nil"/>
                  </w:tcBorders>
                  <w:vAlign w:val="center"/>
                </w:tcPr>
                <w:p w14:paraId="749BB057">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pH</w:t>
                  </w:r>
                </w:p>
              </w:tc>
              <w:tc>
                <w:tcPr>
                  <w:tcW w:w="938" w:type="pct"/>
                  <w:tcBorders>
                    <w:tl2br w:val="nil"/>
                    <w:tr2bl w:val="nil"/>
                  </w:tcBorders>
                  <w:vAlign w:val="center"/>
                </w:tcPr>
                <w:p w14:paraId="21572EB3">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6～9</w:t>
                  </w:r>
                </w:p>
              </w:tc>
              <w:tc>
                <w:tcPr>
                  <w:tcW w:w="1620" w:type="pct"/>
                  <w:vMerge w:val="restart"/>
                  <w:tcBorders>
                    <w:tl2br w:val="nil"/>
                    <w:tr2bl w:val="nil"/>
                  </w:tcBorders>
                  <w:vAlign w:val="center"/>
                </w:tcPr>
                <w:p w14:paraId="55522F87">
                  <w:pPr>
                    <w:keepNext w:val="0"/>
                    <w:keepLines w:val="0"/>
                    <w:widowControl/>
                    <w:suppressLineNumbers w:val="0"/>
                    <w:spacing w:before="0" w:beforeAutospacing="0" w:after="0" w:afterAutospacing="0"/>
                    <w:ind w:left="0" w:right="0"/>
                    <w:jc w:val="center"/>
                    <w:rPr>
                      <w:rFonts w:hint="default"/>
                      <w:color w:val="auto"/>
                      <w:szCs w:val="21"/>
                      <w:highlight w:val="none"/>
                      <w:lang w:val="en-US"/>
                    </w:rPr>
                  </w:pPr>
                  <w:r>
                    <w:rPr>
                      <w:rFonts w:hint="eastAsia" w:cs="Times New Roman"/>
                      <w:b w:val="0"/>
                      <w:bCs/>
                      <w:color w:val="auto"/>
                      <w:sz w:val="21"/>
                      <w:szCs w:val="21"/>
                      <w:highlight w:val="none"/>
                      <w:lang w:val="en-US" w:eastAsia="zh-CN"/>
                    </w:rPr>
                    <w:t>2376</w:t>
                  </w:r>
                </w:p>
              </w:tc>
              <w:tc>
                <w:tcPr>
                  <w:tcW w:w="1145" w:type="pct"/>
                  <w:tcBorders>
                    <w:tl2br w:val="nil"/>
                    <w:tr2bl w:val="nil"/>
                  </w:tcBorders>
                  <w:vAlign w:val="center"/>
                </w:tcPr>
                <w:p w14:paraId="24F9D52A">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w:t>
                  </w:r>
                </w:p>
              </w:tc>
            </w:tr>
            <w:tr w14:paraId="51F4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7D2FFBFB">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178F4FEE">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COD</w:t>
                  </w:r>
                </w:p>
              </w:tc>
              <w:tc>
                <w:tcPr>
                  <w:tcW w:w="938" w:type="pct"/>
                  <w:tcBorders>
                    <w:tl2br w:val="nil"/>
                    <w:tr2bl w:val="nil"/>
                  </w:tcBorders>
                  <w:vAlign w:val="center"/>
                </w:tcPr>
                <w:p w14:paraId="1B7FE41F">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300</w:t>
                  </w:r>
                </w:p>
              </w:tc>
              <w:tc>
                <w:tcPr>
                  <w:tcW w:w="1620" w:type="pct"/>
                  <w:vMerge w:val="continue"/>
                  <w:tcBorders>
                    <w:tl2br w:val="nil"/>
                    <w:tr2bl w:val="nil"/>
                  </w:tcBorders>
                  <w:vAlign w:val="center"/>
                </w:tcPr>
                <w:p w14:paraId="7B8983F7">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1A7294B6">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0.713</w:t>
                  </w:r>
                </w:p>
              </w:tc>
            </w:tr>
            <w:tr w14:paraId="1932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3B9DA7BD">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2394E44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BOD</w:t>
                  </w:r>
                  <w:r>
                    <w:rPr>
                      <w:rFonts w:hint="default"/>
                      <w:color w:val="auto"/>
                      <w:szCs w:val="21"/>
                      <w:highlight w:val="none"/>
                      <w:vertAlign w:val="subscript"/>
                    </w:rPr>
                    <w:t>5</w:t>
                  </w:r>
                </w:p>
              </w:tc>
              <w:tc>
                <w:tcPr>
                  <w:tcW w:w="938" w:type="pct"/>
                  <w:tcBorders>
                    <w:tl2br w:val="nil"/>
                    <w:tr2bl w:val="nil"/>
                  </w:tcBorders>
                  <w:vAlign w:val="center"/>
                </w:tcPr>
                <w:p w14:paraId="670FA1AB">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250</w:t>
                  </w:r>
                </w:p>
              </w:tc>
              <w:tc>
                <w:tcPr>
                  <w:tcW w:w="1620" w:type="pct"/>
                  <w:vMerge w:val="continue"/>
                  <w:tcBorders>
                    <w:tl2br w:val="nil"/>
                    <w:tr2bl w:val="nil"/>
                  </w:tcBorders>
                  <w:vAlign w:val="center"/>
                </w:tcPr>
                <w:p w14:paraId="45DAD94D">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5CD518DF">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0.594</w:t>
                  </w:r>
                </w:p>
              </w:tc>
            </w:tr>
            <w:tr w14:paraId="3A3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4C862250">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1EF2102E">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SS</w:t>
                  </w:r>
                </w:p>
              </w:tc>
              <w:tc>
                <w:tcPr>
                  <w:tcW w:w="938" w:type="pct"/>
                  <w:tcBorders>
                    <w:tl2br w:val="nil"/>
                    <w:tr2bl w:val="nil"/>
                  </w:tcBorders>
                  <w:vAlign w:val="center"/>
                </w:tcPr>
                <w:p w14:paraId="4BEBA04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300</w:t>
                  </w:r>
                </w:p>
              </w:tc>
              <w:tc>
                <w:tcPr>
                  <w:tcW w:w="1620" w:type="pct"/>
                  <w:vMerge w:val="continue"/>
                  <w:tcBorders>
                    <w:tl2br w:val="nil"/>
                    <w:tr2bl w:val="nil"/>
                  </w:tcBorders>
                  <w:vAlign w:val="center"/>
                </w:tcPr>
                <w:p w14:paraId="36A6BC03">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693E8ECA">
                  <w:pPr>
                    <w:keepNext w:val="0"/>
                    <w:keepLines w:val="0"/>
                    <w:suppressLineNumbers w:val="0"/>
                    <w:spacing w:before="0" w:beforeAutospacing="0" w:after="0" w:afterAutospacing="0"/>
                    <w:ind w:left="0" w:right="0"/>
                    <w:jc w:val="center"/>
                    <w:rPr>
                      <w:rFonts w:hint="default"/>
                      <w:color w:val="auto"/>
                      <w:szCs w:val="21"/>
                      <w:highlight w:val="none"/>
                    </w:rPr>
                  </w:pPr>
                  <w:r>
                    <w:rPr>
                      <w:rFonts w:hint="eastAsia"/>
                      <w:color w:val="auto"/>
                      <w:szCs w:val="21"/>
                      <w:highlight w:val="none"/>
                      <w:lang w:val="en-US" w:eastAsia="zh-CN"/>
                    </w:rPr>
                    <w:t>0.713</w:t>
                  </w:r>
                </w:p>
              </w:tc>
            </w:tr>
            <w:tr w14:paraId="5DD5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613" w:type="pct"/>
                  <w:vMerge w:val="continue"/>
                  <w:tcBorders>
                    <w:tl2br w:val="nil"/>
                    <w:tr2bl w:val="nil"/>
                  </w:tcBorders>
                  <w:vAlign w:val="center"/>
                </w:tcPr>
                <w:p w14:paraId="0A7C7FB7">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681" w:type="pct"/>
                  <w:tcBorders>
                    <w:tl2br w:val="nil"/>
                    <w:tr2bl w:val="nil"/>
                  </w:tcBorders>
                  <w:vAlign w:val="center"/>
                </w:tcPr>
                <w:p w14:paraId="7AFEE5D9">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NH</w:t>
                  </w:r>
                  <w:r>
                    <w:rPr>
                      <w:rFonts w:hint="default"/>
                      <w:color w:val="auto"/>
                      <w:szCs w:val="21"/>
                      <w:highlight w:val="none"/>
                      <w:vertAlign w:val="subscript"/>
                    </w:rPr>
                    <w:t>3</w:t>
                  </w:r>
                  <w:r>
                    <w:rPr>
                      <w:rFonts w:hint="default"/>
                      <w:color w:val="auto"/>
                      <w:szCs w:val="21"/>
                      <w:highlight w:val="none"/>
                    </w:rPr>
                    <w:t>-N</w:t>
                  </w:r>
                </w:p>
              </w:tc>
              <w:tc>
                <w:tcPr>
                  <w:tcW w:w="938" w:type="pct"/>
                  <w:tcBorders>
                    <w:tl2br w:val="nil"/>
                    <w:tr2bl w:val="nil"/>
                  </w:tcBorders>
                  <w:vAlign w:val="center"/>
                </w:tcPr>
                <w:p w14:paraId="46E9CDF4">
                  <w:pPr>
                    <w:keepNext w:val="0"/>
                    <w:keepLines w:val="0"/>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40</w:t>
                  </w:r>
                </w:p>
              </w:tc>
              <w:tc>
                <w:tcPr>
                  <w:tcW w:w="1620" w:type="pct"/>
                  <w:vMerge w:val="continue"/>
                  <w:tcBorders>
                    <w:tl2br w:val="nil"/>
                    <w:tr2bl w:val="nil"/>
                  </w:tcBorders>
                  <w:vAlign w:val="center"/>
                </w:tcPr>
                <w:p w14:paraId="1DF011F6">
                  <w:pPr>
                    <w:keepNext w:val="0"/>
                    <w:keepLines w:val="0"/>
                    <w:widowControl/>
                    <w:suppressLineNumbers w:val="0"/>
                    <w:spacing w:before="0" w:beforeAutospacing="0" w:after="0" w:afterAutospacing="0"/>
                    <w:ind w:left="0" w:right="0"/>
                    <w:jc w:val="left"/>
                    <w:rPr>
                      <w:rFonts w:hint="default"/>
                      <w:color w:val="auto"/>
                      <w:szCs w:val="21"/>
                      <w:highlight w:val="none"/>
                    </w:rPr>
                  </w:pPr>
                </w:p>
              </w:tc>
              <w:tc>
                <w:tcPr>
                  <w:tcW w:w="1145" w:type="pct"/>
                  <w:tcBorders>
                    <w:tl2br w:val="nil"/>
                    <w:tr2bl w:val="nil"/>
                  </w:tcBorders>
                  <w:vAlign w:val="center"/>
                </w:tcPr>
                <w:p w14:paraId="2489BAA1">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0.095</w:t>
                  </w:r>
                </w:p>
              </w:tc>
            </w:tr>
          </w:tbl>
          <w:p w14:paraId="6300AF5C">
            <w:pPr>
              <w:keepNext w:val="0"/>
              <w:keepLines w:val="0"/>
              <w:suppressLineNumbers w:val="0"/>
              <w:spacing w:before="0" w:beforeAutospacing="0" w:after="0" w:afterAutospacing="0" w:line="480" w:lineRule="exact"/>
              <w:ind w:left="0" w:right="0" w:firstLine="480" w:firstLineChars="200"/>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（2）</w:t>
            </w:r>
            <w:r>
              <w:rPr>
                <w:rFonts w:hint="default"/>
                <w:b w:val="0"/>
                <w:bCs w:val="0"/>
                <w:color w:val="auto"/>
                <w:sz w:val="24"/>
                <w:highlight w:val="none"/>
              </w:rPr>
              <w:t>依托污水处理设施的环境可行性分析</w:t>
            </w:r>
          </w:p>
          <w:p w14:paraId="548AF9EC">
            <w:pPr>
              <w:keepNext w:val="0"/>
              <w:keepLines w:val="0"/>
              <w:suppressLineNumbers w:val="0"/>
              <w:spacing w:before="0" w:beforeAutospacing="0" w:after="0" w:afterAutospacing="0" w:line="480" w:lineRule="exact"/>
              <w:ind w:left="0" w:right="0" w:firstLine="480" w:firstLineChars="200"/>
              <w:rPr>
                <w:rFonts w:hint="default"/>
                <w:color w:val="auto"/>
                <w:sz w:val="24"/>
                <w:highlight w:val="none"/>
              </w:rPr>
            </w:pPr>
            <w:r>
              <w:rPr>
                <w:rFonts w:hint="eastAsia"/>
                <w:color w:val="auto"/>
                <w:sz w:val="24"/>
                <w:highlight w:val="none"/>
                <w:lang w:val="en-US" w:eastAsia="zh-CN"/>
              </w:rPr>
              <w:t>屯留经济技术开发区污水处理厂位于</w:t>
            </w:r>
            <w:r>
              <w:rPr>
                <w:rFonts w:hint="eastAsia" w:ascii="Times New Roman" w:hAnsi="宋体" w:eastAsia="宋体" w:cs="Times New Roman"/>
                <w:color w:val="auto"/>
                <w:sz w:val="24"/>
                <w:highlight w:val="none"/>
              </w:rPr>
              <w:t>渔泽工业园内</w:t>
            </w:r>
            <w:r>
              <w:rPr>
                <w:rFonts w:hint="eastAsia" w:hAnsi="宋体" w:cs="Times New Roman"/>
                <w:color w:val="auto"/>
                <w:sz w:val="24"/>
                <w:highlight w:val="none"/>
                <w:lang w:eastAsia="zh-CN"/>
              </w:rPr>
              <w:t>，</w:t>
            </w:r>
            <w:r>
              <w:rPr>
                <w:rFonts w:hint="eastAsia" w:hAnsi="宋体" w:cs="Times New Roman"/>
                <w:color w:val="auto"/>
                <w:sz w:val="24"/>
                <w:highlight w:val="none"/>
                <w:lang w:val="en-US" w:eastAsia="zh-CN"/>
              </w:rPr>
              <w:t>距离本项目较远，本项目生活污水、生产废水依托</w:t>
            </w:r>
            <w:r>
              <w:rPr>
                <w:rFonts w:hint="default"/>
                <w:color w:val="auto"/>
                <w:sz w:val="24"/>
                <w:highlight w:val="none"/>
              </w:rPr>
              <w:t>屯留区污水处理厂</w:t>
            </w:r>
            <w:r>
              <w:rPr>
                <w:rFonts w:hint="eastAsia" w:hAnsi="宋体" w:cs="Times New Roman"/>
                <w:color w:val="auto"/>
                <w:sz w:val="24"/>
                <w:highlight w:val="none"/>
                <w:lang w:val="en-US" w:eastAsia="zh-CN"/>
              </w:rPr>
              <w:t>。</w:t>
            </w:r>
            <w:r>
              <w:rPr>
                <w:rFonts w:hint="default"/>
                <w:color w:val="auto"/>
                <w:sz w:val="24"/>
                <w:highlight w:val="none"/>
              </w:rPr>
              <w:t>屯留区污水处理厂为屯留区康庄高新工业园区规划依托的污水处理厂，本项目位于屯留</w:t>
            </w:r>
            <w:r>
              <w:rPr>
                <w:rFonts w:hint="eastAsia"/>
                <w:color w:val="auto"/>
                <w:sz w:val="24"/>
                <w:highlight w:val="none"/>
                <w:lang w:val="en-US" w:eastAsia="zh-CN"/>
              </w:rPr>
              <w:t>经济技术开发区的</w:t>
            </w:r>
            <w:r>
              <w:rPr>
                <w:rFonts w:hint="default"/>
                <w:color w:val="auto"/>
                <w:sz w:val="24"/>
                <w:highlight w:val="none"/>
              </w:rPr>
              <w:t>康庄工业园，位于</w:t>
            </w:r>
            <w:r>
              <w:rPr>
                <w:rFonts w:hint="default"/>
                <w:color w:val="auto"/>
                <w:kern w:val="24"/>
                <w:sz w:val="24"/>
                <w:highlight w:val="none"/>
              </w:rPr>
              <w:t>屯留区</w:t>
            </w:r>
            <w:r>
              <w:rPr>
                <w:rFonts w:hint="default"/>
                <w:color w:val="auto"/>
                <w:sz w:val="24"/>
                <w:highlight w:val="none"/>
              </w:rPr>
              <w:t>污水处理厂服务范围内，其管网已覆盖项目所在区域，项目排水去向有保证。</w:t>
            </w:r>
          </w:p>
          <w:p w14:paraId="3FDE4D5F">
            <w:pPr>
              <w:keepNext w:val="0"/>
              <w:keepLines w:val="0"/>
              <w:suppressLineNumbers w:val="0"/>
              <w:spacing w:before="0" w:beforeAutospacing="0" w:after="0" w:afterAutospacing="0" w:line="480" w:lineRule="exact"/>
              <w:ind w:left="0" w:right="0" w:firstLine="480" w:firstLineChars="200"/>
              <w:rPr>
                <w:rFonts w:hint="default"/>
                <w:color w:val="auto"/>
                <w:sz w:val="24"/>
                <w:highlight w:val="none"/>
              </w:rPr>
            </w:pPr>
            <w:r>
              <w:rPr>
                <w:rFonts w:hint="default"/>
                <w:color w:val="auto"/>
                <w:sz w:val="24"/>
                <w:highlight w:val="none"/>
              </w:rPr>
              <w:t>屯留区污水处理厂位于屯留</w:t>
            </w:r>
            <w:r>
              <w:rPr>
                <w:rFonts w:hint="eastAsia"/>
                <w:color w:val="auto"/>
                <w:sz w:val="24"/>
                <w:highlight w:val="none"/>
                <w:lang w:val="en-US" w:eastAsia="zh-CN"/>
              </w:rPr>
              <w:t>区</w:t>
            </w:r>
            <w:r>
              <w:rPr>
                <w:rFonts w:hint="default"/>
                <w:color w:val="auto"/>
                <w:sz w:val="24"/>
                <w:highlight w:val="none"/>
              </w:rPr>
              <w:t>李高乡北宋村北500m处，处理规模为20000m</w:t>
            </w:r>
            <w:r>
              <w:rPr>
                <w:rFonts w:hint="eastAsia"/>
                <w:color w:val="auto"/>
                <w:sz w:val="24"/>
                <w:highlight w:val="none"/>
                <w:vertAlign w:val="superscript"/>
                <w:lang w:val="en-US" w:eastAsia="zh-CN"/>
              </w:rPr>
              <w:t>3</w:t>
            </w:r>
            <w:r>
              <w:rPr>
                <w:rFonts w:hint="default"/>
                <w:color w:val="auto"/>
                <w:sz w:val="24"/>
                <w:highlight w:val="none"/>
              </w:rPr>
              <w:t>/d，采用活性污泥法A/A/O工艺+滤布过滤方法，出水水质达到《城镇污水处理厂污染物排放标准》</w:t>
            </w:r>
            <w:r>
              <w:rPr>
                <w:rFonts w:hint="eastAsia"/>
                <w:color w:val="auto"/>
                <w:sz w:val="24"/>
                <w:highlight w:val="none"/>
                <w:lang w:eastAsia="zh-CN"/>
              </w:rPr>
              <w:t>（</w:t>
            </w:r>
            <w:r>
              <w:rPr>
                <w:rFonts w:hint="default"/>
                <w:color w:val="auto"/>
                <w:sz w:val="24"/>
                <w:highlight w:val="none"/>
              </w:rPr>
              <w:t>GB18918-2002</w:t>
            </w:r>
            <w:r>
              <w:rPr>
                <w:rFonts w:hint="eastAsia"/>
                <w:color w:val="auto"/>
                <w:sz w:val="24"/>
                <w:highlight w:val="none"/>
                <w:lang w:eastAsia="zh-CN"/>
              </w:rPr>
              <w:t>）</w:t>
            </w:r>
            <w:r>
              <w:rPr>
                <w:rFonts w:hint="default"/>
                <w:color w:val="auto"/>
                <w:sz w:val="24"/>
                <w:highlight w:val="none"/>
              </w:rPr>
              <w:t>中的一级A标准和部分水质</w:t>
            </w:r>
            <w:r>
              <w:rPr>
                <w:rFonts w:hint="eastAsia"/>
                <w:color w:val="auto"/>
                <w:sz w:val="24"/>
                <w:highlight w:val="none"/>
                <w:lang w:eastAsia="zh-CN"/>
              </w:rPr>
              <w:t>（</w:t>
            </w:r>
            <w:r>
              <w:rPr>
                <w:rFonts w:hint="default"/>
                <w:color w:val="auto"/>
                <w:sz w:val="24"/>
                <w:highlight w:val="none"/>
              </w:rPr>
              <w:t>COD、NH</w:t>
            </w:r>
            <w:r>
              <w:rPr>
                <w:rFonts w:hint="default"/>
                <w:color w:val="auto"/>
                <w:sz w:val="24"/>
                <w:highlight w:val="none"/>
                <w:vertAlign w:val="subscript"/>
              </w:rPr>
              <w:t>3</w:t>
            </w:r>
            <w:r>
              <w:rPr>
                <w:rFonts w:hint="default"/>
                <w:color w:val="auto"/>
                <w:sz w:val="24"/>
                <w:highlight w:val="none"/>
              </w:rPr>
              <w:t>、TP</w:t>
            </w:r>
            <w:r>
              <w:rPr>
                <w:rFonts w:hint="eastAsia"/>
                <w:color w:val="auto"/>
                <w:sz w:val="24"/>
                <w:highlight w:val="none"/>
                <w:lang w:eastAsia="zh-CN"/>
              </w:rPr>
              <w:t>）</w:t>
            </w:r>
            <w:r>
              <w:rPr>
                <w:rFonts w:hint="default"/>
                <w:color w:val="auto"/>
                <w:sz w:val="24"/>
                <w:highlight w:val="none"/>
              </w:rPr>
              <w:t>地表五类标准，部分回用，部分排放。</w:t>
            </w:r>
          </w:p>
          <w:p w14:paraId="17FC94E2">
            <w:pPr>
              <w:keepNext w:val="0"/>
              <w:keepLines w:val="0"/>
              <w:suppressLineNumbers w:val="0"/>
              <w:spacing w:before="0" w:beforeAutospacing="0" w:after="0" w:afterAutospacing="0" w:line="480" w:lineRule="exact"/>
              <w:ind w:left="0" w:right="0" w:firstLine="480" w:firstLineChars="200"/>
              <w:rPr>
                <w:rFonts w:hint="default"/>
                <w:color w:val="auto"/>
                <w:sz w:val="24"/>
                <w:highlight w:val="none"/>
              </w:rPr>
            </w:pPr>
            <w:r>
              <w:rPr>
                <w:rFonts w:hint="default"/>
                <w:color w:val="auto"/>
                <w:sz w:val="24"/>
                <w:highlight w:val="none"/>
              </w:rPr>
              <w:t>本项目污水接管量为</w:t>
            </w:r>
            <w:r>
              <w:rPr>
                <w:rFonts w:hint="eastAsia"/>
                <w:color w:val="auto"/>
                <w:sz w:val="24"/>
                <w:highlight w:val="none"/>
                <w:lang w:val="en-US" w:eastAsia="zh-CN"/>
              </w:rPr>
              <w:t>9.12</w:t>
            </w:r>
            <w:r>
              <w:rPr>
                <w:rFonts w:hint="default"/>
                <w:color w:val="auto"/>
                <w:sz w:val="24"/>
                <w:highlight w:val="none"/>
              </w:rPr>
              <w:t>m</w:t>
            </w:r>
            <w:r>
              <w:rPr>
                <w:rFonts w:hint="default"/>
                <w:color w:val="auto"/>
                <w:sz w:val="24"/>
                <w:highlight w:val="none"/>
                <w:vertAlign w:val="superscript"/>
              </w:rPr>
              <w:t>3</w:t>
            </w:r>
            <w:r>
              <w:rPr>
                <w:rFonts w:hint="default"/>
                <w:color w:val="auto"/>
                <w:sz w:val="24"/>
                <w:highlight w:val="none"/>
              </w:rPr>
              <w:t>/d，生活污水</w:t>
            </w:r>
            <w:r>
              <w:rPr>
                <w:rFonts w:hint="eastAsia"/>
                <w:color w:val="auto"/>
                <w:sz w:val="24"/>
                <w:highlight w:val="none"/>
                <w:lang w:eastAsia="zh-CN"/>
              </w:rPr>
              <w:t>、</w:t>
            </w:r>
            <w:r>
              <w:rPr>
                <w:rFonts w:hint="eastAsia"/>
                <w:color w:val="auto"/>
                <w:sz w:val="24"/>
                <w:highlight w:val="none"/>
                <w:lang w:val="en-US" w:eastAsia="zh-CN"/>
              </w:rPr>
              <w:t>生产废水</w:t>
            </w:r>
            <w:r>
              <w:rPr>
                <w:rFonts w:hint="default"/>
                <w:color w:val="auto"/>
                <w:sz w:val="24"/>
                <w:highlight w:val="none"/>
              </w:rPr>
              <w:t>通过园区污水管网排入</w:t>
            </w:r>
            <w:r>
              <w:rPr>
                <w:rFonts w:hint="default"/>
                <w:color w:val="auto"/>
                <w:kern w:val="24"/>
                <w:sz w:val="24"/>
                <w:highlight w:val="none"/>
              </w:rPr>
              <w:t>屯留区</w:t>
            </w:r>
            <w:r>
              <w:rPr>
                <w:rFonts w:hint="default"/>
                <w:color w:val="auto"/>
                <w:sz w:val="24"/>
                <w:highlight w:val="none"/>
              </w:rPr>
              <w:t>污水处理厂，不会对其工艺造成冲击，</w:t>
            </w:r>
            <w:r>
              <w:rPr>
                <w:rFonts w:hint="eastAsia"/>
                <w:color w:val="auto"/>
                <w:sz w:val="24"/>
                <w:highlight w:val="none"/>
              </w:rPr>
              <w:t>则</w:t>
            </w:r>
            <w:r>
              <w:rPr>
                <w:rFonts w:hint="default"/>
                <w:color w:val="auto"/>
                <w:sz w:val="24"/>
                <w:highlight w:val="none"/>
              </w:rPr>
              <w:t>排入该污水处理厂可行。</w:t>
            </w:r>
          </w:p>
          <w:p w14:paraId="6C684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z w:val="24"/>
                <w:szCs w:val="24"/>
                <w:highlight w:val="none"/>
                <w:lang w:val="en-US"/>
              </w:rPr>
            </w:pPr>
            <w:r>
              <w:rPr>
                <w:rFonts w:hint="eastAsia" w:cs="Times New Roman"/>
                <w:b/>
                <w:color w:val="auto"/>
                <w:sz w:val="24"/>
                <w:szCs w:val="24"/>
                <w:highlight w:val="none"/>
                <w:lang w:val="en-US" w:eastAsia="zh-CN"/>
              </w:rPr>
              <w:t>3、</w:t>
            </w:r>
            <w:r>
              <w:rPr>
                <w:rFonts w:hint="eastAsia" w:ascii="Times New Roman" w:hAnsi="Times New Roman" w:eastAsia="宋体" w:cs="Times New Roman"/>
                <w:b/>
                <w:color w:val="auto"/>
                <w:sz w:val="24"/>
                <w:szCs w:val="24"/>
                <w:highlight w:val="none"/>
                <w:lang w:val="en-US" w:eastAsia="zh-CN"/>
              </w:rPr>
              <w:t>噪声</w:t>
            </w:r>
          </w:p>
          <w:p w14:paraId="3A4186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highlight w:val="none"/>
                <w:lang w:eastAsia="zh-CN"/>
              </w:rPr>
            </w:pPr>
            <w:r>
              <w:rPr>
                <w:rFonts w:hint="eastAsia" w:cs="Times New Roman"/>
                <w:b w:val="0"/>
                <w:bCs w:val="0"/>
                <w:color w:val="auto"/>
                <w:sz w:val="24"/>
                <w:highlight w:val="none"/>
                <w:lang w:val="en-US" w:eastAsia="zh-CN"/>
              </w:rPr>
              <w:t>（1）</w:t>
            </w:r>
            <w:r>
              <w:rPr>
                <w:rFonts w:hint="default" w:ascii="Times New Roman" w:hAnsi="Times New Roman" w:eastAsia="宋体" w:cs="Times New Roman"/>
                <w:b w:val="0"/>
                <w:bCs w:val="0"/>
                <w:color w:val="auto"/>
                <w:sz w:val="24"/>
                <w:highlight w:val="none"/>
              </w:rPr>
              <w:t>噪声源分析</w:t>
            </w:r>
          </w:p>
          <w:p w14:paraId="26B59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pacing w:val="4"/>
                <w:sz w:val="24"/>
                <w:highlight w:val="none"/>
                <w:lang w:val="en-US" w:eastAsia="zh-CN"/>
              </w:rPr>
            </w:pPr>
            <w:r>
              <w:rPr>
                <w:rFonts w:hint="default" w:ascii="Times New Roman" w:hAnsi="Times New Roman" w:eastAsia="宋体" w:cs="Times New Roman"/>
                <w:color w:val="auto"/>
                <w:sz w:val="24"/>
                <w:highlight w:val="none"/>
              </w:rPr>
              <w:t>本</w:t>
            </w:r>
            <w:r>
              <w:rPr>
                <w:rFonts w:hint="eastAsia" w:ascii="Times New Roman" w:hAnsi="Times New Roman" w:eastAsia="宋体" w:cs="Times New Roman"/>
                <w:color w:val="auto"/>
                <w:sz w:val="24"/>
                <w:highlight w:val="none"/>
                <w:lang w:eastAsia="zh-CN"/>
              </w:rPr>
              <w:t>项目</w:t>
            </w:r>
            <w:r>
              <w:rPr>
                <w:rFonts w:hint="eastAsia" w:ascii="Times New Roman" w:hAnsi="Times New Roman" w:eastAsia="宋体" w:cs="Times New Roman"/>
                <w:color w:val="auto"/>
                <w:sz w:val="24"/>
                <w:highlight w:val="none"/>
                <w:lang w:val="en-US" w:eastAsia="zh-CN"/>
              </w:rPr>
              <w:t>噪声源强</w:t>
            </w:r>
            <w:r>
              <w:rPr>
                <w:rFonts w:hint="eastAsia" w:ascii="Times New Roman" w:hAnsi="Times New Roman" w:eastAsia="宋体" w:cs="Times New Roman"/>
                <w:color w:val="auto"/>
                <w:sz w:val="24"/>
                <w:highlight w:val="none"/>
                <w:lang w:eastAsia="zh-CN"/>
              </w:rPr>
              <w:t>见</w:t>
            </w:r>
            <w:r>
              <w:rPr>
                <w:rFonts w:hint="eastAsia" w:ascii="Times New Roman" w:hAnsi="Times New Roman" w:eastAsia="宋体" w:cs="Times New Roman"/>
                <w:color w:val="auto"/>
                <w:sz w:val="24"/>
                <w:highlight w:val="none"/>
                <w:lang w:val="en-US" w:eastAsia="zh-CN"/>
              </w:rPr>
              <w:t>表4</w:t>
            </w:r>
            <w:r>
              <w:rPr>
                <w:rFonts w:hint="eastAsia" w:cs="Times New Roman"/>
                <w:color w:val="auto"/>
                <w:sz w:val="24"/>
                <w:highlight w:val="none"/>
                <w:lang w:val="en-US" w:eastAsia="zh-CN"/>
              </w:rPr>
              <w:t>-13、表4-14</w:t>
            </w:r>
            <w:r>
              <w:rPr>
                <w:rFonts w:hint="default" w:ascii="Times New Roman" w:hAnsi="Times New Roman" w:eastAsia="宋体" w:cs="Times New Roman"/>
                <w:color w:val="auto"/>
                <w:spacing w:val="4"/>
                <w:sz w:val="24"/>
                <w:highlight w:val="none"/>
                <w:lang w:val="en-US" w:eastAsia="zh-CN"/>
              </w:rPr>
              <w:t>。</w:t>
            </w:r>
          </w:p>
          <w:p w14:paraId="6C68D0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color w:val="auto"/>
                <w:spacing w:val="0"/>
                <w:kern w:val="2"/>
                <w:sz w:val="21"/>
                <w:szCs w:val="21"/>
                <w:highlight w:val="none"/>
                <w:lang w:val="en-US" w:eastAsia="zh-CN" w:bidi="ar-SA"/>
              </w:rPr>
            </w:pPr>
            <w:r>
              <w:rPr>
                <w:rFonts w:hint="default" w:ascii="Times New Roman" w:hAnsi="Times New Roman" w:eastAsia="宋体" w:cs="Times New Roman"/>
                <w:b/>
                <w:bCs/>
                <w:color w:val="auto"/>
                <w:spacing w:val="0"/>
                <w:kern w:val="2"/>
                <w:sz w:val="21"/>
                <w:szCs w:val="21"/>
                <w:highlight w:val="none"/>
                <w:lang w:val="en-US" w:eastAsia="zh-CN" w:bidi="ar-SA"/>
              </w:rPr>
              <w:t>表4</w:t>
            </w:r>
            <w:r>
              <w:rPr>
                <w:rFonts w:hint="eastAsia" w:cs="Times New Roman"/>
                <w:b/>
                <w:bCs/>
                <w:color w:val="auto"/>
                <w:spacing w:val="0"/>
                <w:kern w:val="2"/>
                <w:sz w:val="21"/>
                <w:szCs w:val="21"/>
                <w:highlight w:val="none"/>
                <w:lang w:val="en-US" w:eastAsia="zh-CN" w:bidi="ar-SA"/>
              </w:rPr>
              <w:t>-13</w:t>
            </w:r>
            <w:r>
              <w:rPr>
                <w:rFonts w:hint="default" w:ascii="Times New Roman" w:hAnsi="Times New Roman" w:eastAsia="宋体" w:cs="Times New Roman"/>
                <w:b/>
                <w:bCs/>
                <w:color w:val="auto"/>
                <w:spacing w:val="0"/>
                <w:kern w:val="2"/>
                <w:sz w:val="21"/>
                <w:szCs w:val="21"/>
                <w:highlight w:val="none"/>
                <w:lang w:val="en-US" w:eastAsia="zh-CN" w:bidi="ar-SA"/>
              </w:rPr>
              <w:t xml:space="preserve">  室内噪声源源强调查清单</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1196"/>
              <w:gridCol w:w="439"/>
              <w:gridCol w:w="707"/>
              <w:gridCol w:w="674"/>
              <w:gridCol w:w="487"/>
              <w:gridCol w:w="425"/>
              <w:gridCol w:w="414"/>
              <w:gridCol w:w="712"/>
              <w:gridCol w:w="738"/>
              <w:gridCol w:w="562"/>
              <w:gridCol w:w="699"/>
              <w:gridCol w:w="824"/>
              <w:gridCol w:w="877"/>
            </w:tblGrid>
            <w:tr w14:paraId="5BB3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restart"/>
                  <w:tcBorders>
                    <w:tl2br w:val="nil"/>
                    <w:tr2bl w:val="nil"/>
                  </w:tcBorders>
                  <w:vAlign w:val="center"/>
                </w:tcPr>
                <w:p w14:paraId="31A3638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建筑物名称</w:t>
                  </w:r>
                </w:p>
              </w:tc>
              <w:tc>
                <w:tcPr>
                  <w:tcW w:w="653" w:type="pct"/>
                  <w:vMerge w:val="restart"/>
                  <w:tcBorders>
                    <w:tl2br w:val="nil"/>
                    <w:tr2bl w:val="nil"/>
                  </w:tcBorders>
                  <w:vAlign w:val="center"/>
                </w:tcPr>
                <w:p w14:paraId="642F010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声源名称</w:t>
                  </w:r>
                </w:p>
              </w:tc>
              <w:tc>
                <w:tcPr>
                  <w:tcW w:w="240" w:type="pct"/>
                  <w:vMerge w:val="restart"/>
                  <w:tcBorders>
                    <w:tl2br w:val="nil"/>
                    <w:tr2bl w:val="nil"/>
                  </w:tcBorders>
                  <w:vAlign w:val="center"/>
                </w:tcPr>
                <w:p w14:paraId="7A48079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
                      <w:color w:val="auto"/>
                      <w:sz w:val="18"/>
                      <w:szCs w:val="18"/>
                      <w:highlight w:val="none"/>
                      <w:lang w:val="en-US" w:eastAsia="zh-CN"/>
                    </w:rPr>
                  </w:pPr>
                  <w:r>
                    <w:rPr>
                      <w:rFonts w:hint="eastAsia"/>
                      <w:b/>
                      <w:color w:val="auto"/>
                      <w:sz w:val="18"/>
                      <w:szCs w:val="18"/>
                      <w:highlight w:val="none"/>
                      <w:lang w:val="en-US" w:eastAsia="zh-CN"/>
                    </w:rPr>
                    <w:t>数量</w:t>
                  </w:r>
                </w:p>
              </w:tc>
              <w:tc>
                <w:tcPr>
                  <w:tcW w:w="386" w:type="pct"/>
                  <w:vMerge w:val="restart"/>
                  <w:tcBorders>
                    <w:tl2br w:val="nil"/>
                    <w:tr2bl w:val="nil"/>
                  </w:tcBorders>
                  <w:vAlign w:val="center"/>
                </w:tcPr>
                <w:p w14:paraId="3859259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声功率级dB（A）</w:t>
                  </w:r>
                </w:p>
              </w:tc>
              <w:tc>
                <w:tcPr>
                  <w:tcW w:w="368" w:type="pct"/>
                  <w:vMerge w:val="restart"/>
                  <w:tcBorders>
                    <w:tl2br w:val="nil"/>
                    <w:tr2bl w:val="nil"/>
                  </w:tcBorders>
                  <w:vAlign w:val="center"/>
                </w:tcPr>
                <w:p w14:paraId="4F031E8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r>
                    <w:rPr>
                      <w:rFonts w:hint="default"/>
                      <w:b/>
                      <w:color w:val="auto"/>
                      <w:kern w:val="0"/>
                      <w:sz w:val="18"/>
                      <w:szCs w:val="18"/>
                      <w:highlight w:val="none"/>
                    </w:rPr>
                    <w:t>声源控制措施</w:t>
                  </w:r>
                </w:p>
              </w:tc>
              <w:tc>
                <w:tcPr>
                  <w:tcW w:w="724" w:type="pct"/>
                  <w:gridSpan w:val="3"/>
                  <w:tcBorders>
                    <w:tl2br w:val="nil"/>
                    <w:tr2bl w:val="nil"/>
                  </w:tcBorders>
                  <w:vAlign w:val="center"/>
                </w:tcPr>
                <w:p w14:paraId="45B77F6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空间相对位置/m</w:t>
                  </w:r>
                </w:p>
              </w:tc>
              <w:tc>
                <w:tcPr>
                  <w:tcW w:w="389" w:type="pct"/>
                  <w:vMerge w:val="restart"/>
                  <w:tcBorders>
                    <w:tl2br w:val="nil"/>
                    <w:tr2bl w:val="nil"/>
                  </w:tcBorders>
                  <w:vAlign w:val="center"/>
                </w:tcPr>
                <w:p w14:paraId="2BA07CF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kern w:val="0"/>
                      <w:sz w:val="18"/>
                      <w:szCs w:val="18"/>
                      <w:highlight w:val="none"/>
                    </w:rPr>
                    <w:t>距室内最近边界距离m</w:t>
                  </w:r>
                </w:p>
              </w:tc>
              <w:tc>
                <w:tcPr>
                  <w:tcW w:w="403" w:type="pct"/>
                  <w:vMerge w:val="restart"/>
                  <w:tcBorders>
                    <w:tl2br w:val="nil"/>
                    <w:tr2bl w:val="nil"/>
                  </w:tcBorders>
                  <w:vAlign w:val="center"/>
                </w:tcPr>
                <w:p w14:paraId="46E81AE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kern w:val="0"/>
                      <w:sz w:val="18"/>
                      <w:szCs w:val="18"/>
                      <w:highlight w:val="none"/>
                    </w:rPr>
                    <w:t>室内边界声级</w:t>
                  </w:r>
                  <w:r>
                    <w:rPr>
                      <w:rFonts w:hint="default"/>
                      <w:b/>
                      <w:color w:val="auto"/>
                      <w:sz w:val="18"/>
                      <w:szCs w:val="18"/>
                      <w:highlight w:val="none"/>
                    </w:rPr>
                    <w:t>dB（A）</w:t>
                  </w:r>
                </w:p>
              </w:tc>
              <w:tc>
                <w:tcPr>
                  <w:tcW w:w="307" w:type="pct"/>
                  <w:vMerge w:val="restart"/>
                  <w:tcBorders>
                    <w:tl2br w:val="nil"/>
                    <w:tr2bl w:val="nil"/>
                  </w:tcBorders>
                  <w:vAlign w:val="center"/>
                </w:tcPr>
                <w:p w14:paraId="515CE8B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运行时段</w:t>
                  </w:r>
                </w:p>
              </w:tc>
              <w:tc>
                <w:tcPr>
                  <w:tcW w:w="382" w:type="pct"/>
                  <w:vMerge w:val="restart"/>
                  <w:tcBorders>
                    <w:tl2br w:val="nil"/>
                    <w:tr2bl w:val="nil"/>
                  </w:tcBorders>
                  <w:vAlign w:val="center"/>
                </w:tcPr>
                <w:p w14:paraId="74584AF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kern w:val="0"/>
                      <w:sz w:val="18"/>
                      <w:szCs w:val="18"/>
                      <w:highlight w:val="none"/>
                    </w:rPr>
                    <w:t>建筑物插入损失</w:t>
                  </w:r>
                  <w:r>
                    <w:rPr>
                      <w:rFonts w:hint="default"/>
                      <w:b/>
                      <w:color w:val="auto"/>
                      <w:sz w:val="18"/>
                      <w:szCs w:val="18"/>
                      <w:highlight w:val="none"/>
                    </w:rPr>
                    <w:t>dB（A）</w:t>
                  </w:r>
                </w:p>
              </w:tc>
              <w:tc>
                <w:tcPr>
                  <w:tcW w:w="929" w:type="pct"/>
                  <w:gridSpan w:val="2"/>
                  <w:tcBorders>
                    <w:tl2br w:val="nil"/>
                    <w:tr2bl w:val="nil"/>
                  </w:tcBorders>
                  <w:vAlign w:val="center"/>
                </w:tcPr>
                <w:p w14:paraId="1856F9A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建筑物外噪声</w:t>
                  </w:r>
                </w:p>
              </w:tc>
            </w:tr>
            <w:tr w14:paraId="39CE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089876A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vMerge w:val="continue"/>
                  <w:tcBorders>
                    <w:tl2br w:val="nil"/>
                    <w:tr2bl w:val="nil"/>
                  </w:tcBorders>
                  <w:vAlign w:val="center"/>
                </w:tcPr>
                <w:p w14:paraId="5C0DB41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240" w:type="pct"/>
                  <w:vMerge w:val="continue"/>
                  <w:tcBorders>
                    <w:tl2br w:val="nil"/>
                    <w:tr2bl w:val="nil"/>
                  </w:tcBorders>
                  <w:vAlign w:val="center"/>
                </w:tcPr>
                <w:p w14:paraId="14C3EAF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6" w:type="pct"/>
                  <w:vMerge w:val="continue"/>
                  <w:tcBorders>
                    <w:tl2br w:val="nil"/>
                    <w:tr2bl w:val="nil"/>
                  </w:tcBorders>
                  <w:vAlign w:val="center"/>
                </w:tcPr>
                <w:p w14:paraId="3B1A008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68" w:type="pct"/>
                  <w:vMerge w:val="continue"/>
                  <w:tcBorders>
                    <w:tl2br w:val="nil"/>
                    <w:tr2bl w:val="nil"/>
                  </w:tcBorders>
                  <w:vAlign w:val="center"/>
                </w:tcPr>
                <w:p w14:paraId="6F937CC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p>
              </w:tc>
              <w:tc>
                <w:tcPr>
                  <w:tcW w:w="266" w:type="pct"/>
                  <w:tcBorders>
                    <w:tl2br w:val="nil"/>
                    <w:tr2bl w:val="nil"/>
                  </w:tcBorders>
                  <w:vAlign w:val="center"/>
                </w:tcPr>
                <w:p w14:paraId="0827E06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r>
                    <w:rPr>
                      <w:rFonts w:hint="default"/>
                      <w:b/>
                      <w:color w:val="auto"/>
                      <w:kern w:val="0"/>
                      <w:sz w:val="18"/>
                      <w:szCs w:val="18"/>
                      <w:highlight w:val="none"/>
                    </w:rPr>
                    <w:t>X</w:t>
                  </w:r>
                </w:p>
              </w:tc>
              <w:tc>
                <w:tcPr>
                  <w:tcW w:w="232" w:type="pct"/>
                  <w:tcBorders>
                    <w:tl2br w:val="nil"/>
                    <w:tr2bl w:val="nil"/>
                  </w:tcBorders>
                  <w:vAlign w:val="center"/>
                </w:tcPr>
                <w:p w14:paraId="7CD882B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r>
                    <w:rPr>
                      <w:rFonts w:hint="default"/>
                      <w:b/>
                      <w:color w:val="auto"/>
                      <w:kern w:val="0"/>
                      <w:sz w:val="18"/>
                      <w:szCs w:val="18"/>
                      <w:highlight w:val="none"/>
                    </w:rPr>
                    <w:t>Y</w:t>
                  </w:r>
                </w:p>
              </w:tc>
              <w:tc>
                <w:tcPr>
                  <w:tcW w:w="225" w:type="pct"/>
                  <w:tcBorders>
                    <w:tl2br w:val="nil"/>
                    <w:tr2bl w:val="nil"/>
                  </w:tcBorders>
                  <w:vAlign w:val="center"/>
                </w:tcPr>
                <w:p w14:paraId="191C9D2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Z</w:t>
                  </w:r>
                </w:p>
              </w:tc>
              <w:tc>
                <w:tcPr>
                  <w:tcW w:w="389" w:type="pct"/>
                  <w:vMerge w:val="continue"/>
                  <w:tcBorders>
                    <w:tl2br w:val="nil"/>
                    <w:tr2bl w:val="nil"/>
                  </w:tcBorders>
                  <w:vAlign w:val="center"/>
                </w:tcPr>
                <w:p w14:paraId="79C48FE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403" w:type="pct"/>
                  <w:vMerge w:val="continue"/>
                  <w:tcBorders>
                    <w:tl2br w:val="nil"/>
                    <w:tr2bl w:val="nil"/>
                  </w:tcBorders>
                  <w:vAlign w:val="center"/>
                </w:tcPr>
                <w:p w14:paraId="04D111A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07" w:type="pct"/>
                  <w:vMerge w:val="continue"/>
                  <w:tcBorders>
                    <w:tl2br w:val="nil"/>
                    <w:tr2bl w:val="nil"/>
                  </w:tcBorders>
                  <w:vAlign w:val="center"/>
                </w:tcPr>
                <w:p w14:paraId="639FA01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vMerge w:val="continue"/>
                  <w:tcBorders>
                    <w:tl2br w:val="nil"/>
                    <w:tr2bl w:val="nil"/>
                  </w:tcBorders>
                  <w:vAlign w:val="center"/>
                </w:tcPr>
                <w:p w14:paraId="7DCC88E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450" w:type="pct"/>
                  <w:tcBorders>
                    <w:tl2br w:val="nil"/>
                    <w:tr2bl w:val="nil"/>
                  </w:tcBorders>
                  <w:vAlign w:val="center"/>
                </w:tcPr>
                <w:p w14:paraId="2AAE341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default"/>
                      <w:b/>
                      <w:color w:val="auto"/>
                      <w:sz w:val="18"/>
                      <w:szCs w:val="18"/>
                      <w:highlight w:val="none"/>
                    </w:rPr>
                    <w:t>声压级dB（A）</w:t>
                  </w:r>
                </w:p>
              </w:tc>
              <w:tc>
                <w:tcPr>
                  <w:tcW w:w="478" w:type="pct"/>
                  <w:tcBorders>
                    <w:tl2br w:val="nil"/>
                    <w:tr2bl w:val="nil"/>
                  </w:tcBorders>
                  <w:vAlign w:val="center"/>
                </w:tcPr>
                <w:p w14:paraId="7810DBD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eastAsia" w:eastAsia="宋体"/>
                      <w:b/>
                      <w:color w:val="auto"/>
                      <w:sz w:val="18"/>
                      <w:szCs w:val="18"/>
                      <w:highlight w:val="none"/>
                      <w:lang w:val="en-US" w:eastAsia="zh-CN"/>
                    </w:rPr>
                  </w:pPr>
                  <w:r>
                    <w:rPr>
                      <w:rFonts w:hint="default"/>
                      <w:b/>
                      <w:color w:val="auto"/>
                      <w:sz w:val="18"/>
                      <w:szCs w:val="18"/>
                      <w:highlight w:val="none"/>
                    </w:rPr>
                    <w:t>建筑物外距离</w:t>
                  </w:r>
                  <w:r>
                    <w:rPr>
                      <w:rFonts w:hint="eastAsia"/>
                      <w:b/>
                      <w:color w:val="auto"/>
                      <w:sz w:val="18"/>
                      <w:szCs w:val="18"/>
                      <w:highlight w:val="none"/>
                      <w:lang w:val="en-US" w:eastAsia="zh-CN"/>
                    </w:rPr>
                    <w:t>m</w:t>
                  </w:r>
                </w:p>
              </w:tc>
            </w:tr>
            <w:tr w14:paraId="3E91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restart"/>
                  <w:tcBorders>
                    <w:tl2br w:val="nil"/>
                    <w:tr2bl w:val="nil"/>
                  </w:tcBorders>
                  <w:vAlign w:val="center"/>
                </w:tcPr>
                <w:p w14:paraId="31808D3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eastAsia"/>
                      <w:color w:val="auto"/>
                      <w:sz w:val="18"/>
                      <w:szCs w:val="18"/>
                      <w:highlight w:val="none"/>
                      <w:lang w:val="en-US" w:eastAsia="zh-CN"/>
                    </w:rPr>
                    <w:t>生产</w:t>
                  </w:r>
                  <w:r>
                    <w:rPr>
                      <w:rFonts w:hint="default"/>
                      <w:color w:val="auto"/>
                      <w:sz w:val="18"/>
                      <w:szCs w:val="18"/>
                      <w:highlight w:val="none"/>
                    </w:rPr>
                    <w:t>车间</w:t>
                  </w:r>
                </w:p>
              </w:tc>
              <w:tc>
                <w:tcPr>
                  <w:tcW w:w="653" w:type="pct"/>
                  <w:tcBorders>
                    <w:tl2br w:val="nil"/>
                    <w:tr2bl w:val="nil"/>
                  </w:tcBorders>
                  <w:vAlign w:val="center"/>
                </w:tcPr>
                <w:p w14:paraId="2BB77843">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
                      <w:color w:val="auto"/>
                      <w:sz w:val="18"/>
                      <w:szCs w:val="18"/>
                      <w:highlight w:val="none"/>
                    </w:rPr>
                  </w:pPr>
                  <w:r>
                    <w:rPr>
                      <w:rFonts w:hint="default" w:ascii="Times New Roman" w:hAnsi="Times New Roman" w:eastAsia="宋体" w:cs="Times New Roman"/>
                      <w:color w:val="auto"/>
                      <w:spacing w:val="0"/>
                      <w:w w:val="100"/>
                      <w:kern w:val="0"/>
                      <w:sz w:val="18"/>
                      <w:szCs w:val="18"/>
                      <w:highlight w:val="none"/>
                      <w:lang w:val="en-US" w:eastAsia="zh-CN" w:bidi="zh-CN"/>
                    </w:rPr>
                    <w:t>皮带输送机</w:t>
                  </w:r>
                </w:p>
              </w:tc>
              <w:tc>
                <w:tcPr>
                  <w:tcW w:w="240" w:type="pct"/>
                  <w:tcBorders>
                    <w:tl2br w:val="nil"/>
                    <w:tr2bl w:val="nil"/>
                  </w:tcBorders>
                  <w:vAlign w:val="center"/>
                </w:tcPr>
                <w:p w14:paraId="388D7C08">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26DC02A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80</w:t>
                  </w:r>
                </w:p>
              </w:tc>
              <w:tc>
                <w:tcPr>
                  <w:tcW w:w="368" w:type="pct"/>
                  <w:vMerge w:val="restart"/>
                  <w:tcBorders>
                    <w:tl2br w:val="nil"/>
                    <w:tr2bl w:val="nil"/>
                  </w:tcBorders>
                  <w:vAlign w:val="center"/>
                </w:tcPr>
                <w:p w14:paraId="24012DDB">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r>
                    <w:rPr>
                      <w:rFonts w:hint="default"/>
                      <w:color w:val="auto"/>
                      <w:sz w:val="18"/>
                      <w:szCs w:val="18"/>
                      <w:highlight w:val="none"/>
                    </w:rPr>
                    <w:t>选用低噪声设备、室内安装、基础减振</w:t>
                  </w:r>
                </w:p>
              </w:tc>
              <w:tc>
                <w:tcPr>
                  <w:tcW w:w="266" w:type="pct"/>
                  <w:tcBorders>
                    <w:tl2br w:val="nil"/>
                    <w:tr2bl w:val="nil"/>
                  </w:tcBorders>
                  <w:vAlign w:val="center"/>
                </w:tcPr>
                <w:p w14:paraId="5C48E84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53</w:t>
                  </w:r>
                </w:p>
              </w:tc>
              <w:tc>
                <w:tcPr>
                  <w:tcW w:w="232" w:type="pct"/>
                  <w:tcBorders>
                    <w:tl2br w:val="nil"/>
                    <w:tr2bl w:val="nil"/>
                  </w:tcBorders>
                  <w:vAlign w:val="center"/>
                </w:tcPr>
                <w:p w14:paraId="74049F3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22</w:t>
                  </w:r>
                </w:p>
              </w:tc>
              <w:tc>
                <w:tcPr>
                  <w:tcW w:w="225" w:type="pct"/>
                  <w:tcBorders>
                    <w:tl2br w:val="nil"/>
                    <w:tr2bl w:val="nil"/>
                  </w:tcBorders>
                  <w:vAlign w:val="center"/>
                </w:tcPr>
                <w:p w14:paraId="705D31F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1</w:t>
                  </w:r>
                </w:p>
              </w:tc>
              <w:tc>
                <w:tcPr>
                  <w:tcW w:w="389" w:type="pct"/>
                  <w:tcBorders>
                    <w:tl2br w:val="nil"/>
                    <w:tr2bl w:val="nil"/>
                  </w:tcBorders>
                  <w:shd w:val="clear" w:color="auto" w:fill="auto"/>
                  <w:vAlign w:val="center"/>
                </w:tcPr>
                <w:p w14:paraId="425285B4">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eastAsia="宋体"/>
                      <w:color w:val="auto"/>
                      <w:sz w:val="18"/>
                      <w:szCs w:val="18"/>
                      <w:highlight w:val="none"/>
                      <w:lang w:val="en-US" w:eastAsia="zh-CN" w:bidi="ar"/>
                    </w:rPr>
                  </w:pPr>
                  <w:r>
                    <w:rPr>
                      <w:rFonts w:hint="eastAsia"/>
                      <w:color w:val="auto"/>
                      <w:sz w:val="18"/>
                      <w:szCs w:val="18"/>
                      <w:highlight w:val="none"/>
                      <w:lang w:val="en-US" w:eastAsia="zh-CN" w:bidi="ar"/>
                    </w:rPr>
                    <w:t>15</w:t>
                  </w:r>
                </w:p>
              </w:tc>
              <w:tc>
                <w:tcPr>
                  <w:tcW w:w="403" w:type="pct"/>
                  <w:tcBorders>
                    <w:tl2br w:val="nil"/>
                    <w:tr2bl w:val="nil"/>
                  </w:tcBorders>
                  <w:shd w:val="clear" w:color="auto" w:fill="auto"/>
                  <w:vAlign w:val="center"/>
                </w:tcPr>
                <w:p w14:paraId="72E0346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ascii="Times New Roman" w:hAnsi="Times New Roman" w:eastAsia="宋体" w:cs="Times New Roman"/>
                      <w:color w:val="auto"/>
                      <w:sz w:val="18"/>
                      <w:szCs w:val="18"/>
                      <w:highlight w:val="none"/>
                      <w:lang w:val="en-US" w:eastAsia="zh-CN" w:bidi="ar"/>
                    </w:rPr>
                  </w:pPr>
                  <w:r>
                    <w:rPr>
                      <w:rFonts w:hint="eastAsia" w:cs="Times New Roman"/>
                      <w:color w:val="auto"/>
                      <w:sz w:val="18"/>
                      <w:szCs w:val="18"/>
                      <w:highlight w:val="none"/>
                      <w:lang w:val="en-US" w:eastAsia="zh-CN" w:bidi="ar"/>
                    </w:rPr>
                    <w:t>56.5</w:t>
                  </w:r>
                </w:p>
              </w:tc>
              <w:tc>
                <w:tcPr>
                  <w:tcW w:w="307" w:type="pct"/>
                  <w:vMerge w:val="restart"/>
                  <w:tcBorders>
                    <w:tl2br w:val="nil"/>
                    <w:tr2bl w:val="nil"/>
                  </w:tcBorders>
                  <w:vAlign w:val="center"/>
                </w:tcPr>
                <w:p w14:paraId="3CFEE6BB">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eastAsia="宋体"/>
                      <w:color w:val="auto"/>
                      <w:sz w:val="18"/>
                      <w:szCs w:val="18"/>
                      <w:highlight w:val="none"/>
                      <w:lang w:val="en-US" w:eastAsia="zh-CN" w:bidi="ar"/>
                    </w:rPr>
                  </w:pPr>
                  <w:r>
                    <w:rPr>
                      <w:rFonts w:hint="eastAsia"/>
                      <w:color w:val="auto"/>
                      <w:sz w:val="18"/>
                      <w:szCs w:val="18"/>
                      <w:highlight w:val="none"/>
                      <w:lang w:val="en-US" w:eastAsia="zh-CN" w:bidi="ar"/>
                    </w:rPr>
                    <w:t>24h</w:t>
                  </w:r>
                </w:p>
              </w:tc>
              <w:tc>
                <w:tcPr>
                  <w:tcW w:w="382" w:type="pct"/>
                  <w:tcBorders>
                    <w:tl2br w:val="nil"/>
                    <w:tr2bl w:val="nil"/>
                  </w:tcBorders>
                  <w:shd w:val="clear" w:color="auto" w:fill="auto"/>
                  <w:vAlign w:val="center"/>
                </w:tcPr>
                <w:p w14:paraId="19E6744B">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39082B5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leftChars="0" w:right="0" w:rightChars="0"/>
                    <w:jc w:val="center"/>
                    <w:textAlignment w:val="center"/>
                    <w:rPr>
                      <w:rFonts w:hint="default"/>
                      <w:color w:val="auto"/>
                      <w:sz w:val="18"/>
                      <w:szCs w:val="18"/>
                      <w:highlight w:val="none"/>
                      <w:lang w:bidi="ar"/>
                    </w:rPr>
                  </w:pPr>
                  <w:r>
                    <w:rPr>
                      <w:rFonts w:hint="eastAsia" w:cs="Times New Roman"/>
                      <w:color w:val="auto"/>
                      <w:sz w:val="18"/>
                      <w:szCs w:val="18"/>
                      <w:highlight w:val="none"/>
                      <w:lang w:val="en-US" w:eastAsia="zh-CN" w:bidi="ar"/>
                    </w:rPr>
                    <w:t>36.5</w:t>
                  </w:r>
                </w:p>
              </w:tc>
              <w:tc>
                <w:tcPr>
                  <w:tcW w:w="478" w:type="pct"/>
                  <w:tcBorders>
                    <w:tl2br w:val="nil"/>
                    <w:tr2bl w:val="nil"/>
                  </w:tcBorders>
                  <w:vAlign w:val="center"/>
                </w:tcPr>
                <w:p w14:paraId="0973E7D3">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eastAsia" w:eastAsia="宋体"/>
                      <w:color w:val="auto"/>
                      <w:sz w:val="18"/>
                      <w:szCs w:val="18"/>
                      <w:highlight w:val="none"/>
                      <w:lang w:val="en-US" w:eastAsia="zh-CN" w:bidi="ar"/>
                    </w:rPr>
                  </w:pPr>
                  <w:r>
                    <w:rPr>
                      <w:rFonts w:hint="eastAsia"/>
                      <w:bCs/>
                      <w:color w:val="auto"/>
                      <w:sz w:val="18"/>
                      <w:szCs w:val="18"/>
                      <w:highlight w:val="none"/>
                      <w:lang w:val="en-US" w:eastAsia="zh-CN"/>
                    </w:rPr>
                    <w:t>1</w:t>
                  </w:r>
                </w:p>
              </w:tc>
            </w:tr>
            <w:tr w14:paraId="4BFE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6807C87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vAlign w:val="center"/>
                </w:tcPr>
                <w:p w14:paraId="0DA1BA2C">
                  <w:pPr>
                    <w:pStyle w:val="7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
                      <w:color w:val="auto"/>
                      <w:sz w:val="18"/>
                      <w:szCs w:val="18"/>
                      <w:highlight w:val="none"/>
                    </w:rPr>
                  </w:pPr>
                  <w:r>
                    <w:rPr>
                      <w:rFonts w:hint="default"/>
                      <w:color w:val="auto"/>
                      <w:spacing w:val="-2"/>
                      <w:sz w:val="18"/>
                      <w:szCs w:val="18"/>
                      <w:highlight w:val="none"/>
                    </w:rPr>
                    <w:t>大倾角皮带输送机</w:t>
                  </w:r>
                </w:p>
              </w:tc>
              <w:tc>
                <w:tcPr>
                  <w:tcW w:w="240" w:type="pct"/>
                  <w:tcBorders>
                    <w:tl2br w:val="nil"/>
                    <w:tr2bl w:val="nil"/>
                  </w:tcBorders>
                  <w:vAlign w:val="center"/>
                </w:tcPr>
                <w:p w14:paraId="106FEE06">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310B0CF6">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rPr>
                  </w:pPr>
                  <w:r>
                    <w:rPr>
                      <w:rFonts w:hint="eastAsia"/>
                      <w:color w:val="auto"/>
                      <w:sz w:val="18"/>
                      <w:szCs w:val="18"/>
                      <w:highlight w:val="none"/>
                      <w:lang w:val="en-US" w:eastAsia="zh-CN"/>
                    </w:rPr>
                    <w:t>80</w:t>
                  </w:r>
                </w:p>
              </w:tc>
              <w:tc>
                <w:tcPr>
                  <w:tcW w:w="368" w:type="pct"/>
                  <w:vMerge w:val="continue"/>
                  <w:tcBorders>
                    <w:tl2br w:val="nil"/>
                    <w:tr2bl w:val="nil"/>
                  </w:tcBorders>
                  <w:vAlign w:val="center"/>
                </w:tcPr>
                <w:p w14:paraId="0FFCF65D">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p>
              </w:tc>
              <w:tc>
                <w:tcPr>
                  <w:tcW w:w="266" w:type="pct"/>
                  <w:tcBorders>
                    <w:tl2br w:val="nil"/>
                    <w:tr2bl w:val="nil"/>
                  </w:tcBorders>
                  <w:vAlign w:val="center"/>
                </w:tcPr>
                <w:p w14:paraId="7683FBB7">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54</w:t>
                  </w:r>
                </w:p>
              </w:tc>
              <w:tc>
                <w:tcPr>
                  <w:tcW w:w="232" w:type="pct"/>
                  <w:tcBorders>
                    <w:tl2br w:val="nil"/>
                    <w:tr2bl w:val="nil"/>
                  </w:tcBorders>
                  <w:vAlign w:val="center"/>
                </w:tcPr>
                <w:p w14:paraId="405C8295">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22</w:t>
                  </w:r>
                </w:p>
              </w:tc>
              <w:tc>
                <w:tcPr>
                  <w:tcW w:w="225" w:type="pct"/>
                  <w:tcBorders>
                    <w:tl2br w:val="nil"/>
                    <w:tr2bl w:val="nil"/>
                  </w:tcBorders>
                  <w:vAlign w:val="center"/>
                </w:tcPr>
                <w:p w14:paraId="380A6592">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eastAsia"/>
                      <w:bCs/>
                      <w:color w:val="auto"/>
                      <w:sz w:val="18"/>
                      <w:szCs w:val="18"/>
                      <w:highlight w:val="none"/>
                      <w:lang w:val="en-US" w:eastAsia="zh-CN"/>
                    </w:rPr>
                    <w:t>2</w:t>
                  </w:r>
                </w:p>
              </w:tc>
              <w:tc>
                <w:tcPr>
                  <w:tcW w:w="389" w:type="pct"/>
                  <w:tcBorders>
                    <w:tl2br w:val="nil"/>
                    <w:tr2bl w:val="nil"/>
                  </w:tcBorders>
                  <w:shd w:val="clear" w:color="auto" w:fill="auto"/>
                  <w:vAlign w:val="center"/>
                </w:tcPr>
                <w:p w14:paraId="01E76AE8">
                  <w:pPr>
                    <w:keepNext w:val="0"/>
                    <w:keepLines w:val="0"/>
                    <w:suppressLineNumbers w:val="0"/>
                    <w:autoSpaceDE w:val="0"/>
                    <w:autoSpaceDN w:val="0"/>
                    <w:adjustRightInd w:val="0"/>
                    <w:snapToGrid w:val="0"/>
                    <w:spacing w:before="0" w:beforeAutospacing="0" w:after="0" w:afterAutospacing="0" w:line="200" w:lineRule="exact"/>
                    <w:ind w:left="0" w:leftChars="0" w:right="0" w:rightChars="0"/>
                    <w:jc w:val="center"/>
                    <w:rPr>
                      <w:rFonts w:hint="default" w:eastAsia="宋体"/>
                      <w:b/>
                      <w:color w:val="auto"/>
                      <w:sz w:val="18"/>
                      <w:szCs w:val="18"/>
                      <w:highlight w:val="none"/>
                      <w:lang w:val="en-US" w:eastAsia="zh-CN"/>
                    </w:rPr>
                  </w:pPr>
                  <w:r>
                    <w:rPr>
                      <w:rFonts w:hint="eastAsia"/>
                      <w:color w:val="auto"/>
                      <w:sz w:val="18"/>
                      <w:szCs w:val="18"/>
                      <w:highlight w:val="none"/>
                      <w:lang w:val="en-US" w:eastAsia="zh-CN"/>
                    </w:rPr>
                    <w:t>15</w:t>
                  </w:r>
                </w:p>
              </w:tc>
              <w:tc>
                <w:tcPr>
                  <w:tcW w:w="403" w:type="pct"/>
                  <w:tcBorders>
                    <w:tl2br w:val="nil"/>
                    <w:tr2bl w:val="nil"/>
                  </w:tcBorders>
                  <w:shd w:val="clear" w:color="auto" w:fill="auto"/>
                  <w:vAlign w:val="center"/>
                </w:tcPr>
                <w:p w14:paraId="25FD0A18">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b/>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56.5</w:t>
                  </w:r>
                </w:p>
              </w:tc>
              <w:tc>
                <w:tcPr>
                  <w:tcW w:w="307" w:type="pct"/>
                  <w:vMerge w:val="continue"/>
                  <w:tcBorders>
                    <w:tl2br w:val="nil"/>
                    <w:tr2bl w:val="nil"/>
                  </w:tcBorders>
                  <w:vAlign w:val="center"/>
                </w:tcPr>
                <w:p w14:paraId="7778FCF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778D235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7C927109">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b/>
                      <w:color w:val="auto"/>
                      <w:sz w:val="18"/>
                      <w:szCs w:val="18"/>
                      <w:highlight w:val="none"/>
                    </w:rPr>
                  </w:pPr>
                  <w:r>
                    <w:rPr>
                      <w:rFonts w:hint="eastAsia" w:cs="Times New Roman"/>
                      <w:i w:val="0"/>
                      <w:iCs w:val="0"/>
                      <w:color w:val="auto"/>
                      <w:kern w:val="0"/>
                      <w:sz w:val="18"/>
                      <w:szCs w:val="18"/>
                      <w:highlight w:val="none"/>
                      <w:u w:val="none"/>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6.5</w:t>
                  </w:r>
                </w:p>
              </w:tc>
              <w:tc>
                <w:tcPr>
                  <w:tcW w:w="478" w:type="pct"/>
                  <w:tcBorders>
                    <w:tl2br w:val="nil"/>
                    <w:tr2bl w:val="nil"/>
                  </w:tcBorders>
                  <w:vAlign w:val="center"/>
                </w:tcPr>
                <w:p w14:paraId="190766C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r>
                    <w:rPr>
                      <w:rFonts w:hint="eastAsia"/>
                      <w:bCs/>
                      <w:color w:val="auto"/>
                      <w:sz w:val="18"/>
                      <w:szCs w:val="18"/>
                      <w:highlight w:val="none"/>
                      <w:lang w:val="en-US" w:eastAsia="zh-CN"/>
                    </w:rPr>
                    <w:t>1</w:t>
                  </w:r>
                </w:p>
              </w:tc>
            </w:tr>
            <w:tr w14:paraId="771A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51C5858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vAlign w:val="center"/>
                </w:tcPr>
                <w:p w14:paraId="219FA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eastAsiaTheme="minorEastAsia"/>
                      <w:color w:val="auto"/>
                      <w:kern w:val="0"/>
                      <w:sz w:val="18"/>
                      <w:szCs w:val="18"/>
                      <w:highlight w:val="none"/>
                    </w:rPr>
                  </w:pPr>
                  <w:r>
                    <w:rPr>
                      <w:rFonts w:hint="default"/>
                      <w:color w:val="auto"/>
                      <w:spacing w:val="-1"/>
                      <w:sz w:val="18"/>
                      <w:szCs w:val="18"/>
                      <w:highlight w:val="none"/>
                    </w:rPr>
                    <w:t>进料螺旋输送机</w:t>
                  </w:r>
                </w:p>
              </w:tc>
              <w:tc>
                <w:tcPr>
                  <w:tcW w:w="240" w:type="pct"/>
                  <w:tcBorders>
                    <w:tl2br w:val="nil"/>
                    <w:tr2bl w:val="nil"/>
                  </w:tcBorders>
                  <w:vAlign w:val="center"/>
                </w:tcPr>
                <w:p w14:paraId="05FD3CFB">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5F190EA5">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bCs/>
                      <w:color w:val="auto"/>
                      <w:sz w:val="18"/>
                      <w:szCs w:val="18"/>
                      <w:highlight w:val="none"/>
                      <w:lang w:val="en-US" w:eastAsia="zh-CN"/>
                    </w:rPr>
                    <w:t>80</w:t>
                  </w:r>
                </w:p>
              </w:tc>
              <w:tc>
                <w:tcPr>
                  <w:tcW w:w="368" w:type="pct"/>
                  <w:vMerge w:val="continue"/>
                  <w:tcBorders>
                    <w:tl2br w:val="nil"/>
                    <w:tr2bl w:val="nil"/>
                  </w:tcBorders>
                  <w:vAlign w:val="center"/>
                </w:tcPr>
                <w:p w14:paraId="5F53C940">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p>
              </w:tc>
              <w:tc>
                <w:tcPr>
                  <w:tcW w:w="266" w:type="pct"/>
                  <w:tcBorders>
                    <w:tl2br w:val="nil"/>
                    <w:tr2bl w:val="nil"/>
                  </w:tcBorders>
                  <w:vAlign w:val="center"/>
                </w:tcPr>
                <w:p w14:paraId="2C5C7903">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52</w:t>
                  </w:r>
                </w:p>
              </w:tc>
              <w:tc>
                <w:tcPr>
                  <w:tcW w:w="232" w:type="pct"/>
                  <w:tcBorders>
                    <w:tl2br w:val="nil"/>
                    <w:tr2bl w:val="nil"/>
                  </w:tcBorders>
                  <w:vAlign w:val="center"/>
                </w:tcPr>
                <w:p w14:paraId="729B3CFB">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21</w:t>
                  </w:r>
                </w:p>
              </w:tc>
              <w:tc>
                <w:tcPr>
                  <w:tcW w:w="225" w:type="pct"/>
                  <w:tcBorders>
                    <w:tl2br w:val="nil"/>
                    <w:tr2bl w:val="nil"/>
                  </w:tcBorders>
                  <w:vAlign w:val="center"/>
                </w:tcPr>
                <w:p w14:paraId="487F61AB">
                  <w:pPr>
                    <w:keepNext w:val="0"/>
                    <w:keepLines w:val="0"/>
                    <w:suppressLineNumbers w:val="0"/>
                    <w:snapToGrid w:val="0"/>
                    <w:spacing w:before="0" w:beforeAutospacing="0" w:after="0" w:afterAutospacing="0" w:line="200" w:lineRule="exact"/>
                    <w:ind w:left="0" w:leftChars="0" w:right="0" w:rightChars="0"/>
                    <w:jc w:val="center"/>
                    <w:rPr>
                      <w:rFonts w:hint="eastAsia" w:eastAsia="宋体"/>
                      <w:bCs/>
                      <w:color w:val="auto"/>
                      <w:sz w:val="18"/>
                      <w:szCs w:val="18"/>
                      <w:highlight w:val="none"/>
                      <w:lang w:eastAsia="zh-CN"/>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59D2B9F5">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16</w:t>
                  </w:r>
                </w:p>
              </w:tc>
              <w:tc>
                <w:tcPr>
                  <w:tcW w:w="403" w:type="pct"/>
                  <w:tcBorders>
                    <w:tl2br w:val="nil"/>
                    <w:tr2bl w:val="nil"/>
                  </w:tcBorders>
                  <w:shd w:val="clear" w:color="auto" w:fill="auto"/>
                  <w:vAlign w:val="center"/>
                </w:tcPr>
                <w:p w14:paraId="0434C7DF">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55.9</w:t>
                  </w:r>
                </w:p>
              </w:tc>
              <w:tc>
                <w:tcPr>
                  <w:tcW w:w="307" w:type="pct"/>
                  <w:vMerge w:val="continue"/>
                  <w:tcBorders>
                    <w:tl2br w:val="nil"/>
                    <w:tr2bl w:val="nil"/>
                  </w:tcBorders>
                  <w:vAlign w:val="center"/>
                </w:tcPr>
                <w:p w14:paraId="77E45DA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0EE9868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2FDA4E4B">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olor w:val="auto"/>
                      <w:sz w:val="18"/>
                      <w:szCs w:val="18"/>
                      <w:highlight w:val="none"/>
                    </w:rPr>
                  </w:pPr>
                  <w:r>
                    <w:rPr>
                      <w:rFonts w:hint="eastAsia" w:cs="Times New Roman"/>
                      <w:i w:val="0"/>
                      <w:iCs w:val="0"/>
                      <w:color w:val="auto"/>
                      <w:kern w:val="0"/>
                      <w:sz w:val="18"/>
                      <w:szCs w:val="18"/>
                      <w:highlight w:val="none"/>
                      <w:u w:val="none"/>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5.9</w:t>
                  </w:r>
                </w:p>
              </w:tc>
              <w:tc>
                <w:tcPr>
                  <w:tcW w:w="478" w:type="pct"/>
                  <w:tcBorders>
                    <w:tl2br w:val="nil"/>
                    <w:tr2bl w:val="nil"/>
                  </w:tcBorders>
                  <w:vAlign w:val="center"/>
                </w:tcPr>
                <w:p w14:paraId="64FA730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6850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33EFFD6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18D822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eastAsiaTheme="minorEastAsia"/>
                      <w:color w:val="auto"/>
                      <w:kern w:val="0"/>
                      <w:sz w:val="18"/>
                      <w:szCs w:val="18"/>
                      <w:highlight w:val="none"/>
                    </w:rPr>
                  </w:pPr>
                  <w:r>
                    <w:rPr>
                      <w:rFonts w:hint="eastAsia"/>
                      <w:bCs/>
                      <w:color w:val="auto"/>
                      <w:sz w:val="18"/>
                      <w:szCs w:val="18"/>
                      <w:highlight w:val="none"/>
                      <w:lang w:val="en-US" w:eastAsia="zh-CN"/>
                    </w:rPr>
                    <w:t>回转窑</w:t>
                  </w:r>
                </w:p>
              </w:tc>
              <w:tc>
                <w:tcPr>
                  <w:tcW w:w="240" w:type="pct"/>
                  <w:tcBorders>
                    <w:tl2br w:val="nil"/>
                    <w:tr2bl w:val="nil"/>
                  </w:tcBorders>
                  <w:vAlign w:val="center"/>
                </w:tcPr>
                <w:p w14:paraId="36B5D475">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78A44F09">
                  <w:pPr>
                    <w:keepNext w:val="0"/>
                    <w:keepLines w:val="0"/>
                    <w:suppressLineNumbers w:val="0"/>
                    <w:snapToGrid w:val="0"/>
                    <w:spacing w:before="0" w:beforeAutospacing="0" w:after="0" w:afterAutospacing="0" w:line="200" w:lineRule="exact"/>
                    <w:ind w:left="0" w:leftChars="0" w:right="0" w:rightChars="0"/>
                    <w:jc w:val="center"/>
                    <w:rPr>
                      <w:rFonts w:hint="eastAsia" w:eastAsia="宋体"/>
                      <w:color w:val="auto"/>
                      <w:sz w:val="18"/>
                      <w:szCs w:val="18"/>
                      <w:highlight w:val="none"/>
                      <w:lang w:eastAsia="zh-CN"/>
                    </w:rPr>
                  </w:pPr>
                  <w:r>
                    <w:rPr>
                      <w:rFonts w:hint="eastAsia"/>
                      <w:color w:val="auto"/>
                      <w:sz w:val="18"/>
                      <w:szCs w:val="18"/>
                      <w:highlight w:val="none"/>
                      <w:lang w:val="en-US" w:eastAsia="zh-CN"/>
                    </w:rPr>
                    <w:t>90</w:t>
                  </w:r>
                </w:p>
              </w:tc>
              <w:tc>
                <w:tcPr>
                  <w:tcW w:w="368" w:type="pct"/>
                  <w:vMerge w:val="continue"/>
                  <w:tcBorders>
                    <w:tl2br w:val="nil"/>
                    <w:tr2bl w:val="nil"/>
                  </w:tcBorders>
                  <w:vAlign w:val="center"/>
                </w:tcPr>
                <w:p w14:paraId="527917DC">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b/>
                      <w:color w:val="auto"/>
                      <w:kern w:val="0"/>
                      <w:sz w:val="18"/>
                      <w:szCs w:val="18"/>
                      <w:highlight w:val="none"/>
                    </w:rPr>
                  </w:pPr>
                </w:p>
              </w:tc>
              <w:tc>
                <w:tcPr>
                  <w:tcW w:w="266" w:type="pct"/>
                  <w:tcBorders>
                    <w:tl2br w:val="nil"/>
                    <w:tr2bl w:val="nil"/>
                  </w:tcBorders>
                  <w:vAlign w:val="center"/>
                </w:tcPr>
                <w:p w14:paraId="0A953C0D">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60</w:t>
                  </w:r>
                </w:p>
              </w:tc>
              <w:tc>
                <w:tcPr>
                  <w:tcW w:w="232" w:type="pct"/>
                  <w:tcBorders>
                    <w:tl2br w:val="nil"/>
                    <w:tr2bl w:val="nil"/>
                  </w:tcBorders>
                  <w:vAlign w:val="center"/>
                </w:tcPr>
                <w:p w14:paraId="1A2D6C22">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25</w:t>
                  </w:r>
                </w:p>
              </w:tc>
              <w:tc>
                <w:tcPr>
                  <w:tcW w:w="225" w:type="pct"/>
                  <w:tcBorders>
                    <w:tl2br w:val="nil"/>
                    <w:tr2bl w:val="nil"/>
                  </w:tcBorders>
                  <w:vAlign w:val="center"/>
                </w:tcPr>
                <w:p w14:paraId="5B9A0AAC">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eastAsia"/>
                      <w:bCs/>
                      <w:color w:val="auto"/>
                      <w:sz w:val="18"/>
                      <w:szCs w:val="18"/>
                      <w:highlight w:val="none"/>
                      <w:lang w:val="en-US" w:eastAsia="zh-CN"/>
                    </w:rPr>
                    <w:t>2</w:t>
                  </w:r>
                </w:p>
              </w:tc>
              <w:tc>
                <w:tcPr>
                  <w:tcW w:w="389" w:type="pct"/>
                  <w:tcBorders>
                    <w:tl2br w:val="nil"/>
                    <w:tr2bl w:val="nil"/>
                  </w:tcBorders>
                  <w:shd w:val="clear" w:color="auto" w:fill="auto"/>
                  <w:vAlign w:val="center"/>
                </w:tcPr>
                <w:p w14:paraId="3F985CC6">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12</w:t>
                  </w:r>
                </w:p>
              </w:tc>
              <w:tc>
                <w:tcPr>
                  <w:tcW w:w="403" w:type="pct"/>
                  <w:tcBorders>
                    <w:tl2br w:val="nil"/>
                    <w:tr2bl w:val="nil"/>
                  </w:tcBorders>
                  <w:shd w:val="clear" w:color="auto" w:fill="auto"/>
                  <w:vAlign w:val="center"/>
                </w:tcPr>
                <w:p w14:paraId="532BEE2C">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68.4</w:t>
                  </w:r>
                </w:p>
              </w:tc>
              <w:tc>
                <w:tcPr>
                  <w:tcW w:w="307" w:type="pct"/>
                  <w:vMerge w:val="continue"/>
                  <w:tcBorders>
                    <w:tl2br w:val="nil"/>
                    <w:tr2bl w:val="nil"/>
                  </w:tcBorders>
                  <w:vAlign w:val="center"/>
                </w:tcPr>
                <w:p w14:paraId="575CEA7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229AF6CD">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2DFAD2B7">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olor w:val="auto"/>
                      <w:sz w:val="18"/>
                      <w:szCs w:val="18"/>
                      <w:highlight w:val="none"/>
                    </w:rPr>
                  </w:pPr>
                  <w:r>
                    <w:rPr>
                      <w:rFonts w:hint="eastAsia" w:cs="Times New Roman"/>
                      <w:i w:val="0"/>
                      <w:iCs w:val="0"/>
                      <w:color w:val="auto"/>
                      <w:kern w:val="0"/>
                      <w:sz w:val="18"/>
                      <w:szCs w:val="18"/>
                      <w:highlight w:val="none"/>
                      <w:u w:val="none"/>
                      <w:lang w:val="en-US" w:eastAsia="zh-CN" w:bidi="ar"/>
                    </w:rPr>
                    <w:t>4</w:t>
                  </w:r>
                  <w:r>
                    <w:rPr>
                      <w:rFonts w:hint="default" w:ascii="Times New Roman" w:hAnsi="Times New Roman" w:eastAsia="宋体" w:cs="Times New Roman"/>
                      <w:i w:val="0"/>
                      <w:iCs w:val="0"/>
                      <w:color w:val="auto"/>
                      <w:kern w:val="0"/>
                      <w:sz w:val="18"/>
                      <w:szCs w:val="18"/>
                      <w:highlight w:val="none"/>
                      <w:u w:val="none"/>
                      <w:lang w:val="en-US" w:eastAsia="zh-CN" w:bidi="ar"/>
                    </w:rPr>
                    <w:t>8.4</w:t>
                  </w:r>
                </w:p>
              </w:tc>
              <w:tc>
                <w:tcPr>
                  <w:tcW w:w="478" w:type="pct"/>
                  <w:tcBorders>
                    <w:tl2br w:val="nil"/>
                    <w:tr2bl w:val="nil"/>
                  </w:tcBorders>
                  <w:vAlign w:val="center"/>
                </w:tcPr>
                <w:p w14:paraId="0A7291D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00B6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08E1E49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3DBEB5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eastAsiaTheme="minorEastAsia"/>
                      <w:color w:val="auto"/>
                      <w:kern w:val="0"/>
                      <w:sz w:val="18"/>
                      <w:szCs w:val="18"/>
                      <w:highlight w:val="none"/>
                    </w:rPr>
                  </w:pPr>
                  <w:r>
                    <w:rPr>
                      <w:rFonts w:hint="eastAsia"/>
                      <w:color w:val="auto"/>
                      <w:spacing w:val="-2"/>
                      <w:sz w:val="18"/>
                      <w:szCs w:val="18"/>
                      <w:highlight w:val="none"/>
                      <w:lang w:val="en-US" w:eastAsia="zh-CN"/>
                    </w:rPr>
                    <w:t>低氮</w:t>
                  </w:r>
                  <w:r>
                    <w:rPr>
                      <w:rFonts w:hint="default"/>
                      <w:color w:val="auto"/>
                      <w:spacing w:val="-2"/>
                      <w:sz w:val="18"/>
                      <w:szCs w:val="18"/>
                      <w:highlight w:val="none"/>
                    </w:rPr>
                    <w:t>燃烧器</w:t>
                  </w:r>
                </w:p>
              </w:tc>
              <w:tc>
                <w:tcPr>
                  <w:tcW w:w="240" w:type="pct"/>
                  <w:tcBorders>
                    <w:tl2br w:val="nil"/>
                    <w:tr2bl w:val="nil"/>
                  </w:tcBorders>
                  <w:vAlign w:val="center"/>
                </w:tcPr>
                <w:p w14:paraId="7D12A31F">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7448DE4C">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default"/>
                      <w:color w:val="auto"/>
                      <w:sz w:val="18"/>
                      <w:szCs w:val="18"/>
                      <w:highlight w:val="none"/>
                    </w:rPr>
                    <w:t>8</w:t>
                  </w:r>
                  <w:r>
                    <w:rPr>
                      <w:rFonts w:hint="eastAsia"/>
                      <w:color w:val="auto"/>
                      <w:sz w:val="18"/>
                      <w:szCs w:val="18"/>
                      <w:highlight w:val="none"/>
                      <w:lang w:val="en-US" w:eastAsia="zh-CN"/>
                    </w:rPr>
                    <w:t>0</w:t>
                  </w:r>
                </w:p>
              </w:tc>
              <w:tc>
                <w:tcPr>
                  <w:tcW w:w="368" w:type="pct"/>
                  <w:vMerge w:val="continue"/>
                  <w:tcBorders>
                    <w:tl2br w:val="nil"/>
                    <w:tr2bl w:val="nil"/>
                  </w:tcBorders>
                  <w:vAlign w:val="center"/>
                </w:tcPr>
                <w:p w14:paraId="3A564204">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1AF49366">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76</w:t>
                  </w:r>
                </w:p>
              </w:tc>
              <w:tc>
                <w:tcPr>
                  <w:tcW w:w="232" w:type="pct"/>
                  <w:tcBorders>
                    <w:tl2br w:val="nil"/>
                    <w:tr2bl w:val="nil"/>
                  </w:tcBorders>
                  <w:vAlign w:val="center"/>
                </w:tcPr>
                <w:p w14:paraId="70056ACC">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24</w:t>
                  </w:r>
                </w:p>
              </w:tc>
              <w:tc>
                <w:tcPr>
                  <w:tcW w:w="225" w:type="pct"/>
                  <w:tcBorders>
                    <w:tl2br w:val="nil"/>
                    <w:tr2bl w:val="nil"/>
                  </w:tcBorders>
                  <w:vAlign w:val="center"/>
                </w:tcPr>
                <w:p w14:paraId="483852AA">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45AA92F4">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13</w:t>
                  </w:r>
                </w:p>
              </w:tc>
              <w:tc>
                <w:tcPr>
                  <w:tcW w:w="403" w:type="pct"/>
                  <w:tcBorders>
                    <w:tl2br w:val="nil"/>
                    <w:tr2bl w:val="nil"/>
                  </w:tcBorders>
                  <w:shd w:val="clear" w:color="auto" w:fill="auto"/>
                  <w:vAlign w:val="center"/>
                </w:tcPr>
                <w:p w14:paraId="4D667B75">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57.7</w:t>
                  </w:r>
                </w:p>
              </w:tc>
              <w:tc>
                <w:tcPr>
                  <w:tcW w:w="307" w:type="pct"/>
                  <w:vMerge w:val="continue"/>
                  <w:tcBorders>
                    <w:tl2br w:val="nil"/>
                    <w:tr2bl w:val="nil"/>
                  </w:tcBorders>
                  <w:vAlign w:val="center"/>
                </w:tcPr>
                <w:p w14:paraId="1A8CA3B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61E707A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0BFB4E18">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olor w:val="auto"/>
                      <w:sz w:val="18"/>
                      <w:szCs w:val="18"/>
                      <w:highlight w:val="none"/>
                    </w:rPr>
                  </w:pPr>
                  <w:r>
                    <w:rPr>
                      <w:rFonts w:hint="eastAsia" w:cs="Times New Roman"/>
                      <w:i w:val="0"/>
                      <w:iCs w:val="0"/>
                      <w:color w:val="auto"/>
                      <w:kern w:val="0"/>
                      <w:sz w:val="18"/>
                      <w:szCs w:val="18"/>
                      <w:highlight w:val="none"/>
                      <w:u w:val="none"/>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7.7</w:t>
                  </w:r>
                </w:p>
              </w:tc>
              <w:tc>
                <w:tcPr>
                  <w:tcW w:w="478" w:type="pct"/>
                  <w:tcBorders>
                    <w:tl2br w:val="nil"/>
                    <w:tr2bl w:val="nil"/>
                  </w:tcBorders>
                  <w:vAlign w:val="center"/>
                </w:tcPr>
                <w:p w14:paraId="5F7201CB">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7C7D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24C8182B">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5BD52F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eastAsiaTheme="minorEastAsia"/>
                      <w:color w:val="auto"/>
                      <w:kern w:val="0"/>
                      <w:sz w:val="18"/>
                      <w:szCs w:val="18"/>
                      <w:highlight w:val="none"/>
                    </w:rPr>
                  </w:pPr>
                  <w:r>
                    <w:rPr>
                      <w:rFonts w:hint="eastAsia"/>
                      <w:color w:val="auto"/>
                      <w:spacing w:val="-3"/>
                      <w:sz w:val="18"/>
                      <w:szCs w:val="18"/>
                      <w:highlight w:val="none"/>
                      <w:lang w:val="en-US" w:eastAsia="zh-CN"/>
                    </w:rPr>
                    <w:t>热压成型机</w:t>
                  </w:r>
                </w:p>
              </w:tc>
              <w:tc>
                <w:tcPr>
                  <w:tcW w:w="240" w:type="pct"/>
                  <w:tcBorders>
                    <w:tl2br w:val="nil"/>
                    <w:tr2bl w:val="nil"/>
                  </w:tcBorders>
                  <w:vAlign w:val="center"/>
                </w:tcPr>
                <w:p w14:paraId="33E1CC24">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036BFCD0">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color w:val="auto"/>
                      <w:sz w:val="18"/>
                      <w:szCs w:val="18"/>
                      <w:highlight w:val="none"/>
                      <w:lang w:val="en-US" w:eastAsia="zh-CN"/>
                    </w:rPr>
                    <w:t>85</w:t>
                  </w:r>
                </w:p>
              </w:tc>
              <w:tc>
                <w:tcPr>
                  <w:tcW w:w="368" w:type="pct"/>
                  <w:vMerge w:val="continue"/>
                  <w:tcBorders>
                    <w:tl2br w:val="nil"/>
                    <w:tr2bl w:val="nil"/>
                  </w:tcBorders>
                  <w:vAlign w:val="center"/>
                </w:tcPr>
                <w:p w14:paraId="13C54BE7">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7E237334">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175</w:t>
                  </w:r>
                </w:p>
              </w:tc>
              <w:tc>
                <w:tcPr>
                  <w:tcW w:w="232" w:type="pct"/>
                  <w:tcBorders>
                    <w:tl2br w:val="nil"/>
                    <w:tr2bl w:val="nil"/>
                  </w:tcBorders>
                  <w:vAlign w:val="center"/>
                </w:tcPr>
                <w:p w14:paraId="57E86F22">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22</w:t>
                  </w:r>
                </w:p>
              </w:tc>
              <w:tc>
                <w:tcPr>
                  <w:tcW w:w="225" w:type="pct"/>
                  <w:tcBorders>
                    <w:tl2br w:val="nil"/>
                    <w:tr2bl w:val="nil"/>
                  </w:tcBorders>
                  <w:vAlign w:val="center"/>
                </w:tcPr>
                <w:p w14:paraId="0786CF7E">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51C1E63A">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15</w:t>
                  </w:r>
                </w:p>
              </w:tc>
              <w:tc>
                <w:tcPr>
                  <w:tcW w:w="403" w:type="pct"/>
                  <w:tcBorders>
                    <w:tl2br w:val="nil"/>
                    <w:tr2bl w:val="nil"/>
                  </w:tcBorders>
                  <w:shd w:val="clear" w:color="auto" w:fill="auto"/>
                  <w:vAlign w:val="center"/>
                </w:tcPr>
                <w:p w14:paraId="33C90395">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61.5</w:t>
                  </w:r>
                </w:p>
              </w:tc>
              <w:tc>
                <w:tcPr>
                  <w:tcW w:w="307" w:type="pct"/>
                  <w:vMerge w:val="continue"/>
                  <w:tcBorders>
                    <w:tl2br w:val="nil"/>
                    <w:tr2bl w:val="nil"/>
                  </w:tcBorders>
                  <w:vAlign w:val="center"/>
                </w:tcPr>
                <w:p w14:paraId="65116ED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6934851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72A9811E">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olor w:val="auto"/>
                      <w:sz w:val="18"/>
                      <w:szCs w:val="18"/>
                      <w:highlight w:val="none"/>
                    </w:rPr>
                  </w:pPr>
                  <w:r>
                    <w:rPr>
                      <w:rFonts w:hint="eastAsia" w:cs="Times New Roman"/>
                      <w:i w:val="0"/>
                      <w:iCs w:val="0"/>
                      <w:color w:val="auto"/>
                      <w:kern w:val="0"/>
                      <w:sz w:val="18"/>
                      <w:szCs w:val="18"/>
                      <w:highlight w:val="none"/>
                      <w:u w:val="none"/>
                      <w:lang w:val="en-US" w:eastAsia="zh-CN" w:bidi="ar"/>
                    </w:rPr>
                    <w:t>4</w:t>
                  </w:r>
                  <w:r>
                    <w:rPr>
                      <w:rFonts w:hint="default" w:ascii="Times New Roman" w:hAnsi="Times New Roman" w:eastAsia="宋体" w:cs="Times New Roman"/>
                      <w:i w:val="0"/>
                      <w:iCs w:val="0"/>
                      <w:color w:val="auto"/>
                      <w:kern w:val="0"/>
                      <w:sz w:val="18"/>
                      <w:szCs w:val="18"/>
                      <w:highlight w:val="none"/>
                      <w:u w:val="none"/>
                      <w:lang w:val="en-US" w:eastAsia="zh-CN" w:bidi="ar"/>
                    </w:rPr>
                    <w:t>1.5</w:t>
                  </w:r>
                </w:p>
              </w:tc>
              <w:tc>
                <w:tcPr>
                  <w:tcW w:w="478" w:type="pct"/>
                  <w:tcBorders>
                    <w:tl2br w:val="nil"/>
                    <w:tr2bl w:val="nil"/>
                  </w:tcBorders>
                  <w:vAlign w:val="center"/>
                </w:tcPr>
                <w:p w14:paraId="6B09E75D">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57BE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05A4B80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35D8CBA8">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Theme="minorEastAsia"/>
                      <w:color w:val="auto"/>
                      <w:kern w:val="0"/>
                      <w:sz w:val="18"/>
                      <w:szCs w:val="18"/>
                      <w:highlight w:val="none"/>
                    </w:rPr>
                  </w:pPr>
                  <w:r>
                    <w:rPr>
                      <w:rFonts w:hint="eastAsia"/>
                      <w:color w:val="auto"/>
                      <w:spacing w:val="-3"/>
                      <w:sz w:val="18"/>
                      <w:szCs w:val="18"/>
                      <w:highlight w:val="none"/>
                      <w:lang w:val="en-US" w:eastAsia="zh-CN"/>
                    </w:rPr>
                    <w:t>热压成型机</w:t>
                  </w:r>
                </w:p>
              </w:tc>
              <w:tc>
                <w:tcPr>
                  <w:tcW w:w="240" w:type="pct"/>
                  <w:tcBorders>
                    <w:tl2br w:val="nil"/>
                    <w:tr2bl w:val="nil"/>
                  </w:tcBorders>
                  <w:vAlign w:val="center"/>
                </w:tcPr>
                <w:p w14:paraId="22B178A4">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69FA8345">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color w:val="auto"/>
                      <w:sz w:val="18"/>
                      <w:szCs w:val="18"/>
                      <w:highlight w:val="none"/>
                      <w:lang w:val="en-US" w:eastAsia="zh-CN"/>
                    </w:rPr>
                    <w:t>85</w:t>
                  </w:r>
                </w:p>
              </w:tc>
              <w:tc>
                <w:tcPr>
                  <w:tcW w:w="368" w:type="pct"/>
                  <w:vMerge w:val="continue"/>
                  <w:tcBorders>
                    <w:tl2br w:val="nil"/>
                    <w:tr2bl w:val="nil"/>
                  </w:tcBorders>
                  <w:vAlign w:val="center"/>
                </w:tcPr>
                <w:p w14:paraId="51D286C3">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0C871F6F">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178</w:t>
                  </w:r>
                </w:p>
              </w:tc>
              <w:tc>
                <w:tcPr>
                  <w:tcW w:w="232" w:type="pct"/>
                  <w:tcBorders>
                    <w:tl2br w:val="nil"/>
                    <w:tr2bl w:val="nil"/>
                  </w:tcBorders>
                  <w:vAlign w:val="center"/>
                </w:tcPr>
                <w:p w14:paraId="375556ED">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24</w:t>
                  </w:r>
                </w:p>
              </w:tc>
              <w:tc>
                <w:tcPr>
                  <w:tcW w:w="225" w:type="pct"/>
                  <w:tcBorders>
                    <w:tl2br w:val="nil"/>
                    <w:tr2bl w:val="nil"/>
                  </w:tcBorders>
                  <w:vAlign w:val="center"/>
                </w:tcPr>
                <w:p w14:paraId="5E36DFFE">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2E1944D3">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13</w:t>
                  </w:r>
                </w:p>
              </w:tc>
              <w:tc>
                <w:tcPr>
                  <w:tcW w:w="403" w:type="pct"/>
                  <w:tcBorders>
                    <w:tl2br w:val="nil"/>
                    <w:tr2bl w:val="nil"/>
                  </w:tcBorders>
                  <w:shd w:val="clear" w:color="auto" w:fill="auto"/>
                  <w:vAlign w:val="center"/>
                </w:tcPr>
                <w:p w14:paraId="7AF8A869">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62.7</w:t>
                  </w:r>
                </w:p>
              </w:tc>
              <w:tc>
                <w:tcPr>
                  <w:tcW w:w="307" w:type="pct"/>
                  <w:vMerge w:val="continue"/>
                  <w:tcBorders>
                    <w:tl2br w:val="nil"/>
                    <w:tr2bl w:val="nil"/>
                  </w:tcBorders>
                  <w:vAlign w:val="center"/>
                </w:tcPr>
                <w:p w14:paraId="0A61FD2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2A61CB7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3BEC562A">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olor w:val="auto"/>
                      <w:sz w:val="18"/>
                      <w:szCs w:val="18"/>
                      <w:highlight w:val="none"/>
                    </w:rPr>
                  </w:pPr>
                  <w:r>
                    <w:rPr>
                      <w:rFonts w:hint="eastAsia" w:cs="Times New Roman"/>
                      <w:i w:val="0"/>
                      <w:iCs w:val="0"/>
                      <w:color w:val="auto"/>
                      <w:kern w:val="0"/>
                      <w:sz w:val="18"/>
                      <w:szCs w:val="18"/>
                      <w:highlight w:val="none"/>
                      <w:u w:val="none"/>
                      <w:lang w:val="en-US" w:eastAsia="zh-CN" w:bidi="ar"/>
                    </w:rPr>
                    <w:t>4</w:t>
                  </w:r>
                  <w:r>
                    <w:rPr>
                      <w:rFonts w:hint="default" w:ascii="Times New Roman" w:hAnsi="Times New Roman" w:eastAsia="宋体" w:cs="Times New Roman"/>
                      <w:i w:val="0"/>
                      <w:iCs w:val="0"/>
                      <w:color w:val="auto"/>
                      <w:kern w:val="0"/>
                      <w:sz w:val="18"/>
                      <w:szCs w:val="18"/>
                      <w:highlight w:val="none"/>
                      <w:u w:val="none"/>
                      <w:lang w:val="en-US" w:eastAsia="zh-CN" w:bidi="ar"/>
                    </w:rPr>
                    <w:t>2.7</w:t>
                  </w:r>
                </w:p>
              </w:tc>
              <w:tc>
                <w:tcPr>
                  <w:tcW w:w="478" w:type="pct"/>
                  <w:tcBorders>
                    <w:tl2br w:val="nil"/>
                    <w:tr2bl w:val="nil"/>
                  </w:tcBorders>
                  <w:vAlign w:val="center"/>
                </w:tcPr>
                <w:p w14:paraId="1C62F968">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6B97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657D798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4307D15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Theme="minorEastAsia"/>
                      <w:color w:val="auto"/>
                      <w:kern w:val="0"/>
                      <w:sz w:val="18"/>
                      <w:szCs w:val="18"/>
                      <w:highlight w:val="none"/>
                    </w:rPr>
                  </w:pPr>
                  <w:r>
                    <w:rPr>
                      <w:rFonts w:hint="eastAsia"/>
                      <w:color w:val="auto"/>
                      <w:spacing w:val="-3"/>
                      <w:sz w:val="18"/>
                      <w:szCs w:val="18"/>
                      <w:highlight w:val="none"/>
                      <w:lang w:val="en-US" w:eastAsia="zh-CN"/>
                    </w:rPr>
                    <w:t>热压</w:t>
                  </w:r>
                  <w:r>
                    <w:rPr>
                      <w:rFonts w:hint="default"/>
                      <w:color w:val="auto"/>
                      <w:spacing w:val="-2"/>
                      <w:sz w:val="18"/>
                      <w:szCs w:val="18"/>
                      <w:highlight w:val="none"/>
                    </w:rPr>
                    <w:t>机液压系统</w:t>
                  </w:r>
                </w:p>
              </w:tc>
              <w:tc>
                <w:tcPr>
                  <w:tcW w:w="240" w:type="pct"/>
                  <w:tcBorders>
                    <w:tl2br w:val="nil"/>
                    <w:tr2bl w:val="nil"/>
                  </w:tcBorders>
                  <w:vAlign w:val="center"/>
                </w:tcPr>
                <w:p w14:paraId="65795B81">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5D7686A7">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rPr>
                  </w:pPr>
                  <w:r>
                    <w:rPr>
                      <w:rFonts w:hint="eastAsia"/>
                      <w:color w:val="auto"/>
                      <w:sz w:val="18"/>
                      <w:szCs w:val="18"/>
                      <w:highlight w:val="none"/>
                      <w:lang w:val="en-US" w:eastAsia="zh-CN"/>
                    </w:rPr>
                    <w:t>80</w:t>
                  </w:r>
                </w:p>
              </w:tc>
              <w:tc>
                <w:tcPr>
                  <w:tcW w:w="368" w:type="pct"/>
                  <w:vMerge w:val="continue"/>
                  <w:tcBorders>
                    <w:tl2br w:val="nil"/>
                    <w:tr2bl w:val="nil"/>
                  </w:tcBorders>
                  <w:vAlign w:val="center"/>
                </w:tcPr>
                <w:p w14:paraId="709F96DB">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26F89F7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177</w:t>
                  </w:r>
                </w:p>
              </w:tc>
              <w:tc>
                <w:tcPr>
                  <w:tcW w:w="232" w:type="pct"/>
                  <w:tcBorders>
                    <w:tl2br w:val="nil"/>
                    <w:tr2bl w:val="nil"/>
                  </w:tcBorders>
                  <w:vAlign w:val="center"/>
                </w:tcPr>
                <w:p w14:paraId="7435353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22</w:t>
                  </w:r>
                </w:p>
              </w:tc>
              <w:tc>
                <w:tcPr>
                  <w:tcW w:w="225" w:type="pct"/>
                  <w:tcBorders>
                    <w:tl2br w:val="nil"/>
                    <w:tr2bl w:val="nil"/>
                  </w:tcBorders>
                  <w:vAlign w:val="center"/>
                </w:tcPr>
                <w:p w14:paraId="43FC78F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1</w:t>
                  </w:r>
                </w:p>
              </w:tc>
              <w:tc>
                <w:tcPr>
                  <w:tcW w:w="389" w:type="pct"/>
                  <w:tcBorders>
                    <w:tl2br w:val="nil"/>
                    <w:tr2bl w:val="nil"/>
                  </w:tcBorders>
                  <w:shd w:val="clear" w:color="auto" w:fill="auto"/>
                  <w:vAlign w:val="center"/>
                </w:tcPr>
                <w:p w14:paraId="5A2EA6A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16</w:t>
                  </w:r>
                </w:p>
              </w:tc>
              <w:tc>
                <w:tcPr>
                  <w:tcW w:w="403" w:type="pct"/>
                  <w:tcBorders>
                    <w:tl2br w:val="nil"/>
                    <w:tr2bl w:val="nil"/>
                  </w:tcBorders>
                  <w:shd w:val="clear" w:color="auto" w:fill="auto"/>
                  <w:vAlign w:val="center"/>
                </w:tcPr>
                <w:p w14:paraId="3BB12E92">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default"/>
                      <w:bCs/>
                      <w:color w:val="auto"/>
                      <w:kern w:val="0"/>
                      <w:sz w:val="18"/>
                      <w:szCs w:val="18"/>
                      <w:highlight w:val="none"/>
                      <w:lang w:val="en-US" w:eastAsia="zh-CN"/>
                    </w:rPr>
                    <w:t>55.9</w:t>
                  </w:r>
                </w:p>
              </w:tc>
              <w:tc>
                <w:tcPr>
                  <w:tcW w:w="307" w:type="pct"/>
                  <w:vMerge w:val="continue"/>
                  <w:tcBorders>
                    <w:tl2br w:val="nil"/>
                    <w:tr2bl w:val="nil"/>
                  </w:tcBorders>
                  <w:vAlign w:val="center"/>
                </w:tcPr>
                <w:p w14:paraId="67164E2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16B7D25B">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14449121">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kern w:val="0"/>
                      <w:sz w:val="18"/>
                      <w:szCs w:val="18"/>
                      <w:highlight w:val="none"/>
                      <w:lang w:val="en-US" w:eastAsia="zh-CN"/>
                    </w:rPr>
                    <w:t>3</w:t>
                  </w:r>
                  <w:r>
                    <w:rPr>
                      <w:rFonts w:hint="default"/>
                      <w:bCs/>
                      <w:color w:val="auto"/>
                      <w:kern w:val="0"/>
                      <w:sz w:val="18"/>
                      <w:szCs w:val="18"/>
                      <w:highlight w:val="none"/>
                      <w:lang w:val="en-US" w:eastAsia="zh-CN"/>
                    </w:rPr>
                    <w:t xml:space="preserve">5.9 </w:t>
                  </w:r>
                </w:p>
              </w:tc>
              <w:tc>
                <w:tcPr>
                  <w:tcW w:w="478" w:type="pct"/>
                  <w:tcBorders>
                    <w:tl2br w:val="nil"/>
                    <w:tr2bl w:val="nil"/>
                  </w:tcBorders>
                  <w:vAlign w:val="center"/>
                </w:tcPr>
                <w:p w14:paraId="0D782BE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3A91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4A278B1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3969B9E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Theme="minorEastAsia"/>
                      <w:color w:val="auto"/>
                      <w:kern w:val="0"/>
                      <w:sz w:val="18"/>
                      <w:szCs w:val="18"/>
                      <w:highlight w:val="none"/>
                    </w:rPr>
                  </w:pPr>
                  <w:r>
                    <w:rPr>
                      <w:rFonts w:hint="eastAsia"/>
                      <w:color w:val="auto"/>
                      <w:spacing w:val="-2"/>
                      <w:sz w:val="18"/>
                      <w:szCs w:val="18"/>
                      <w:highlight w:val="none"/>
                      <w:lang w:val="en-US" w:eastAsia="zh-CN"/>
                    </w:rPr>
                    <w:t>热压</w:t>
                  </w:r>
                  <w:r>
                    <w:rPr>
                      <w:rFonts w:hint="default"/>
                      <w:color w:val="auto"/>
                      <w:spacing w:val="-2"/>
                      <w:sz w:val="18"/>
                      <w:szCs w:val="18"/>
                      <w:highlight w:val="none"/>
                    </w:rPr>
                    <w:t>机设备水冷系统</w:t>
                  </w:r>
                </w:p>
              </w:tc>
              <w:tc>
                <w:tcPr>
                  <w:tcW w:w="240" w:type="pct"/>
                  <w:tcBorders>
                    <w:tl2br w:val="nil"/>
                    <w:tr2bl w:val="nil"/>
                  </w:tcBorders>
                  <w:vAlign w:val="center"/>
                </w:tcPr>
                <w:p w14:paraId="45239F15">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269A2436">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color w:val="auto"/>
                      <w:sz w:val="18"/>
                      <w:szCs w:val="18"/>
                      <w:highlight w:val="none"/>
                      <w:lang w:val="en-US" w:eastAsia="zh-CN"/>
                    </w:rPr>
                    <w:t>80</w:t>
                  </w:r>
                </w:p>
              </w:tc>
              <w:tc>
                <w:tcPr>
                  <w:tcW w:w="368" w:type="pct"/>
                  <w:vMerge w:val="continue"/>
                  <w:tcBorders>
                    <w:tl2br w:val="nil"/>
                    <w:tr2bl w:val="nil"/>
                  </w:tcBorders>
                  <w:vAlign w:val="center"/>
                </w:tcPr>
                <w:p w14:paraId="5EAC33EB">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353BD19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180</w:t>
                  </w:r>
                </w:p>
              </w:tc>
              <w:tc>
                <w:tcPr>
                  <w:tcW w:w="232" w:type="pct"/>
                  <w:tcBorders>
                    <w:tl2br w:val="nil"/>
                    <w:tr2bl w:val="nil"/>
                  </w:tcBorders>
                  <w:vAlign w:val="center"/>
                </w:tcPr>
                <w:p w14:paraId="4739EDD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24</w:t>
                  </w:r>
                </w:p>
              </w:tc>
              <w:tc>
                <w:tcPr>
                  <w:tcW w:w="225" w:type="pct"/>
                  <w:tcBorders>
                    <w:tl2br w:val="nil"/>
                    <w:tr2bl w:val="nil"/>
                  </w:tcBorders>
                  <w:vAlign w:val="center"/>
                </w:tcPr>
                <w:p w14:paraId="1A5BA30B">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1</w:t>
                  </w:r>
                </w:p>
              </w:tc>
              <w:tc>
                <w:tcPr>
                  <w:tcW w:w="389" w:type="pct"/>
                  <w:tcBorders>
                    <w:tl2br w:val="nil"/>
                    <w:tr2bl w:val="nil"/>
                  </w:tcBorders>
                  <w:shd w:val="clear" w:color="auto" w:fill="auto"/>
                  <w:vAlign w:val="center"/>
                </w:tcPr>
                <w:p w14:paraId="106A642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15</w:t>
                  </w:r>
                </w:p>
              </w:tc>
              <w:tc>
                <w:tcPr>
                  <w:tcW w:w="403" w:type="pct"/>
                  <w:tcBorders>
                    <w:tl2br w:val="nil"/>
                    <w:tr2bl w:val="nil"/>
                  </w:tcBorders>
                  <w:shd w:val="clear" w:color="auto" w:fill="auto"/>
                  <w:vAlign w:val="center"/>
                </w:tcPr>
                <w:p w14:paraId="24314693">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default"/>
                      <w:bCs/>
                      <w:color w:val="auto"/>
                      <w:kern w:val="0"/>
                      <w:sz w:val="18"/>
                      <w:szCs w:val="18"/>
                      <w:highlight w:val="none"/>
                      <w:lang w:val="en-US" w:eastAsia="zh-CN"/>
                    </w:rPr>
                    <w:t>56.5</w:t>
                  </w:r>
                </w:p>
              </w:tc>
              <w:tc>
                <w:tcPr>
                  <w:tcW w:w="307" w:type="pct"/>
                  <w:vMerge w:val="continue"/>
                  <w:tcBorders>
                    <w:tl2br w:val="nil"/>
                    <w:tr2bl w:val="nil"/>
                  </w:tcBorders>
                  <w:vAlign w:val="center"/>
                </w:tcPr>
                <w:p w14:paraId="55803F4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6074455D">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11FD5921">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kern w:val="0"/>
                      <w:sz w:val="18"/>
                      <w:szCs w:val="18"/>
                      <w:highlight w:val="none"/>
                      <w:lang w:val="en-US" w:eastAsia="zh-CN"/>
                    </w:rPr>
                    <w:t>3</w:t>
                  </w:r>
                  <w:r>
                    <w:rPr>
                      <w:rFonts w:hint="default"/>
                      <w:bCs/>
                      <w:color w:val="auto"/>
                      <w:kern w:val="0"/>
                      <w:sz w:val="18"/>
                      <w:szCs w:val="18"/>
                      <w:highlight w:val="none"/>
                      <w:lang w:val="en-US" w:eastAsia="zh-CN"/>
                    </w:rPr>
                    <w:t xml:space="preserve">6.5 </w:t>
                  </w:r>
                </w:p>
              </w:tc>
              <w:tc>
                <w:tcPr>
                  <w:tcW w:w="478" w:type="pct"/>
                  <w:tcBorders>
                    <w:tl2br w:val="nil"/>
                    <w:tr2bl w:val="nil"/>
                  </w:tcBorders>
                  <w:vAlign w:val="center"/>
                </w:tcPr>
                <w:p w14:paraId="2658D20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041C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4AFFD20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4FDC5C7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Theme="minorEastAsia"/>
                      <w:color w:val="auto"/>
                      <w:kern w:val="0"/>
                      <w:sz w:val="18"/>
                      <w:szCs w:val="18"/>
                      <w:highlight w:val="none"/>
                    </w:rPr>
                  </w:pPr>
                  <w:r>
                    <w:rPr>
                      <w:rFonts w:hint="default"/>
                      <w:color w:val="auto"/>
                      <w:spacing w:val="-2"/>
                      <w:sz w:val="18"/>
                      <w:szCs w:val="18"/>
                      <w:highlight w:val="none"/>
                    </w:rPr>
                    <w:t>高温对辊</w:t>
                  </w:r>
                  <w:r>
                    <w:rPr>
                      <w:rFonts w:hint="eastAsia"/>
                      <w:color w:val="auto"/>
                      <w:spacing w:val="-2"/>
                      <w:sz w:val="18"/>
                      <w:szCs w:val="18"/>
                      <w:highlight w:val="none"/>
                      <w:lang w:val="en-US" w:eastAsia="zh-CN"/>
                    </w:rPr>
                    <w:t>成型机</w:t>
                  </w:r>
                </w:p>
              </w:tc>
              <w:tc>
                <w:tcPr>
                  <w:tcW w:w="240" w:type="pct"/>
                  <w:tcBorders>
                    <w:tl2br w:val="nil"/>
                    <w:tr2bl w:val="nil"/>
                  </w:tcBorders>
                  <w:vAlign w:val="center"/>
                </w:tcPr>
                <w:p w14:paraId="78F72213">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69E542AE">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rPr>
                  </w:pPr>
                  <w:r>
                    <w:rPr>
                      <w:rFonts w:hint="eastAsia"/>
                      <w:color w:val="auto"/>
                      <w:sz w:val="18"/>
                      <w:szCs w:val="18"/>
                      <w:highlight w:val="none"/>
                      <w:lang w:val="en-US" w:eastAsia="zh-CN"/>
                    </w:rPr>
                    <w:t>85</w:t>
                  </w:r>
                </w:p>
              </w:tc>
              <w:tc>
                <w:tcPr>
                  <w:tcW w:w="368" w:type="pct"/>
                  <w:vMerge w:val="continue"/>
                  <w:tcBorders>
                    <w:tl2br w:val="nil"/>
                    <w:tr2bl w:val="nil"/>
                  </w:tcBorders>
                  <w:vAlign w:val="center"/>
                </w:tcPr>
                <w:p w14:paraId="16591767">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5B155EE8">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200</w:t>
                  </w:r>
                </w:p>
              </w:tc>
              <w:tc>
                <w:tcPr>
                  <w:tcW w:w="232" w:type="pct"/>
                  <w:tcBorders>
                    <w:tl2br w:val="nil"/>
                    <w:tr2bl w:val="nil"/>
                  </w:tcBorders>
                  <w:vAlign w:val="center"/>
                </w:tcPr>
                <w:p w14:paraId="269708D3">
                  <w:pPr>
                    <w:keepNext w:val="0"/>
                    <w:keepLines w:val="0"/>
                    <w:suppressLineNumbers w:val="0"/>
                    <w:snapToGrid w:val="0"/>
                    <w:spacing w:before="0" w:beforeAutospacing="0" w:after="0" w:afterAutospacing="0" w:line="200" w:lineRule="exact"/>
                    <w:ind w:left="0" w:leftChars="0" w:right="0" w:rightChars="0"/>
                    <w:jc w:val="center"/>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24</w:t>
                  </w:r>
                </w:p>
              </w:tc>
              <w:tc>
                <w:tcPr>
                  <w:tcW w:w="225" w:type="pct"/>
                  <w:tcBorders>
                    <w:tl2br w:val="nil"/>
                    <w:tr2bl w:val="nil"/>
                  </w:tcBorders>
                  <w:vAlign w:val="center"/>
                </w:tcPr>
                <w:p w14:paraId="6C3C9593">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05356E7F">
                  <w:pPr>
                    <w:keepNext w:val="0"/>
                    <w:keepLines w:val="0"/>
                    <w:suppressLineNumbers w:val="0"/>
                    <w:snapToGrid w:val="0"/>
                    <w:spacing w:before="0" w:beforeAutospacing="0" w:after="0" w:afterAutospacing="0" w:line="200" w:lineRule="exact"/>
                    <w:ind w:left="0" w:leftChars="0" w:right="0" w:righ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13</w:t>
                  </w:r>
                </w:p>
              </w:tc>
              <w:tc>
                <w:tcPr>
                  <w:tcW w:w="403" w:type="pct"/>
                  <w:tcBorders>
                    <w:tl2br w:val="nil"/>
                    <w:tr2bl w:val="nil"/>
                  </w:tcBorders>
                  <w:shd w:val="clear" w:color="auto" w:fill="auto"/>
                  <w:vAlign w:val="center"/>
                </w:tcPr>
                <w:p w14:paraId="4CD1CA94">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cs="Times New Roman"/>
                      <w:color w:val="auto"/>
                      <w:sz w:val="18"/>
                      <w:szCs w:val="18"/>
                      <w:highlight w:val="none"/>
                    </w:rPr>
                  </w:pPr>
                  <w:r>
                    <w:rPr>
                      <w:rFonts w:hint="default" w:ascii="Times New Roman" w:hAnsi="Times New Roman" w:eastAsia="宋体" w:cs="Times New Roman"/>
                      <w:i w:val="0"/>
                      <w:iCs w:val="0"/>
                      <w:color w:val="auto"/>
                      <w:kern w:val="0"/>
                      <w:sz w:val="18"/>
                      <w:szCs w:val="18"/>
                      <w:highlight w:val="none"/>
                      <w:u w:val="none"/>
                      <w:lang w:val="en-US" w:eastAsia="zh-CN" w:bidi="ar"/>
                    </w:rPr>
                    <w:t>62.7</w:t>
                  </w:r>
                </w:p>
              </w:tc>
              <w:tc>
                <w:tcPr>
                  <w:tcW w:w="307" w:type="pct"/>
                  <w:vMerge w:val="continue"/>
                  <w:tcBorders>
                    <w:tl2br w:val="nil"/>
                    <w:tr2bl w:val="nil"/>
                  </w:tcBorders>
                  <w:vAlign w:val="center"/>
                </w:tcPr>
                <w:p w14:paraId="3658D4E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529A559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1046F178">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olor w:val="auto"/>
                      <w:sz w:val="18"/>
                      <w:szCs w:val="18"/>
                      <w:highlight w:val="none"/>
                    </w:rPr>
                  </w:pPr>
                  <w:r>
                    <w:rPr>
                      <w:rFonts w:hint="eastAsia" w:cs="Times New Roman"/>
                      <w:i w:val="0"/>
                      <w:iCs w:val="0"/>
                      <w:color w:val="auto"/>
                      <w:kern w:val="0"/>
                      <w:sz w:val="18"/>
                      <w:szCs w:val="18"/>
                      <w:highlight w:val="none"/>
                      <w:u w:val="none"/>
                      <w:lang w:val="en-US" w:eastAsia="zh-CN" w:bidi="ar"/>
                    </w:rPr>
                    <w:t>4</w:t>
                  </w:r>
                  <w:r>
                    <w:rPr>
                      <w:rFonts w:hint="default" w:ascii="Times New Roman" w:hAnsi="Times New Roman" w:eastAsia="宋体" w:cs="Times New Roman"/>
                      <w:i w:val="0"/>
                      <w:iCs w:val="0"/>
                      <w:color w:val="auto"/>
                      <w:kern w:val="0"/>
                      <w:sz w:val="18"/>
                      <w:szCs w:val="18"/>
                      <w:highlight w:val="none"/>
                      <w:u w:val="none"/>
                      <w:lang w:val="en-US" w:eastAsia="zh-CN" w:bidi="ar"/>
                    </w:rPr>
                    <w:t>2.7</w:t>
                  </w:r>
                </w:p>
              </w:tc>
              <w:tc>
                <w:tcPr>
                  <w:tcW w:w="478" w:type="pct"/>
                  <w:tcBorders>
                    <w:tl2br w:val="nil"/>
                    <w:tr2bl w:val="nil"/>
                  </w:tcBorders>
                  <w:vAlign w:val="center"/>
                </w:tcPr>
                <w:p w14:paraId="566FA72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rPr>
                  </w:pPr>
                  <w:r>
                    <w:rPr>
                      <w:rFonts w:hint="eastAsia"/>
                      <w:bCs/>
                      <w:color w:val="auto"/>
                      <w:sz w:val="18"/>
                      <w:szCs w:val="18"/>
                      <w:highlight w:val="none"/>
                      <w:lang w:val="en-US" w:eastAsia="zh-CN"/>
                    </w:rPr>
                    <w:t>1</w:t>
                  </w:r>
                </w:p>
              </w:tc>
            </w:tr>
            <w:tr w14:paraId="0D35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3C4828B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2668C5B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eastAsiaTheme="minorEastAsia"/>
                      <w:color w:val="auto"/>
                      <w:kern w:val="0"/>
                      <w:sz w:val="18"/>
                      <w:szCs w:val="18"/>
                      <w:highlight w:val="none"/>
                      <w:lang w:val="en-US" w:eastAsia="zh-CN"/>
                    </w:rPr>
                  </w:pPr>
                  <w:r>
                    <w:rPr>
                      <w:rFonts w:hint="default"/>
                      <w:color w:val="auto"/>
                      <w:spacing w:val="-2"/>
                      <w:sz w:val="18"/>
                      <w:szCs w:val="18"/>
                      <w:highlight w:val="none"/>
                    </w:rPr>
                    <w:t>链板输送机</w:t>
                  </w:r>
                </w:p>
              </w:tc>
              <w:tc>
                <w:tcPr>
                  <w:tcW w:w="240" w:type="pct"/>
                  <w:tcBorders>
                    <w:tl2br w:val="nil"/>
                    <w:tr2bl w:val="nil"/>
                  </w:tcBorders>
                  <w:vAlign w:val="center"/>
                </w:tcPr>
                <w:p w14:paraId="5DB6105B">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lang w:val="en-US" w:eastAsia="zh-CN"/>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6A246B07">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80</w:t>
                  </w:r>
                </w:p>
              </w:tc>
              <w:tc>
                <w:tcPr>
                  <w:tcW w:w="368" w:type="pct"/>
                  <w:vMerge w:val="continue"/>
                  <w:tcBorders>
                    <w:tl2br w:val="nil"/>
                    <w:tr2bl w:val="nil"/>
                  </w:tcBorders>
                  <w:vAlign w:val="center"/>
                </w:tcPr>
                <w:p w14:paraId="3A77FF2B">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73DC6857">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213</w:t>
                  </w:r>
                </w:p>
              </w:tc>
              <w:tc>
                <w:tcPr>
                  <w:tcW w:w="232" w:type="pct"/>
                  <w:tcBorders>
                    <w:tl2br w:val="nil"/>
                    <w:tr2bl w:val="nil"/>
                  </w:tcBorders>
                  <w:vAlign w:val="center"/>
                </w:tcPr>
                <w:p w14:paraId="46BFDE88">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26</w:t>
                  </w:r>
                </w:p>
              </w:tc>
              <w:tc>
                <w:tcPr>
                  <w:tcW w:w="225" w:type="pct"/>
                  <w:tcBorders>
                    <w:tl2br w:val="nil"/>
                    <w:tr2bl w:val="nil"/>
                  </w:tcBorders>
                  <w:vAlign w:val="center"/>
                </w:tcPr>
                <w:p w14:paraId="5DC740EF">
                  <w:pPr>
                    <w:keepNext w:val="0"/>
                    <w:keepLines w:val="0"/>
                    <w:suppressLineNumbers w:val="0"/>
                    <w:snapToGrid w:val="0"/>
                    <w:spacing w:before="0" w:beforeAutospacing="0" w:after="0" w:afterAutospacing="0" w:line="200" w:lineRule="exact"/>
                    <w:ind w:left="0" w:leftChars="0" w:right="0" w:rightChars="0"/>
                    <w:jc w:val="center"/>
                    <w:rPr>
                      <w:rFonts w:hint="eastAsia" w:eastAsia="宋体"/>
                      <w:bCs/>
                      <w:color w:val="auto"/>
                      <w:sz w:val="18"/>
                      <w:szCs w:val="18"/>
                      <w:highlight w:val="none"/>
                      <w:lang w:val="en-US" w:eastAsia="zh-CN"/>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3C434E4D">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11</w:t>
                  </w:r>
                </w:p>
              </w:tc>
              <w:tc>
                <w:tcPr>
                  <w:tcW w:w="403" w:type="pct"/>
                  <w:tcBorders>
                    <w:tl2br w:val="nil"/>
                    <w:tr2bl w:val="nil"/>
                  </w:tcBorders>
                  <w:shd w:val="clear" w:color="auto" w:fill="auto"/>
                  <w:vAlign w:val="center"/>
                </w:tcPr>
                <w:p w14:paraId="3A211D4E">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59.2</w:t>
                  </w:r>
                </w:p>
              </w:tc>
              <w:tc>
                <w:tcPr>
                  <w:tcW w:w="307" w:type="pct"/>
                  <w:vMerge w:val="continue"/>
                  <w:tcBorders>
                    <w:tl2br w:val="nil"/>
                    <w:tr2bl w:val="nil"/>
                  </w:tcBorders>
                  <w:vAlign w:val="center"/>
                </w:tcPr>
                <w:p w14:paraId="336D415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29005BB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z w:val="18"/>
                      <w:szCs w:val="18"/>
                      <w:highlight w:val="none"/>
                      <w:lang w:val="en-US" w:eastAsia="zh-CN"/>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55E220F0">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9.2</w:t>
                  </w:r>
                </w:p>
              </w:tc>
              <w:tc>
                <w:tcPr>
                  <w:tcW w:w="478" w:type="pct"/>
                  <w:tcBorders>
                    <w:tl2br w:val="nil"/>
                    <w:tr2bl w:val="nil"/>
                  </w:tcBorders>
                  <w:vAlign w:val="center"/>
                </w:tcPr>
                <w:p w14:paraId="09C225C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Cs/>
                      <w:color w:val="auto"/>
                      <w:sz w:val="18"/>
                      <w:szCs w:val="18"/>
                      <w:highlight w:val="none"/>
                      <w:lang w:val="en-US" w:eastAsia="zh-CN"/>
                    </w:rPr>
                  </w:pPr>
                  <w:r>
                    <w:rPr>
                      <w:rFonts w:hint="eastAsia"/>
                      <w:bCs/>
                      <w:color w:val="auto"/>
                      <w:sz w:val="18"/>
                      <w:szCs w:val="18"/>
                      <w:highlight w:val="none"/>
                      <w:lang w:val="en-US" w:eastAsia="zh-CN"/>
                    </w:rPr>
                    <w:t>1</w:t>
                  </w:r>
                </w:p>
              </w:tc>
            </w:tr>
            <w:tr w14:paraId="23E8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11B64C4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20D8EC1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pacing w:val="-2"/>
                      <w:sz w:val="18"/>
                      <w:szCs w:val="18"/>
                      <w:highlight w:val="none"/>
                    </w:rPr>
                  </w:pPr>
                  <w:r>
                    <w:rPr>
                      <w:rFonts w:hint="default"/>
                      <w:color w:val="auto"/>
                      <w:spacing w:val="-2"/>
                      <w:sz w:val="18"/>
                      <w:szCs w:val="18"/>
                      <w:highlight w:val="none"/>
                    </w:rPr>
                    <w:t>链板输送机</w:t>
                  </w:r>
                </w:p>
              </w:tc>
              <w:tc>
                <w:tcPr>
                  <w:tcW w:w="240" w:type="pct"/>
                  <w:tcBorders>
                    <w:tl2br w:val="nil"/>
                    <w:tr2bl w:val="nil"/>
                  </w:tcBorders>
                  <w:vAlign w:val="center"/>
                </w:tcPr>
                <w:p w14:paraId="785EA4D7">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lang w:val="en-US" w:eastAsia="zh-CN"/>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3CC6B6D0">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80</w:t>
                  </w:r>
                </w:p>
              </w:tc>
              <w:tc>
                <w:tcPr>
                  <w:tcW w:w="368" w:type="pct"/>
                  <w:vMerge w:val="continue"/>
                  <w:tcBorders>
                    <w:tl2br w:val="nil"/>
                    <w:tr2bl w:val="nil"/>
                  </w:tcBorders>
                  <w:vAlign w:val="center"/>
                </w:tcPr>
                <w:p w14:paraId="3D0F66C0">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3E790DFD">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213</w:t>
                  </w:r>
                </w:p>
              </w:tc>
              <w:tc>
                <w:tcPr>
                  <w:tcW w:w="232" w:type="pct"/>
                  <w:tcBorders>
                    <w:tl2br w:val="nil"/>
                    <w:tr2bl w:val="nil"/>
                  </w:tcBorders>
                  <w:vAlign w:val="center"/>
                </w:tcPr>
                <w:p w14:paraId="1CFA8E13">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22</w:t>
                  </w:r>
                </w:p>
              </w:tc>
              <w:tc>
                <w:tcPr>
                  <w:tcW w:w="225" w:type="pct"/>
                  <w:tcBorders>
                    <w:tl2br w:val="nil"/>
                    <w:tr2bl w:val="nil"/>
                  </w:tcBorders>
                  <w:vAlign w:val="center"/>
                </w:tcPr>
                <w:p w14:paraId="299F510A">
                  <w:pPr>
                    <w:keepNext w:val="0"/>
                    <w:keepLines w:val="0"/>
                    <w:suppressLineNumbers w:val="0"/>
                    <w:snapToGrid w:val="0"/>
                    <w:spacing w:before="0" w:beforeAutospacing="0" w:after="0" w:afterAutospacing="0" w:line="200" w:lineRule="exact"/>
                    <w:ind w:left="0" w:leftChars="0" w:right="0" w:rightChars="0"/>
                    <w:jc w:val="center"/>
                    <w:rPr>
                      <w:rFonts w:hint="eastAsia" w:eastAsia="宋体"/>
                      <w:bCs/>
                      <w:color w:val="auto"/>
                      <w:sz w:val="18"/>
                      <w:szCs w:val="18"/>
                      <w:highlight w:val="none"/>
                      <w:lang w:val="en-US" w:eastAsia="zh-CN"/>
                    </w:rPr>
                  </w:pPr>
                  <w:r>
                    <w:rPr>
                      <w:rFonts w:hint="default"/>
                      <w:bCs/>
                      <w:color w:val="auto"/>
                      <w:sz w:val="18"/>
                      <w:szCs w:val="18"/>
                      <w:highlight w:val="none"/>
                    </w:rPr>
                    <w:t>1</w:t>
                  </w:r>
                </w:p>
              </w:tc>
              <w:tc>
                <w:tcPr>
                  <w:tcW w:w="389" w:type="pct"/>
                  <w:tcBorders>
                    <w:tl2br w:val="nil"/>
                    <w:tr2bl w:val="nil"/>
                  </w:tcBorders>
                  <w:shd w:val="clear" w:color="auto" w:fill="auto"/>
                  <w:vAlign w:val="center"/>
                </w:tcPr>
                <w:p w14:paraId="5021F8F1">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15</w:t>
                  </w:r>
                </w:p>
              </w:tc>
              <w:tc>
                <w:tcPr>
                  <w:tcW w:w="403" w:type="pct"/>
                  <w:tcBorders>
                    <w:tl2br w:val="nil"/>
                    <w:tr2bl w:val="nil"/>
                  </w:tcBorders>
                  <w:shd w:val="clear" w:color="auto" w:fill="auto"/>
                  <w:vAlign w:val="center"/>
                </w:tcPr>
                <w:p w14:paraId="5EDD2328">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56.5</w:t>
                  </w:r>
                </w:p>
              </w:tc>
              <w:tc>
                <w:tcPr>
                  <w:tcW w:w="307" w:type="pct"/>
                  <w:vMerge w:val="continue"/>
                  <w:tcBorders>
                    <w:tl2br w:val="nil"/>
                    <w:tr2bl w:val="nil"/>
                  </w:tcBorders>
                  <w:vAlign w:val="center"/>
                </w:tcPr>
                <w:p w14:paraId="4F37B44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480D5A6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leftChars="0" w:right="0" w:rightChars="0"/>
                    <w:jc w:val="center"/>
                    <w:rPr>
                      <w:rFonts w:hint="eastAsia"/>
                      <w:color w:val="auto"/>
                      <w:sz w:val="18"/>
                      <w:szCs w:val="18"/>
                      <w:highlight w:val="none"/>
                      <w:lang w:val="en-US" w:eastAsia="zh-CN"/>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4ED6BBA4">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3</w:t>
                  </w:r>
                  <w:r>
                    <w:rPr>
                      <w:rFonts w:hint="default" w:ascii="Times New Roman" w:hAnsi="Times New Roman" w:eastAsia="宋体" w:cs="Times New Roman"/>
                      <w:i w:val="0"/>
                      <w:iCs w:val="0"/>
                      <w:color w:val="auto"/>
                      <w:kern w:val="0"/>
                      <w:sz w:val="18"/>
                      <w:szCs w:val="18"/>
                      <w:highlight w:val="none"/>
                      <w:u w:val="none"/>
                      <w:lang w:val="en-US" w:eastAsia="zh-CN" w:bidi="ar"/>
                    </w:rPr>
                    <w:t>6.5</w:t>
                  </w:r>
                </w:p>
              </w:tc>
              <w:tc>
                <w:tcPr>
                  <w:tcW w:w="478" w:type="pct"/>
                  <w:tcBorders>
                    <w:tl2br w:val="nil"/>
                    <w:tr2bl w:val="nil"/>
                  </w:tcBorders>
                  <w:vAlign w:val="center"/>
                </w:tcPr>
                <w:p w14:paraId="76188DC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leftChars="0" w:right="0" w:rightChars="0"/>
                    <w:jc w:val="center"/>
                    <w:rPr>
                      <w:rFonts w:hint="eastAsia"/>
                      <w:bCs/>
                      <w:color w:val="auto"/>
                      <w:sz w:val="18"/>
                      <w:szCs w:val="18"/>
                      <w:highlight w:val="none"/>
                      <w:lang w:val="en-US" w:eastAsia="zh-CN"/>
                    </w:rPr>
                  </w:pPr>
                  <w:r>
                    <w:rPr>
                      <w:rFonts w:hint="eastAsia"/>
                      <w:bCs/>
                      <w:color w:val="auto"/>
                      <w:sz w:val="18"/>
                      <w:szCs w:val="18"/>
                      <w:highlight w:val="none"/>
                      <w:lang w:val="en-US" w:eastAsia="zh-CN"/>
                    </w:rPr>
                    <w:t>1</w:t>
                  </w:r>
                </w:p>
              </w:tc>
            </w:tr>
            <w:tr w14:paraId="0FE2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5" w:type="pct"/>
                  <w:vMerge w:val="continue"/>
                  <w:tcBorders>
                    <w:tl2br w:val="nil"/>
                    <w:tr2bl w:val="nil"/>
                  </w:tcBorders>
                  <w:vAlign w:val="center"/>
                </w:tcPr>
                <w:p w14:paraId="5D41D95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653" w:type="pct"/>
                  <w:tcBorders>
                    <w:tl2br w:val="nil"/>
                    <w:tr2bl w:val="nil"/>
                  </w:tcBorders>
                  <w:shd w:val="clear" w:color="auto" w:fill="auto"/>
                  <w:vAlign w:val="center"/>
                </w:tcPr>
                <w:p w14:paraId="6536921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color w:val="auto"/>
                      <w:spacing w:val="-2"/>
                      <w:sz w:val="18"/>
                      <w:szCs w:val="18"/>
                      <w:highlight w:val="none"/>
                    </w:rPr>
                  </w:pPr>
                  <w:r>
                    <w:rPr>
                      <w:rFonts w:hint="eastAsia"/>
                      <w:bCs/>
                      <w:color w:val="auto"/>
                      <w:sz w:val="18"/>
                      <w:szCs w:val="18"/>
                      <w:highlight w:val="none"/>
                      <w:lang w:val="en-US" w:eastAsia="zh-CN"/>
                    </w:rPr>
                    <w:t>螺旋输送机</w:t>
                  </w:r>
                </w:p>
              </w:tc>
              <w:tc>
                <w:tcPr>
                  <w:tcW w:w="240" w:type="pct"/>
                  <w:tcBorders>
                    <w:tl2br w:val="nil"/>
                    <w:tr2bl w:val="nil"/>
                  </w:tcBorders>
                  <w:vAlign w:val="center"/>
                </w:tcPr>
                <w:p w14:paraId="56033FCE">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sz w:val="18"/>
                      <w:szCs w:val="18"/>
                      <w:highlight w:val="none"/>
                      <w:lang w:val="en-US" w:eastAsia="zh-CN"/>
                    </w:rPr>
                  </w:pPr>
                  <w:r>
                    <w:rPr>
                      <w:rFonts w:hint="eastAsia"/>
                      <w:bCs/>
                      <w:color w:val="auto"/>
                      <w:sz w:val="18"/>
                      <w:szCs w:val="18"/>
                      <w:highlight w:val="none"/>
                      <w:lang w:val="en-US" w:eastAsia="zh-CN"/>
                    </w:rPr>
                    <w:t>1</w:t>
                  </w:r>
                </w:p>
              </w:tc>
              <w:tc>
                <w:tcPr>
                  <w:tcW w:w="386" w:type="pct"/>
                  <w:tcBorders>
                    <w:tl2br w:val="nil"/>
                    <w:tr2bl w:val="nil"/>
                  </w:tcBorders>
                  <w:shd w:val="clear" w:color="auto" w:fill="auto"/>
                  <w:vAlign w:val="center"/>
                </w:tcPr>
                <w:p w14:paraId="5E0677C0">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80</w:t>
                  </w:r>
                </w:p>
              </w:tc>
              <w:tc>
                <w:tcPr>
                  <w:tcW w:w="368" w:type="pct"/>
                  <w:vMerge w:val="continue"/>
                  <w:tcBorders>
                    <w:tl2br w:val="nil"/>
                    <w:tr2bl w:val="nil"/>
                  </w:tcBorders>
                  <w:vAlign w:val="center"/>
                </w:tcPr>
                <w:p w14:paraId="7D1A263F">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color w:val="auto"/>
                      <w:sz w:val="18"/>
                      <w:szCs w:val="18"/>
                      <w:highlight w:val="none"/>
                    </w:rPr>
                  </w:pPr>
                </w:p>
              </w:tc>
              <w:tc>
                <w:tcPr>
                  <w:tcW w:w="266" w:type="pct"/>
                  <w:tcBorders>
                    <w:tl2br w:val="nil"/>
                    <w:tr2bl w:val="nil"/>
                  </w:tcBorders>
                  <w:vAlign w:val="center"/>
                </w:tcPr>
                <w:p w14:paraId="5ED46976">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187</w:t>
                  </w:r>
                </w:p>
              </w:tc>
              <w:tc>
                <w:tcPr>
                  <w:tcW w:w="232" w:type="pct"/>
                  <w:tcBorders>
                    <w:tl2br w:val="nil"/>
                    <w:tr2bl w:val="nil"/>
                  </w:tcBorders>
                  <w:vAlign w:val="center"/>
                </w:tcPr>
                <w:p w14:paraId="1544F8BC">
                  <w:pPr>
                    <w:keepNext w:val="0"/>
                    <w:keepLines w:val="0"/>
                    <w:suppressLineNumbers w:val="0"/>
                    <w:snapToGrid w:val="0"/>
                    <w:spacing w:before="0" w:beforeAutospacing="0" w:after="0" w:afterAutospacing="0" w:line="200" w:lineRule="exact"/>
                    <w:ind w:left="0" w:leftChars="0" w:right="0" w:rightChars="0"/>
                    <w:jc w:val="center"/>
                    <w:rPr>
                      <w:rFonts w:hint="default"/>
                      <w:bCs/>
                      <w:color w:val="auto"/>
                      <w:kern w:val="0"/>
                      <w:sz w:val="18"/>
                      <w:szCs w:val="18"/>
                      <w:highlight w:val="none"/>
                      <w:lang w:val="en-US" w:eastAsia="zh-CN"/>
                    </w:rPr>
                  </w:pPr>
                  <w:r>
                    <w:rPr>
                      <w:rFonts w:hint="eastAsia"/>
                      <w:bCs/>
                      <w:color w:val="auto"/>
                      <w:kern w:val="0"/>
                      <w:sz w:val="18"/>
                      <w:szCs w:val="18"/>
                      <w:highlight w:val="none"/>
                      <w:lang w:val="en-US" w:eastAsia="zh-CN"/>
                    </w:rPr>
                    <w:t>33</w:t>
                  </w:r>
                </w:p>
              </w:tc>
              <w:tc>
                <w:tcPr>
                  <w:tcW w:w="225" w:type="pct"/>
                  <w:tcBorders>
                    <w:tl2br w:val="nil"/>
                    <w:tr2bl w:val="nil"/>
                  </w:tcBorders>
                  <w:vAlign w:val="center"/>
                </w:tcPr>
                <w:p w14:paraId="273279C8">
                  <w:pPr>
                    <w:keepNext w:val="0"/>
                    <w:keepLines w:val="0"/>
                    <w:suppressLineNumbers w:val="0"/>
                    <w:snapToGrid w:val="0"/>
                    <w:spacing w:before="0" w:beforeAutospacing="0" w:after="0" w:afterAutospacing="0" w:line="200" w:lineRule="exact"/>
                    <w:ind w:left="0" w:leftChars="0" w:right="0" w:rightChars="0"/>
                    <w:jc w:val="center"/>
                    <w:rPr>
                      <w:rFonts w:hint="eastAsia" w:eastAsia="宋体"/>
                      <w:bCs/>
                      <w:color w:val="auto"/>
                      <w:sz w:val="18"/>
                      <w:szCs w:val="18"/>
                      <w:highlight w:val="none"/>
                      <w:lang w:val="en-US" w:eastAsia="zh-CN"/>
                    </w:rPr>
                  </w:pPr>
                  <w:r>
                    <w:rPr>
                      <w:rFonts w:hint="eastAsia"/>
                      <w:bCs/>
                      <w:color w:val="auto"/>
                      <w:sz w:val="18"/>
                      <w:szCs w:val="18"/>
                      <w:highlight w:val="none"/>
                      <w:lang w:val="en-US" w:eastAsia="zh-CN"/>
                    </w:rPr>
                    <w:t>1</w:t>
                  </w:r>
                </w:p>
              </w:tc>
              <w:tc>
                <w:tcPr>
                  <w:tcW w:w="389" w:type="pct"/>
                  <w:tcBorders>
                    <w:tl2br w:val="nil"/>
                    <w:tr2bl w:val="nil"/>
                  </w:tcBorders>
                  <w:shd w:val="clear" w:color="auto" w:fill="auto"/>
                  <w:vAlign w:val="center"/>
                </w:tcPr>
                <w:p w14:paraId="7FA6C6C4">
                  <w:pPr>
                    <w:keepNext w:val="0"/>
                    <w:keepLines w:val="0"/>
                    <w:suppressLineNumbers w:val="0"/>
                    <w:snapToGrid w:val="0"/>
                    <w:spacing w:before="0" w:beforeAutospacing="0" w:after="0" w:afterAutospacing="0" w:line="200" w:lineRule="exact"/>
                    <w:ind w:left="0" w:leftChars="0" w:right="0" w:rightChars="0"/>
                    <w:jc w:val="center"/>
                    <w:rPr>
                      <w:rFonts w:hint="default"/>
                      <w:color w:val="auto"/>
                      <w:sz w:val="18"/>
                      <w:szCs w:val="18"/>
                      <w:highlight w:val="none"/>
                      <w:lang w:val="en-US" w:eastAsia="zh-CN"/>
                    </w:rPr>
                  </w:pPr>
                  <w:r>
                    <w:rPr>
                      <w:rFonts w:hint="eastAsia"/>
                      <w:color w:val="auto"/>
                      <w:sz w:val="18"/>
                      <w:szCs w:val="18"/>
                      <w:highlight w:val="none"/>
                      <w:lang w:val="en-US" w:eastAsia="zh-CN"/>
                    </w:rPr>
                    <w:t>4</w:t>
                  </w:r>
                </w:p>
              </w:tc>
              <w:tc>
                <w:tcPr>
                  <w:tcW w:w="403" w:type="pct"/>
                  <w:tcBorders>
                    <w:tl2br w:val="nil"/>
                    <w:tr2bl w:val="nil"/>
                  </w:tcBorders>
                  <w:shd w:val="clear" w:color="auto" w:fill="auto"/>
                  <w:vAlign w:val="center"/>
                </w:tcPr>
                <w:p w14:paraId="3799A4BD">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ascii="Times New Roman" w:hAnsi="Times New Roman" w:cs="Times New Roman"/>
                      <w:i w:val="0"/>
                      <w:iCs w:val="0"/>
                      <w:color w:val="auto"/>
                      <w:kern w:val="0"/>
                      <w:sz w:val="18"/>
                      <w:szCs w:val="18"/>
                      <w:highlight w:val="none"/>
                      <w:u w:val="none"/>
                      <w:lang w:val="en-US" w:eastAsia="zh-CN" w:bidi="ar"/>
                    </w:rPr>
                    <w:t>68.0</w:t>
                  </w:r>
                </w:p>
              </w:tc>
              <w:tc>
                <w:tcPr>
                  <w:tcW w:w="307" w:type="pct"/>
                  <w:vMerge w:val="continue"/>
                  <w:tcBorders>
                    <w:tl2br w:val="nil"/>
                    <w:tr2bl w:val="nil"/>
                  </w:tcBorders>
                  <w:vAlign w:val="center"/>
                </w:tcPr>
                <w:p w14:paraId="76581DD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center"/>
                    <w:rPr>
                      <w:rFonts w:hint="default"/>
                      <w:b/>
                      <w:color w:val="auto"/>
                      <w:sz w:val="18"/>
                      <w:szCs w:val="18"/>
                      <w:highlight w:val="none"/>
                    </w:rPr>
                  </w:pPr>
                </w:p>
              </w:tc>
              <w:tc>
                <w:tcPr>
                  <w:tcW w:w="382" w:type="pct"/>
                  <w:tcBorders>
                    <w:tl2br w:val="nil"/>
                    <w:tr2bl w:val="nil"/>
                  </w:tcBorders>
                  <w:shd w:val="clear" w:color="auto" w:fill="auto"/>
                  <w:vAlign w:val="center"/>
                </w:tcPr>
                <w:p w14:paraId="6B84DFE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leftChars="0" w:right="0" w:rightChars="0"/>
                    <w:jc w:val="center"/>
                    <w:rPr>
                      <w:rFonts w:hint="eastAsia"/>
                      <w:color w:val="auto"/>
                      <w:sz w:val="18"/>
                      <w:szCs w:val="18"/>
                      <w:highlight w:val="none"/>
                      <w:lang w:val="en-US" w:eastAsia="zh-CN"/>
                    </w:rPr>
                  </w:pPr>
                  <w:r>
                    <w:rPr>
                      <w:rFonts w:hint="eastAsia"/>
                      <w:color w:val="auto"/>
                      <w:sz w:val="18"/>
                      <w:szCs w:val="18"/>
                      <w:highlight w:val="none"/>
                      <w:lang w:val="en-US" w:eastAsia="zh-CN"/>
                    </w:rPr>
                    <w:t>20</w:t>
                  </w:r>
                </w:p>
              </w:tc>
              <w:tc>
                <w:tcPr>
                  <w:tcW w:w="450" w:type="pct"/>
                  <w:tcBorders>
                    <w:tl2br w:val="nil"/>
                    <w:tr2bl w:val="nil"/>
                  </w:tcBorders>
                  <w:shd w:val="clear" w:color="auto" w:fill="auto"/>
                  <w:vAlign w:val="center"/>
                </w:tcPr>
                <w:p w14:paraId="3647F60D">
                  <w:pPr>
                    <w:keepNext w:val="0"/>
                    <w:keepLines w:val="0"/>
                    <w:pageBreakBefore w:val="0"/>
                    <w:widowControl/>
                    <w:suppressLineNumbers w:val="0"/>
                    <w:kinsoku/>
                    <w:wordWrap/>
                    <w:overflowPunct/>
                    <w:topLinePunct w:val="0"/>
                    <w:bidi w:val="0"/>
                    <w:adjustRightInd/>
                    <w:snapToGrid/>
                    <w:spacing w:before="0" w:beforeAutospacing="0" w:after="0" w:afterAutospacing="0"/>
                    <w:ind w:left="0" w:leftChars="0" w:right="0" w:rightChars="0"/>
                    <w:jc w:val="center"/>
                    <w:textAlignment w:val="center"/>
                    <w:rPr>
                      <w:rFonts w:hint="default"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4</w:t>
                  </w:r>
                  <w:r>
                    <w:rPr>
                      <w:rFonts w:hint="eastAsia" w:ascii="Times New Roman" w:hAnsi="Times New Roman" w:cs="Times New Roman"/>
                      <w:i w:val="0"/>
                      <w:iCs w:val="0"/>
                      <w:color w:val="auto"/>
                      <w:kern w:val="0"/>
                      <w:sz w:val="18"/>
                      <w:szCs w:val="18"/>
                      <w:highlight w:val="none"/>
                      <w:u w:val="none"/>
                      <w:lang w:val="en-US" w:eastAsia="zh-CN" w:bidi="ar"/>
                    </w:rPr>
                    <w:t>8.0</w:t>
                  </w:r>
                </w:p>
              </w:tc>
              <w:tc>
                <w:tcPr>
                  <w:tcW w:w="478" w:type="pct"/>
                  <w:tcBorders>
                    <w:tl2br w:val="nil"/>
                    <w:tr2bl w:val="nil"/>
                  </w:tcBorders>
                  <w:vAlign w:val="center"/>
                </w:tcPr>
                <w:p w14:paraId="535AE62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leftChars="0" w:right="0" w:rightChars="0"/>
                    <w:jc w:val="center"/>
                    <w:rPr>
                      <w:rFonts w:hint="eastAsia"/>
                      <w:bCs/>
                      <w:color w:val="auto"/>
                      <w:sz w:val="18"/>
                      <w:szCs w:val="18"/>
                      <w:highlight w:val="none"/>
                      <w:lang w:val="en-US" w:eastAsia="zh-CN"/>
                    </w:rPr>
                  </w:pPr>
                  <w:r>
                    <w:rPr>
                      <w:rFonts w:hint="eastAsia"/>
                      <w:bCs/>
                      <w:color w:val="auto"/>
                      <w:sz w:val="18"/>
                      <w:szCs w:val="18"/>
                      <w:highlight w:val="none"/>
                      <w:lang w:val="en-US" w:eastAsia="zh-CN"/>
                    </w:rPr>
                    <w:t>1</w:t>
                  </w:r>
                </w:p>
              </w:tc>
            </w:tr>
          </w:tbl>
          <w:p w14:paraId="27E479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color w:val="auto"/>
                <w:spacing w:val="0"/>
                <w:kern w:val="2"/>
                <w:sz w:val="21"/>
                <w:szCs w:val="21"/>
                <w:highlight w:val="none"/>
                <w:lang w:val="en-US" w:eastAsia="zh-CN" w:bidi="ar-SA"/>
              </w:rPr>
            </w:pPr>
            <w:r>
              <w:rPr>
                <w:rFonts w:hint="default" w:ascii="Times New Roman" w:hAnsi="Times New Roman" w:eastAsia="宋体" w:cs="Times New Roman"/>
                <w:b/>
                <w:bCs/>
                <w:color w:val="auto"/>
                <w:spacing w:val="0"/>
                <w:kern w:val="2"/>
                <w:sz w:val="21"/>
                <w:szCs w:val="21"/>
                <w:highlight w:val="none"/>
                <w:lang w:val="en-US" w:eastAsia="zh-CN" w:bidi="ar-SA"/>
              </w:rPr>
              <w:t>表4</w:t>
            </w:r>
            <w:r>
              <w:rPr>
                <w:rFonts w:hint="eastAsia" w:ascii="Times New Roman" w:hAnsi="Times New Roman" w:eastAsia="宋体" w:cs="Times New Roman"/>
                <w:b/>
                <w:bCs/>
                <w:color w:val="auto"/>
                <w:spacing w:val="0"/>
                <w:kern w:val="2"/>
                <w:sz w:val="21"/>
                <w:szCs w:val="21"/>
                <w:highlight w:val="none"/>
                <w:lang w:val="en-US" w:eastAsia="zh-CN" w:bidi="ar-SA"/>
              </w:rPr>
              <w:t>-</w:t>
            </w:r>
            <w:r>
              <w:rPr>
                <w:rFonts w:hint="eastAsia" w:cs="Times New Roman"/>
                <w:b/>
                <w:bCs/>
                <w:color w:val="auto"/>
                <w:spacing w:val="0"/>
                <w:kern w:val="2"/>
                <w:sz w:val="21"/>
                <w:szCs w:val="21"/>
                <w:highlight w:val="none"/>
                <w:lang w:val="en-US" w:eastAsia="zh-CN" w:bidi="ar-SA"/>
              </w:rPr>
              <w:t>14</w:t>
            </w:r>
            <w:r>
              <w:rPr>
                <w:rFonts w:hint="default" w:ascii="Times New Roman" w:hAnsi="Times New Roman" w:eastAsia="宋体" w:cs="Times New Roman"/>
                <w:b/>
                <w:bCs/>
                <w:color w:val="auto"/>
                <w:spacing w:val="0"/>
                <w:kern w:val="2"/>
                <w:sz w:val="21"/>
                <w:szCs w:val="21"/>
                <w:highlight w:val="none"/>
                <w:lang w:val="en-US" w:eastAsia="zh-CN" w:bidi="ar-SA"/>
              </w:rPr>
              <w:t xml:space="preserve">  室</w:t>
            </w:r>
            <w:r>
              <w:rPr>
                <w:rFonts w:hint="eastAsia" w:cs="Times New Roman"/>
                <w:b/>
                <w:bCs/>
                <w:color w:val="auto"/>
                <w:spacing w:val="0"/>
                <w:kern w:val="2"/>
                <w:sz w:val="21"/>
                <w:szCs w:val="21"/>
                <w:highlight w:val="none"/>
                <w:lang w:val="en-US" w:eastAsia="zh-CN" w:bidi="ar-SA"/>
              </w:rPr>
              <w:t>外</w:t>
            </w:r>
            <w:r>
              <w:rPr>
                <w:rFonts w:hint="default" w:ascii="Times New Roman" w:hAnsi="Times New Roman" w:eastAsia="宋体" w:cs="Times New Roman"/>
                <w:b/>
                <w:bCs/>
                <w:color w:val="auto"/>
                <w:spacing w:val="0"/>
                <w:kern w:val="2"/>
                <w:sz w:val="21"/>
                <w:szCs w:val="21"/>
                <w:highlight w:val="none"/>
                <w:lang w:val="en-US" w:eastAsia="zh-CN" w:bidi="ar-SA"/>
              </w:rPr>
              <w:t>噪声源源强调查清单</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684"/>
              <w:gridCol w:w="800"/>
              <w:gridCol w:w="737"/>
              <w:gridCol w:w="863"/>
              <w:gridCol w:w="1700"/>
              <w:gridCol w:w="1775"/>
              <w:gridCol w:w="990"/>
            </w:tblGrid>
            <w:tr w14:paraId="6847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vMerge w:val="restart"/>
                  <w:tcBorders>
                    <w:tl2br w:val="nil"/>
                    <w:tr2bl w:val="nil"/>
                  </w:tcBorders>
                  <w:vAlign w:val="center"/>
                </w:tcPr>
                <w:p w14:paraId="54ADF4D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rPr>
                  </w:pPr>
                  <w:r>
                    <w:rPr>
                      <w:rFonts w:hint="eastAsia" w:ascii="Times New Roman" w:hAnsi="Times New Roman" w:eastAsia="宋体" w:cs="Times New Roman"/>
                      <w:b/>
                      <w:bCs/>
                      <w:color w:val="auto"/>
                      <w:spacing w:val="0"/>
                      <w:sz w:val="18"/>
                      <w:szCs w:val="18"/>
                      <w:highlight w:val="none"/>
                    </w:rPr>
                    <w:t>序号</w:t>
                  </w:r>
                </w:p>
              </w:tc>
              <w:tc>
                <w:tcPr>
                  <w:tcW w:w="920" w:type="pct"/>
                  <w:vMerge w:val="restart"/>
                  <w:tcBorders>
                    <w:tl2br w:val="nil"/>
                    <w:tr2bl w:val="nil"/>
                  </w:tcBorders>
                  <w:vAlign w:val="center"/>
                </w:tcPr>
                <w:p w14:paraId="695221A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rPr>
                  </w:pPr>
                  <w:r>
                    <w:rPr>
                      <w:rFonts w:hint="eastAsia" w:ascii="Times New Roman" w:hAnsi="Times New Roman" w:eastAsia="宋体" w:cs="Times New Roman"/>
                      <w:b/>
                      <w:bCs/>
                      <w:color w:val="auto"/>
                      <w:spacing w:val="0"/>
                      <w:sz w:val="18"/>
                      <w:szCs w:val="18"/>
                      <w:highlight w:val="none"/>
                    </w:rPr>
                    <w:t>声源</w:t>
                  </w:r>
                  <w:r>
                    <w:rPr>
                      <w:rFonts w:hint="default" w:ascii="Times New Roman" w:hAnsi="Times New Roman" w:eastAsia="宋体" w:cs="Times New Roman"/>
                      <w:b/>
                      <w:bCs/>
                      <w:color w:val="auto"/>
                      <w:spacing w:val="0"/>
                      <w:sz w:val="18"/>
                      <w:szCs w:val="18"/>
                      <w:highlight w:val="none"/>
                    </w:rPr>
                    <w:t>名称</w:t>
                  </w:r>
                </w:p>
              </w:tc>
              <w:tc>
                <w:tcPr>
                  <w:tcW w:w="1312" w:type="pct"/>
                  <w:gridSpan w:val="3"/>
                  <w:tcBorders>
                    <w:tl2br w:val="nil"/>
                    <w:tr2bl w:val="nil"/>
                  </w:tcBorders>
                  <w:vAlign w:val="center"/>
                </w:tcPr>
                <w:p w14:paraId="787D24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rPr>
                  </w:pPr>
                  <w:r>
                    <w:rPr>
                      <w:rFonts w:hint="eastAsia" w:ascii="Times New Roman" w:hAnsi="Times New Roman" w:eastAsia="宋体" w:cs="Times New Roman"/>
                      <w:b/>
                      <w:bCs/>
                      <w:color w:val="auto"/>
                      <w:spacing w:val="0"/>
                      <w:sz w:val="18"/>
                      <w:szCs w:val="18"/>
                      <w:highlight w:val="none"/>
                    </w:rPr>
                    <w:t>空间</w:t>
                  </w:r>
                  <w:r>
                    <w:rPr>
                      <w:rFonts w:hint="default" w:ascii="Times New Roman" w:hAnsi="Times New Roman" w:eastAsia="宋体" w:cs="Times New Roman"/>
                      <w:b/>
                      <w:bCs/>
                      <w:color w:val="auto"/>
                      <w:spacing w:val="0"/>
                      <w:sz w:val="18"/>
                      <w:szCs w:val="18"/>
                      <w:highlight w:val="none"/>
                    </w:rPr>
                    <w:t>相对位置</w:t>
                  </w:r>
                  <w:r>
                    <w:rPr>
                      <w:rFonts w:hint="eastAsia" w:ascii="Times New Roman" w:hAnsi="Times New Roman" w:eastAsia="宋体" w:cs="Times New Roman"/>
                      <w:b/>
                      <w:bCs/>
                      <w:color w:val="auto"/>
                      <w:spacing w:val="0"/>
                      <w:sz w:val="18"/>
                      <w:szCs w:val="18"/>
                      <w:highlight w:val="none"/>
                    </w:rPr>
                    <w:t>/m</w:t>
                  </w:r>
                </w:p>
              </w:tc>
              <w:tc>
                <w:tcPr>
                  <w:tcW w:w="929" w:type="pct"/>
                  <w:tcBorders>
                    <w:tl2br w:val="nil"/>
                    <w:tr2bl w:val="nil"/>
                  </w:tcBorders>
                  <w:vAlign w:val="center"/>
                </w:tcPr>
                <w:p w14:paraId="73CEF5B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18"/>
                      <w:szCs w:val="18"/>
                      <w:highlight w:val="none"/>
                      <w:lang w:val="en-US" w:eastAsia="zh-CN" w:bidi="ar-SA"/>
                    </w:rPr>
                  </w:pPr>
                  <w:r>
                    <w:rPr>
                      <w:rFonts w:hint="eastAsia" w:ascii="Times New Roman" w:hAnsi="Times New Roman" w:eastAsia="宋体" w:cs="Times New Roman"/>
                      <w:b/>
                      <w:bCs/>
                      <w:color w:val="auto"/>
                      <w:spacing w:val="0"/>
                      <w:sz w:val="18"/>
                      <w:szCs w:val="18"/>
                      <w:highlight w:val="none"/>
                    </w:rPr>
                    <w:t>声源</w:t>
                  </w:r>
                  <w:r>
                    <w:rPr>
                      <w:rFonts w:hint="default" w:ascii="Times New Roman" w:hAnsi="Times New Roman" w:eastAsia="宋体" w:cs="Times New Roman"/>
                      <w:b/>
                      <w:bCs/>
                      <w:color w:val="auto"/>
                      <w:spacing w:val="0"/>
                      <w:sz w:val="18"/>
                      <w:szCs w:val="18"/>
                      <w:highlight w:val="none"/>
                    </w:rPr>
                    <w:t>源强</w:t>
                  </w:r>
                </w:p>
              </w:tc>
              <w:tc>
                <w:tcPr>
                  <w:tcW w:w="970" w:type="pct"/>
                  <w:vMerge w:val="restart"/>
                  <w:tcBorders>
                    <w:tl2br w:val="nil"/>
                    <w:tr2bl w:val="nil"/>
                  </w:tcBorders>
                  <w:vAlign w:val="center"/>
                </w:tcPr>
                <w:p w14:paraId="6836A07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lang w:val="en-US" w:eastAsia="zh-CN"/>
                    </w:rPr>
                  </w:pPr>
                  <w:r>
                    <w:rPr>
                      <w:rFonts w:hint="eastAsia" w:ascii="Times New Roman" w:hAnsi="Times New Roman" w:eastAsia="宋体" w:cs="Times New Roman"/>
                      <w:b/>
                      <w:bCs/>
                      <w:color w:val="auto"/>
                      <w:spacing w:val="0"/>
                      <w:sz w:val="18"/>
                      <w:szCs w:val="18"/>
                      <w:highlight w:val="none"/>
                      <w:lang w:val="en-US" w:eastAsia="zh-CN"/>
                    </w:rPr>
                    <w:t>声源控制措施</w:t>
                  </w:r>
                </w:p>
              </w:tc>
              <w:tc>
                <w:tcPr>
                  <w:tcW w:w="541" w:type="pct"/>
                  <w:vMerge w:val="restart"/>
                  <w:tcBorders>
                    <w:tl2br w:val="nil"/>
                    <w:tr2bl w:val="nil"/>
                  </w:tcBorders>
                  <w:vAlign w:val="center"/>
                </w:tcPr>
                <w:p w14:paraId="10BDF2E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pacing w:val="0"/>
                      <w:sz w:val="18"/>
                      <w:szCs w:val="18"/>
                      <w:highlight w:val="none"/>
                      <w:lang w:val="en-US" w:eastAsia="zh-CN"/>
                    </w:rPr>
                  </w:pPr>
                  <w:r>
                    <w:rPr>
                      <w:rFonts w:hint="eastAsia" w:ascii="Times New Roman" w:hAnsi="Times New Roman" w:eastAsia="宋体" w:cs="Times New Roman"/>
                      <w:b/>
                      <w:bCs/>
                      <w:color w:val="auto"/>
                      <w:spacing w:val="0"/>
                      <w:sz w:val="18"/>
                      <w:szCs w:val="18"/>
                      <w:highlight w:val="none"/>
                      <w:lang w:val="en-US" w:eastAsia="zh-CN"/>
                    </w:rPr>
                    <w:t>运行时段</w:t>
                  </w:r>
                </w:p>
              </w:tc>
            </w:tr>
            <w:tr w14:paraId="70CC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vMerge w:val="continue"/>
                  <w:tcBorders>
                    <w:tl2br w:val="nil"/>
                    <w:tr2bl w:val="nil"/>
                  </w:tcBorders>
                  <w:vAlign w:val="center"/>
                </w:tcPr>
                <w:p w14:paraId="6E9E953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920" w:type="pct"/>
                  <w:vMerge w:val="continue"/>
                  <w:tcBorders>
                    <w:tl2br w:val="nil"/>
                    <w:tr2bl w:val="nil"/>
                  </w:tcBorders>
                  <w:vAlign w:val="center"/>
                </w:tcPr>
                <w:p w14:paraId="2B3C03C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437" w:type="pct"/>
                  <w:tcBorders>
                    <w:tl2br w:val="nil"/>
                    <w:tr2bl w:val="nil"/>
                  </w:tcBorders>
                  <w:vAlign w:val="center"/>
                </w:tcPr>
                <w:p w14:paraId="408B389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rPr>
                  </w:pPr>
                  <w:r>
                    <w:rPr>
                      <w:rFonts w:hint="eastAsia" w:ascii="Times New Roman" w:hAnsi="Times New Roman" w:eastAsia="宋体" w:cs="Times New Roman"/>
                      <w:b/>
                      <w:bCs/>
                      <w:color w:val="auto"/>
                      <w:spacing w:val="0"/>
                      <w:sz w:val="18"/>
                      <w:szCs w:val="18"/>
                      <w:highlight w:val="none"/>
                    </w:rPr>
                    <w:t>X</w:t>
                  </w:r>
                </w:p>
              </w:tc>
              <w:tc>
                <w:tcPr>
                  <w:tcW w:w="403" w:type="pct"/>
                  <w:tcBorders>
                    <w:tl2br w:val="nil"/>
                    <w:tr2bl w:val="nil"/>
                  </w:tcBorders>
                  <w:vAlign w:val="center"/>
                </w:tcPr>
                <w:p w14:paraId="301E38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kern w:val="2"/>
                      <w:sz w:val="18"/>
                      <w:szCs w:val="18"/>
                      <w:highlight w:val="none"/>
                      <w:lang w:val="en-US" w:eastAsia="zh-CN" w:bidi="ar-SA"/>
                    </w:rPr>
                  </w:pPr>
                  <w:r>
                    <w:rPr>
                      <w:rFonts w:hint="eastAsia" w:ascii="Times New Roman" w:hAnsi="Times New Roman" w:eastAsia="宋体" w:cs="Times New Roman"/>
                      <w:b/>
                      <w:bCs/>
                      <w:color w:val="auto"/>
                      <w:spacing w:val="0"/>
                      <w:kern w:val="2"/>
                      <w:sz w:val="18"/>
                      <w:szCs w:val="18"/>
                      <w:highlight w:val="none"/>
                      <w:lang w:val="en-US" w:eastAsia="zh-CN" w:bidi="ar-SA"/>
                    </w:rPr>
                    <w:t>Y</w:t>
                  </w:r>
                </w:p>
              </w:tc>
              <w:tc>
                <w:tcPr>
                  <w:tcW w:w="471" w:type="pct"/>
                  <w:tcBorders>
                    <w:tl2br w:val="nil"/>
                    <w:tr2bl w:val="nil"/>
                  </w:tcBorders>
                  <w:vAlign w:val="center"/>
                </w:tcPr>
                <w:p w14:paraId="1618B1A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rPr>
                  </w:pPr>
                  <w:r>
                    <w:rPr>
                      <w:rFonts w:hint="eastAsia" w:ascii="Times New Roman" w:hAnsi="Times New Roman" w:eastAsia="宋体" w:cs="Times New Roman"/>
                      <w:b/>
                      <w:bCs/>
                      <w:color w:val="auto"/>
                      <w:spacing w:val="0"/>
                      <w:sz w:val="18"/>
                      <w:szCs w:val="18"/>
                      <w:highlight w:val="none"/>
                    </w:rPr>
                    <w:t>Z</w:t>
                  </w:r>
                </w:p>
              </w:tc>
              <w:tc>
                <w:tcPr>
                  <w:tcW w:w="929" w:type="pct"/>
                  <w:tcBorders>
                    <w:tl2br w:val="nil"/>
                    <w:tr2bl w:val="nil"/>
                  </w:tcBorders>
                  <w:vAlign w:val="center"/>
                </w:tcPr>
                <w:p w14:paraId="1B6A6F7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rPr>
                  </w:pPr>
                  <w:r>
                    <w:rPr>
                      <w:rFonts w:hint="eastAsia" w:ascii="Times New Roman" w:hAnsi="Times New Roman" w:eastAsia="宋体" w:cs="Times New Roman"/>
                      <w:b/>
                      <w:bCs/>
                      <w:color w:val="auto"/>
                      <w:spacing w:val="0"/>
                      <w:sz w:val="18"/>
                      <w:szCs w:val="18"/>
                      <w:highlight w:val="none"/>
                    </w:rPr>
                    <w:t>声功率级</w:t>
                  </w:r>
                  <w:r>
                    <w:rPr>
                      <w:rFonts w:hint="default" w:ascii="Times New Roman" w:hAnsi="Times New Roman" w:eastAsia="宋体" w:cs="Times New Roman"/>
                      <w:b/>
                      <w:bCs/>
                      <w:color w:val="auto"/>
                      <w:spacing w:val="0"/>
                      <w:sz w:val="18"/>
                      <w:szCs w:val="18"/>
                      <w:highlight w:val="none"/>
                    </w:rPr>
                    <w:t>dB</w:t>
                  </w:r>
                  <w:r>
                    <w:rPr>
                      <w:rFonts w:hint="eastAsia" w:ascii="Times New Roman" w:hAnsi="Times New Roman" w:eastAsia="宋体" w:cs="Times New Roman"/>
                      <w:b/>
                      <w:bCs/>
                      <w:color w:val="auto"/>
                      <w:spacing w:val="0"/>
                      <w:sz w:val="18"/>
                      <w:szCs w:val="18"/>
                      <w:highlight w:val="none"/>
                    </w:rPr>
                    <w:t>(</w:t>
                  </w:r>
                  <w:r>
                    <w:rPr>
                      <w:rFonts w:hint="default" w:ascii="Times New Roman" w:hAnsi="Times New Roman" w:eastAsia="宋体" w:cs="Times New Roman"/>
                      <w:b/>
                      <w:bCs/>
                      <w:color w:val="auto"/>
                      <w:spacing w:val="0"/>
                      <w:sz w:val="18"/>
                      <w:szCs w:val="18"/>
                      <w:highlight w:val="none"/>
                    </w:rPr>
                    <w:t>A</w:t>
                  </w:r>
                  <w:r>
                    <w:rPr>
                      <w:rFonts w:hint="eastAsia" w:ascii="Times New Roman" w:hAnsi="Times New Roman" w:eastAsia="宋体" w:cs="Times New Roman"/>
                      <w:b/>
                      <w:bCs/>
                      <w:color w:val="auto"/>
                      <w:spacing w:val="0"/>
                      <w:sz w:val="18"/>
                      <w:szCs w:val="18"/>
                      <w:highlight w:val="none"/>
                    </w:rPr>
                    <w:t>)</w:t>
                  </w:r>
                </w:p>
              </w:tc>
              <w:tc>
                <w:tcPr>
                  <w:tcW w:w="970" w:type="pct"/>
                  <w:vMerge w:val="continue"/>
                  <w:tcBorders>
                    <w:tl2br w:val="nil"/>
                    <w:tr2bl w:val="nil"/>
                  </w:tcBorders>
                  <w:vAlign w:val="center"/>
                </w:tcPr>
                <w:p w14:paraId="3C83C6D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52A3A4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rPr>
                  </w:pPr>
                </w:p>
              </w:tc>
            </w:tr>
            <w:tr w14:paraId="0C91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019C4D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lang w:val="en-US" w:eastAsia="zh-CN"/>
                    </w:rPr>
                  </w:pPr>
                  <w:r>
                    <w:rPr>
                      <w:rFonts w:hint="eastAsia" w:ascii="Times New Roman" w:hAnsi="Times New Roman" w:eastAsia="宋体" w:cs="Times New Roman"/>
                      <w:color w:val="auto"/>
                      <w:spacing w:val="0"/>
                      <w:sz w:val="18"/>
                      <w:szCs w:val="18"/>
                      <w:highlight w:val="none"/>
                      <w:lang w:val="en-US" w:eastAsia="zh-CN"/>
                    </w:rPr>
                    <w:t>1</w:t>
                  </w:r>
                </w:p>
              </w:tc>
              <w:tc>
                <w:tcPr>
                  <w:tcW w:w="920" w:type="pct"/>
                  <w:tcBorders>
                    <w:tl2br w:val="nil"/>
                    <w:tr2bl w:val="nil"/>
                  </w:tcBorders>
                  <w:vAlign w:val="center"/>
                </w:tcPr>
                <w:p w14:paraId="518120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除尘风机</w:t>
                  </w:r>
                </w:p>
              </w:tc>
              <w:tc>
                <w:tcPr>
                  <w:tcW w:w="437" w:type="pct"/>
                  <w:tcBorders>
                    <w:tl2br w:val="nil"/>
                    <w:tr2bl w:val="nil"/>
                  </w:tcBorders>
                  <w:vAlign w:val="center"/>
                </w:tcPr>
                <w:p w14:paraId="50D3CE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72</w:t>
                  </w:r>
                </w:p>
              </w:tc>
              <w:tc>
                <w:tcPr>
                  <w:tcW w:w="403" w:type="pct"/>
                  <w:tcBorders>
                    <w:tl2br w:val="nil"/>
                    <w:tr2bl w:val="nil"/>
                  </w:tcBorders>
                  <w:vAlign w:val="center"/>
                </w:tcPr>
                <w:p w14:paraId="64D45CF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42</w:t>
                  </w:r>
                </w:p>
              </w:tc>
              <w:tc>
                <w:tcPr>
                  <w:tcW w:w="471" w:type="pct"/>
                  <w:tcBorders>
                    <w:tl2br w:val="nil"/>
                    <w:tr2bl w:val="nil"/>
                  </w:tcBorders>
                  <w:vAlign w:val="center"/>
                </w:tcPr>
                <w:p w14:paraId="32A4CC8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4DF3EF7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ascii="Times New Roman" w:hAnsi="Times New Roman" w:eastAsia="宋体" w:cs="Times New Roman"/>
                      <w:color w:val="auto"/>
                      <w:spacing w:val="0"/>
                      <w:kern w:val="2"/>
                      <w:sz w:val="18"/>
                      <w:szCs w:val="18"/>
                      <w:highlight w:val="none"/>
                      <w:lang w:val="en-US" w:eastAsia="zh-CN" w:bidi="ar-SA"/>
                    </w:rPr>
                    <w:t>80</w:t>
                  </w:r>
                </w:p>
              </w:tc>
              <w:tc>
                <w:tcPr>
                  <w:tcW w:w="970" w:type="pct"/>
                  <w:vMerge w:val="restart"/>
                  <w:tcBorders>
                    <w:tl2br w:val="nil"/>
                    <w:tr2bl w:val="nil"/>
                  </w:tcBorders>
                  <w:vAlign w:val="center"/>
                </w:tcPr>
                <w:p w14:paraId="5CDAA0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18"/>
                      <w:szCs w:val="18"/>
                      <w:highlight w:val="none"/>
                      <w:lang w:val="en-US" w:eastAsia="zh-CN"/>
                    </w:rPr>
                  </w:pPr>
                  <w:r>
                    <w:rPr>
                      <w:rFonts w:hint="eastAsia" w:ascii="Times New Roman" w:hAnsi="Times New Roman" w:eastAsia="宋体" w:cs="Times New Roman"/>
                      <w:color w:val="auto"/>
                      <w:spacing w:val="0"/>
                      <w:sz w:val="18"/>
                      <w:szCs w:val="18"/>
                      <w:highlight w:val="none"/>
                    </w:rPr>
                    <w:t>减振</w:t>
                  </w:r>
                  <w:r>
                    <w:rPr>
                      <w:rFonts w:hint="eastAsia" w:ascii="Times New Roman" w:hAnsi="Times New Roman" w:eastAsia="宋体" w:cs="Times New Roman"/>
                      <w:color w:val="auto"/>
                      <w:spacing w:val="0"/>
                      <w:sz w:val="18"/>
                      <w:szCs w:val="18"/>
                      <w:highlight w:val="none"/>
                      <w:lang w:eastAsia="zh-CN"/>
                    </w:rPr>
                    <w:t>、</w:t>
                  </w:r>
                  <w:r>
                    <w:rPr>
                      <w:rFonts w:hint="eastAsia" w:ascii="Times New Roman" w:hAnsi="Times New Roman" w:eastAsia="宋体" w:cs="Times New Roman"/>
                      <w:color w:val="auto"/>
                      <w:spacing w:val="0"/>
                      <w:sz w:val="18"/>
                      <w:szCs w:val="18"/>
                      <w:highlight w:val="none"/>
                      <w:lang w:val="en-US" w:eastAsia="zh-CN"/>
                    </w:rPr>
                    <w:t>风机</w:t>
                  </w:r>
                  <w:r>
                    <w:rPr>
                      <w:rFonts w:hint="default" w:ascii="Times New Roman" w:cs="Times New Roman"/>
                      <w:color w:val="auto"/>
                      <w:sz w:val="18"/>
                      <w:szCs w:val="18"/>
                      <w:highlight w:val="none"/>
                    </w:rPr>
                    <w:t>出口安装消声器</w:t>
                  </w:r>
                  <w:r>
                    <w:rPr>
                      <w:rFonts w:hint="eastAsia" w:ascii="Times New Roman" w:hAnsi="Times New Roman" w:eastAsia="宋体" w:cs="Times New Roman"/>
                      <w:color w:val="auto"/>
                      <w:spacing w:val="0"/>
                      <w:sz w:val="18"/>
                      <w:szCs w:val="18"/>
                      <w:highlight w:val="none"/>
                    </w:rPr>
                    <w:t>；</w:t>
                  </w:r>
                  <w:r>
                    <w:rPr>
                      <w:rFonts w:hint="eastAsia" w:ascii="Times New Roman" w:hAnsi="Times New Roman" w:eastAsia="宋体" w:cs="Times New Roman"/>
                      <w:color w:val="auto"/>
                      <w:spacing w:val="0"/>
                      <w:sz w:val="18"/>
                      <w:szCs w:val="18"/>
                      <w:highlight w:val="none"/>
                      <w:lang w:val="en-US" w:eastAsia="zh-CN"/>
                    </w:rPr>
                    <w:t>定期维护</w:t>
                  </w:r>
                  <w:r>
                    <w:rPr>
                      <w:rFonts w:hint="eastAsia" w:cs="Times New Roman"/>
                      <w:color w:val="auto"/>
                      <w:spacing w:val="0"/>
                      <w:sz w:val="18"/>
                      <w:szCs w:val="18"/>
                      <w:highlight w:val="none"/>
                      <w:lang w:val="en-US" w:eastAsia="zh-CN"/>
                    </w:rPr>
                    <w:t>；加强绿化等</w:t>
                  </w:r>
                </w:p>
              </w:tc>
              <w:tc>
                <w:tcPr>
                  <w:tcW w:w="541" w:type="pct"/>
                  <w:vMerge w:val="restart"/>
                  <w:tcBorders>
                    <w:tl2br w:val="nil"/>
                    <w:tr2bl w:val="nil"/>
                  </w:tcBorders>
                  <w:vAlign w:val="center"/>
                </w:tcPr>
                <w:p w14:paraId="2A946BC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olor w:val="auto"/>
                      <w:sz w:val="18"/>
                      <w:szCs w:val="18"/>
                      <w:highlight w:val="none"/>
                      <w:lang w:val="en-US" w:eastAsia="zh-CN" w:bidi="ar"/>
                    </w:rPr>
                    <w:t>24h</w:t>
                  </w:r>
                </w:p>
              </w:tc>
            </w:tr>
            <w:tr w14:paraId="5EAE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48C5B31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2</w:t>
                  </w:r>
                </w:p>
              </w:tc>
              <w:tc>
                <w:tcPr>
                  <w:tcW w:w="920" w:type="pct"/>
                  <w:tcBorders>
                    <w:tl2br w:val="nil"/>
                    <w:tr2bl w:val="nil"/>
                  </w:tcBorders>
                  <w:vAlign w:val="center"/>
                </w:tcPr>
                <w:p w14:paraId="2E23D1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除尘风机</w:t>
                  </w:r>
                </w:p>
              </w:tc>
              <w:tc>
                <w:tcPr>
                  <w:tcW w:w="437" w:type="pct"/>
                  <w:tcBorders>
                    <w:tl2br w:val="nil"/>
                    <w:tr2bl w:val="nil"/>
                  </w:tcBorders>
                  <w:vAlign w:val="center"/>
                </w:tcPr>
                <w:p w14:paraId="2948C7D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124</w:t>
                  </w:r>
                </w:p>
              </w:tc>
              <w:tc>
                <w:tcPr>
                  <w:tcW w:w="403" w:type="pct"/>
                  <w:tcBorders>
                    <w:tl2br w:val="nil"/>
                    <w:tr2bl w:val="nil"/>
                  </w:tcBorders>
                  <w:vAlign w:val="center"/>
                </w:tcPr>
                <w:p w14:paraId="6933367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42</w:t>
                  </w:r>
                </w:p>
              </w:tc>
              <w:tc>
                <w:tcPr>
                  <w:tcW w:w="471" w:type="pct"/>
                  <w:tcBorders>
                    <w:tl2br w:val="nil"/>
                    <w:tr2bl w:val="nil"/>
                  </w:tcBorders>
                  <w:vAlign w:val="center"/>
                </w:tcPr>
                <w:p w14:paraId="44667FB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2E001DB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2"/>
                      <w:sz w:val="18"/>
                      <w:szCs w:val="18"/>
                      <w:highlight w:val="none"/>
                      <w:lang w:val="en-US" w:eastAsia="zh-CN" w:bidi="ar-SA"/>
                    </w:rPr>
                  </w:pPr>
                  <w:r>
                    <w:rPr>
                      <w:rFonts w:hint="eastAsia" w:ascii="Times New Roman" w:hAnsi="Times New Roman" w:eastAsia="宋体" w:cs="Times New Roman"/>
                      <w:color w:val="auto"/>
                      <w:spacing w:val="0"/>
                      <w:kern w:val="2"/>
                      <w:sz w:val="18"/>
                      <w:szCs w:val="18"/>
                      <w:highlight w:val="none"/>
                      <w:lang w:val="en-US" w:eastAsia="zh-CN" w:bidi="ar-SA"/>
                    </w:rPr>
                    <w:t>80</w:t>
                  </w:r>
                </w:p>
              </w:tc>
              <w:tc>
                <w:tcPr>
                  <w:tcW w:w="970" w:type="pct"/>
                  <w:vMerge w:val="continue"/>
                  <w:tcBorders>
                    <w:tl2br w:val="nil"/>
                    <w:tr2bl w:val="nil"/>
                  </w:tcBorders>
                  <w:vAlign w:val="center"/>
                </w:tcPr>
                <w:p w14:paraId="591F038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2B0D541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r w14:paraId="752C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4499A23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3</w:t>
                  </w:r>
                </w:p>
              </w:tc>
              <w:tc>
                <w:tcPr>
                  <w:tcW w:w="920" w:type="pct"/>
                  <w:tcBorders>
                    <w:tl2br w:val="nil"/>
                    <w:tr2bl w:val="nil"/>
                  </w:tcBorders>
                  <w:vAlign w:val="center"/>
                </w:tcPr>
                <w:p w14:paraId="7531C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除尘风机</w:t>
                  </w:r>
                </w:p>
              </w:tc>
              <w:tc>
                <w:tcPr>
                  <w:tcW w:w="437" w:type="pct"/>
                  <w:tcBorders>
                    <w:tl2br w:val="nil"/>
                    <w:tr2bl w:val="nil"/>
                  </w:tcBorders>
                  <w:vAlign w:val="center"/>
                </w:tcPr>
                <w:p w14:paraId="066C488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130</w:t>
                  </w:r>
                </w:p>
              </w:tc>
              <w:tc>
                <w:tcPr>
                  <w:tcW w:w="403" w:type="pct"/>
                  <w:tcBorders>
                    <w:tl2br w:val="nil"/>
                    <w:tr2bl w:val="nil"/>
                  </w:tcBorders>
                  <w:vAlign w:val="center"/>
                </w:tcPr>
                <w:p w14:paraId="4114294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42</w:t>
                  </w:r>
                </w:p>
              </w:tc>
              <w:tc>
                <w:tcPr>
                  <w:tcW w:w="471" w:type="pct"/>
                  <w:tcBorders>
                    <w:tl2br w:val="nil"/>
                    <w:tr2bl w:val="nil"/>
                  </w:tcBorders>
                  <w:vAlign w:val="center"/>
                </w:tcPr>
                <w:p w14:paraId="7A30FCF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7D14FA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2"/>
                      <w:sz w:val="18"/>
                      <w:szCs w:val="18"/>
                      <w:highlight w:val="none"/>
                      <w:lang w:val="en-US" w:eastAsia="zh-CN" w:bidi="ar-SA"/>
                    </w:rPr>
                  </w:pPr>
                  <w:r>
                    <w:rPr>
                      <w:rFonts w:hint="eastAsia" w:ascii="Times New Roman" w:hAnsi="Times New Roman" w:eastAsia="宋体" w:cs="Times New Roman"/>
                      <w:color w:val="auto"/>
                      <w:spacing w:val="0"/>
                      <w:kern w:val="2"/>
                      <w:sz w:val="18"/>
                      <w:szCs w:val="18"/>
                      <w:highlight w:val="none"/>
                      <w:lang w:val="en-US" w:eastAsia="zh-CN" w:bidi="ar-SA"/>
                    </w:rPr>
                    <w:t>80</w:t>
                  </w:r>
                </w:p>
              </w:tc>
              <w:tc>
                <w:tcPr>
                  <w:tcW w:w="970" w:type="pct"/>
                  <w:vMerge w:val="continue"/>
                  <w:tcBorders>
                    <w:tl2br w:val="nil"/>
                    <w:tr2bl w:val="nil"/>
                  </w:tcBorders>
                  <w:vAlign w:val="center"/>
                </w:tcPr>
                <w:p w14:paraId="5BA7548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53E6027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r w14:paraId="6609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51C4FDB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4</w:t>
                  </w:r>
                </w:p>
              </w:tc>
              <w:tc>
                <w:tcPr>
                  <w:tcW w:w="920" w:type="pct"/>
                  <w:tcBorders>
                    <w:tl2br w:val="nil"/>
                    <w:tr2bl w:val="nil"/>
                  </w:tcBorders>
                  <w:vAlign w:val="center"/>
                </w:tcPr>
                <w:p w14:paraId="366D4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除尘风机</w:t>
                  </w:r>
                </w:p>
              </w:tc>
              <w:tc>
                <w:tcPr>
                  <w:tcW w:w="437" w:type="pct"/>
                  <w:tcBorders>
                    <w:tl2br w:val="nil"/>
                    <w:tr2bl w:val="nil"/>
                  </w:tcBorders>
                  <w:vAlign w:val="center"/>
                </w:tcPr>
                <w:p w14:paraId="2899138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174</w:t>
                  </w:r>
                </w:p>
              </w:tc>
              <w:tc>
                <w:tcPr>
                  <w:tcW w:w="403" w:type="pct"/>
                  <w:tcBorders>
                    <w:tl2br w:val="nil"/>
                    <w:tr2bl w:val="nil"/>
                  </w:tcBorders>
                  <w:vAlign w:val="center"/>
                </w:tcPr>
                <w:p w14:paraId="1BCB651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42</w:t>
                  </w:r>
                </w:p>
              </w:tc>
              <w:tc>
                <w:tcPr>
                  <w:tcW w:w="471" w:type="pct"/>
                  <w:tcBorders>
                    <w:tl2br w:val="nil"/>
                    <w:tr2bl w:val="nil"/>
                  </w:tcBorders>
                  <w:vAlign w:val="center"/>
                </w:tcPr>
                <w:p w14:paraId="769B7EF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176B554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2"/>
                      <w:sz w:val="18"/>
                      <w:szCs w:val="18"/>
                      <w:highlight w:val="none"/>
                      <w:lang w:val="en-US" w:eastAsia="zh-CN" w:bidi="ar-SA"/>
                    </w:rPr>
                  </w:pPr>
                  <w:r>
                    <w:rPr>
                      <w:rFonts w:hint="eastAsia" w:ascii="Times New Roman" w:hAnsi="Times New Roman" w:eastAsia="宋体" w:cs="Times New Roman"/>
                      <w:color w:val="auto"/>
                      <w:spacing w:val="0"/>
                      <w:kern w:val="2"/>
                      <w:sz w:val="18"/>
                      <w:szCs w:val="18"/>
                      <w:highlight w:val="none"/>
                      <w:lang w:val="en-US" w:eastAsia="zh-CN" w:bidi="ar-SA"/>
                    </w:rPr>
                    <w:t>80</w:t>
                  </w:r>
                </w:p>
              </w:tc>
              <w:tc>
                <w:tcPr>
                  <w:tcW w:w="970" w:type="pct"/>
                  <w:vMerge w:val="continue"/>
                  <w:tcBorders>
                    <w:tl2br w:val="nil"/>
                    <w:tr2bl w:val="nil"/>
                  </w:tcBorders>
                  <w:vAlign w:val="center"/>
                </w:tcPr>
                <w:p w14:paraId="68F64AC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2BA96FE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r w14:paraId="189B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5990B42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5</w:t>
                  </w:r>
                </w:p>
              </w:tc>
              <w:tc>
                <w:tcPr>
                  <w:tcW w:w="920" w:type="pct"/>
                  <w:tcBorders>
                    <w:tl2br w:val="nil"/>
                    <w:tr2bl w:val="nil"/>
                  </w:tcBorders>
                  <w:vAlign w:val="center"/>
                </w:tcPr>
                <w:p w14:paraId="4C487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除尘风机</w:t>
                  </w:r>
                </w:p>
              </w:tc>
              <w:tc>
                <w:tcPr>
                  <w:tcW w:w="437" w:type="pct"/>
                  <w:tcBorders>
                    <w:tl2br w:val="nil"/>
                    <w:tr2bl w:val="nil"/>
                  </w:tcBorders>
                  <w:vAlign w:val="center"/>
                </w:tcPr>
                <w:p w14:paraId="66CC659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203</w:t>
                  </w:r>
                </w:p>
              </w:tc>
              <w:tc>
                <w:tcPr>
                  <w:tcW w:w="403" w:type="pct"/>
                  <w:tcBorders>
                    <w:tl2br w:val="nil"/>
                    <w:tr2bl w:val="nil"/>
                  </w:tcBorders>
                  <w:vAlign w:val="center"/>
                </w:tcPr>
                <w:p w14:paraId="166FE1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42</w:t>
                  </w:r>
                </w:p>
              </w:tc>
              <w:tc>
                <w:tcPr>
                  <w:tcW w:w="471" w:type="pct"/>
                  <w:tcBorders>
                    <w:tl2br w:val="nil"/>
                    <w:tr2bl w:val="nil"/>
                  </w:tcBorders>
                  <w:vAlign w:val="center"/>
                </w:tcPr>
                <w:p w14:paraId="7213056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397F23F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kern w:val="2"/>
                      <w:sz w:val="18"/>
                      <w:szCs w:val="18"/>
                      <w:highlight w:val="none"/>
                      <w:lang w:val="en-US" w:eastAsia="zh-CN" w:bidi="ar-SA"/>
                    </w:rPr>
                  </w:pPr>
                  <w:r>
                    <w:rPr>
                      <w:rFonts w:hint="eastAsia" w:ascii="Times New Roman" w:hAnsi="Times New Roman" w:eastAsia="宋体" w:cs="Times New Roman"/>
                      <w:color w:val="auto"/>
                      <w:spacing w:val="0"/>
                      <w:kern w:val="2"/>
                      <w:sz w:val="18"/>
                      <w:szCs w:val="18"/>
                      <w:highlight w:val="none"/>
                      <w:lang w:val="en-US" w:eastAsia="zh-CN" w:bidi="ar-SA"/>
                    </w:rPr>
                    <w:t>80</w:t>
                  </w:r>
                </w:p>
              </w:tc>
              <w:tc>
                <w:tcPr>
                  <w:tcW w:w="970" w:type="pct"/>
                  <w:vMerge w:val="continue"/>
                  <w:tcBorders>
                    <w:tl2br w:val="nil"/>
                    <w:tr2bl w:val="nil"/>
                  </w:tcBorders>
                  <w:vAlign w:val="center"/>
                </w:tcPr>
                <w:p w14:paraId="0B6D77E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201C6FD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r w14:paraId="606B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7817839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eastAsia"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6</w:t>
                  </w:r>
                </w:p>
              </w:tc>
              <w:tc>
                <w:tcPr>
                  <w:tcW w:w="920" w:type="pct"/>
                  <w:tcBorders>
                    <w:tl2br w:val="nil"/>
                    <w:tr2bl w:val="nil"/>
                  </w:tcBorders>
                  <w:vAlign w:val="center"/>
                </w:tcPr>
                <w:p w14:paraId="2219C9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闭式冷却塔</w:t>
                  </w:r>
                </w:p>
              </w:tc>
              <w:tc>
                <w:tcPr>
                  <w:tcW w:w="437" w:type="pct"/>
                  <w:tcBorders>
                    <w:tl2br w:val="nil"/>
                    <w:tr2bl w:val="nil"/>
                  </w:tcBorders>
                  <w:vAlign w:val="center"/>
                </w:tcPr>
                <w:p w14:paraId="1D89E94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162</w:t>
                  </w:r>
                </w:p>
              </w:tc>
              <w:tc>
                <w:tcPr>
                  <w:tcW w:w="403" w:type="pct"/>
                  <w:tcBorders>
                    <w:tl2br w:val="nil"/>
                    <w:tr2bl w:val="nil"/>
                  </w:tcBorders>
                  <w:vAlign w:val="center"/>
                </w:tcPr>
                <w:p w14:paraId="7A90BCA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41</w:t>
                  </w:r>
                </w:p>
              </w:tc>
              <w:tc>
                <w:tcPr>
                  <w:tcW w:w="471" w:type="pct"/>
                  <w:tcBorders>
                    <w:tl2br w:val="nil"/>
                    <w:tr2bl w:val="nil"/>
                  </w:tcBorders>
                  <w:vAlign w:val="center"/>
                </w:tcPr>
                <w:p w14:paraId="6E1BC3B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2CCCE0B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75</w:t>
                  </w:r>
                </w:p>
              </w:tc>
              <w:tc>
                <w:tcPr>
                  <w:tcW w:w="970" w:type="pct"/>
                  <w:vMerge w:val="continue"/>
                  <w:tcBorders>
                    <w:tl2br w:val="nil"/>
                    <w:tr2bl w:val="nil"/>
                  </w:tcBorders>
                  <w:vAlign w:val="center"/>
                </w:tcPr>
                <w:p w14:paraId="5AD736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275399D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r w14:paraId="2B3A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2F88FB1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7</w:t>
                  </w:r>
                </w:p>
              </w:tc>
              <w:tc>
                <w:tcPr>
                  <w:tcW w:w="920" w:type="pct"/>
                  <w:tcBorders>
                    <w:tl2br w:val="nil"/>
                    <w:tr2bl w:val="nil"/>
                  </w:tcBorders>
                  <w:vAlign w:val="center"/>
                </w:tcPr>
                <w:p w14:paraId="29F3D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bCs/>
                      <w:color w:val="auto"/>
                      <w:sz w:val="18"/>
                      <w:szCs w:val="18"/>
                      <w:highlight w:val="none"/>
                      <w:lang w:val="en-US" w:eastAsia="zh-CN"/>
                    </w:rPr>
                  </w:pPr>
                  <w:r>
                    <w:rPr>
                      <w:rFonts w:hint="eastAsia"/>
                      <w:bCs/>
                      <w:color w:val="auto"/>
                      <w:sz w:val="18"/>
                      <w:szCs w:val="18"/>
                      <w:highlight w:val="none"/>
                      <w:lang w:val="en-US" w:eastAsia="zh-CN"/>
                    </w:rPr>
                    <w:t>余热利用换热器</w:t>
                  </w:r>
                </w:p>
              </w:tc>
              <w:tc>
                <w:tcPr>
                  <w:tcW w:w="437" w:type="pct"/>
                  <w:tcBorders>
                    <w:tl2br w:val="nil"/>
                    <w:tr2bl w:val="nil"/>
                  </w:tcBorders>
                  <w:vAlign w:val="center"/>
                </w:tcPr>
                <w:p w14:paraId="5EF9FE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114</w:t>
                  </w:r>
                </w:p>
              </w:tc>
              <w:tc>
                <w:tcPr>
                  <w:tcW w:w="403" w:type="pct"/>
                  <w:tcBorders>
                    <w:tl2br w:val="nil"/>
                    <w:tr2bl w:val="nil"/>
                  </w:tcBorders>
                  <w:vAlign w:val="center"/>
                </w:tcPr>
                <w:p w14:paraId="4338DE5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41</w:t>
                  </w:r>
                </w:p>
              </w:tc>
              <w:tc>
                <w:tcPr>
                  <w:tcW w:w="471" w:type="pct"/>
                  <w:tcBorders>
                    <w:tl2br w:val="nil"/>
                    <w:tr2bl w:val="nil"/>
                  </w:tcBorders>
                  <w:vAlign w:val="center"/>
                </w:tcPr>
                <w:p w14:paraId="3A30F62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6BC6607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65</w:t>
                  </w:r>
                </w:p>
              </w:tc>
              <w:tc>
                <w:tcPr>
                  <w:tcW w:w="970" w:type="pct"/>
                  <w:vMerge w:val="continue"/>
                  <w:tcBorders>
                    <w:tl2br w:val="nil"/>
                    <w:tr2bl w:val="nil"/>
                  </w:tcBorders>
                  <w:vAlign w:val="center"/>
                </w:tcPr>
                <w:p w14:paraId="3FFEC56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0F338C6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r w14:paraId="0926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24" w:type="pct"/>
                  <w:tcBorders>
                    <w:tl2br w:val="nil"/>
                    <w:tr2bl w:val="nil"/>
                  </w:tcBorders>
                  <w:vAlign w:val="center"/>
                </w:tcPr>
                <w:p w14:paraId="04DFA3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18"/>
                      <w:szCs w:val="18"/>
                      <w:highlight w:val="none"/>
                      <w:lang w:val="en-US" w:eastAsia="zh-CN"/>
                    </w:rPr>
                  </w:pPr>
                  <w:r>
                    <w:rPr>
                      <w:rFonts w:hint="eastAsia" w:cs="Times New Roman"/>
                      <w:color w:val="auto"/>
                      <w:spacing w:val="0"/>
                      <w:sz w:val="18"/>
                      <w:szCs w:val="18"/>
                      <w:highlight w:val="none"/>
                      <w:lang w:val="en-US" w:eastAsia="zh-CN"/>
                    </w:rPr>
                    <w:t>8</w:t>
                  </w:r>
                </w:p>
              </w:tc>
              <w:tc>
                <w:tcPr>
                  <w:tcW w:w="920" w:type="pct"/>
                  <w:tcBorders>
                    <w:tl2br w:val="nil"/>
                    <w:tr2bl w:val="nil"/>
                  </w:tcBorders>
                  <w:vAlign w:val="center"/>
                </w:tcPr>
                <w:p w14:paraId="2457C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color w:val="auto"/>
                      <w:spacing w:val="-4"/>
                      <w:sz w:val="18"/>
                      <w:szCs w:val="18"/>
                      <w:highlight w:val="none"/>
                    </w:rPr>
                  </w:pPr>
                  <w:r>
                    <w:rPr>
                      <w:rFonts w:hint="default"/>
                      <w:color w:val="auto"/>
                      <w:spacing w:val="-4"/>
                      <w:sz w:val="18"/>
                      <w:szCs w:val="18"/>
                      <w:highlight w:val="none"/>
                    </w:rPr>
                    <w:t>空压机</w:t>
                  </w:r>
                </w:p>
              </w:tc>
              <w:tc>
                <w:tcPr>
                  <w:tcW w:w="437" w:type="pct"/>
                  <w:tcBorders>
                    <w:tl2br w:val="nil"/>
                    <w:tr2bl w:val="nil"/>
                  </w:tcBorders>
                  <w:vAlign w:val="center"/>
                </w:tcPr>
                <w:p w14:paraId="3B28D1B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160</w:t>
                  </w:r>
                </w:p>
              </w:tc>
              <w:tc>
                <w:tcPr>
                  <w:tcW w:w="403" w:type="pct"/>
                  <w:tcBorders>
                    <w:tl2br w:val="nil"/>
                    <w:tr2bl w:val="nil"/>
                  </w:tcBorders>
                  <w:vAlign w:val="center"/>
                </w:tcPr>
                <w:p w14:paraId="71786A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41</w:t>
                  </w:r>
                </w:p>
              </w:tc>
              <w:tc>
                <w:tcPr>
                  <w:tcW w:w="471" w:type="pct"/>
                  <w:tcBorders>
                    <w:tl2br w:val="nil"/>
                    <w:tr2bl w:val="nil"/>
                  </w:tcBorders>
                  <w:vAlign w:val="center"/>
                </w:tcPr>
                <w:p w14:paraId="500F5C2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1</w:t>
                  </w:r>
                </w:p>
              </w:tc>
              <w:tc>
                <w:tcPr>
                  <w:tcW w:w="929" w:type="pct"/>
                  <w:tcBorders>
                    <w:tl2br w:val="nil"/>
                    <w:tr2bl w:val="nil"/>
                  </w:tcBorders>
                  <w:vAlign w:val="center"/>
                </w:tcPr>
                <w:p w14:paraId="491AB52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18"/>
                      <w:szCs w:val="18"/>
                      <w:highlight w:val="none"/>
                      <w:lang w:val="en-US" w:eastAsia="zh-CN" w:bidi="ar-SA"/>
                    </w:rPr>
                  </w:pPr>
                  <w:r>
                    <w:rPr>
                      <w:rFonts w:hint="eastAsia" w:cs="Times New Roman"/>
                      <w:color w:val="auto"/>
                      <w:spacing w:val="0"/>
                      <w:kern w:val="2"/>
                      <w:sz w:val="18"/>
                      <w:szCs w:val="18"/>
                      <w:highlight w:val="none"/>
                      <w:lang w:val="en-US" w:eastAsia="zh-CN" w:bidi="ar-SA"/>
                    </w:rPr>
                    <w:t>75</w:t>
                  </w:r>
                </w:p>
              </w:tc>
              <w:tc>
                <w:tcPr>
                  <w:tcW w:w="970" w:type="pct"/>
                  <w:vMerge w:val="continue"/>
                  <w:tcBorders>
                    <w:tl2br w:val="nil"/>
                    <w:tr2bl w:val="nil"/>
                  </w:tcBorders>
                  <w:vAlign w:val="center"/>
                </w:tcPr>
                <w:p w14:paraId="30FF64A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 w:val="18"/>
                      <w:szCs w:val="18"/>
                      <w:highlight w:val="none"/>
                    </w:rPr>
                  </w:pPr>
                </w:p>
              </w:tc>
              <w:tc>
                <w:tcPr>
                  <w:tcW w:w="541" w:type="pct"/>
                  <w:vMerge w:val="continue"/>
                  <w:tcBorders>
                    <w:tl2br w:val="nil"/>
                    <w:tr2bl w:val="nil"/>
                  </w:tcBorders>
                  <w:vAlign w:val="center"/>
                </w:tcPr>
                <w:p w14:paraId="119B8B4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color w:val="auto"/>
                      <w:sz w:val="18"/>
                      <w:szCs w:val="18"/>
                      <w:highlight w:val="none"/>
                      <w:lang w:bidi="ar"/>
                    </w:rPr>
                  </w:pPr>
                </w:p>
              </w:tc>
            </w:tr>
          </w:tbl>
          <w:p w14:paraId="43EC6782">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highlight w:val="none"/>
              </w:rPr>
            </w:pPr>
            <w:r>
              <w:rPr>
                <w:rFonts w:hint="eastAsia" w:cs="Times New Roman"/>
                <w:b w:val="0"/>
                <w:bCs w:val="0"/>
                <w:color w:val="auto"/>
                <w:sz w:val="24"/>
                <w:highlight w:val="none"/>
                <w:lang w:val="en-US" w:eastAsia="zh-CN"/>
              </w:rPr>
              <w:t>（2）</w:t>
            </w:r>
            <w:r>
              <w:rPr>
                <w:rFonts w:hint="default" w:ascii="Times New Roman" w:hAnsi="Times New Roman" w:eastAsia="宋体" w:cs="Times New Roman"/>
                <w:b w:val="0"/>
                <w:bCs w:val="0"/>
                <w:color w:val="auto"/>
                <w:sz w:val="24"/>
                <w:highlight w:val="none"/>
              </w:rPr>
              <w:t>噪声预测</w:t>
            </w:r>
          </w:p>
          <w:p w14:paraId="10DFE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bCs/>
                <w:color w:val="auto"/>
                <w:spacing w:val="0"/>
                <w:sz w:val="24"/>
                <w:szCs w:val="24"/>
                <w:highlight w:val="none"/>
                <w:lang w:eastAsia="zh-CN"/>
              </w:rPr>
            </w:pPr>
            <w:r>
              <w:rPr>
                <w:rFonts w:hint="default" w:ascii="Times New Roman" w:hAnsi="Times New Roman" w:eastAsia="宋体" w:cs="Times New Roman"/>
                <w:bCs/>
                <w:color w:val="auto"/>
                <w:spacing w:val="0"/>
                <w:sz w:val="24"/>
                <w:szCs w:val="24"/>
                <w:highlight w:val="none"/>
              </w:rPr>
              <w:t>本次预测采用《环境影响评价技术导则</w:t>
            </w:r>
            <w:r>
              <w:rPr>
                <w:rFonts w:hint="eastAsia" w:ascii="Times New Roman" w:hAnsi="Times New Roman" w:eastAsia="宋体" w:cs="Times New Roman"/>
                <w:bCs/>
                <w:color w:val="auto"/>
                <w:spacing w:val="0"/>
                <w:sz w:val="24"/>
                <w:szCs w:val="24"/>
                <w:highlight w:val="none"/>
                <w:lang w:val="en-US" w:eastAsia="zh-CN"/>
              </w:rPr>
              <w:t xml:space="preserve"> </w:t>
            </w:r>
            <w:r>
              <w:rPr>
                <w:rFonts w:hint="default" w:ascii="Times New Roman" w:hAnsi="Times New Roman" w:eastAsia="宋体" w:cs="Times New Roman"/>
                <w:bCs/>
                <w:color w:val="auto"/>
                <w:spacing w:val="0"/>
                <w:sz w:val="24"/>
                <w:szCs w:val="24"/>
                <w:highlight w:val="none"/>
              </w:rPr>
              <w:t>声环境》（HJ2.4-2021）中推荐的工业噪声预测计算模式</w:t>
            </w:r>
            <w:r>
              <w:rPr>
                <w:rFonts w:hint="eastAsia" w:ascii="Times New Roman" w:hAnsi="Times New Roman" w:eastAsia="宋体" w:cs="Times New Roman"/>
                <w:bCs/>
                <w:color w:val="auto"/>
                <w:spacing w:val="0"/>
                <w:sz w:val="24"/>
                <w:szCs w:val="24"/>
                <w:highlight w:val="none"/>
                <w:lang w:eastAsia="zh-CN"/>
              </w:rPr>
              <w:t>。</w:t>
            </w:r>
          </w:p>
          <w:p w14:paraId="0A40F9E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480" w:lineRule="exact"/>
              <w:ind w:left="0" w:right="0" w:firstLine="0" w:firstLineChars="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828800" cy="219075"/>
                  <wp:effectExtent l="0" t="0" r="0" b="8255"/>
                  <wp:docPr id="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
                          <pic:cNvPicPr>
                            <a:picLocks noChangeAspect="1"/>
                          </pic:cNvPicPr>
                        </pic:nvPicPr>
                        <pic:blipFill>
                          <a:blip r:embed="rId29"/>
                          <a:stretch>
                            <a:fillRect/>
                          </a:stretch>
                        </pic:blipFill>
                        <pic:spPr>
                          <a:xfrm>
                            <a:off x="0" y="0"/>
                            <a:ext cx="1828800" cy="219075"/>
                          </a:xfrm>
                          <a:prstGeom prst="rect">
                            <a:avLst/>
                          </a:prstGeom>
                          <a:noFill/>
                          <a:ln>
                            <a:noFill/>
                          </a:ln>
                        </pic:spPr>
                      </pic:pic>
                    </a:graphicData>
                  </a:graphic>
                </wp:inline>
              </w:drawing>
            </w:r>
          </w:p>
          <w:p w14:paraId="6C7F32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w:t>
            </w:r>
            <w:r>
              <w:rPr>
                <w:rFonts w:hint="default" w:ascii="Times New Roman" w:hAnsi="Times New Roman" w:eastAsia="宋体" w:cs="Times New Roman"/>
                <w:color w:val="auto"/>
                <w:sz w:val="24"/>
                <w:highlight w:val="none"/>
                <w:vertAlign w:val="subscript"/>
              </w:rPr>
              <w:t>A</w:t>
            </w:r>
            <w:r>
              <w:rPr>
                <w:rFonts w:hint="default" w:ascii="Times New Roman" w:hAnsi="Times New Roman" w:eastAsia="宋体" w:cs="Times New Roman"/>
                <w:color w:val="auto"/>
                <w:sz w:val="24"/>
                <w:highlight w:val="none"/>
              </w:rPr>
              <w:t>（r）为距声源r处的A声级；</w:t>
            </w:r>
          </w:p>
          <w:p w14:paraId="587184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A</w:t>
            </w:r>
            <w:r>
              <w:rPr>
                <w:rFonts w:hint="default" w:ascii="Times New Roman" w:hAnsi="Times New Roman" w:eastAsia="宋体" w:cs="Times New Roman"/>
                <w:color w:val="auto"/>
                <w:sz w:val="24"/>
                <w:highlight w:val="none"/>
              </w:rPr>
              <w:t>（r</w:t>
            </w:r>
            <w:r>
              <w:rPr>
                <w:rFonts w:hint="default" w:ascii="Times New Roman" w:hAnsi="Times New Roman" w:eastAsia="宋体" w:cs="Times New Roman"/>
                <w:color w:val="auto"/>
                <w:sz w:val="24"/>
                <w:highlight w:val="none"/>
                <w:vertAlign w:val="subscript"/>
              </w:rPr>
              <w:t>0</w:t>
            </w:r>
            <w:r>
              <w:rPr>
                <w:rFonts w:hint="default" w:ascii="Times New Roman" w:hAnsi="Times New Roman" w:eastAsia="宋体" w:cs="Times New Roman"/>
                <w:color w:val="auto"/>
                <w:sz w:val="24"/>
                <w:highlight w:val="none"/>
              </w:rPr>
              <w:t>）为参考位置r</w:t>
            </w:r>
            <w:r>
              <w:rPr>
                <w:rFonts w:hint="default" w:ascii="Times New Roman" w:hAnsi="Times New Roman" w:eastAsia="宋体" w:cs="Times New Roman"/>
                <w:color w:val="auto"/>
                <w:sz w:val="24"/>
                <w:highlight w:val="none"/>
                <w:vertAlign w:val="subscript"/>
              </w:rPr>
              <w:t>0</w:t>
            </w:r>
            <w:r>
              <w:rPr>
                <w:rFonts w:hint="default" w:ascii="Times New Roman" w:hAnsi="Times New Roman" w:eastAsia="宋体" w:cs="Times New Roman"/>
                <w:color w:val="auto"/>
                <w:sz w:val="24"/>
                <w:highlight w:val="none"/>
              </w:rPr>
              <w:t>的A声级；</w:t>
            </w:r>
          </w:p>
          <w:p w14:paraId="201154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w:t>
            </w:r>
            <w:r>
              <w:rPr>
                <w:rFonts w:hint="default" w:ascii="Times New Roman" w:hAnsi="Times New Roman" w:eastAsia="宋体" w:cs="Times New Roman"/>
                <w:color w:val="auto"/>
                <w:sz w:val="24"/>
                <w:highlight w:val="none"/>
                <w:vertAlign w:val="subscript"/>
              </w:rPr>
              <w:t>div</w:t>
            </w:r>
            <w:r>
              <w:rPr>
                <w:rFonts w:hint="default" w:ascii="Times New Roman" w:hAnsi="Times New Roman" w:eastAsia="宋体" w:cs="Times New Roman"/>
                <w:color w:val="auto"/>
                <w:sz w:val="24"/>
                <w:highlight w:val="none"/>
              </w:rPr>
              <w:t>为声波几何发散引起的A声级衰减量；</w:t>
            </w:r>
          </w:p>
          <w:p w14:paraId="61C939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1200" w:firstLineChars="5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Aatm为大气吸收引起的A声级衰减量。</w:t>
            </w:r>
          </w:p>
          <w:p w14:paraId="6AFB8A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本评价根据各噪声源的噪声水平及其采取的降噪及隔声效果，综合考虑Adiv、Aatm和Agr的衰减量，来预测本工程主要噪声源对周围声环境的影响。其中几何发散引起的A声级衰减量的计算公式如下：</w:t>
            </w:r>
          </w:p>
          <w:p w14:paraId="7DD972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143000" cy="447675"/>
                  <wp:effectExtent l="0" t="0" r="0" b="7620"/>
                  <wp:docPr id="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pic:cNvPicPr>
                            <a:picLocks noChangeAspect="1"/>
                          </pic:cNvPicPr>
                        </pic:nvPicPr>
                        <pic:blipFill>
                          <a:blip r:embed="rId30"/>
                          <a:stretch>
                            <a:fillRect/>
                          </a:stretch>
                        </pic:blipFill>
                        <pic:spPr>
                          <a:xfrm>
                            <a:off x="0" y="0"/>
                            <a:ext cx="1143000" cy="447675"/>
                          </a:xfrm>
                          <a:prstGeom prst="rect">
                            <a:avLst/>
                          </a:prstGeom>
                          <a:noFill/>
                          <a:ln>
                            <a:noFill/>
                          </a:ln>
                        </pic:spPr>
                      </pic:pic>
                    </a:graphicData>
                  </a:graphic>
                </wp:inline>
              </w:drawing>
            </w:r>
          </w:p>
          <w:p w14:paraId="1788DA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大气吸收引起的A声级衰减量的计算公式如下：</w:t>
            </w:r>
          </w:p>
          <w:p w14:paraId="2EE2C4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171575" cy="419100"/>
                  <wp:effectExtent l="0" t="0" r="9525" b="0"/>
                  <wp:docPr id="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
                          <pic:cNvPicPr>
                            <a:picLocks noChangeAspect="1"/>
                          </pic:cNvPicPr>
                        </pic:nvPicPr>
                        <pic:blipFill>
                          <a:blip r:embed="rId31"/>
                          <a:stretch>
                            <a:fillRect/>
                          </a:stretch>
                        </pic:blipFill>
                        <pic:spPr>
                          <a:xfrm>
                            <a:off x="0" y="0"/>
                            <a:ext cx="1171575" cy="419100"/>
                          </a:xfrm>
                          <a:prstGeom prst="rect">
                            <a:avLst/>
                          </a:prstGeom>
                          <a:noFill/>
                          <a:ln>
                            <a:noFill/>
                          </a:ln>
                        </pic:spPr>
                      </pic:pic>
                    </a:graphicData>
                  </a:graphic>
                </wp:inline>
              </w:drawing>
            </w:r>
          </w:p>
          <w:p w14:paraId="43DC35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式中：α为温度、湿度和声波频率的函数，预测计算中一般根据当地常年平均气温和湿度选择相应的空气吸收系数。</w:t>
            </w:r>
          </w:p>
          <w:p w14:paraId="78FBA5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对多个声源同时存在时，其总A声级用下式计算：</w:t>
            </w:r>
          </w:p>
          <w:p w14:paraId="7CC195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562100" cy="457200"/>
                  <wp:effectExtent l="0" t="0" r="0" b="0"/>
                  <wp:docPr id="8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6"/>
                          <pic:cNvPicPr>
                            <a:picLocks noChangeAspect="1"/>
                          </pic:cNvPicPr>
                        </pic:nvPicPr>
                        <pic:blipFill>
                          <a:blip r:embed="rId32"/>
                          <a:stretch>
                            <a:fillRect/>
                          </a:stretch>
                        </pic:blipFill>
                        <pic:spPr>
                          <a:xfrm>
                            <a:off x="0" y="0"/>
                            <a:ext cx="1562100" cy="457200"/>
                          </a:xfrm>
                          <a:prstGeom prst="rect">
                            <a:avLst/>
                          </a:prstGeom>
                          <a:noFill/>
                          <a:ln>
                            <a:noFill/>
                          </a:ln>
                        </pic:spPr>
                      </pic:pic>
                    </a:graphicData>
                  </a:graphic>
                </wp:inline>
              </w:drawing>
            </w:r>
          </w:p>
          <w:p w14:paraId="573775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w:t>
            </w:r>
            <w:r>
              <w:rPr>
                <w:rFonts w:hint="default" w:ascii="Times New Roman" w:hAnsi="Times New Roman" w:eastAsia="宋体" w:cs="Times New Roman"/>
                <w:color w:val="auto"/>
                <w:sz w:val="24"/>
                <w:highlight w:val="none"/>
                <w:vertAlign w:val="subscript"/>
              </w:rPr>
              <w:t>eqg</w:t>
            </w:r>
            <w:r>
              <w:rPr>
                <w:rFonts w:hint="default" w:ascii="Times New Roman" w:hAnsi="Times New Roman" w:eastAsia="宋体" w:cs="Times New Roman"/>
                <w:color w:val="auto"/>
                <w:sz w:val="24"/>
                <w:highlight w:val="none"/>
              </w:rPr>
              <w:t>为本项目声源在预测点的等效声级贡献值，dB（A）；L</w:t>
            </w:r>
            <w:r>
              <w:rPr>
                <w:rFonts w:hint="default" w:ascii="Times New Roman" w:hAnsi="Times New Roman" w:eastAsia="宋体" w:cs="Times New Roman"/>
                <w:color w:val="auto"/>
                <w:sz w:val="24"/>
                <w:highlight w:val="none"/>
                <w:vertAlign w:val="subscript"/>
              </w:rPr>
              <w:t>Ai</w:t>
            </w:r>
            <w:r>
              <w:rPr>
                <w:rFonts w:hint="default" w:ascii="Times New Roman" w:hAnsi="Times New Roman" w:eastAsia="宋体" w:cs="Times New Roman"/>
                <w:color w:val="auto"/>
                <w:sz w:val="24"/>
                <w:highlight w:val="none"/>
              </w:rPr>
              <w:t>为i声源在预测点产生的A声级，dB（A）；T预测计算的时间段，s；t</w:t>
            </w:r>
            <w:r>
              <w:rPr>
                <w:rFonts w:hint="default" w:ascii="Times New Roman" w:hAnsi="Times New Roman" w:eastAsia="宋体" w:cs="Times New Roman"/>
                <w:color w:val="auto"/>
                <w:sz w:val="24"/>
                <w:highlight w:val="none"/>
                <w:vertAlign w:val="subscript"/>
              </w:rPr>
              <w:t>i</w:t>
            </w:r>
            <w:r>
              <w:rPr>
                <w:rFonts w:hint="default" w:ascii="Times New Roman" w:hAnsi="Times New Roman" w:eastAsia="宋体" w:cs="Times New Roman"/>
                <w:color w:val="auto"/>
                <w:sz w:val="24"/>
                <w:highlight w:val="none"/>
              </w:rPr>
              <w:t>为i声源在T时段内的运行时间，s。</w:t>
            </w:r>
          </w:p>
          <w:p w14:paraId="6DA33F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现状监测值与预测贡献值叠加的预测总A声级计算公式如下：</w:t>
            </w:r>
          </w:p>
          <w:p w14:paraId="3BE47E28">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480" w:lineRule="exact"/>
              <w:ind w:left="0" w:right="0" w:firstLine="0" w:firstLineChars="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drawing>
                <wp:inline distT="0" distB="0" distL="114300" distR="114300">
                  <wp:extent cx="1790700" cy="266700"/>
                  <wp:effectExtent l="0" t="0" r="0" b="0"/>
                  <wp:docPr id="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
                          <pic:cNvPicPr>
                            <a:picLocks noChangeAspect="1"/>
                          </pic:cNvPicPr>
                        </pic:nvPicPr>
                        <pic:blipFill>
                          <a:blip r:embed="rId33"/>
                          <a:stretch>
                            <a:fillRect/>
                          </a:stretch>
                        </pic:blipFill>
                        <pic:spPr>
                          <a:xfrm>
                            <a:off x="0" y="0"/>
                            <a:ext cx="1790700" cy="266700"/>
                          </a:xfrm>
                          <a:prstGeom prst="rect">
                            <a:avLst/>
                          </a:prstGeom>
                          <a:noFill/>
                          <a:ln>
                            <a:noFill/>
                          </a:ln>
                        </pic:spPr>
                      </pic:pic>
                    </a:graphicData>
                  </a:graphic>
                </wp:inline>
              </w:drawing>
            </w:r>
          </w:p>
          <w:p w14:paraId="3433D1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w:t>
            </w:r>
            <w:r>
              <w:rPr>
                <w:rFonts w:hint="default" w:ascii="Times New Roman" w:hAnsi="Times New Roman" w:eastAsia="宋体" w:cs="Times New Roman"/>
                <w:color w:val="auto"/>
                <w:sz w:val="24"/>
                <w:highlight w:val="none"/>
                <w:vertAlign w:val="subscript"/>
              </w:rPr>
              <w:t>eqg</w:t>
            </w:r>
            <w:r>
              <w:rPr>
                <w:rFonts w:hint="default" w:ascii="Times New Roman" w:hAnsi="Times New Roman" w:eastAsia="宋体" w:cs="Times New Roman"/>
                <w:color w:val="auto"/>
                <w:sz w:val="24"/>
                <w:highlight w:val="none"/>
              </w:rPr>
              <w:t>为本项目声源在预测点的等效声级贡献值；L</w:t>
            </w:r>
            <w:r>
              <w:rPr>
                <w:rFonts w:hint="default" w:ascii="Times New Roman" w:hAnsi="Times New Roman" w:eastAsia="宋体" w:cs="Times New Roman"/>
                <w:color w:val="auto"/>
                <w:sz w:val="24"/>
                <w:highlight w:val="none"/>
                <w:vertAlign w:val="subscript"/>
              </w:rPr>
              <w:t>eqb</w:t>
            </w:r>
            <w:r>
              <w:rPr>
                <w:rFonts w:hint="default" w:ascii="Times New Roman" w:hAnsi="Times New Roman" w:eastAsia="宋体" w:cs="Times New Roman"/>
                <w:color w:val="auto"/>
                <w:sz w:val="24"/>
                <w:highlight w:val="none"/>
              </w:rPr>
              <w:t>为预测点的背景值。</w:t>
            </w:r>
          </w:p>
          <w:p w14:paraId="64B32E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根据《环境影响评价技术导则声环境》（HJ2.4-2021），项目厂界噪声以工程噪声预测值作为评价量进行分析预测，同时考虑建筑物的屏蔽和遮挡，本项目</w:t>
            </w:r>
            <w:r>
              <w:rPr>
                <w:rFonts w:hint="eastAsia" w:cs="Times New Roman"/>
                <w:color w:val="auto"/>
                <w:sz w:val="24"/>
                <w:highlight w:val="none"/>
                <w:lang w:val="en-US" w:eastAsia="zh-CN"/>
              </w:rPr>
              <w:t>全天24小时</w:t>
            </w:r>
            <w:r>
              <w:rPr>
                <w:rFonts w:hint="default" w:ascii="Times New Roman" w:hAnsi="Times New Roman" w:eastAsia="宋体" w:cs="Times New Roman"/>
                <w:color w:val="auto"/>
                <w:sz w:val="24"/>
                <w:highlight w:val="none"/>
              </w:rPr>
              <w:t>运行，进行昼间</w:t>
            </w:r>
            <w:r>
              <w:rPr>
                <w:rFonts w:hint="eastAsia" w:cs="Times New Roman"/>
                <w:color w:val="auto"/>
                <w:sz w:val="24"/>
                <w:highlight w:val="none"/>
                <w:lang w:eastAsia="zh-CN"/>
              </w:rPr>
              <w:t>、</w:t>
            </w:r>
            <w:r>
              <w:rPr>
                <w:rFonts w:hint="eastAsia" w:cs="Times New Roman"/>
                <w:color w:val="auto"/>
                <w:sz w:val="24"/>
                <w:highlight w:val="none"/>
                <w:lang w:val="en-US" w:eastAsia="zh-CN"/>
              </w:rPr>
              <w:t>夜间</w:t>
            </w:r>
            <w:r>
              <w:rPr>
                <w:rFonts w:hint="default" w:ascii="Times New Roman" w:hAnsi="Times New Roman" w:eastAsia="宋体" w:cs="Times New Roman"/>
                <w:color w:val="auto"/>
                <w:sz w:val="24"/>
                <w:highlight w:val="none"/>
              </w:rPr>
              <w:t>噪声预测。</w:t>
            </w:r>
            <w:r>
              <w:rPr>
                <w:rFonts w:hint="eastAsia" w:cs="Times New Roman"/>
                <w:color w:val="auto"/>
                <w:sz w:val="24"/>
                <w:highlight w:val="none"/>
                <w:lang w:val="en-US" w:eastAsia="zh-CN"/>
              </w:rPr>
              <w:t>现有厂区</w:t>
            </w:r>
            <w:r>
              <w:rPr>
                <w:rFonts w:hint="eastAsia" w:ascii="Times New Roman" w:hAnsi="Times New Roman" w:eastAsia="宋体" w:cs="Times New Roman"/>
                <w:color w:val="auto"/>
                <w:sz w:val="24"/>
                <w:highlight w:val="none"/>
                <w:lang w:val="en-US" w:eastAsia="zh-CN"/>
              </w:rPr>
              <w:t>厂界</w:t>
            </w:r>
            <w:r>
              <w:rPr>
                <w:rFonts w:hint="default" w:ascii="Times New Roman" w:hAnsi="Times New Roman" w:eastAsia="宋体" w:cs="Times New Roman"/>
                <w:color w:val="auto"/>
                <w:sz w:val="24"/>
                <w:highlight w:val="none"/>
                <w:lang w:val="en-US" w:eastAsia="zh-CN"/>
              </w:rPr>
              <w:t>噪声预测结果见表4-</w:t>
            </w:r>
            <w:r>
              <w:rPr>
                <w:rFonts w:hint="eastAsia" w:cs="Times New Roman"/>
                <w:color w:val="auto"/>
                <w:sz w:val="24"/>
                <w:highlight w:val="none"/>
                <w:lang w:val="en-US" w:eastAsia="zh-CN"/>
              </w:rPr>
              <w:t>15</w:t>
            </w:r>
            <w:r>
              <w:rPr>
                <w:rFonts w:hint="default" w:ascii="Times New Roman" w:hAnsi="Times New Roman" w:eastAsia="宋体" w:cs="Times New Roman"/>
                <w:color w:val="auto"/>
                <w:sz w:val="24"/>
                <w:highlight w:val="none"/>
                <w:lang w:val="en-US" w:eastAsia="zh-CN"/>
              </w:rPr>
              <w:t>。</w:t>
            </w:r>
          </w:p>
          <w:p w14:paraId="02241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w:t>
            </w:r>
            <w:r>
              <w:rPr>
                <w:rFonts w:hint="default" w:ascii="Times New Roman" w:hAnsi="Times New Roman" w:eastAsia="宋体" w:cs="Times New Roman"/>
                <w:b/>
                <w:bCs/>
                <w:color w:val="auto"/>
                <w:spacing w:val="0"/>
                <w:kern w:val="2"/>
                <w:sz w:val="21"/>
                <w:szCs w:val="21"/>
                <w:highlight w:val="none"/>
                <w:lang w:val="en-US" w:eastAsia="zh-CN" w:bidi="ar-SA"/>
              </w:rPr>
              <w:t>4-</w:t>
            </w:r>
            <w:r>
              <w:rPr>
                <w:rFonts w:hint="eastAsia" w:cs="Times New Roman"/>
                <w:b/>
                <w:bCs/>
                <w:color w:val="auto"/>
                <w:spacing w:val="0"/>
                <w:kern w:val="2"/>
                <w:sz w:val="21"/>
                <w:szCs w:val="21"/>
                <w:highlight w:val="none"/>
                <w:lang w:val="en-US" w:eastAsia="zh-CN" w:bidi="ar-SA"/>
              </w:rPr>
              <w:t>15</w:t>
            </w:r>
            <w:r>
              <w:rPr>
                <w:rFonts w:hint="default" w:ascii="Times New Roman" w:hAnsi="Times New Roman" w:eastAsia="宋体" w:cs="Times New Roman"/>
                <w:b/>
                <w:bCs/>
                <w:color w:val="auto"/>
                <w:kern w:val="2"/>
                <w:sz w:val="21"/>
                <w:szCs w:val="21"/>
                <w:highlight w:val="none"/>
                <w:lang w:val="en-US" w:eastAsia="zh-CN" w:bidi="ar-SA"/>
              </w:rPr>
              <w:t xml:space="preserve">  噪声预测结果</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874"/>
              <w:gridCol w:w="874"/>
              <w:gridCol w:w="900"/>
              <w:gridCol w:w="876"/>
              <w:gridCol w:w="649"/>
              <w:gridCol w:w="900"/>
              <w:gridCol w:w="848"/>
              <w:gridCol w:w="825"/>
              <w:gridCol w:w="839"/>
              <w:gridCol w:w="664"/>
            </w:tblGrid>
            <w:tr w14:paraId="4395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89" w:type="pct"/>
                  <w:vMerge w:val="restart"/>
                  <w:tcBorders>
                    <w:tl2br w:val="nil"/>
                    <w:tr2bl w:val="nil"/>
                  </w:tcBorders>
                  <w:vAlign w:val="center"/>
                </w:tcPr>
                <w:p w14:paraId="048B6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color w:val="auto"/>
                      <w:szCs w:val="21"/>
                      <w:highlight w:val="none"/>
                      <w:lang w:val="en-US" w:eastAsia="zh-CN"/>
                    </w:rPr>
                    <w:t>点位</w:t>
                  </w:r>
                </w:p>
              </w:tc>
              <w:tc>
                <w:tcPr>
                  <w:tcW w:w="1927" w:type="pct"/>
                  <w:gridSpan w:val="4"/>
                  <w:tcBorders>
                    <w:tl2br w:val="nil"/>
                    <w:tr2bl w:val="nil"/>
                  </w:tcBorders>
                  <w:vAlign w:val="center"/>
                </w:tcPr>
                <w:p w14:paraId="5C145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b/>
                      <w:color w:val="auto"/>
                      <w:szCs w:val="21"/>
                      <w:highlight w:val="none"/>
                    </w:rPr>
                    <w:t>昼间</w:t>
                  </w:r>
                  <w:r>
                    <w:rPr>
                      <w:rFonts w:hint="default" w:ascii="Times New Roman" w:hAnsi="Times New Roman" w:eastAsia="宋体" w:cs="Times New Roman"/>
                      <w:b/>
                      <w:bCs/>
                      <w:color w:val="auto"/>
                      <w:kern w:val="2"/>
                      <w:sz w:val="21"/>
                      <w:szCs w:val="21"/>
                      <w:highlight w:val="none"/>
                      <w:lang w:val="en-US" w:eastAsia="zh-CN" w:bidi="ar-SA"/>
                    </w:rPr>
                    <w:t>dB（A）</w:t>
                  </w:r>
                </w:p>
              </w:tc>
              <w:tc>
                <w:tcPr>
                  <w:tcW w:w="355" w:type="pct"/>
                  <w:vMerge w:val="restart"/>
                  <w:tcBorders>
                    <w:tl2br w:val="nil"/>
                    <w:tr2bl w:val="nil"/>
                  </w:tcBorders>
                  <w:vAlign w:val="center"/>
                </w:tcPr>
                <w:p w14:paraId="53BC7E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
                      <w:color w:val="auto"/>
                      <w:szCs w:val="21"/>
                      <w:highlight w:val="none"/>
                      <w:lang w:val="en-US" w:eastAsia="zh-CN"/>
                    </w:rPr>
                  </w:pPr>
                  <w:r>
                    <w:rPr>
                      <w:rFonts w:hint="eastAsia"/>
                      <w:b/>
                      <w:color w:val="auto"/>
                      <w:szCs w:val="21"/>
                      <w:highlight w:val="none"/>
                      <w:lang w:val="en-US" w:eastAsia="zh-CN"/>
                    </w:rPr>
                    <w:t>达标情况</w:t>
                  </w:r>
                </w:p>
              </w:tc>
              <w:tc>
                <w:tcPr>
                  <w:tcW w:w="1866" w:type="pct"/>
                  <w:gridSpan w:val="4"/>
                  <w:tcBorders>
                    <w:tl2br w:val="nil"/>
                    <w:tr2bl w:val="nil"/>
                  </w:tcBorders>
                  <w:vAlign w:val="center"/>
                </w:tcPr>
                <w:p w14:paraId="099D37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color w:val="auto"/>
                      <w:szCs w:val="21"/>
                      <w:highlight w:val="none"/>
                      <w:lang w:val="en-US" w:eastAsia="zh-CN"/>
                    </w:rPr>
                    <w:t>夜</w:t>
                  </w:r>
                  <w:r>
                    <w:rPr>
                      <w:rFonts w:hint="default"/>
                      <w:b/>
                      <w:color w:val="auto"/>
                      <w:szCs w:val="21"/>
                      <w:highlight w:val="none"/>
                    </w:rPr>
                    <w:t>间</w:t>
                  </w:r>
                  <w:r>
                    <w:rPr>
                      <w:rFonts w:hint="default" w:ascii="Times New Roman" w:hAnsi="Times New Roman" w:eastAsia="宋体" w:cs="Times New Roman"/>
                      <w:b/>
                      <w:bCs/>
                      <w:color w:val="auto"/>
                      <w:kern w:val="2"/>
                      <w:sz w:val="21"/>
                      <w:szCs w:val="21"/>
                      <w:highlight w:val="none"/>
                      <w:lang w:val="en-US" w:eastAsia="zh-CN" w:bidi="ar-SA"/>
                    </w:rPr>
                    <w:t>dB（A）</w:t>
                  </w:r>
                </w:p>
              </w:tc>
              <w:tc>
                <w:tcPr>
                  <w:tcW w:w="360" w:type="pct"/>
                  <w:vMerge w:val="restart"/>
                  <w:tcBorders>
                    <w:tl2br w:val="nil"/>
                    <w:tr2bl w:val="nil"/>
                  </w:tcBorders>
                  <w:vAlign w:val="center"/>
                </w:tcPr>
                <w:p w14:paraId="09D43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color w:val="auto"/>
                      <w:szCs w:val="21"/>
                      <w:highlight w:val="none"/>
                      <w:lang w:val="en-US" w:eastAsia="zh-CN"/>
                    </w:rPr>
                    <w:t>达标情况</w:t>
                  </w:r>
                </w:p>
              </w:tc>
            </w:tr>
            <w:tr w14:paraId="26AA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89" w:type="pct"/>
                  <w:vMerge w:val="continue"/>
                  <w:tcBorders>
                    <w:tl2br w:val="nil"/>
                    <w:tr2bl w:val="nil"/>
                  </w:tcBorders>
                  <w:vAlign w:val="center"/>
                </w:tcPr>
                <w:p w14:paraId="1414B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c>
                <w:tcPr>
                  <w:tcW w:w="478" w:type="pct"/>
                  <w:tcBorders>
                    <w:tl2br w:val="nil"/>
                    <w:tr2bl w:val="nil"/>
                  </w:tcBorders>
                  <w:vAlign w:val="center"/>
                </w:tcPr>
                <w:p w14:paraId="0A25316C">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b/>
                      <w:bCs w:val="0"/>
                      <w:color w:val="auto"/>
                      <w:szCs w:val="21"/>
                      <w:highlight w:val="none"/>
                    </w:rPr>
                    <w:t>贡献值</w:t>
                  </w:r>
                </w:p>
              </w:tc>
              <w:tc>
                <w:tcPr>
                  <w:tcW w:w="478" w:type="pct"/>
                  <w:tcBorders>
                    <w:tl2br w:val="nil"/>
                    <w:tr2bl w:val="nil"/>
                  </w:tcBorders>
                  <w:vAlign w:val="center"/>
                </w:tcPr>
                <w:p w14:paraId="2BF115D5">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bCs w:val="0"/>
                      <w:color w:val="auto"/>
                      <w:szCs w:val="21"/>
                      <w:highlight w:val="none"/>
                      <w:lang w:val="en-US" w:eastAsia="zh-CN"/>
                    </w:rPr>
                    <w:t>贡献值</w:t>
                  </w:r>
                </w:p>
              </w:tc>
              <w:tc>
                <w:tcPr>
                  <w:tcW w:w="492" w:type="pct"/>
                  <w:tcBorders>
                    <w:tl2br w:val="nil"/>
                    <w:tr2bl w:val="nil"/>
                  </w:tcBorders>
                  <w:vAlign w:val="center"/>
                </w:tcPr>
                <w:p w14:paraId="47A17813">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bCs w:val="0"/>
                      <w:color w:val="auto"/>
                      <w:szCs w:val="21"/>
                      <w:highlight w:val="none"/>
                      <w:lang w:val="en-US" w:eastAsia="zh-CN"/>
                    </w:rPr>
                    <w:t>叠加值</w:t>
                  </w:r>
                </w:p>
              </w:tc>
              <w:tc>
                <w:tcPr>
                  <w:tcW w:w="478" w:type="pct"/>
                  <w:tcBorders>
                    <w:tl2br w:val="nil"/>
                    <w:tr2bl w:val="nil"/>
                  </w:tcBorders>
                  <w:vAlign w:val="center"/>
                </w:tcPr>
                <w:p w14:paraId="2AE82991">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b/>
                      <w:bCs w:val="0"/>
                      <w:color w:val="auto"/>
                      <w:szCs w:val="21"/>
                      <w:highlight w:val="none"/>
                    </w:rPr>
                    <w:t>标准值</w:t>
                  </w:r>
                </w:p>
              </w:tc>
              <w:tc>
                <w:tcPr>
                  <w:tcW w:w="355" w:type="pct"/>
                  <w:vMerge w:val="continue"/>
                  <w:tcBorders>
                    <w:tl2br w:val="nil"/>
                    <w:tr2bl w:val="nil"/>
                  </w:tcBorders>
                  <w:vAlign w:val="center"/>
                </w:tcPr>
                <w:p w14:paraId="13A9EA81">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b/>
                      <w:bCs w:val="0"/>
                      <w:color w:val="auto"/>
                      <w:szCs w:val="21"/>
                      <w:highlight w:val="none"/>
                    </w:rPr>
                  </w:pPr>
                </w:p>
              </w:tc>
              <w:tc>
                <w:tcPr>
                  <w:tcW w:w="492" w:type="pct"/>
                  <w:tcBorders>
                    <w:tl2br w:val="nil"/>
                    <w:tr2bl w:val="nil"/>
                  </w:tcBorders>
                  <w:vAlign w:val="center"/>
                </w:tcPr>
                <w:p w14:paraId="378D6345">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b/>
                      <w:bCs w:val="0"/>
                      <w:color w:val="auto"/>
                      <w:szCs w:val="21"/>
                      <w:highlight w:val="none"/>
                    </w:rPr>
                    <w:t>贡献值</w:t>
                  </w:r>
                </w:p>
              </w:tc>
              <w:tc>
                <w:tcPr>
                  <w:tcW w:w="464" w:type="pct"/>
                  <w:tcBorders>
                    <w:tl2br w:val="nil"/>
                    <w:tr2bl w:val="nil"/>
                  </w:tcBorders>
                  <w:vAlign w:val="center"/>
                </w:tcPr>
                <w:p w14:paraId="6E577DF0">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bCs w:val="0"/>
                      <w:color w:val="auto"/>
                      <w:szCs w:val="21"/>
                      <w:highlight w:val="none"/>
                      <w:lang w:val="en-US" w:eastAsia="zh-CN"/>
                    </w:rPr>
                    <w:t>贡献值</w:t>
                  </w:r>
                </w:p>
              </w:tc>
              <w:tc>
                <w:tcPr>
                  <w:tcW w:w="451" w:type="pct"/>
                  <w:tcBorders>
                    <w:tl2br w:val="nil"/>
                    <w:tr2bl w:val="nil"/>
                  </w:tcBorders>
                  <w:vAlign w:val="center"/>
                </w:tcPr>
                <w:p w14:paraId="2E2421C9">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bCs w:val="0"/>
                      <w:color w:val="auto"/>
                      <w:szCs w:val="21"/>
                      <w:highlight w:val="none"/>
                      <w:lang w:val="en-US" w:eastAsia="zh-CN"/>
                    </w:rPr>
                    <w:t>叠加值</w:t>
                  </w:r>
                </w:p>
              </w:tc>
              <w:tc>
                <w:tcPr>
                  <w:tcW w:w="458" w:type="pct"/>
                  <w:tcBorders>
                    <w:tl2br w:val="nil"/>
                    <w:tr2bl w:val="nil"/>
                  </w:tcBorders>
                  <w:vAlign w:val="center"/>
                </w:tcPr>
                <w:p w14:paraId="1FF476D2">
                  <w:pPr>
                    <w:keepNext w:val="0"/>
                    <w:keepLines w:val="0"/>
                    <w:pageBreakBefore w:val="0"/>
                    <w:suppressLineNumbers w:val="0"/>
                    <w:kinsoku/>
                    <w:wordWrap/>
                    <w:overflowPunct/>
                    <w:topLinePunct w:val="0"/>
                    <w:bidi w:val="0"/>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b/>
                      <w:bCs w:val="0"/>
                      <w:color w:val="auto"/>
                      <w:szCs w:val="21"/>
                      <w:highlight w:val="none"/>
                    </w:rPr>
                    <w:t>标准值</w:t>
                  </w:r>
                </w:p>
              </w:tc>
              <w:tc>
                <w:tcPr>
                  <w:tcW w:w="360" w:type="pct"/>
                  <w:vMerge w:val="continue"/>
                  <w:tcBorders>
                    <w:tl2br w:val="nil"/>
                    <w:tr2bl w:val="nil"/>
                  </w:tcBorders>
                  <w:vAlign w:val="center"/>
                </w:tcPr>
                <w:p w14:paraId="04DA23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r>
            <w:tr w14:paraId="76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89" w:type="pct"/>
                  <w:tcBorders>
                    <w:tl2br w:val="nil"/>
                    <w:tr2bl w:val="nil"/>
                  </w:tcBorders>
                  <w:vAlign w:val="center"/>
                </w:tcPr>
                <w:p w14:paraId="44169E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val="0"/>
                      <w:bCs w:val="0"/>
                      <w:color w:val="auto"/>
                      <w:highlight w:val="none"/>
                      <w:lang w:val="en-US" w:eastAsia="zh-CN"/>
                    </w:rPr>
                    <w:t>厂界北</w:t>
                  </w:r>
                </w:p>
              </w:tc>
              <w:tc>
                <w:tcPr>
                  <w:tcW w:w="478" w:type="pct"/>
                  <w:tcBorders>
                    <w:tl2br w:val="nil"/>
                    <w:tr2bl w:val="nil"/>
                  </w:tcBorders>
                  <w:vAlign w:val="center"/>
                </w:tcPr>
                <w:p w14:paraId="0A38AB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44.1</w:t>
                  </w:r>
                </w:p>
              </w:tc>
              <w:tc>
                <w:tcPr>
                  <w:tcW w:w="478" w:type="pct"/>
                  <w:tcBorders>
                    <w:tl2br w:val="nil"/>
                    <w:tr2bl w:val="nil"/>
                  </w:tcBorders>
                  <w:vAlign w:val="center"/>
                </w:tcPr>
                <w:p w14:paraId="69B174B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45</w:t>
                  </w:r>
                </w:p>
              </w:tc>
              <w:tc>
                <w:tcPr>
                  <w:tcW w:w="492" w:type="pct"/>
                  <w:tcBorders>
                    <w:tl2br w:val="nil"/>
                    <w:tr2bl w:val="nil"/>
                  </w:tcBorders>
                  <w:vAlign w:val="center"/>
                </w:tcPr>
                <w:p w14:paraId="7B7A1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Cs w:val="21"/>
                      <w:highlight w:val="none"/>
                      <w:lang w:val="en-US" w:eastAsia="zh-CN"/>
                    </w:rPr>
                  </w:pPr>
                  <w:r>
                    <w:rPr>
                      <w:rFonts w:hint="default"/>
                      <w:color w:val="auto"/>
                      <w:szCs w:val="21"/>
                      <w:highlight w:val="none"/>
                      <w:lang w:val="en-US" w:eastAsia="zh-CN"/>
                    </w:rPr>
                    <w:t>47.58</w:t>
                  </w:r>
                </w:p>
              </w:tc>
              <w:tc>
                <w:tcPr>
                  <w:tcW w:w="478" w:type="pct"/>
                  <w:tcBorders>
                    <w:tl2br w:val="nil"/>
                    <w:tr2bl w:val="nil"/>
                  </w:tcBorders>
                  <w:vAlign w:val="center"/>
                </w:tcPr>
                <w:p w14:paraId="3F01D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60</w:t>
                  </w:r>
                </w:p>
              </w:tc>
              <w:tc>
                <w:tcPr>
                  <w:tcW w:w="355" w:type="pct"/>
                  <w:tcBorders>
                    <w:tl2br w:val="nil"/>
                    <w:tr2bl w:val="nil"/>
                  </w:tcBorders>
                  <w:vAlign w:val="center"/>
                </w:tcPr>
                <w:p w14:paraId="70D29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olor w:val="auto"/>
                      <w:szCs w:val="21"/>
                      <w:highlight w:val="none"/>
                      <w:lang w:val="en-US" w:eastAsia="zh-CN"/>
                    </w:rPr>
                  </w:pPr>
                  <w:r>
                    <w:rPr>
                      <w:rFonts w:hint="eastAsia"/>
                      <w:color w:val="auto"/>
                      <w:szCs w:val="21"/>
                      <w:highlight w:val="none"/>
                      <w:lang w:val="en-US" w:eastAsia="zh-CN"/>
                    </w:rPr>
                    <w:t>达标</w:t>
                  </w:r>
                </w:p>
              </w:tc>
              <w:tc>
                <w:tcPr>
                  <w:tcW w:w="492" w:type="pct"/>
                  <w:tcBorders>
                    <w:tl2br w:val="nil"/>
                    <w:tr2bl w:val="nil"/>
                  </w:tcBorders>
                  <w:vAlign w:val="center"/>
                </w:tcPr>
                <w:p w14:paraId="41A14A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olor w:val="auto"/>
                      <w:szCs w:val="21"/>
                      <w:highlight w:val="none"/>
                      <w:lang w:val="en-US" w:eastAsia="zh-CN"/>
                    </w:rPr>
                    <w:t>44.1</w:t>
                  </w:r>
                </w:p>
              </w:tc>
              <w:tc>
                <w:tcPr>
                  <w:tcW w:w="464" w:type="pct"/>
                  <w:tcBorders>
                    <w:tl2br w:val="nil"/>
                    <w:tr2bl w:val="nil"/>
                  </w:tcBorders>
                  <w:vAlign w:val="center"/>
                </w:tcPr>
                <w:p w14:paraId="5DBB8B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0</w:t>
                  </w:r>
                </w:p>
              </w:tc>
              <w:tc>
                <w:tcPr>
                  <w:tcW w:w="451" w:type="pct"/>
                  <w:tcBorders>
                    <w:tl2br w:val="nil"/>
                    <w:tr2bl w:val="nil"/>
                  </w:tcBorders>
                  <w:vAlign w:val="center"/>
                </w:tcPr>
                <w:p w14:paraId="7B48CB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44.1</w:t>
                  </w:r>
                </w:p>
              </w:tc>
              <w:tc>
                <w:tcPr>
                  <w:tcW w:w="458" w:type="pct"/>
                  <w:tcBorders>
                    <w:tl2br w:val="nil"/>
                    <w:tr2bl w:val="nil"/>
                  </w:tcBorders>
                  <w:vAlign w:val="center"/>
                </w:tcPr>
                <w:p w14:paraId="32C1A6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50</w:t>
                  </w:r>
                </w:p>
              </w:tc>
              <w:tc>
                <w:tcPr>
                  <w:tcW w:w="360" w:type="pct"/>
                  <w:tcBorders>
                    <w:tl2br w:val="nil"/>
                    <w:tr2bl w:val="nil"/>
                  </w:tcBorders>
                  <w:vAlign w:val="center"/>
                </w:tcPr>
                <w:p w14:paraId="388D6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达标</w:t>
                  </w:r>
                </w:p>
              </w:tc>
            </w:tr>
            <w:tr w14:paraId="42A1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89" w:type="pct"/>
                  <w:tcBorders>
                    <w:tl2br w:val="nil"/>
                    <w:tr2bl w:val="nil"/>
                  </w:tcBorders>
                  <w:vAlign w:val="center"/>
                </w:tcPr>
                <w:p w14:paraId="5ED0E5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val="0"/>
                      <w:bCs w:val="0"/>
                      <w:color w:val="auto"/>
                      <w:highlight w:val="none"/>
                      <w:lang w:val="en-US" w:eastAsia="zh-CN"/>
                    </w:rPr>
                    <w:t>厂界东</w:t>
                  </w:r>
                </w:p>
              </w:tc>
              <w:tc>
                <w:tcPr>
                  <w:tcW w:w="478" w:type="pct"/>
                  <w:tcBorders>
                    <w:tl2br w:val="nil"/>
                    <w:tr2bl w:val="nil"/>
                  </w:tcBorders>
                  <w:vAlign w:val="center"/>
                </w:tcPr>
                <w:p w14:paraId="62AED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38.8</w:t>
                  </w:r>
                </w:p>
              </w:tc>
              <w:tc>
                <w:tcPr>
                  <w:tcW w:w="478" w:type="pct"/>
                  <w:tcBorders>
                    <w:tl2br w:val="nil"/>
                    <w:tr2bl w:val="nil"/>
                  </w:tcBorders>
                  <w:vAlign w:val="center"/>
                </w:tcPr>
                <w:p w14:paraId="714971A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46</w:t>
                  </w:r>
                </w:p>
              </w:tc>
              <w:tc>
                <w:tcPr>
                  <w:tcW w:w="492" w:type="pct"/>
                  <w:tcBorders>
                    <w:tl2br w:val="nil"/>
                    <w:tr2bl w:val="nil"/>
                  </w:tcBorders>
                  <w:vAlign w:val="center"/>
                </w:tcPr>
                <w:p w14:paraId="4DDE6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Cs w:val="21"/>
                      <w:highlight w:val="none"/>
                      <w:lang w:val="en-US" w:eastAsia="zh-CN"/>
                    </w:rPr>
                  </w:pPr>
                  <w:r>
                    <w:rPr>
                      <w:rFonts w:hint="default"/>
                      <w:color w:val="auto"/>
                      <w:szCs w:val="21"/>
                      <w:highlight w:val="none"/>
                      <w:lang w:val="en-US" w:eastAsia="zh-CN"/>
                    </w:rPr>
                    <w:t>46.76</w:t>
                  </w:r>
                </w:p>
              </w:tc>
              <w:tc>
                <w:tcPr>
                  <w:tcW w:w="478" w:type="pct"/>
                  <w:tcBorders>
                    <w:tl2br w:val="nil"/>
                    <w:tr2bl w:val="nil"/>
                  </w:tcBorders>
                  <w:vAlign w:val="center"/>
                </w:tcPr>
                <w:p w14:paraId="027E1A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60</w:t>
                  </w:r>
                </w:p>
              </w:tc>
              <w:tc>
                <w:tcPr>
                  <w:tcW w:w="355" w:type="pct"/>
                  <w:tcBorders>
                    <w:tl2br w:val="nil"/>
                    <w:tr2bl w:val="nil"/>
                  </w:tcBorders>
                  <w:vAlign w:val="center"/>
                </w:tcPr>
                <w:p w14:paraId="2CC3F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olor w:val="auto"/>
                      <w:szCs w:val="21"/>
                      <w:highlight w:val="none"/>
                      <w:lang w:val="en-US" w:eastAsia="zh-CN"/>
                    </w:rPr>
                  </w:pPr>
                  <w:r>
                    <w:rPr>
                      <w:rFonts w:hint="eastAsia"/>
                      <w:color w:val="auto"/>
                      <w:szCs w:val="21"/>
                      <w:highlight w:val="none"/>
                      <w:lang w:val="en-US" w:eastAsia="zh-CN"/>
                    </w:rPr>
                    <w:t>达标</w:t>
                  </w:r>
                </w:p>
              </w:tc>
              <w:tc>
                <w:tcPr>
                  <w:tcW w:w="492" w:type="pct"/>
                  <w:tcBorders>
                    <w:tl2br w:val="nil"/>
                    <w:tr2bl w:val="nil"/>
                  </w:tcBorders>
                  <w:vAlign w:val="center"/>
                </w:tcPr>
                <w:p w14:paraId="2AB306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olor w:val="auto"/>
                      <w:szCs w:val="21"/>
                      <w:highlight w:val="none"/>
                      <w:lang w:val="en-US" w:eastAsia="zh-CN"/>
                    </w:rPr>
                    <w:t>38.8</w:t>
                  </w:r>
                </w:p>
              </w:tc>
              <w:tc>
                <w:tcPr>
                  <w:tcW w:w="464" w:type="pct"/>
                  <w:tcBorders>
                    <w:tl2br w:val="nil"/>
                    <w:tr2bl w:val="nil"/>
                  </w:tcBorders>
                  <w:vAlign w:val="center"/>
                </w:tcPr>
                <w:p w14:paraId="5D60AA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0</w:t>
                  </w:r>
                </w:p>
              </w:tc>
              <w:tc>
                <w:tcPr>
                  <w:tcW w:w="451" w:type="pct"/>
                  <w:tcBorders>
                    <w:tl2br w:val="nil"/>
                    <w:tr2bl w:val="nil"/>
                  </w:tcBorders>
                  <w:vAlign w:val="center"/>
                </w:tcPr>
                <w:p w14:paraId="24216A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38.8</w:t>
                  </w:r>
                </w:p>
              </w:tc>
              <w:tc>
                <w:tcPr>
                  <w:tcW w:w="458" w:type="pct"/>
                  <w:tcBorders>
                    <w:tl2br w:val="nil"/>
                    <w:tr2bl w:val="nil"/>
                  </w:tcBorders>
                  <w:vAlign w:val="center"/>
                </w:tcPr>
                <w:p w14:paraId="178A85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50</w:t>
                  </w:r>
                </w:p>
              </w:tc>
              <w:tc>
                <w:tcPr>
                  <w:tcW w:w="360" w:type="pct"/>
                  <w:tcBorders>
                    <w:tl2br w:val="nil"/>
                    <w:tr2bl w:val="nil"/>
                  </w:tcBorders>
                  <w:vAlign w:val="center"/>
                </w:tcPr>
                <w:p w14:paraId="4BCAC2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达标</w:t>
                  </w:r>
                </w:p>
              </w:tc>
            </w:tr>
            <w:tr w14:paraId="778B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89" w:type="pct"/>
                  <w:tcBorders>
                    <w:tl2br w:val="nil"/>
                    <w:tr2bl w:val="nil"/>
                  </w:tcBorders>
                  <w:vAlign w:val="center"/>
                </w:tcPr>
                <w:p w14:paraId="055600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val="0"/>
                      <w:bCs w:val="0"/>
                      <w:color w:val="auto"/>
                      <w:highlight w:val="none"/>
                      <w:lang w:val="en-US" w:eastAsia="zh-CN"/>
                    </w:rPr>
                    <w:t>厂界南</w:t>
                  </w:r>
                </w:p>
              </w:tc>
              <w:tc>
                <w:tcPr>
                  <w:tcW w:w="478" w:type="pct"/>
                  <w:tcBorders>
                    <w:tl2br w:val="nil"/>
                    <w:tr2bl w:val="nil"/>
                  </w:tcBorders>
                  <w:vAlign w:val="center"/>
                </w:tcPr>
                <w:p w14:paraId="59ADB8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32.5</w:t>
                  </w:r>
                </w:p>
              </w:tc>
              <w:tc>
                <w:tcPr>
                  <w:tcW w:w="478" w:type="pct"/>
                  <w:tcBorders>
                    <w:tl2br w:val="nil"/>
                    <w:tr2bl w:val="nil"/>
                  </w:tcBorders>
                  <w:vAlign w:val="center"/>
                </w:tcPr>
                <w:p w14:paraId="1C1C23B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45</w:t>
                  </w:r>
                </w:p>
              </w:tc>
              <w:tc>
                <w:tcPr>
                  <w:tcW w:w="492" w:type="pct"/>
                  <w:tcBorders>
                    <w:tl2br w:val="nil"/>
                    <w:tr2bl w:val="nil"/>
                  </w:tcBorders>
                  <w:vAlign w:val="center"/>
                </w:tcPr>
                <w:p w14:paraId="0E74CC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Cs w:val="21"/>
                      <w:highlight w:val="none"/>
                      <w:lang w:val="en-US" w:eastAsia="zh-CN"/>
                    </w:rPr>
                  </w:pPr>
                  <w:r>
                    <w:rPr>
                      <w:rFonts w:hint="default"/>
                      <w:color w:val="auto"/>
                      <w:szCs w:val="21"/>
                      <w:highlight w:val="none"/>
                      <w:lang w:val="en-US" w:eastAsia="zh-CN"/>
                    </w:rPr>
                    <w:t>45.24</w:t>
                  </w:r>
                </w:p>
              </w:tc>
              <w:tc>
                <w:tcPr>
                  <w:tcW w:w="478" w:type="pct"/>
                  <w:tcBorders>
                    <w:tl2br w:val="nil"/>
                    <w:tr2bl w:val="nil"/>
                  </w:tcBorders>
                  <w:vAlign w:val="center"/>
                </w:tcPr>
                <w:p w14:paraId="112522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60</w:t>
                  </w:r>
                </w:p>
              </w:tc>
              <w:tc>
                <w:tcPr>
                  <w:tcW w:w="355" w:type="pct"/>
                  <w:tcBorders>
                    <w:tl2br w:val="nil"/>
                    <w:tr2bl w:val="nil"/>
                  </w:tcBorders>
                  <w:vAlign w:val="center"/>
                </w:tcPr>
                <w:p w14:paraId="2CB909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olor w:val="auto"/>
                      <w:szCs w:val="21"/>
                      <w:highlight w:val="none"/>
                      <w:lang w:val="en-US" w:eastAsia="zh-CN"/>
                    </w:rPr>
                  </w:pPr>
                  <w:r>
                    <w:rPr>
                      <w:rFonts w:hint="eastAsia"/>
                      <w:color w:val="auto"/>
                      <w:szCs w:val="21"/>
                      <w:highlight w:val="none"/>
                      <w:lang w:val="en-US" w:eastAsia="zh-CN"/>
                    </w:rPr>
                    <w:t>达标</w:t>
                  </w:r>
                </w:p>
              </w:tc>
              <w:tc>
                <w:tcPr>
                  <w:tcW w:w="492" w:type="pct"/>
                  <w:tcBorders>
                    <w:tl2br w:val="nil"/>
                    <w:tr2bl w:val="nil"/>
                  </w:tcBorders>
                  <w:vAlign w:val="center"/>
                </w:tcPr>
                <w:p w14:paraId="075F87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32.5</w:t>
                  </w:r>
                </w:p>
              </w:tc>
              <w:tc>
                <w:tcPr>
                  <w:tcW w:w="464" w:type="pct"/>
                  <w:tcBorders>
                    <w:tl2br w:val="nil"/>
                    <w:tr2bl w:val="nil"/>
                  </w:tcBorders>
                  <w:vAlign w:val="center"/>
                </w:tcPr>
                <w:p w14:paraId="21CA53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0</w:t>
                  </w:r>
                </w:p>
              </w:tc>
              <w:tc>
                <w:tcPr>
                  <w:tcW w:w="451" w:type="pct"/>
                  <w:tcBorders>
                    <w:tl2br w:val="nil"/>
                    <w:tr2bl w:val="nil"/>
                  </w:tcBorders>
                  <w:vAlign w:val="center"/>
                </w:tcPr>
                <w:p w14:paraId="526B7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32.5</w:t>
                  </w:r>
                </w:p>
              </w:tc>
              <w:tc>
                <w:tcPr>
                  <w:tcW w:w="458" w:type="pct"/>
                  <w:tcBorders>
                    <w:tl2br w:val="nil"/>
                    <w:tr2bl w:val="nil"/>
                  </w:tcBorders>
                  <w:vAlign w:val="center"/>
                </w:tcPr>
                <w:p w14:paraId="6BC69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50</w:t>
                  </w:r>
                </w:p>
              </w:tc>
              <w:tc>
                <w:tcPr>
                  <w:tcW w:w="360" w:type="pct"/>
                  <w:tcBorders>
                    <w:tl2br w:val="nil"/>
                    <w:tr2bl w:val="nil"/>
                  </w:tcBorders>
                  <w:vAlign w:val="center"/>
                </w:tcPr>
                <w:p w14:paraId="5DDBA9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达标</w:t>
                  </w:r>
                </w:p>
              </w:tc>
            </w:tr>
            <w:tr w14:paraId="14A1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89" w:type="pct"/>
                  <w:tcBorders>
                    <w:tl2br w:val="nil"/>
                    <w:tr2bl w:val="nil"/>
                  </w:tcBorders>
                  <w:vAlign w:val="center"/>
                </w:tcPr>
                <w:p w14:paraId="6819DA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b w:val="0"/>
                      <w:bCs w:val="0"/>
                      <w:color w:val="auto"/>
                      <w:highlight w:val="none"/>
                      <w:lang w:val="en-US" w:eastAsia="zh-CN"/>
                    </w:rPr>
                    <w:t>厂界西</w:t>
                  </w:r>
                </w:p>
              </w:tc>
              <w:tc>
                <w:tcPr>
                  <w:tcW w:w="478" w:type="pct"/>
                  <w:tcBorders>
                    <w:tl2br w:val="nil"/>
                    <w:tr2bl w:val="nil"/>
                  </w:tcBorders>
                  <w:vAlign w:val="center"/>
                </w:tcPr>
                <w:p w14:paraId="282E7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29.9</w:t>
                  </w:r>
                </w:p>
              </w:tc>
              <w:tc>
                <w:tcPr>
                  <w:tcW w:w="478" w:type="pct"/>
                  <w:tcBorders>
                    <w:tl2br w:val="nil"/>
                    <w:tr2bl w:val="nil"/>
                  </w:tcBorders>
                  <w:vAlign w:val="center"/>
                </w:tcPr>
                <w:p w14:paraId="0EC1815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44</w:t>
                  </w:r>
                </w:p>
              </w:tc>
              <w:tc>
                <w:tcPr>
                  <w:tcW w:w="492" w:type="pct"/>
                  <w:tcBorders>
                    <w:tl2br w:val="nil"/>
                    <w:tr2bl w:val="nil"/>
                  </w:tcBorders>
                  <w:vAlign w:val="center"/>
                </w:tcPr>
                <w:p w14:paraId="54C81E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Cs w:val="21"/>
                      <w:highlight w:val="none"/>
                      <w:lang w:val="en-US" w:eastAsia="zh-CN"/>
                    </w:rPr>
                  </w:pPr>
                  <w:r>
                    <w:rPr>
                      <w:rFonts w:hint="default"/>
                      <w:color w:val="auto"/>
                      <w:szCs w:val="21"/>
                      <w:highlight w:val="none"/>
                      <w:lang w:val="en-US" w:eastAsia="zh-CN"/>
                    </w:rPr>
                    <w:t>44.17</w:t>
                  </w:r>
                </w:p>
              </w:tc>
              <w:tc>
                <w:tcPr>
                  <w:tcW w:w="478" w:type="pct"/>
                  <w:tcBorders>
                    <w:tl2br w:val="nil"/>
                    <w:tr2bl w:val="nil"/>
                  </w:tcBorders>
                  <w:vAlign w:val="center"/>
                </w:tcPr>
                <w:p w14:paraId="6E70CD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60</w:t>
                  </w:r>
                </w:p>
              </w:tc>
              <w:tc>
                <w:tcPr>
                  <w:tcW w:w="355" w:type="pct"/>
                  <w:tcBorders>
                    <w:tl2br w:val="nil"/>
                    <w:tr2bl w:val="nil"/>
                  </w:tcBorders>
                  <w:vAlign w:val="center"/>
                </w:tcPr>
                <w:p w14:paraId="0850A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eastAsia"/>
                      <w:color w:val="auto"/>
                      <w:szCs w:val="21"/>
                      <w:highlight w:val="none"/>
                      <w:lang w:val="en-US" w:eastAsia="zh-CN"/>
                    </w:rPr>
                  </w:pPr>
                  <w:r>
                    <w:rPr>
                      <w:rFonts w:hint="eastAsia"/>
                      <w:color w:val="auto"/>
                      <w:szCs w:val="21"/>
                      <w:highlight w:val="none"/>
                      <w:lang w:val="en-US" w:eastAsia="zh-CN"/>
                    </w:rPr>
                    <w:t>达标</w:t>
                  </w:r>
                </w:p>
              </w:tc>
              <w:tc>
                <w:tcPr>
                  <w:tcW w:w="492" w:type="pct"/>
                  <w:tcBorders>
                    <w:tl2br w:val="nil"/>
                    <w:tr2bl w:val="nil"/>
                  </w:tcBorders>
                  <w:vAlign w:val="center"/>
                </w:tcPr>
                <w:p w14:paraId="0518AE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29.9</w:t>
                  </w:r>
                </w:p>
              </w:tc>
              <w:tc>
                <w:tcPr>
                  <w:tcW w:w="464" w:type="pct"/>
                  <w:tcBorders>
                    <w:tl2br w:val="nil"/>
                    <w:tr2bl w:val="nil"/>
                  </w:tcBorders>
                  <w:vAlign w:val="center"/>
                </w:tcPr>
                <w:p w14:paraId="768CE3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0</w:t>
                  </w:r>
                </w:p>
              </w:tc>
              <w:tc>
                <w:tcPr>
                  <w:tcW w:w="451" w:type="pct"/>
                  <w:tcBorders>
                    <w:tl2br w:val="nil"/>
                    <w:tr2bl w:val="nil"/>
                  </w:tcBorders>
                  <w:vAlign w:val="center"/>
                </w:tcPr>
                <w:p w14:paraId="65EFBA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29.9</w:t>
                  </w:r>
                </w:p>
              </w:tc>
              <w:tc>
                <w:tcPr>
                  <w:tcW w:w="458" w:type="pct"/>
                  <w:tcBorders>
                    <w:tl2br w:val="nil"/>
                    <w:tr2bl w:val="nil"/>
                  </w:tcBorders>
                  <w:vAlign w:val="center"/>
                </w:tcPr>
                <w:p w14:paraId="44EB4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50</w:t>
                  </w:r>
                </w:p>
              </w:tc>
              <w:tc>
                <w:tcPr>
                  <w:tcW w:w="360" w:type="pct"/>
                  <w:tcBorders>
                    <w:tl2br w:val="nil"/>
                    <w:tr2bl w:val="nil"/>
                  </w:tcBorders>
                  <w:vAlign w:val="center"/>
                </w:tcPr>
                <w:p w14:paraId="10B473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color w:val="auto"/>
                      <w:szCs w:val="21"/>
                      <w:highlight w:val="none"/>
                      <w:lang w:val="en-US" w:eastAsia="zh-CN"/>
                    </w:rPr>
                    <w:t>达标</w:t>
                  </w:r>
                </w:p>
              </w:tc>
            </w:tr>
            <w:tr w14:paraId="7F90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00" w:type="pct"/>
                  <w:gridSpan w:val="11"/>
                  <w:tcBorders>
                    <w:tl2br w:val="nil"/>
                    <w:tr2bl w:val="nil"/>
                  </w:tcBorders>
                  <w:vAlign w:val="center"/>
                </w:tcPr>
                <w:p w14:paraId="0626BD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color w:val="auto"/>
                      <w:sz w:val="21"/>
                      <w:szCs w:val="21"/>
                      <w:highlight w:val="none"/>
                      <w:lang w:val="en-US" w:eastAsia="zh-CN"/>
                    </w:rPr>
                  </w:pPr>
                  <w:r>
                    <w:rPr>
                      <w:rFonts w:hint="eastAsia"/>
                      <w:color w:val="auto"/>
                      <w:sz w:val="21"/>
                      <w:szCs w:val="21"/>
                      <w:highlight w:val="none"/>
                      <w:lang w:val="en-US" w:eastAsia="zh-CN"/>
                    </w:rPr>
                    <w:t>备注：现有工程夜间不生产，现有工程贡献值依据《山西瑞赛格废弃资源综合利用有限公司2026年第一季度自行监测报告》（报告编号：蓝源成环监（普）字（2026）第10346号）中的厂界噪声监测数据，监测时间为2026年3月30日</w:t>
                  </w:r>
                </w:p>
              </w:tc>
            </w:tr>
          </w:tbl>
          <w:p w14:paraId="05C8B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96" w:firstLineChars="200"/>
              <w:textAlignment w:val="auto"/>
              <w:rPr>
                <w:rFonts w:hint="default"/>
                <w:color w:val="auto"/>
                <w:highlight w:val="none"/>
                <w:lang w:val="en-US" w:eastAsia="zh-CN"/>
              </w:rPr>
            </w:pPr>
            <w:r>
              <w:rPr>
                <w:rFonts w:hint="default" w:ascii="Times New Roman" w:hAnsi="Times New Roman" w:eastAsia="宋体" w:cs="Times New Roman"/>
                <w:color w:val="auto"/>
                <w:spacing w:val="4"/>
                <w:kern w:val="2"/>
                <w:sz w:val="24"/>
                <w:szCs w:val="24"/>
                <w:highlight w:val="none"/>
                <w:lang w:val="en-US" w:eastAsia="zh-CN" w:bidi="ar-SA"/>
              </w:rPr>
              <w:t>根据</w:t>
            </w:r>
            <w:r>
              <w:rPr>
                <w:rFonts w:hint="eastAsia" w:ascii="Times New Roman" w:hAnsi="Times New Roman" w:eastAsia="宋体" w:cs="Times New Roman"/>
                <w:color w:val="auto"/>
                <w:spacing w:val="4"/>
                <w:kern w:val="2"/>
                <w:sz w:val="24"/>
                <w:szCs w:val="24"/>
                <w:highlight w:val="none"/>
                <w:lang w:val="en-US" w:eastAsia="zh-CN" w:bidi="ar-SA"/>
              </w:rPr>
              <w:t>以上</w:t>
            </w:r>
            <w:r>
              <w:rPr>
                <w:rFonts w:hint="default" w:ascii="Times New Roman" w:hAnsi="Times New Roman" w:eastAsia="宋体" w:cs="Times New Roman"/>
                <w:color w:val="auto"/>
                <w:spacing w:val="4"/>
                <w:kern w:val="2"/>
                <w:sz w:val="24"/>
                <w:szCs w:val="24"/>
                <w:highlight w:val="none"/>
                <w:lang w:val="en-US" w:eastAsia="zh-CN" w:bidi="ar-SA"/>
              </w:rPr>
              <w:t>预测结果可以看出，</w:t>
            </w:r>
            <w:r>
              <w:rPr>
                <w:rFonts w:hint="eastAsia" w:cs="Times New Roman"/>
                <w:color w:val="auto"/>
                <w:sz w:val="24"/>
                <w:highlight w:val="none"/>
                <w:lang w:val="en-US" w:eastAsia="zh-CN"/>
              </w:rPr>
              <w:t>现有厂区</w:t>
            </w:r>
            <w:r>
              <w:rPr>
                <w:rFonts w:hint="eastAsia" w:cs="Times New Roman"/>
                <w:color w:val="auto"/>
                <w:spacing w:val="4"/>
                <w:kern w:val="2"/>
                <w:sz w:val="24"/>
                <w:szCs w:val="24"/>
                <w:highlight w:val="none"/>
                <w:lang w:val="en-US" w:eastAsia="zh-CN" w:bidi="ar-SA"/>
              </w:rPr>
              <w:t>厂界</w:t>
            </w:r>
            <w:r>
              <w:rPr>
                <w:rFonts w:hint="default" w:ascii="Times New Roman" w:hAnsi="Times New Roman" w:eastAsia="宋体" w:cs="Times New Roman"/>
                <w:color w:val="auto"/>
                <w:spacing w:val="4"/>
                <w:kern w:val="2"/>
                <w:sz w:val="24"/>
                <w:szCs w:val="24"/>
                <w:highlight w:val="none"/>
                <w:lang w:val="en-US" w:eastAsia="zh-CN" w:bidi="ar-SA"/>
              </w:rPr>
              <w:t>噪声</w:t>
            </w:r>
            <w:r>
              <w:rPr>
                <w:rFonts w:hint="eastAsia" w:cs="Times New Roman"/>
                <w:color w:val="auto"/>
                <w:spacing w:val="4"/>
                <w:kern w:val="2"/>
                <w:sz w:val="24"/>
                <w:szCs w:val="24"/>
                <w:highlight w:val="none"/>
                <w:lang w:val="en-US" w:eastAsia="zh-CN" w:bidi="ar-SA"/>
              </w:rPr>
              <w:t>叠加值</w:t>
            </w:r>
            <w:r>
              <w:rPr>
                <w:rFonts w:hint="default" w:ascii="Times New Roman" w:hAnsi="Times New Roman" w:eastAsia="宋体" w:cs="Times New Roman"/>
                <w:color w:val="auto"/>
                <w:spacing w:val="4"/>
                <w:kern w:val="2"/>
                <w:sz w:val="24"/>
                <w:szCs w:val="24"/>
                <w:highlight w:val="none"/>
                <w:lang w:val="en-US" w:eastAsia="zh-CN" w:bidi="ar-SA"/>
              </w:rPr>
              <w:t>可满足《工业企业厂界环境噪声排放标准》（GB12348-2008）</w:t>
            </w:r>
            <w:r>
              <w:rPr>
                <w:rFonts w:hint="eastAsia" w:cs="Times New Roman"/>
                <w:color w:val="auto"/>
                <w:spacing w:val="4"/>
                <w:kern w:val="2"/>
                <w:sz w:val="24"/>
                <w:szCs w:val="24"/>
                <w:highlight w:val="none"/>
                <w:lang w:val="en-US" w:eastAsia="zh-CN" w:bidi="ar-SA"/>
              </w:rPr>
              <w:t>2</w:t>
            </w:r>
            <w:r>
              <w:rPr>
                <w:rFonts w:hint="default" w:ascii="Times New Roman" w:hAnsi="Times New Roman" w:eastAsia="宋体" w:cs="Times New Roman"/>
                <w:color w:val="auto"/>
                <w:spacing w:val="4"/>
                <w:kern w:val="2"/>
                <w:sz w:val="24"/>
                <w:szCs w:val="24"/>
                <w:highlight w:val="none"/>
                <w:lang w:val="en-US" w:eastAsia="zh-CN" w:bidi="ar-SA"/>
              </w:rPr>
              <w:t>类标准要求</w:t>
            </w:r>
            <w:r>
              <w:rPr>
                <w:rFonts w:hint="eastAsia" w:cs="Times New Roman"/>
                <w:color w:val="auto"/>
                <w:spacing w:val="4"/>
                <w:kern w:val="2"/>
                <w:sz w:val="24"/>
                <w:szCs w:val="24"/>
                <w:highlight w:val="none"/>
                <w:lang w:val="en-US" w:eastAsia="zh-CN" w:bidi="ar-SA"/>
              </w:rPr>
              <w:t>。</w:t>
            </w:r>
          </w:p>
          <w:p w14:paraId="04A88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val="0"/>
                <w:color w:val="auto"/>
                <w:sz w:val="24"/>
                <w:highlight w:val="none"/>
              </w:rPr>
            </w:pPr>
            <w:r>
              <w:rPr>
                <w:rFonts w:hint="eastAsia" w:cs="Times New Roman"/>
                <w:b w:val="0"/>
                <w:bCs w:val="0"/>
                <w:color w:val="auto"/>
                <w:sz w:val="24"/>
                <w:highlight w:val="none"/>
                <w:lang w:val="en-US" w:eastAsia="zh-CN"/>
              </w:rPr>
              <w:t>（3）</w:t>
            </w:r>
            <w:r>
              <w:rPr>
                <w:rFonts w:hint="default" w:ascii="Times New Roman" w:hAnsi="Times New Roman" w:eastAsia="宋体" w:cs="Times New Roman"/>
                <w:b w:val="0"/>
                <w:bCs w:val="0"/>
                <w:color w:val="auto"/>
                <w:sz w:val="24"/>
                <w:highlight w:val="none"/>
              </w:rPr>
              <w:t>噪声污染防治措施</w:t>
            </w:r>
          </w:p>
          <w:p w14:paraId="0B5688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ascii="Times New Roman" w:hAnsi="Times New Roman" w:eastAsia="宋体" w:cs="Times New Roman"/>
                <w:color w:val="auto"/>
                <w:spacing w:val="0"/>
                <w:sz w:val="24"/>
                <w:highlight w:val="none"/>
                <w:lang w:val="en-US" w:eastAsia="zh-CN"/>
              </w:rPr>
            </w:pPr>
            <w:r>
              <w:rPr>
                <w:rFonts w:hint="eastAsia" w:ascii="Times New Roman" w:hAnsi="Times New Roman" w:eastAsia="宋体" w:cs="Times New Roman"/>
                <w:color w:val="auto"/>
                <w:spacing w:val="0"/>
                <w:sz w:val="24"/>
                <w:highlight w:val="none"/>
                <w:lang w:val="en-US" w:eastAsia="zh-CN"/>
              </w:rPr>
              <w:t>根据本项目的工程和周围环境特征，提出如下治理措施：</w:t>
            </w:r>
          </w:p>
          <w:p w14:paraId="484100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①</w:t>
            </w:r>
            <w:r>
              <w:rPr>
                <w:rFonts w:hint="default" w:ascii="Times New Roman" w:hAnsi="Times New Roman" w:eastAsia="宋体" w:cs="Times New Roman"/>
                <w:color w:val="auto"/>
                <w:sz w:val="24"/>
                <w:highlight w:val="none"/>
              </w:rPr>
              <w:t>加强治理</w:t>
            </w:r>
          </w:p>
          <w:p w14:paraId="0321D4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lang w:val="en-US"/>
              </w:rPr>
            </w:pPr>
            <w:r>
              <w:rPr>
                <w:rFonts w:hint="default" w:ascii="Times New Roman" w:hAnsi="Times New Roman" w:eastAsia="宋体" w:cs="Times New Roman"/>
                <w:color w:val="auto"/>
                <w:sz w:val="24"/>
                <w:highlight w:val="none"/>
              </w:rPr>
              <w:t>尽量选用低噪声</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性能好、对</w:t>
            </w:r>
            <w:r>
              <w:rPr>
                <w:rFonts w:hint="default" w:ascii="Times New Roman" w:hAnsi="Times New Roman" w:eastAsia="宋体" w:cs="Times New Roman"/>
                <w:color w:val="auto"/>
                <w:sz w:val="24"/>
                <w:highlight w:val="none"/>
              </w:rPr>
              <w:t>环境影响小的</w:t>
            </w:r>
            <w:r>
              <w:rPr>
                <w:rFonts w:hint="eastAsia" w:ascii="Times New Roman" w:hAnsi="Times New Roman" w:eastAsia="宋体" w:cs="Times New Roman"/>
                <w:color w:val="auto"/>
                <w:sz w:val="24"/>
                <w:highlight w:val="none"/>
                <w:lang w:val="en-US" w:eastAsia="zh-CN"/>
              </w:rPr>
              <w:t>设备</w:t>
            </w:r>
            <w:r>
              <w:rPr>
                <w:rFonts w:hint="default" w:ascii="Times New Roman" w:hAnsi="Times New Roman" w:eastAsia="宋体" w:cs="Times New Roman"/>
                <w:color w:val="auto"/>
                <w:sz w:val="24"/>
                <w:highlight w:val="none"/>
              </w:rPr>
              <w:t>，使本工程运行噪声对环境的影响达到规定标准</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将生产设备全部进行室内安装，降低噪声影响；对风机类的噪声设备</w:t>
            </w:r>
            <w:r>
              <w:rPr>
                <w:rFonts w:hint="eastAsia" w:cs="Times New Roman"/>
                <w:color w:val="auto"/>
                <w:sz w:val="24"/>
                <w:highlight w:val="none"/>
                <w:lang w:val="en-US" w:eastAsia="zh-CN"/>
              </w:rPr>
              <w:t>，在</w:t>
            </w:r>
            <w:r>
              <w:rPr>
                <w:rFonts w:hint="eastAsia" w:ascii="Times New Roman" w:hAnsi="Times New Roman" w:eastAsia="宋体" w:cs="Times New Roman"/>
                <w:color w:val="auto"/>
                <w:sz w:val="24"/>
                <w:highlight w:val="none"/>
                <w:lang w:val="en-US" w:eastAsia="zh-CN"/>
              </w:rPr>
              <w:t>通风进出口设置消声器，安装减振装置</w:t>
            </w:r>
            <w:r>
              <w:rPr>
                <w:rFonts w:hint="eastAsia"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厂区南侧约280m处为康庄村，本项目优化平面布置，产噪较大的设备放置车间北侧，距离村庄较远。</w:t>
            </w:r>
          </w:p>
          <w:p w14:paraId="55B3C6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②</w:t>
            </w:r>
            <w:r>
              <w:rPr>
                <w:rFonts w:hint="default" w:ascii="Times New Roman" w:hAnsi="Times New Roman" w:eastAsia="宋体" w:cs="Times New Roman"/>
                <w:color w:val="auto"/>
                <w:sz w:val="24"/>
                <w:highlight w:val="none"/>
              </w:rPr>
              <w:t>加强管理</w:t>
            </w:r>
          </w:p>
          <w:p w14:paraId="53A76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建立设备定期维护</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保养的管理制度，以防止设备故障形成的非正常生产噪声，同时确保环保措施发挥最佳有效的功能；加强职工环保意识教育，提倡文明生产，防止人为噪声；强化行车管理制度，设置降噪标准，严禁鸣号，进入厂区低速行驶，最大限度减少流动噪声源。</w:t>
            </w:r>
          </w:p>
          <w:p w14:paraId="72801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color w:val="auto"/>
                <w:sz w:val="24"/>
                <w:highlight w:val="none"/>
                <w:lang w:val="en-US" w:eastAsia="zh-CN"/>
              </w:rPr>
            </w:pPr>
            <w:r>
              <w:rPr>
                <w:rFonts w:hint="eastAsia" w:cs="Times New Roman"/>
                <w:color w:val="auto"/>
                <w:sz w:val="24"/>
                <w:highlight w:val="none"/>
                <w:lang w:val="en-US" w:eastAsia="zh-CN"/>
              </w:rPr>
              <w:t>③运输对沿线敏感点的影响</w:t>
            </w:r>
          </w:p>
          <w:p w14:paraId="7D1E47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olor w:val="auto"/>
                <w:sz w:val="24"/>
                <w:highlight w:val="none"/>
                <w:lang w:val="en-US" w:eastAsia="zh-CN"/>
              </w:rPr>
            </w:pPr>
            <w:r>
              <w:rPr>
                <w:rFonts w:hint="eastAsia" w:cs="Times New Roman"/>
                <w:color w:val="auto"/>
                <w:sz w:val="24"/>
                <w:highlight w:val="none"/>
                <w:lang w:val="en-US" w:eastAsia="zh-CN"/>
              </w:rPr>
              <w:t>本项目运输主要通过厂区东侧常庙线、南侧等乡村道路运输，噪声敏感点主要为康庄村、高头寺村、东酪余村等。环评要求</w:t>
            </w:r>
            <w:r>
              <w:rPr>
                <w:rFonts w:hint="default" w:ascii="Times New Roman" w:hAnsi="Times New Roman" w:eastAsia="宋体" w:cs="Times New Roman"/>
                <w:color w:val="auto"/>
                <w:sz w:val="24"/>
                <w:highlight w:val="none"/>
              </w:rPr>
              <w:t>运输车辆经过敏感点时要限制车速、减速行驶，夜间要禁止鸣笛。</w:t>
            </w:r>
            <w:r>
              <w:rPr>
                <w:rFonts w:hint="eastAsia" w:cs="Times New Roman"/>
                <w:color w:val="auto"/>
                <w:sz w:val="24"/>
                <w:highlight w:val="none"/>
                <w:lang w:val="en-US" w:eastAsia="zh-CN"/>
              </w:rPr>
              <w:t>运输过程中</w:t>
            </w:r>
            <w:r>
              <w:rPr>
                <w:rFonts w:hint="eastAsia"/>
                <w:color w:val="auto"/>
                <w:sz w:val="24"/>
                <w:highlight w:val="none"/>
                <w:lang w:val="en-US" w:eastAsia="zh-CN"/>
              </w:rPr>
              <w:t>可能对沿路村庄造成影响主要为运输噪声，应在运输过程中控制车速，在村庄周围禁止鸣笛，夜间不运输。</w:t>
            </w:r>
          </w:p>
          <w:p w14:paraId="1FF337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color w:val="auto"/>
                <w:sz w:val="24"/>
                <w:highlight w:val="none"/>
              </w:rPr>
              <w:t>采取以上措施，厂界噪声可达标排放，噪声对周围环境影响</w:t>
            </w:r>
            <w:r>
              <w:rPr>
                <w:rFonts w:hint="default" w:ascii="Times New Roman" w:hAnsi="Times New Roman" w:eastAsia="宋体" w:cs="Times New Roman"/>
                <w:bCs/>
                <w:color w:val="auto"/>
                <w:sz w:val="24"/>
                <w:highlight w:val="none"/>
              </w:rPr>
              <w:t>不大</w:t>
            </w:r>
            <w:r>
              <w:rPr>
                <w:rFonts w:hint="default" w:ascii="Times New Roman" w:hAnsi="Times New Roman" w:eastAsia="宋体" w:cs="Times New Roman"/>
                <w:bCs/>
                <w:color w:val="auto"/>
                <w:sz w:val="24"/>
                <w:highlight w:val="none"/>
                <w:lang w:eastAsia="zh-CN"/>
              </w:rPr>
              <w:t>。</w:t>
            </w:r>
          </w:p>
          <w:p w14:paraId="4E1AA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b w:val="0"/>
                <w:bCs/>
                <w:color w:val="auto"/>
                <w:sz w:val="24"/>
                <w:highlight w:val="none"/>
                <w:lang w:val="en-US" w:eastAsia="zh-CN"/>
              </w:rPr>
            </w:pPr>
            <w:r>
              <w:rPr>
                <w:rFonts w:hint="eastAsia" w:cs="Times New Roman"/>
                <w:b w:val="0"/>
                <w:bCs/>
                <w:color w:val="auto"/>
                <w:sz w:val="24"/>
                <w:highlight w:val="none"/>
                <w:lang w:eastAsia="zh-CN"/>
              </w:rPr>
              <w:t>（</w:t>
            </w:r>
            <w:r>
              <w:rPr>
                <w:rFonts w:hint="eastAsia" w:cs="Times New Roman"/>
                <w:b w:val="0"/>
                <w:bCs/>
                <w:color w:val="auto"/>
                <w:sz w:val="24"/>
                <w:highlight w:val="none"/>
                <w:lang w:val="en-US" w:eastAsia="zh-CN"/>
              </w:rPr>
              <w:t>4</w:t>
            </w:r>
            <w:r>
              <w:rPr>
                <w:rFonts w:hint="eastAsia" w:cs="Times New Roman"/>
                <w:b w:val="0"/>
                <w:bCs/>
                <w:color w:val="auto"/>
                <w:sz w:val="24"/>
                <w:highlight w:val="none"/>
                <w:lang w:eastAsia="zh-CN"/>
              </w:rPr>
              <w:t>）</w:t>
            </w:r>
            <w:r>
              <w:rPr>
                <w:rFonts w:hint="eastAsia" w:cs="Times New Roman"/>
                <w:b w:val="0"/>
                <w:bCs/>
                <w:color w:val="auto"/>
                <w:sz w:val="24"/>
                <w:highlight w:val="none"/>
                <w:lang w:val="en-US" w:eastAsia="zh-CN"/>
              </w:rPr>
              <w:t>噪声监测计划</w:t>
            </w:r>
          </w:p>
          <w:p w14:paraId="7B6DB4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表4-1</w:t>
            </w:r>
            <w:r>
              <w:rPr>
                <w:rFonts w:hint="eastAsia" w:cs="Times New Roman"/>
                <w:b/>
                <w:bCs/>
                <w:color w:val="auto"/>
                <w:kern w:val="2"/>
                <w:sz w:val="21"/>
                <w:szCs w:val="21"/>
                <w:highlight w:val="none"/>
                <w:lang w:val="en-US" w:eastAsia="zh-CN" w:bidi="ar-SA"/>
              </w:rPr>
              <w:t>6</w:t>
            </w:r>
            <w:r>
              <w:rPr>
                <w:rFonts w:hint="default" w:ascii="Times New Roman" w:hAnsi="Times New Roman" w:eastAsia="宋体" w:cs="Times New Roman"/>
                <w:b/>
                <w:bCs/>
                <w:color w:val="auto"/>
                <w:kern w:val="2"/>
                <w:sz w:val="21"/>
                <w:szCs w:val="21"/>
                <w:highlight w:val="none"/>
                <w:lang w:val="en-US" w:eastAsia="zh-CN" w:bidi="ar-SA"/>
              </w:rPr>
              <w:t xml:space="preserve">  </w:t>
            </w:r>
            <w:r>
              <w:rPr>
                <w:rFonts w:hint="eastAsia" w:cs="Times New Roman"/>
                <w:b/>
                <w:bCs/>
                <w:color w:val="auto"/>
                <w:kern w:val="2"/>
                <w:sz w:val="21"/>
                <w:szCs w:val="21"/>
                <w:highlight w:val="none"/>
                <w:lang w:val="en-US" w:eastAsia="zh-CN" w:bidi="ar-SA"/>
              </w:rPr>
              <w:t>噪声监测一览</w:t>
            </w:r>
            <w:r>
              <w:rPr>
                <w:rFonts w:hint="default" w:ascii="Times New Roman" w:hAnsi="Times New Roman" w:eastAsia="宋体" w:cs="Times New Roman"/>
                <w:b/>
                <w:bCs/>
                <w:color w:val="auto"/>
                <w:kern w:val="2"/>
                <w:sz w:val="21"/>
                <w:szCs w:val="21"/>
                <w:highlight w:val="none"/>
                <w:lang w:val="en-US" w:eastAsia="zh-CN" w:bidi="ar-SA"/>
              </w:rPr>
              <w:t>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2200"/>
              <w:gridCol w:w="2687"/>
              <w:gridCol w:w="2639"/>
            </w:tblGrid>
            <w:tr w14:paraId="34A5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jc w:val="center"/>
              </w:trPr>
              <w:tc>
                <w:tcPr>
                  <w:tcW w:w="1622" w:type="dxa"/>
                  <w:vAlign w:val="center"/>
                </w:tcPr>
                <w:p w14:paraId="2C6D977B">
                  <w:pPr>
                    <w:keepNext w:val="0"/>
                    <w:keepLines w:val="0"/>
                    <w:suppressLineNumbers w:val="0"/>
                    <w:adjustRightInd w:val="0"/>
                    <w:snapToGrid w:val="0"/>
                    <w:spacing w:before="0" w:beforeAutospacing="0" w:after="0" w:afterAutospacing="0"/>
                    <w:ind w:left="0" w:right="0"/>
                    <w:jc w:val="center"/>
                    <w:rPr>
                      <w:rFonts w:hint="default" w:cs="Times New Roman"/>
                      <w:b/>
                      <w:bCs/>
                      <w:color w:val="auto"/>
                      <w:sz w:val="21"/>
                      <w:szCs w:val="21"/>
                      <w:highlight w:val="none"/>
                      <w:vertAlign w:val="baseline"/>
                      <w:lang w:val="en-US" w:eastAsia="zh-CN"/>
                    </w:rPr>
                  </w:pPr>
                  <w:r>
                    <w:rPr>
                      <w:rFonts w:hint="default"/>
                      <w:b/>
                      <w:bCs/>
                      <w:color w:val="auto"/>
                      <w:szCs w:val="21"/>
                      <w:highlight w:val="none"/>
                    </w:rPr>
                    <w:t>类别</w:t>
                  </w:r>
                </w:p>
              </w:tc>
              <w:tc>
                <w:tcPr>
                  <w:tcW w:w="2200" w:type="dxa"/>
                  <w:vAlign w:val="center"/>
                </w:tcPr>
                <w:p w14:paraId="546049B6">
                  <w:pPr>
                    <w:keepNext w:val="0"/>
                    <w:keepLines w:val="0"/>
                    <w:suppressLineNumbers w:val="0"/>
                    <w:adjustRightInd w:val="0"/>
                    <w:snapToGrid w:val="0"/>
                    <w:spacing w:before="0" w:beforeAutospacing="0" w:after="0" w:afterAutospacing="0"/>
                    <w:ind w:left="0" w:right="0"/>
                    <w:jc w:val="center"/>
                    <w:rPr>
                      <w:rFonts w:hint="default" w:cs="Times New Roman"/>
                      <w:b/>
                      <w:bCs/>
                      <w:color w:val="auto"/>
                      <w:sz w:val="21"/>
                      <w:szCs w:val="21"/>
                      <w:highlight w:val="none"/>
                      <w:vertAlign w:val="baseline"/>
                      <w:lang w:val="en-US" w:eastAsia="zh-CN"/>
                    </w:rPr>
                  </w:pPr>
                  <w:r>
                    <w:rPr>
                      <w:rFonts w:hint="default"/>
                      <w:b/>
                      <w:bCs/>
                      <w:color w:val="auto"/>
                      <w:szCs w:val="21"/>
                      <w:highlight w:val="none"/>
                    </w:rPr>
                    <w:t>监测点位</w:t>
                  </w:r>
                </w:p>
              </w:tc>
              <w:tc>
                <w:tcPr>
                  <w:tcW w:w="2688" w:type="dxa"/>
                  <w:vAlign w:val="center"/>
                </w:tcPr>
                <w:p w14:paraId="15D6E2CC">
                  <w:pPr>
                    <w:keepNext w:val="0"/>
                    <w:keepLines w:val="0"/>
                    <w:suppressLineNumbers w:val="0"/>
                    <w:adjustRightInd w:val="0"/>
                    <w:snapToGrid w:val="0"/>
                    <w:spacing w:before="0" w:beforeAutospacing="0" w:after="0" w:afterAutospacing="0"/>
                    <w:ind w:left="0" w:right="0"/>
                    <w:jc w:val="center"/>
                    <w:rPr>
                      <w:rFonts w:hint="default" w:cs="Times New Roman"/>
                      <w:b/>
                      <w:bCs/>
                      <w:color w:val="auto"/>
                      <w:sz w:val="21"/>
                      <w:szCs w:val="21"/>
                      <w:highlight w:val="none"/>
                      <w:vertAlign w:val="baseline"/>
                      <w:lang w:val="en-US" w:eastAsia="zh-CN"/>
                    </w:rPr>
                  </w:pPr>
                  <w:r>
                    <w:rPr>
                      <w:rFonts w:hint="default"/>
                      <w:b/>
                      <w:bCs/>
                      <w:color w:val="auto"/>
                      <w:szCs w:val="21"/>
                      <w:highlight w:val="none"/>
                    </w:rPr>
                    <w:t>监测项目</w:t>
                  </w:r>
                </w:p>
              </w:tc>
              <w:tc>
                <w:tcPr>
                  <w:tcW w:w="2640" w:type="dxa"/>
                  <w:vAlign w:val="center"/>
                </w:tcPr>
                <w:p w14:paraId="74A0DCE8">
                  <w:pPr>
                    <w:keepNext w:val="0"/>
                    <w:keepLines w:val="0"/>
                    <w:suppressLineNumbers w:val="0"/>
                    <w:adjustRightInd w:val="0"/>
                    <w:snapToGrid w:val="0"/>
                    <w:spacing w:before="0" w:beforeAutospacing="0" w:after="0" w:afterAutospacing="0"/>
                    <w:ind w:left="0" w:right="0"/>
                    <w:jc w:val="center"/>
                    <w:rPr>
                      <w:rFonts w:hint="default" w:cs="Times New Roman"/>
                      <w:b/>
                      <w:bCs/>
                      <w:color w:val="auto"/>
                      <w:sz w:val="21"/>
                      <w:szCs w:val="21"/>
                      <w:highlight w:val="none"/>
                      <w:vertAlign w:val="baseline"/>
                      <w:lang w:val="en-US" w:eastAsia="zh-CN"/>
                    </w:rPr>
                  </w:pPr>
                  <w:r>
                    <w:rPr>
                      <w:rFonts w:hint="default"/>
                      <w:b/>
                      <w:bCs/>
                      <w:color w:val="auto"/>
                      <w:szCs w:val="21"/>
                      <w:highlight w:val="none"/>
                    </w:rPr>
                    <w:t>监测频率</w:t>
                  </w:r>
                </w:p>
              </w:tc>
            </w:tr>
            <w:tr w14:paraId="5501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22" w:type="dxa"/>
                  <w:vAlign w:val="center"/>
                </w:tcPr>
                <w:p w14:paraId="059DA6B2">
                  <w:pPr>
                    <w:keepNext w:val="0"/>
                    <w:keepLines w:val="0"/>
                    <w:suppressLineNumbers w:val="0"/>
                    <w:adjustRightInd w:val="0"/>
                    <w:snapToGrid w:val="0"/>
                    <w:spacing w:before="0" w:beforeAutospacing="0" w:after="0" w:afterAutospacing="0"/>
                    <w:ind w:left="0" w:right="0"/>
                    <w:jc w:val="center"/>
                    <w:rPr>
                      <w:rFonts w:hint="default" w:cs="Times New Roman"/>
                      <w:b w:val="0"/>
                      <w:bCs/>
                      <w:color w:val="auto"/>
                      <w:sz w:val="21"/>
                      <w:szCs w:val="21"/>
                      <w:highlight w:val="none"/>
                      <w:vertAlign w:val="baseline"/>
                      <w:lang w:val="en-US" w:eastAsia="zh-CN"/>
                    </w:rPr>
                  </w:pPr>
                  <w:r>
                    <w:rPr>
                      <w:rFonts w:hint="default"/>
                      <w:color w:val="auto"/>
                      <w:szCs w:val="21"/>
                      <w:highlight w:val="none"/>
                    </w:rPr>
                    <w:t>噪声</w:t>
                  </w:r>
                </w:p>
              </w:tc>
              <w:tc>
                <w:tcPr>
                  <w:tcW w:w="2200" w:type="dxa"/>
                  <w:vAlign w:val="center"/>
                </w:tcPr>
                <w:p w14:paraId="2B8FF2B9">
                  <w:pPr>
                    <w:keepNext w:val="0"/>
                    <w:keepLines w:val="0"/>
                    <w:suppressLineNumbers w:val="0"/>
                    <w:adjustRightInd w:val="0"/>
                    <w:snapToGrid w:val="0"/>
                    <w:spacing w:before="0" w:beforeAutospacing="0" w:after="0" w:afterAutospacing="0"/>
                    <w:ind w:left="0" w:right="0"/>
                    <w:jc w:val="center"/>
                    <w:rPr>
                      <w:rFonts w:hint="default" w:cs="Times New Roman"/>
                      <w:b w:val="0"/>
                      <w:bCs/>
                      <w:color w:val="auto"/>
                      <w:sz w:val="21"/>
                      <w:szCs w:val="21"/>
                      <w:highlight w:val="none"/>
                      <w:vertAlign w:val="baseline"/>
                      <w:lang w:val="en-US" w:eastAsia="zh-CN"/>
                    </w:rPr>
                  </w:pPr>
                  <w:r>
                    <w:rPr>
                      <w:rFonts w:hint="default"/>
                      <w:color w:val="auto"/>
                      <w:szCs w:val="21"/>
                      <w:highlight w:val="none"/>
                    </w:rPr>
                    <w:t>厂界四周</w:t>
                  </w:r>
                </w:p>
              </w:tc>
              <w:tc>
                <w:tcPr>
                  <w:tcW w:w="2688" w:type="dxa"/>
                  <w:vAlign w:val="center"/>
                </w:tcPr>
                <w:p w14:paraId="6C3E1162">
                  <w:pPr>
                    <w:keepNext w:val="0"/>
                    <w:keepLines w:val="0"/>
                    <w:suppressLineNumbers w:val="0"/>
                    <w:adjustRightInd w:val="0"/>
                    <w:snapToGrid w:val="0"/>
                    <w:spacing w:before="0" w:beforeAutospacing="0" w:after="0" w:afterAutospacing="0"/>
                    <w:ind w:left="0" w:right="0"/>
                    <w:jc w:val="center"/>
                    <w:rPr>
                      <w:rFonts w:hint="default" w:cs="Times New Roman"/>
                      <w:b w:val="0"/>
                      <w:bCs/>
                      <w:color w:val="auto"/>
                      <w:sz w:val="21"/>
                      <w:szCs w:val="21"/>
                      <w:highlight w:val="none"/>
                      <w:vertAlign w:val="baseline"/>
                      <w:lang w:val="en-US" w:eastAsia="zh-CN"/>
                    </w:rPr>
                  </w:pPr>
                  <w:r>
                    <w:rPr>
                      <w:rFonts w:hint="default"/>
                      <w:color w:val="auto"/>
                      <w:szCs w:val="21"/>
                      <w:highlight w:val="none"/>
                    </w:rPr>
                    <w:t>等效A声级</w:t>
                  </w:r>
                </w:p>
              </w:tc>
              <w:tc>
                <w:tcPr>
                  <w:tcW w:w="2640" w:type="dxa"/>
                  <w:vAlign w:val="center"/>
                </w:tcPr>
                <w:p w14:paraId="4C4AD3CC">
                  <w:pPr>
                    <w:keepNext w:val="0"/>
                    <w:keepLines w:val="0"/>
                    <w:suppressLineNumbers w:val="0"/>
                    <w:adjustRightInd w:val="0"/>
                    <w:snapToGrid w:val="0"/>
                    <w:spacing w:before="0" w:beforeAutospacing="0" w:after="0" w:afterAutospacing="0"/>
                    <w:ind w:left="0" w:right="0"/>
                    <w:jc w:val="center"/>
                    <w:rPr>
                      <w:rFonts w:hint="default" w:eastAsia="宋体" w:cs="Times New Roman"/>
                      <w:b w:val="0"/>
                      <w:bCs/>
                      <w:color w:val="auto"/>
                      <w:sz w:val="21"/>
                      <w:szCs w:val="21"/>
                      <w:highlight w:val="none"/>
                      <w:vertAlign w:val="baseline"/>
                      <w:lang w:val="en-US" w:eastAsia="zh-CN"/>
                    </w:rPr>
                  </w:pPr>
                  <w:r>
                    <w:rPr>
                      <w:rFonts w:hint="eastAsia"/>
                      <w:color w:val="auto"/>
                      <w:szCs w:val="21"/>
                      <w:highlight w:val="none"/>
                      <w:lang w:val="en-US" w:eastAsia="zh-CN"/>
                    </w:rPr>
                    <w:t>1次/季</w:t>
                  </w:r>
                </w:p>
              </w:tc>
            </w:tr>
          </w:tbl>
          <w:p w14:paraId="0A5ABD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z w:val="24"/>
                <w:szCs w:val="24"/>
                <w:highlight w:val="none"/>
              </w:rPr>
            </w:pPr>
            <w:r>
              <w:rPr>
                <w:rFonts w:hint="eastAsia" w:cs="Times New Roman"/>
                <w:b/>
                <w:color w:val="auto"/>
                <w:sz w:val="24"/>
                <w:szCs w:val="24"/>
                <w:highlight w:val="none"/>
                <w:lang w:val="en-US" w:eastAsia="zh-CN"/>
              </w:rPr>
              <w:t>4、</w:t>
            </w:r>
            <w:r>
              <w:rPr>
                <w:rFonts w:hint="default" w:ascii="Times New Roman" w:hAnsi="Times New Roman" w:eastAsia="宋体" w:cs="Times New Roman"/>
                <w:b/>
                <w:color w:val="auto"/>
                <w:sz w:val="24"/>
                <w:szCs w:val="24"/>
                <w:highlight w:val="none"/>
              </w:rPr>
              <w:t>固体废物</w:t>
            </w:r>
          </w:p>
          <w:p w14:paraId="675EF7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highlight w:val="none"/>
                <w:lang w:val="en-US" w:eastAsia="zh-CN"/>
              </w:rPr>
            </w:pPr>
            <w:r>
              <w:rPr>
                <w:rFonts w:hint="eastAsia"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highlight w:val="none"/>
                <w:lang w:val="en-US" w:eastAsia="zh-CN"/>
              </w:rPr>
              <w:t>固体废物产生及利用处置情况</w:t>
            </w:r>
          </w:p>
          <w:p w14:paraId="270FAA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Cs/>
                <w:color w:val="auto"/>
                <w:sz w:val="24"/>
                <w:highlight w:val="none"/>
                <w:lang w:val="en-US" w:eastAsia="zh-CN"/>
              </w:rPr>
              <w:t>根据《固体废物分类与代码目录》和</w:t>
            </w:r>
            <w:r>
              <w:rPr>
                <w:rFonts w:hint="default" w:ascii="Times New Roman" w:hAnsi="Times New Roman" w:eastAsia="宋体" w:cs="Times New Roman"/>
                <w:bCs/>
                <w:color w:val="auto"/>
                <w:sz w:val="24"/>
                <w:highlight w:val="none"/>
                <w:lang w:val="en-US" w:eastAsia="zh-CN"/>
              </w:rPr>
              <w:t>《国家危险废物名录》（202</w:t>
            </w:r>
            <w:r>
              <w:rPr>
                <w:rFonts w:hint="eastAsia" w:ascii="Times New Roman" w:hAnsi="Times New Roman" w:eastAsia="宋体" w:cs="Times New Roman"/>
                <w:bCs/>
                <w:color w:val="auto"/>
                <w:sz w:val="24"/>
                <w:highlight w:val="none"/>
                <w:lang w:val="en-US" w:eastAsia="zh-CN"/>
              </w:rPr>
              <w:t>5</w:t>
            </w:r>
            <w:r>
              <w:rPr>
                <w:rFonts w:hint="default" w:ascii="Times New Roman" w:hAnsi="Times New Roman" w:eastAsia="宋体" w:cs="Times New Roman"/>
                <w:bCs/>
                <w:color w:val="auto"/>
                <w:sz w:val="24"/>
                <w:highlight w:val="none"/>
                <w:lang w:val="en-US" w:eastAsia="zh-CN"/>
              </w:rPr>
              <w:t>年版）</w:t>
            </w:r>
            <w:r>
              <w:rPr>
                <w:rFonts w:hint="eastAsia" w:ascii="Times New Roman" w:hAnsi="Times New Roman" w:cs="Times New Roman"/>
                <w:bCs/>
                <w:color w:val="auto"/>
                <w:sz w:val="24"/>
                <w:highlight w:val="none"/>
                <w:lang w:val="en-US" w:eastAsia="zh-CN"/>
              </w:rPr>
              <w:t>，本项目固体废物产生情况见下表。</w:t>
            </w:r>
          </w:p>
          <w:p w14:paraId="29F6B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表4-1</w:t>
            </w:r>
            <w:r>
              <w:rPr>
                <w:rFonts w:hint="eastAsia" w:cs="Times New Roman"/>
                <w:b/>
                <w:bCs/>
                <w:color w:val="auto"/>
                <w:kern w:val="2"/>
                <w:sz w:val="21"/>
                <w:szCs w:val="21"/>
                <w:highlight w:val="none"/>
                <w:lang w:val="en-US" w:eastAsia="zh-CN" w:bidi="ar-SA"/>
              </w:rPr>
              <w:t>7</w:t>
            </w:r>
            <w:r>
              <w:rPr>
                <w:rFonts w:hint="default" w:ascii="Times New Roman" w:hAnsi="Times New Roman" w:eastAsia="宋体" w:cs="Times New Roman"/>
                <w:b/>
                <w:bCs/>
                <w:color w:val="auto"/>
                <w:kern w:val="2"/>
                <w:sz w:val="21"/>
                <w:szCs w:val="21"/>
                <w:highlight w:val="none"/>
                <w:lang w:val="en-US" w:eastAsia="zh-CN" w:bidi="ar-SA"/>
              </w:rPr>
              <w:t xml:space="preserve">  固体废物产生情况及利用处置情况表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6"/>
              <w:gridCol w:w="1200"/>
              <w:gridCol w:w="849"/>
              <w:gridCol w:w="948"/>
              <w:gridCol w:w="1226"/>
              <w:gridCol w:w="948"/>
              <w:gridCol w:w="2876"/>
            </w:tblGrid>
            <w:tr w14:paraId="422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tcBorders>
                    <w:tl2br w:val="nil"/>
                    <w:tr2bl w:val="nil"/>
                  </w:tcBorders>
                  <w:vAlign w:val="center"/>
                </w:tcPr>
                <w:p w14:paraId="43E7DA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val="en-US" w:eastAsia="zh-CN"/>
                    </w:rPr>
                  </w:pPr>
                  <w:r>
                    <w:rPr>
                      <w:rFonts w:hint="default" w:ascii="Times New Roman" w:hAnsi="Times New Roman" w:eastAsia="宋体" w:cs="Times New Roman"/>
                      <w:b/>
                      <w:bCs/>
                      <w:color w:val="auto"/>
                      <w:spacing w:val="0"/>
                      <w:szCs w:val="21"/>
                      <w:highlight w:val="none"/>
                      <w:lang w:val="en-US" w:eastAsia="zh-CN"/>
                    </w:rPr>
                    <w:t>分类</w:t>
                  </w:r>
                </w:p>
              </w:tc>
              <w:tc>
                <w:tcPr>
                  <w:tcW w:w="656" w:type="pct"/>
                  <w:tcBorders>
                    <w:tl2br w:val="nil"/>
                    <w:tr2bl w:val="nil"/>
                  </w:tcBorders>
                  <w:vAlign w:val="center"/>
                </w:tcPr>
                <w:p w14:paraId="03DEC0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rPr>
                  </w:pPr>
                  <w:r>
                    <w:rPr>
                      <w:rFonts w:hint="default" w:ascii="Times New Roman" w:hAnsi="Times New Roman" w:eastAsia="宋体" w:cs="Times New Roman"/>
                      <w:b/>
                      <w:bCs/>
                      <w:color w:val="auto"/>
                      <w:spacing w:val="0"/>
                      <w:szCs w:val="21"/>
                      <w:highlight w:val="none"/>
                    </w:rPr>
                    <w:t>名称</w:t>
                  </w:r>
                </w:p>
              </w:tc>
              <w:tc>
                <w:tcPr>
                  <w:tcW w:w="464" w:type="pct"/>
                  <w:tcBorders>
                    <w:tl2br w:val="nil"/>
                    <w:tr2bl w:val="nil"/>
                  </w:tcBorders>
                  <w:vAlign w:val="center"/>
                </w:tcPr>
                <w:p w14:paraId="6C532F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val="en-US" w:eastAsia="zh-CN"/>
                    </w:rPr>
                  </w:pPr>
                  <w:r>
                    <w:rPr>
                      <w:rFonts w:hint="default" w:ascii="Times New Roman" w:hAnsi="Times New Roman" w:eastAsia="宋体" w:cs="Times New Roman"/>
                      <w:b/>
                      <w:bCs/>
                      <w:color w:val="auto"/>
                      <w:spacing w:val="0"/>
                      <w:szCs w:val="21"/>
                      <w:highlight w:val="none"/>
                      <w:lang w:val="en-US" w:eastAsia="zh-CN"/>
                    </w:rPr>
                    <w:t>代码</w:t>
                  </w:r>
                </w:p>
              </w:tc>
              <w:tc>
                <w:tcPr>
                  <w:tcW w:w="518" w:type="pct"/>
                  <w:tcBorders>
                    <w:tl2br w:val="nil"/>
                    <w:tr2bl w:val="nil"/>
                  </w:tcBorders>
                  <w:vAlign w:val="center"/>
                </w:tcPr>
                <w:p w14:paraId="55D83C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eastAsia="zh-CN"/>
                    </w:rPr>
                  </w:pPr>
                  <w:r>
                    <w:rPr>
                      <w:rFonts w:hint="default" w:ascii="Times New Roman" w:hAnsi="Times New Roman" w:eastAsia="宋体" w:cs="Times New Roman"/>
                      <w:b/>
                      <w:bCs/>
                      <w:color w:val="auto"/>
                      <w:spacing w:val="0"/>
                      <w:szCs w:val="21"/>
                      <w:highlight w:val="none"/>
                    </w:rPr>
                    <w:t>产生量</w:t>
                  </w:r>
                  <w:r>
                    <w:rPr>
                      <w:rFonts w:hint="default" w:ascii="Times New Roman" w:hAnsi="Times New Roman" w:eastAsia="宋体" w:cs="Times New Roman"/>
                      <w:b/>
                      <w:bCs/>
                      <w:color w:val="auto"/>
                      <w:spacing w:val="0"/>
                      <w:szCs w:val="21"/>
                      <w:highlight w:val="none"/>
                      <w:lang w:eastAsia="zh-CN"/>
                    </w:rPr>
                    <w:t>（</w:t>
                  </w:r>
                  <w:r>
                    <w:rPr>
                      <w:rFonts w:hint="default" w:ascii="Times New Roman" w:hAnsi="Times New Roman" w:eastAsia="宋体" w:cs="Times New Roman"/>
                      <w:b/>
                      <w:bCs/>
                      <w:color w:val="auto"/>
                      <w:spacing w:val="0"/>
                      <w:szCs w:val="21"/>
                      <w:highlight w:val="none"/>
                    </w:rPr>
                    <w:t>t/a</w:t>
                  </w:r>
                  <w:r>
                    <w:rPr>
                      <w:rFonts w:hint="default" w:ascii="Times New Roman" w:hAnsi="Times New Roman" w:eastAsia="宋体" w:cs="Times New Roman"/>
                      <w:b/>
                      <w:bCs/>
                      <w:color w:val="auto"/>
                      <w:spacing w:val="0"/>
                      <w:szCs w:val="21"/>
                      <w:highlight w:val="none"/>
                      <w:lang w:eastAsia="zh-CN"/>
                    </w:rPr>
                    <w:t>）</w:t>
                  </w:r>
                </w:p>
              </w:tc>
              <w:tc>
                <w:tcPr>
                  <w:tcW w:w="670" w:type="pct"/>
                  <w:tcBorders>
                    <w:tl2br w:val="nil"/>
                    <w:tr2bl w:val="nil"/>
                  </w:tcBorders>
                  <w:vAlign w:val="center"/>
                </w:tcPr>
                <w:p w14:paraId="49349C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val="en-US" w:eastAsia="zh-CN"/>
                    </w:rPr>
                  </w:pPr>
                  <w:r>
                    <w:rPr>
                      <w:rFonts w:hint="default" w:ascii="Times New Roman" w:hAnsi="Times New Roman" w:eastAsia="宋体" w:cs="Times New Roman"/>
                      <w:b/>
                      <w:bCs/>
                      <w:color w:val="auto"/>
                      <w:spacing w:val="0"/>
                      <w:szCs w:val="21"/>
                      <w:highlight w:val="none"/>
                      <w:lang w:val="en-US" w:eastAsia="zh-CN"/>
                    </w:rPr>
                    <w:t>综合利用量（</w:t>
                  </w:r>
                  <w:r>
                    <w:rPr>
                      <w:rFonts w:hint="default" w:ascii="Times New Roman" w:hAnsi="Times New Roman" w:eastAsia="宋体" w:cs="Times New Roman"/>
                      <w:b/>
                      <w:bCs/>
                      <w:color w:val="auto"/>
                      <w:spacing w:val="0"/>
                      <w:szCs w:val="21"/>
                      <w:highlight w:val="none"/>
                    </w:rPr>
                    <w:t>t/a</w:t>
                  </w:r>
                  <w:r>
                    <w:rPr>
                      <w:rFonts w:hint="default" w:ascii="Times New Roman" w:hAnsi="Times New Roman" w:eastAsia="宋体" w:cs="Times New Roman"/>
                      <w:b/>
                      <w:bCs/>
                      <w:color w:val="auto"/>
                      <w:spacing w:val="0"/>
                      <w:szCs w:val="21"/>
                      <w:highlight w:val="none"/>
                      <w:lang w:val="en-US" w:eastAsia="zh-CN"/>
                    </w:rPr>
                    <w:t>）</w:t>
                  </w:r>
                </w:p>
              </w:tc>
              <w:tc>
                <w:tcPr>
                  <w:tcW w:w="518" w:type="pct"/>
                  <w:tcBorders>
                    <w:tl2br w:val="nil"/>
                    <w:tr2bl w:val="nil"/>
                  </w:tcBorders>
                  <w:vAlign w:val="center"/>
                </w:tcPr>
                <w:p w14:paraId="0D28AB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val="en-US" w:eastAsia="zh-CN"/>
                    </w:rPr>
                  </w:pPr>
                  <w:r>
                    <w:rPr>
                      <w:rFonts w:hint="default" w:ascii="Times New Roman" w:hAnsi="Times New Roman" w:eastAsia="宋体" w:cs="Times New Roman"/>
                      <w:b/>
                      <w:bCs/>
                      <w:color w:val="auto"/>
                      <w:spacing w:val="0"/>
                      <w:szCs w:val="21"/>
                      <w:highlight w:val="none"/>
                      <w:lang w:val="en-US" w:eastAsia="zh-CN"/>
                    </w:rPr>
                    <w:t>处置量（</w:t>
                  </w:r>
                  <w:r>
                    <w:rPr>
                      <w:rFonts w:hint="default" w:ascii="Times New Roman" w:hAnsi="Times New Roman" w:eastAsia="宋体" w:cs="Times New Roman"/>
                      <w:b/>
                      <w:bCs/>
                      <w:color w:val="auto"/>
                      <w:spacing w:val="0"/>
                      <w:szCs w:val="21"/>
                      <w:highlight w:val="none"/>
                    </w:rPr>
                    <w:t>t/a</w:t>
                  </w:r>
                  <w:r>
                    <w:rPr>
                      <w:rFonts w:hint="default" w:ascii="Times New Roman" w:hAnsi="Times New Roman" w:eastAsia="宋体" w:cs="Times New Roman"/>
                      <w:b/>
                      <w:bCs/>
                      <w:color w:val="auto"/>
                      <w:spacing w:val="0"/>
                      <w:szCs w:val="21"/>
                      <w:highlight w:val="none"/>
                      <w:lang w:val="en-US" w:eastAsia="zh-CN"/>
                    </w:rPr>
                    <w:t>）</w:t>
                  </w:r>
                </w:p>
              </w:tc>
              <w:tc>
                <w:tcPr>
                  <w:tcW w:w="1571" w:type="pct"/>
                  <w:tcBorders>
                    <w:tl2br w:val="nil"/>
                    <w:tr2bl w:val="nil"/>
                  </w:tcBorders>
                  <w:vAlign w:val="center"/>
                </w:tcPr>
                <w:p w14:paraId="27376A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val="en-US" w:eastAsia="zh-CN"/>
                    </w:rPr>
                  </w:pPr>
                  <w:r>
                    <w:rPr>
                      <w:rFonts w:hint="default" w:ascii="Times New Roman" w:hAnsi="Times New Roman" w:eastAsia="宋体" w:cs="Times New Roman"/>
                      <w:b/>
                      <w:bCs/>
                      <w:color w:val="auto"/>
                      <w:spacing w:val="0"/>
                      <w:szCs w:val="21"/>
                      <w:highlight w:val="none"/>
                      <w:lang w:val="en-US" w:eastAsia="zh-CN"/>
                    </w:rPr>
                    <w:t>综合利用或处置方式</w:t>
                  </w:r>
                </w:p>
              </w:tc>
            </w:tr>
            <w:tr w14:paraId="3073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tcBorders>
                    <w:tl2br w:val="nil"/>
                    <w:tr2bl w:val="nil"/>
                  </w:tcBorders>
                  <w:vAlign w:val="center"/>
                </w:tcPr>
                <w:p w14:paraId="7582B9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Cs w:val="21"/>
                      <w:highlight w:val="none"/>
                      <w:lang w:val="en-US" w:eastAsia="zh-CN"/>
                    </w:rPr>
                  </w:pPr>
                  <w:r>
                    <w:rPr>
                      <w:rFonts w:hint="default" w:ascii="Times New Roman" w:hAnsi="Times New Roman" w:eastAsia="宋体" w:cs="Times New Roman"/>
                      <w:color w:val="auto"/>
                      <w:spacing w:val="0"/>
                      <w:kern w:val="0"/>
                      <w:szCs w:val="21"/>
                      <w:highlight w:val="none"/>
                      <w:lang w:val="en-US" w:eastAsia="zh-CN"/>
                    </w:rPr>
                    <w:t>职工生活</w:t>
                  </w:r>
                </w:p>
              </w:tc>
              <w:tc>
                <w:tcPr>
                  <w:tcW w:w="656" w:type="pct"/>
                  <w:tcBorders>
                    <w:tl2br w:val="nil"/>
                    <w:tr2bl w:val="nil"/>
                  </w:tcBorders>
                  <w:vAlign w:val="center"/>
                </w:tcPr>
                <w:p w14:paraId="60C0FF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spacing w:val="0"/>
                      <w:szCs w:val="21"/>
                      <w:highlight w:val="none"/>
                    </w:rPr>
                  </w:pPr>
                  <w:r>
                    <w:rPr>
                      <w:rFonts w:hint="eastAsia" w:cs="Times New Roman"/>
                      <w:b w:val="0"/>
                      <w:bCs w:val="0"/>
                      <w:color w:val="auto"/>
                      <w:spacing w:val="0"/>
                      <w:szCs w:val="21"/>
                      <w:highlight w:val="none"/>
                      <w:lang w:val="en-US" w:eastAsia="zh-CN"/>
                    </w:rPr>
                    <w:t>生活垃圾</w:t>
                  </w:r>
                </w:p>
              </w:tc>
              <w:tc>
                <w:tcPr>
                  <w:tcW w:w="464" w:type="pct"/>
                  <w:tcBorders>
                    <w:tl2br w:val="nil"/>
                    <w:tr2bl w:val="nil"/>
                  </w:tcBorders>
                  <w:vAlign w:val="center"/>
                </w:tcPr>
                <w:p w14:paraId="465F78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Cs w:val="21"/>
                      <w:highlight w:val="none"/>
                      <w:lang w:val="en-US" w:eastAsia="zh-CN"/>
                    </w:rPr>
                  </w:pPr>
                  <w:r>
                    <w:rPr>
                      <w:rFonts w:hint="eastAsia" w:cs="Times New Roman"/>
                      <w:b/>
                      <w:bCs/>
                      <w:color w:val="auto"/>
                      <w:spacing w:val="0"/>
                      <w:szCs w:val="21"/>
                      <w:highlight w:val="none"/>
                      <w:lang w:val="en-US" w:eastAsia="zh-CN"/>
                    </w:rPr>
                    <w:t>/</w:t>
                  </w:r>
                </w:p>
              </w:tc>
              <w:tc>
                <w:tcPr>
                  <w:tcW w:w="518" w:type="pct"/>
                  <w:tcBorders>
                    <w:tl2br w:val="nil"/>
                    <w:tr2bl w:val="nil"/>
                  </w:tcBorders>
                  <w:vAlign w:val="center"/>
                </w:tcPr>
                <w:p w14:paraId="57E868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rPr>
                  </w:pPr>
                  <w:r>
                    <w:rPr>
                      <w:rFonts w:hint="eastAsia"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9</w:t>
                  </w:r>
                  <w:r>
                    <w:rPr>
                      <w:rFonts w:hint="eastAsia" w:ascii="Times New Roman" w:hAnsi="Times New Roman" w:cs="Times New Roman"/>
                      <w:color w:val="auto"/>
                      <w:sz w:val="21"/>
                      <w:szCs w:val="21"/>
                      <w:highlight w:val="none"/>
                      <w:lang w:val="en-US" w:eastAsia="zh-CN"/>
                    </w:rPr>
                    <w:t>5</w:t>
                  </w:r>
                </w:p>
              </w:tc>
              <w:tc>
                <w:tcPr>
                  <w:tcW w:w="670" w:type="pct"/>
                  <w:tcBorders>
                    <w:tl2br w:val="nil"/>
                    <w:tr2bl w:val="nil"/>
                  </w:tcBorders>
                  <w:vAlign w:val="center"/>
                </w:tcPr>
                <w:p w14:paraId="16AF14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cs="Times New Roman"/>
                      <w:color w:val="auto"/>
                      <w:sz w:val="21"/>
                      <w:szCs w:val="21"/>
                      <w:highlight w:val="none"/>
                      <w:lang w:val="en-US" w:eastAsia="zh-CN"/>
                    </w:rPr>
                    <w:t>0</w:t>
                  </w:r>
                </w:p>
              </w:tc>
              <w:tc>
                <w:tcPr>
                  <w:tcW w:w="518" w:type="pct"/>
                  <w:tcBorders>
                    <w:tl2br w:val="nil"/>
                    <w:tr2bl w:val="nil"/>
                  </w:tcBorders>
                  <w:vAlign w:val="center"/>
                </w:tcPr>
                <w:p w14:paraId="3FEB56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9</w:t>
                  </w:r>
                  <w:r>
                    <w:rPr>
                      <w:rFonts w:hint="eastAsia" w:ascii="Times New Roman" w:hAnsi="Times New Roman" w:cs="Times New Roman"/>
                      <w:color w:val="auto"/>
                      <w:sz w:val="21"/>
                      <w:szCs w:val="21"/>
                      <w:highlight w:val="none"/>
                      <w:lang w:val="en-US" w:eastAsia="zh-CN"/>
                    </w:rPr>
                    <w:t>5</w:t>
                  </w:r>
                </w:p>
              </w:tc>
              <w:tc>
                <w:tcPr>
                  <w:tcW w:w="1571" w:type="pct"/>
                  <w:tcBorders>
                    <w:tl2br w:val="nil"/>
                    <w:tr2bl w:val="nil"/>
                  </w:tcBorders>
                  <w:vAlign w:val="center"/>
                </w:tcPr>
                <w:p w14:paraId="24B56F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b/>
                      <w:bCs/>
                      <w:color w:val="auto"/>
                      <w:spacing w:val="0"/>
                      <w:szCs w:val="21"/>
                      <w:highlight w:val="none"/>
                      <w:lang w:val="en-US" w:eastAsia="zh-CN"/>
                    </w:rPr>
                  </w:pPr>
                  <w:r>
                    <w:rPr>
                      <w:rFonts w:hint="eastAsia" w:cs="Times New Roman"/>
                      <w:color w:val="auto"/>
                      <w:spacing w:val="0"/>
                      <w:kern w:val="2"/>
                      <w:sz w:val="21"/>
                      <w:szCs w:val="21"/>
                      <w:highlight w:val="none"/>
                      <w:lang w:val="en-US" w:eastAsia="zh-CN" w:bidi="ar-SA"/>
                    </w:rPr>
                    <w:t>厂内设置垃圾桶，定期送至当地环卫部门指定地点</w:t>
                  </w:r>
                </w:p>
              </w:tc>
            </w:tr>
            <w:tr w14:paraId="3962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restart"/>
                  <w:tcBorders>
                    <w:tl2br w:val="nil"/>
                    <w:tr2bl w:val="nil"/>
                  </w:tcBorders>
                  <w:vAlign w:val="center"/>
                </w:tcPr>
                <w:p w14:paraId="16E178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default" w:ascii="Times New Roman" w:hAnsi="Times New Roman" w:eastAsia="宋体" w:cs="Times New Roman"/>
                      <w:color w:val="auto"/>
                      <w:spacing w:val="0"/>
                      <w:szCs w:val="21"/>
                      <w:highlight w:val="none"/>
                      <w:lang w:val="en-US" w:eastAsia="zh-CN"/>
                    </w:rPr>
                    <w:t>一般工业固体废物</w:t>
                  </w:r>
                </w:p>
              </w:tc>
              <w:tc>
                <w:tcPr>
                  <w:tcW w:w="656" w:type="pct"/>
                  <w:tcBorders>
                    <w:tl2br w:val="nil"/>
                    <w:tr2bl w:val="nil"/>
                  </w:tcBorders>
                  <w:vAlign w:val="center"/>
                </w:tcPr>
                <w:p w14:paraId="618166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ascii="Times New Roman" w:hAnsi="Times New Roman" w:eastAsia="宋体" w:cs="Times New Roman"/>
                      <w:color w:val="auto"/>
                      <w:spacing w:val="0"/>
                      <w:szCs w:val="21"/>
                      <w:highlight w:val="none"/>
                      <w:lang w:val="en-US" w:eastAsia="zh-CN"/>
                    </w:rPr>
                    <w:t>除尘灰</w:t>
                  </w:r>
                </w:p>
              </w:tc>
              <w:tc>
                <w:tcPr>
                  <w:tcW w:w="464" w:type="pct"/>
                  <w:tcBorders>
                    <w:tl2br w:val="nil"/>
                    <w:tr2bl w:val="nil"/>
                  </w:tcBorders>
                  <w:vAlign w:val="center"/>
                </w:tcPr>
                <w:p w14:paraId="4ABEAE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ascii="Times New Roman" w:hAnsi="Times New Roman" w:eastAsia="宋体" w:cs="Times New Roman"/>
                      <w:color w:val="auto"/>
                      <w:spacing w:val="0"/>
                      <w:szCs w:val="21"/>
                      <w:highlight w:val="none"/>
                      <w:lang w:val="en-US" w:eastAsia="zh-CN"/>
                    </w:rPr>
                    <w:t>SW59</w:t>
                  </w:r>
                </w:p>
              </w:tc>
              <w:tc>
                <w:tcPr>
                  <w:tcW w:w="518" w:type="pct"/>
                  <w:tcBorders>
                    <w:tl2br w:val="nil"/>
                    <w:tr2bl w:val="nil"/>
                  </w:tcBorders>
                  <w:vAlign w:val="center"/>
                </w:tcPr>
                <w:p w14:paraId="4CDAEF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z w:val="21"/>
                      <w:szCs w:val="21"/>
                      <w:highlight w:val="none"/>
                      <w:lang w:val="en-US" w:eastAsia="zh-CN"/>
                    </w:rPr>
                    <w:t>75.81</w:t>
                  </w:r>
                </w:p>
              </w:tc>
              <w:tc>
                <w:tcPr>
                  <w:tcW w:w="670" w:type="pct"/>
                  <w:tcBorders>
                    <w:tl2br w:val="nil"/>
                    <w:tr2bl w:val="nil"/>
                  </w:tcBorders>
                  <w:vAlign w:val="center"/>
                </w:tcPr>
                <w:p w14:paraId="3CB644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z w:val="21"/>
                      <w:szCs w:val="21"/>
                      <w:highlight w:val="none"/>
                      <w:lang w:val="en-US" w:eastAsia="zh-CN"/>
                    </w:rPr>
                    <w:t>75.81</w:t>
                  </w:r>
                </w:p>
              </w:tc>
              <w:tc>
                <w:tcPr>
                  <w:tcW w:w="518" w:type="pct"/>
                  <w:tcBorders>
                    <w:tl2br w:val="nil"/>
                    <w:tr2bl w:val="nil"/>
                  </w:tcBorders>
                  <w:vAlign w:val="center"/>
                </w:tcPr>
                <w:p w14:paraId="7F6D69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ascii="Times New Roman" w:hAnsi="Times New Roman" w:eastAsia="宋体" w:cs="Times New Roman"/>
                      <w:color w:val="auto"/>
                      <w:spacing w:val="0"/>
                      <w:szCs w:val="21"/>
                      <w:highlight w:val="none"/>
                      <w:lang w:val="en-US" w:eastAsia="zh-CN"/>
                    </w:rPr>
                    <w:t>0</w:t>
                  </w:r>
                </w:p>
              </w:tc>
              <w:tc>
                <w:tcPr>
                  <w:tcW w:w="1571" w:type="pct"/>
                  <w:tcBorders>
                    <w:tl2br w:val="nil"/>
                    <w:tr2bl w:val="nil"/>
                  </w:tcBorders>
                  <w:vAlign w:val="center"/>
                </w:tcPr>
                <w:p w14:paraId="1FE1BC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spacing w:val="0"/>
                      <w:szCs w:val="21"/>
                      <w:highlight w:val="none"/>
                      <w:lang w:val="en-US" w:eastAsia="zh-CN"/>
                    </w:rPr>
                  </w:pPr>
                  <w:r>
                    <w:rPr>
                      <w:rFonts w:hint="default"/>
                      <w:color w:val="auto"/>
                      <w:kern w:val="0"/>
                      <w:highlight w:val="none"/>
                    </w:rPr>
                    <w:t>暂存在生产车间内，</w:t>
                  </w:r>
                  <w:r>
                    <w:rPr>
                      <w:rFonts w:hint="eastAsia" w:cs="Times New Roman"/>
                      <w:color w:val="auto"/>
                      <w:spacing w:val="0"/>
                      <w:szCs w:val="21"/>
                      <w:highlight w:val="none"/>
                      <w:lang w:val="en-US" w:eastAsia="zh-CN"/>
                    </w:rPr>
                    <w:t>收集后外售废品收购站</w:t>
                  </w:r>
                </w:p>
              </w:tc>
            </w:tr>
            <w:tr w14:paraId="1240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continue"/>
                  <w:tcBorders>
                    <w:tl2br w:val="nil"/>
                    <w:tr2bl w:val="nil"/>
                  </w:tcBorders>
                  <w:vAlign w:val="center"/>
                </w:tcPr>
                <w:p w14:paraId="091576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p>
              </w:tc>
              <w:tc>
                <w:tcPr>
                  <w:tcW w:w="656" w:type="pct"/>
                  <w:tcBorders>
                    <w:tl2br w:val="nil"/>
                    <w:tr2bl w:val="nil"/>
                  </w:tcBorders>
                  <w:vAlign w:val="center"/>
                </w:tcPr>
                <w:p w14:paraId="72FDE9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Cs w:val="21"/>
                      <w:highlight w:val="none"/>
                      <w:lang w:val="en-US" w:eastAsia="zh-CN"/>
                    </w:rPr>
                  </w:pPr>
                  <w:r>
                    <w:rPr>
                      <w:rFonts w:hint="eastAsia" w:ascii="Times New Roman" w:hAnsi="Times New Roman" w:eastAsia="宋体" w:cs="Times New Roman"/>
                      <w:color w:val="auto"/>
                      <w:spacing w:val="0"/>
                      <w:szCs w:val="21"/>
                      <w:highlight w:val="none"/>
                      <w:lang w:val="en-US" w:eastAsia="zh-CN"/>
                    </w:rPr>
                    <w:t>废布袋</w:t>
                  </w:r>
                </w:p>
              </w:tc>
              <w:tc>
                <w:tcPr>
                  <w:tcW w:w="464" w:type="pct"/>
                  <w:tcBorders>
                    <w:tl2br w:val="nil"/>
                    <w:tr2bl w:val="nil"/>
                  </w:tcBorders>
                  <w:vAlign w:val="center"/>
                </w:tcPr>
                <w:p w14:paraId="6F31BD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Cs w:val="21"/>
                      <w:highlight w:val="none"/>
                      <w:lang w:val="en-US" w:eastAsia="zh-CN"/>
                    </w:rPr>
                  </w:pPr>
                  <w:r>
                    <w:rPr>
                      <w:rFonts w:hint="eastAsia" w:ascii="Times New Roman" w:hAnsi="Times New Roman" w:eastAsia="宋体" w:cs="Times New Roman"/>
                      <w:color w:val="auto"/>
                      <w:spacing w:val="0"/>
                      <w:szCs w:val="21"/>
                      <w:highlight w:val="none"/>
                      <w:lang w:val="en-US" w:eastAsia="zh-CN"/>
                    </w:rPr>
                    <w:t>SW59</w:t>
                  </w:r>
                </w:p>
              </w:tc>
              <w:tc>
                <w:tcPr>
                  <w:tcW w:w="518" w:type="pct"/>
                  <w:tcBorders>
                    <w:tl2br w:val="nil"/>
                    <w:tr2bl w:val="nil"/>
                  </w:tcBorders>
                  <w:vAlign w:val="center"/>
                </w:tcPr>
                <w:p w14:paraId="7445E7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0.05</w:t>
                  </w:r>
                </w:p>
              </w:tc>
              <w:tc>
                <w:tcPr>
                  <w:tcW w:w="670" w:type="pct"/>
                  <w:tcBorders>
                    <w:tl2br w:val="nil"/>
                    <w:tr2bl w:val="nil"/>
                  </w:tcBorders>
                  <w:vAlign w:val="center"/>
                </w:tcPr>
                <w:p w14:paraId="6B8E00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0.05</w:t>
                  </w:r>
                </w:p>
              </w:tc>
              <w:tc>
                <w:tcPr>
                  <w:tcW w:w="518" w:type="pct"/>
                  <w:tcBorders>
                    <w:tl2br w:val="nil"/>
                    <w:tr2bl w:val="nil"/>
                  </w:tcBorders>
                  <w:vAlign w:val="center"/>
                </w:tcPr>
                <w:p w14:paraId="0D339A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cs="Times New Roman"/>
                      <w:color w:val="auto"/>
                      <w:spacing w:val="0"/>
                      <w:szCs w:val="21"/>
                      <w:highlight w:val="none"/>
                      <w:lang w:val="en-US" w:eastAsia="zh-CN"/>
                    </w:rPr>
                    <w:t>0</w:t>
                  </w:r>
                </w:p>
              </w:tc>
              <w:tc>
                <w:tcPr>
                  <w:tcW w:w="1571" w:type="pct"/>
                  <w:tcBorders>
                    <w:tl2br w:val="nil"/>
                    <w:tr2bl w:val="nil"/>
                  </w:tcBorders>
                  <w:vAlign w:val="center"/>
                </w:tcPr>
                <w:p w14:paraId="379B7C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olor w:val="auto"/>
                      <w:kern w:val="0"/>
                      <w:highlight w:val="none"/>
                    </w:rPr>
                  </w:pPr>
                  <w:r>
                    <w:rPr>
                      <w:rFonts w:hint="default"/>
                      <w:color w:val="auto"/>
                      <w:kern w:val="0"/>
                      <w:highlight w:val="none"/>
                      <w:lang w:val="en-US" w:eastAsia="zh-CN"/>
                    </w:rPr>
                    <w:t>由厂家回收处理</w:t>
                  </w:r>
                </w:p>
              </w:tc>
            </w:tr>
            <w:tr w14:paraId="00AE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continue"/>
                  <w:tcBorders>
                    <w:tl2br w:val="nil"/>
                    <w:tr2bl w:val="nil"/>
                  </w:tcBorders>
                  <w:vAlign w:val="center"/>
                </w:tcPr>
                <w:p w14:paraId="12F7A7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p>
              </w:tc>
              <w:tc>
                <w:tcPr>
                  <w:tcW w:w="656" w:type="pct"/>
                  <w:tcBorders>
                    <w:tl2br w:val="nil"/>
                    <w:tr2bl w:val="nil"/>
                  </w:tcBorders>
                  <w:vAlign w:val="center"/>
                </w:tcPr>
                <w:p w14:paraId="36A10C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cs="Times New Roman"/>
                      <w:color w:val="auto"/>
                      <w:spacing w:val="0"/>
                      <w:szCs w:val="21"/>
                      <w:highlight w:val="none"/>
                      <w:lang w:val="en-US" w:eastAsia="zh-CN"/>
                    </w:rPr>
                    <w:t>废边角料</w:t>
                  </w:r>
                </w:p>
              </w:tc>
              <w:tc>
                <w:tcPr>
                  <w:tcW w:w="464" w:type="pct"/>
                  <w:tcBorders>
                    <w:tl2br w:val="nil"/>
                    <w:tr2bl w:val="nil"/>
                  </w:tcBorders>
                  <w:vAlign w:val="center"/>
                </w:tcPr>
                <w:p w14:paraId="7436B2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pacing w:val="0"/>
                      <w:szCs w:val="21"/>
                      <w:highlight w:val="none"/>
                      <w:lang w:val="en-US" w:eastAsia="zh-CN"/>
                    </w:rPr>
                  </w:pPr>
                  <w:r>
                    <w:rPr>
                      <w:rFonts w:hint="eastAsia" w:ascii="Times New Roman" w:hAnsi="Times New Roman" w:eastAsia="宋体" w:cs="Times New Roman"/>
                      <w:color w:val="auto"/>
                      <w:spacing w:val="0"/>
                      <w:szCs w:val="21"/>
                      <w:highlight w:val="none"/>
                      <w:lang w:val="en-US" w:eastAsia="zh-CN"/>
                    </w:rPr>
                    <w:t>SW59</w:t>
                  </w:r>
                </w:p>
              </w:tc>
              <w:tc>
                <w:tcPr>
                  <w:tcW w:w="518" w:type="pct"/>
                  <w:tcBorders>
                    <w:tl2br w:val="nil"/>
                    <w:tr2bl w:val="nil"/>
                  </w:tcBorders>
                  <w:vAlign w:val="center"/>
                </w:tcPr>
                <w:p w14:paraId="13FEE1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s="Times New Roman"/>
                      <w:color w:val="auto"/>
                      <w:sz w:val="21"/>
                      <w:szCs w:val="21"/>
                      <w:highlight w:val="none"/>
                      <w:lang w:val="en-US" w:eastAsia="zh-CN"/>
                    </w:rPr>
                  </w:pPr>
                  <w:r>
                    <w:rPr>
                      <w:rFonts w:hint="eastAsia" w:cs="Times New Roman"/>
                      <w:b w:val="0"/>
                      <w:bCs w:val="0"/>
                      <w:color w:val="auto"/>
                      <w:spacing w:val="0"/>
                      <w:kern w:val="2"/>
                      <w:sz w:val="21"/>
                      <w:szCs w:val="21"/>
                      <w:highlight w:val="none"/>
                      <w:vertAlign w:val="baseline"/>
                      <w:lang w:val="en-US" w:eastAsia="zh-CN" w:bidi="ar-SA"/>
                    </w:rPr>
                    <w:t>2924.19</w:t>
                  </w:r>
                </w:p>
              </w:tc>
              <w:tc>
                <w:tcPr>
                  <w:tcW w:w="670" w:type="pct"/>
                  <w:tcBorders>
                    <w:tl2br w:val="nil"/>
                    <w:tr2bl w:val="nil"/>
                  </w:tcBorders>
                  <w:vAlign w:val="center"/>
                </w:tcPr>
                <w:p w14:paraId="6D4A1A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cs="Times New Roman"/>
                      <w:color w:val="auto"/>
                      <w:sz w:val="21"/>
                      <w:szCs w:val="21"/>
                      <w:highlight w:val="none"/>
                      <w:lang w:val="en-US" w:eastAsia="zh-CN"/>
                    </w:rPr>
                  </w:pPr>
                  <w:r>
                    <w:rPr>
                      <w:rFonts w:hint="eastAsia" w:cs="Times New Roman"/>
                      <w:b w:val="0"/>
                      <w:bCs w:val="0"/>
                      <w:color w:val="auto"/>
                      <w:spacing w:val="0"/>
                      <w:kern w:val="2"/>
                      <w:sz w:val="21"/>
                      <w:szCs w:val="21"/>
                      <w:highlight w:val="none"/>
                      <w:vertAlign w:val="baseline"/>
                      <w:lang w:val="en-US" w:eastAsia="zh-CN" w:bidi="ar-SA"/>
                    </w:rPr>
                    <w:t>2924.19</w:t>
                  </w:r>
                </w:p>
              </w:tc>
              <w:tc>
                <w:tcPr>
                  <w:tcW w:w="518" w:type="pct"/>
                  <w:tcBorders>
                    <w:tl2br w:val="nil"/>
                    <w:tr2bl w:val="nil"/>
                  </w:tcBorders>
                  <w:vAlign w:val="center"/>
                </w:tcPr>
                <w:p w14:paraId="5EEE97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cs="Times New Roman"/>
                      <w:color w:val="auto"/>
                      <w:spacing w:val="0"/>
                      <w:szCs w:val="21"/>
                      <w:highlight w:val="none"/>
                      <w:lang w:val="en-US" w:eastAsia="zh-CN"/>
                    </w:rPr>
                    <w:t>0</w:t>
                  </w:r>
                </w:p>
              </w:tc>
              <w:tc>
                <w:tcPr>
                  <w:tcW w:w="1571" w:type="pct"/>
                  <w:tcBorders>
                    <w:tl2br w:val="nil"/>
                    <w:tr2bl w:val="nil"/>
                  </w:tcBorders>
                  <w:vAlign w:val="center"/>
                </w:tcPr>
                <w:p w14:paraId="48446A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cs="Times New Roman"/>
                      <w:color w:val="auto"/>
                      <w:spacing w:val="0"/>
                      <w:szCs w:val="21"/>
                      <w:highlight w:val="none"/>
                      <w:lang w:val="en-US" w:eastAsia="zh-CN"/>
                    </w:rPr>
                  </w:pPr>
                  <w:r>
                    <w:rPr>
                      <w:rFonts w:hint="default"/>
                      <w:color w:val="auto"/>
                      <w:kern w:val="0"/>
                      <w:highlight w:val="none"/>
                    </w:rPr>
                    <w:t>暂存在生产车间内，</w:t>
                  </w:r>
                  <w:r>
                    <w:rPr>
                      <w:rFonts w:hint="eastAsia" w:cs="Times New Roman"/>
                      <w:color w:val="auto"/>
                      <w:spacing w:val="0"/>
                      <w:szCs w:val="21"/>
                      <w:highlight w:val="none"/>
                      <w:lang w:val="en-US" w:eastAsia="zh-CN"/>
                    </w:rPr>
                    <w:t>收集后外售废品收购站</w:t>
                  </w:r>
                </w:p>
              </w:tc>
            </w:tr>
            <w:tr w14:paraId="106D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restart"/>
                  <w:tcBorders>
                    <w:tl2br w:val="nil"/>
                    <w:tr2bl w:val="nil"/>
                  </w:tcBorders>
                  <w:vAlign w:val="center"/>
                </w:tcPr>
                <w:p w14:paraId="6F39C6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Cs w:val="21"/>
                      <w:highlight w:val="none"/>
                      <w:lang w:val="en-US" w:eastAsia="zh-CN"/>
                    </w:rPr>
                  </w:pPr>
                  <w:r>
                    <w:rPr>
                      <w:rFonts w:hint="eastAsia" w:ascii="Times New Roman" w:hAnsi="Times New Roman" w:eastAsia="宋体" w:cs="Times New Roman"/>
                      <w:color w:val="auto"/>
                      <w:spacing w:val="0"/>
                      <w:kern w:val="0"/>
                      <w:szCs w:val="21"/>
                      <w:highlight w:val="none"/>
                      <w:lang w:val="en-US" w:eastAsia="zh-CN"/>
                    </w:rPr>
                    <w:t>危险废物</w:t>
                  </w:r>
                </w:p>
              </w:tc>
              <w:tc>
                <w:tcPr>
                  <w:tcW w:w="656" w:type="pct"/>
                  <w:tcBorders>
                    <w:tl2br w:val="nil"/>
                    <w:tr2bl w:val="nil"/>
                  </w:tcBorders>
                  <w:vAlign w:val="center"/>
                </w:tcPr>
                <w:p w14:paraId="74A89D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Cs w:val="21"/>
                      <w:highlight w:val="none"/>
                      <w:lang w:val="en-US" w:eastAsia="zh-CN"/>
                    </w:rPr>
                    <w:t>废矿物油</w:t>
                  </w:r>
                </w:p>
              </w:tc>
              <w:tc>
                <w:tcPr>
                  <w:tcW w:w="464" w:type="pct"/>
                  <w:tcBorders>
                    <w:tl2br w:val="nil"/>
                    <w:tr2bl w:val="nil"/>
                  </w:tcBorders>
                  <w:vAlign w:val="center"/>
                </w:tcPr>
                <w:p w14:paraId="0C64B3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Cs w:val="21"/>
                      <w:highlight w:val="none"/>
                      <w:lang w:val="en-US" w:eastAsia="zh-CN"/>
                    </w:rPr>
                    <w:t>HW08</w:t>
                  </w:r>
                </w:p>
              </w:tc>
              <w:tc>
                <w:tcPr>
                  <w:tcW w:w="518" w:type="pct"/>
                  <w:tcBorders>
                    <w:tl2br w:val="nil"/>
                    <w:tr2bl w:val="nil"/>
                  </w:tcBorders>
                  <w:vAlign w:val="center"/>
                </w:tcPr>
                <w:p w14:paraId="1EE359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3</w:t>
                  </w:r>
                </w:p>
              </w:tc>
              <w:tc>
                <w:tcPr>
                  <w:tcW w:w="670" w:type="pct"/>
                  <w:tcBorders>
                    <w:tl2br w:val="nil"/>
                    <w:tr2bl w:val="nil"/>
                  </w:tcBorders>
                  <w:vAlign w:val="center"/>
                </w:tcPr>
                <w:p w14:paraId="7DA7A2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0</w:t>
                  </w:r>
                </w:p>
              </w:tc>
              <w:tc>
                <w:tcPr>
                  <w:tcW w:w="518" w:type="pct"/>
                  <w:tcBorders>
                    <w:tl2br w:val="nil"/>
                    <w:tr2bl w:val="nil"/>
                  </w:tcBorders>
                  <w:vAlign w:val="center"/>
                </w:tcPr>
                <w:p w14:paraId="01C45F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3</w:t>
                  </w:r>
                </w:p>
              </w:tc>
              <w:tc>
                <w:tcPr>
                  <w:tcW w:w="1571" w:type="pct"/>
                  <w:vMerge w:val="restart"/>
                  <w:tcBorders>
                    <w:tl2br w:val="nil"/>
                    <w:tr2bl w:val="nil"/>
                  </w:tcBorders>
                  <w:vAlign w:val="center"/>
                </w:tcPr>
                <w:p w14:paraId="501916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分区</w:t>
                  </w:r>
                  <w:r>
                    <w:rPr>
                      <w:rFonts w:hint="default" w:ascii="Times New Roman" w:hAnsi="Times New Roman" w:eastAsia="宋体" w:cs="Times New Roman"/>
                      <w:color w:val="auto"/>
                      <w:spacing w:val="0"/>
                      <w:kern w:val="2"/>
                      <w:sz w:val="21"/>
                      <w:szCs w:val="21"/>
                      <w:highlight w:val="none"/>
                      <w:lang w:val="en-US" w:eastAsia="zh-CN" w:bidi="ar-SA"/>
                    </w:rPr>
                    <w:t>暂存于</w:t>
                  </w:r>
                  <w:r>
                    <w:rPr>
                      <w:rFonts w:hint="eastAsia" w:cs="Times New Roman"/>
                      <w:color w:val="auto"/>
                      <w:spacing w:val="0"/>
                      <w:kern w:val="2"/>
                      <w:sz w:val="21"/>
                      <w:szCs w:val="21"/>
                      <w:highlight w:val="none"/>
                      <w:lang w:val="en-US" w:eastAsia="zh-CN" w:bidi="ar-SA"/>
                    </w:rPr>
                    <w:t>厂区现有危废贮存库</w:t>
                  </w:r>
                  <w:r>
                    <w:rPr>
                      <w:rFonts w:hint="default" w:ascii="Times New Roman" w:hAnsi="Times New Roman" w:eastAsia="宋体" w:cs="Times New Roman"/>
                      <w:color w:val="auto"/>
                      <w:spacing w:val="0"/>
                      <w:kern w:val="2"/>
                      <w:sz w:val="21"/>
                      <w:szCs w:val="21"/>
                      <w:highlight w:val="none"/>
                      <w:lang w:val="en-US" w:eastAsia="zh-CN" w:bidi="ar-SA"/>
                    </w:rPr>
                    <w:t>，定期</w:t>
                  </w:r>
                  <w:r>
                    <w:rPr>
                      <w:rFonts w:hint="eastAsia" w:ascii="Times New Roman" w:hAnsi="Times New Roman" w:eastAsia="宋体" w:cs="Times New Roman"/>
                      <w:color w:val="auto"/>
                      <w:spacing w:val="0"/>
                      <w:kern w:val="2"/>
                      <w:sz w:val="21"/>
                      <w:szCs w:val="21"/>
                      <w:highlight w:val="none"/>
                      <w:lang w:val="en-US" w:eastAsia="zh-CN" w:bidi="ar-SA"/>
                    </w:rPr>
                    <w:t>交</w:t>
                  </w:r>
                  <w:r>
                    <w:rPr>
                      <w:rFonts w:hint="default" w:ascii="Times New Roman" w:hAnsi="Times New Roman" w:eastAsia="宋体" w:cs="Times New Roman"/>
                      <w:color w:val="auto"/>
                      <w:spacing w:val="0"/>
                      <w:kern w:val="2"/>
                      <w:sz w:val="21"/>
                      <w:szCs w:val="21"/>
                      <w:highlight w:val="none"/>
                      <w:lang w:val="en-US" w:eastAsia="zh-CN" w:bidi="ar-SA"/>
                    </w:rPr>
                    <w:t>由有资质单位处置</w:t>
                  </w:r>
                </w:p>
              </w:tc>
            </w:tr>
            <w:tr w14:paraId="096C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continue"/>
                  <w:tcBorders>
                    <w:tl2br w:val="nil"/>
                    <w:tr2bl w:val="nil"/>
                  </w:tcBorders>
                  <w:vAlign w:val="center"/>
                </w:tcPr>
                <w:p w14:paraId="65C1C0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Cs w:val="21"/>
                      <w:highlight w:val="none"/>
                      <w:lang w:val="en-US" w:eastAsia="zh-CN"/>
                    </w:rPr>
                  </w:pPr>
                </w:p>
              </w:tc>
              <w:tc>
                <w:tcPr>
                  <w:tcW w:w="656" w:type="pct"/>
                  <w:tcBorders>
                    <w:tl2br w:val="nil"/>
                    <w:tr2bl w:val="nil"/>
                  </w:tcBorders>
                  <w:vAlign w:val="center"/>
                </w:tcPr>
                <w:p w14:paraId="70DDF4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废液压油</w:t>
                  </w:r>
                </w:p>
              </w:tc>
              <w:tc>
                <w:tcPr>
                  <w:tcW w:w="464" w:type="pct"/>
                  <w:tcBorders>
                    <w:tl2br w:val="nil"/>
                    <w:tr2bl w:val="nil"/>
                  </w:tcBorders>
                  <w:vAlign w:val="center"/>
                </w:tcPr>
                <w:p w14:paraId="75068A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Cs w:val="21"/>
                      <w:highlight w:val="none"/>
                      <w:lang w:val="en-US" w:eastAsia="zh-CN"/>
                    </w:rPr>
                    <w:t>HW08</w:t>
                  </w:r>
                </w:p>
              </w:tc>
              <w:tc>
                <w:tcPr>
                  <w:tcW w:w="518" w:type="pct"/>
                  <w:tcBorders>
                    <w:tl2br w:val="nil"/>
                    <w:tr2bl w:val="nil"/>
                  </w:tcBorders>
                  <w:vAlign w:val="center"/>
                </w:tcPr>
                <w:p w14:paraId="016851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p>
              </w:tc>
              <w:tc>
                <w:tcPr>
                  <w:tcW w:w="670" w:type="pct"/>
                  <w:tcBorders>
                    <w:tl2br w:val="nil"/>
                    <w:tr2bl w:val="nil"/>
                  </w:tcBorders>
                  <w:vAlign w:val="center"/>
                </w:tcPr>
                <w:p w14:paraId="1517CD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0</w:t>
                  </w:r>
                </w:p>
              </w:tc>
              <w:tc>
                <w:tcPr>
                  <w:tcW w:w="518" w:type="pct"/>
                  <w:tcBorders>
                    <w:tl2br w:val="nil"/>
                    <w:tr2bl w:val="nil"/>
                  </w:tcBorders>
                  <w:vAlign w:val="center"/>
                </w:tcPr>
                <w:p w14:paraId="640769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p>
              </w:tc>
              <w:tc>
                <w:tcPr>
                  <w:tcW w:w="1571" w:type="pct"/>
                  <w:vMerge w:val="continue"/>
                  <w:tcBorders>
                    <w:tl2br w:val="nil"/>
                    <w:tr2bl w:val="nil"/>
                  </w:tcBorders>
                  <w:vAlign w:val="center"/>
                </w:tcPr>
                <w:p w14:paraId="448099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r>
            <w:tr w14:paraId="2A43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continue"/>
                  <w:tcBorders>
                    <w:tl2br w:val="nil"/>
                    <w:tr2bl w:val="nil"/>
                  </w:tcBorders>
                  <w:vAlign w:val="center"/>
                </w:tcPr>
                <w:p w14:paraId="226340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Cs w:val="21"/>
                      <w:highlight w:val="none"/>
                      <w:lang w:val="en-US" w:eastAsia="zh-CN"/>
                    </w:rPr>
                  </w:pPr>
                </w:p>
              </w:tc>
              <w:tc>
                <w:tcPr>
                  <w:tcW w:w="656" w:type="pct"/>
                  <w:tcBorders>
                    <w:tl2br w:val="nil"/>
                    <w:tr2bl w:val="nil"/>
                  </w:tcBorders>
                  <w:vAlign w:val="center"/>
                </w:tcPr>
                <w:p w14:paraId="195B05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eastAsia" w:cs="Times New Roman"/>
                      <w:color w:val="auto"/>
                      <w:spacing w:val="0"/>
                      <w:szCs w:val="21"/>
                      <w:highlight w:val="none"/>
                      <w:lang w:val="en-US" w:eastAsia="zh-CN"/>
                    </w:rPr>
                    <w:t>废润滑油</w:t>
                  </w:r>
                </w:p>
              </w:tc>
              <w:tc>
                <w:tcPr>
                  <w:tcW w:w="464" w:type="pct"/>
                  <w:tcBorders>
                    <w:tl2br w:val="nil"/>
                    <w:tr2bl w:val="nil"/>
                  </w:tcBorders>
                  <w:vAlign w:val="center"/>
                </w:tcPr>
                <w:p w14:paraId="0DBA45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1"/>
                      <w:highlight w:val="none"/>
                      <w:lang w:val="en-US" w:eastAsia="zh-CN"/>
                    </w:rPr>
                  </w:pPr>
                  <w:r>
                    <w:rPr>
                      <w:rFonts w:hint="default" w:ascii="Times New Roman" w:hAnsi="Times New Roman" w:eastAsia="宋体" w:cs="Times New Roman"/>
                      <w:color w:val="auto"/>
                      <w:spacing w:val="0"/>
                      <w:szCs w:val="21"/>
                      <w:highlight w:val="none"/>
                      <w:lang w:val="en-US" w:eastAsia="zh-CN"/>
                    </w:rPr>
                    <w:t>HW08</w:t>
                  </w:r>
                </w:p>
              </w:tc>
              <w:tc>
                <w:tcPr>
                  <w:tcW w:w="518" w:type="pct"/>
                  <w:tcBorders>
                    <w:tl2br w:val="nil"/>
                    <w:tr2bl w:val="nil"/>
                  </w:tcBorders>
                  <w:vAlign w:val="center"/>
                </w:tcPr>
                <w:p w14:paraId="5C5D48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p>
              </w:tc>
              <w:tc>
                <w:tcPr>
                  <w:tcW w:w="670" w:type="pct"/>
                  <w:tcBorders>
                    <w:tl2br w:val="nil"/>
                    <w:tr2bl w:val="nil"/>
                  </w:tcBorders>
                  <w:vAlign w:val="center"/>
                </w:tcPr>
                <w:p w14:paraId="6646A2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0</w:t>
                  </w:r>
                </w:p>
              </w:tc>
              <w:tc>
                <w:tcPr>
                  <w:tcW w:w="518" w:type="pct"/>
                  <w:tcBorders>
                    <w:tl2br w:val="nil"/>
                    <w:tr2bl w:val="nil"/>
                  </w:tcBorders>
                  <w:vAlign w:val="center"/>
                </w:tcPr>
                <w:p w14:paraId="42BC6E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p>
              </w:tc>
              <w:tc>
                <w:tcPr>
                  <w:tcW w:w="1571" w:type="pct"/>
                  <w:vMerge w:val="continue"/>
                  <w:tcBorders>
                    <w:tl2br w:val="nil"/>
                    <w:tr2bl w:val="nil"/>
                  </w:tcBorders>
                  <w:vAlign w:val="center"/>
                </w:tcPr>
                <w:p w14:paraId="330265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r>
            <w:tr w14:paraId="7E5A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599" w:type="pct"/>
                  <w:vMerge w:val="continue"/>
                  <w:tcBorders>
                    <w:tl2br w:val="nil"/>
                    <w:tr2bl w:val="nil"/>
                  </w:tcBorders>
                  <w:vAlign w:val="center"/>
                </w:tcPr>
                <w:p w14:paraId="2AA350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0"/>
                      <w:szCs w:val="21"/>
                      <w:highlight w:val="none"/>
                      <w:lang w:val="en-US" w:eastAsia="zh-CN"/>
                    </w:rPr>
                  </w:pPr>
                </w:p>
              </w:tc>
              <w:tc>
                <w:tcPr>
                  <w:tcW w:w="656" w:type="pct"/>
                  <w:tcBorders>
                    <w:tl2br w:val="nil"/>
                    <w:tr2bl w:val="nil"/>
                  </w:tcBorders>
                  <w:vAlign w:val="center"/>
                </w:tcPr>
                <w:p w14:paraId="7F7387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Cs w:val="21"/>
                      <w:highlight w:val="none"/>
                      <w:lang w:val="en-US" w:eastAsia="zh-CN"/>
                    </w:rPr>
                  </w:pPr>
                  <w:r>
                    <w:rPr>
                      <w:rFonts w:hint="default" w:ascii="Times New Roman" w:hAnsi="Times New Roman" w:eastAsia="宋体" w:cs="Times New Roman"/>
                      <w:color w:val="auto"/>
                      <w:spacing w:val="0"/>
                      <w:szCs w:val="21"/>
                      <w:highlight w:val="none"/>
                      <w:lang w:val="en-US" w:eastAsia="zh-CN"/>
                    </w:rPr>
                    <w:t>废油桶</w:t>
                  </w:r>
                </w:p>
              </w:tc>
              <w:tc>
                <w:tcPr>
                  <w:tcW w:w="464" w:type="pct"/>
                  <w:tcBorders>
                    <w:tl2br w:val="nil"/>
                    <w:tr2bl w:val="nil"/>
                  </w:tcBorders>
                  <w:vAlign w:val="center"/>
                </w:tcPr>
                <w:p w14:paraId="06EF75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szCs w:val="21"/>
                      <w:highlight w:val="none"/>
                      <w:lang w:val="en-US" w:eastAsia="zh-CN"/>
                    </w:rPr>
                  </w:pPr>
                  <w:r>
                    <w:rPr>
                      <w:rFonts w:hint="default" w:ascii="Times New Roman" w:hAnsi="Times New Roman" w:eastAsia="宋体" w:cs="Times New Roman"/>
                      <w:color w:val="auto"/>
                      <w:spacing w:val="0"/>
                      <w:szCs w:val="21"/>
                      <w:highlight w:val="none"/>
                      <w:lang w:val="en-US" w:eastAsia="zh-CN"/>
                    </w:rPr>
                    <w:t>HW08</w:t>
                  </w:r>
                </w:p>
              </w:tc>
              <w:tc>
                <w:tcPr>
                  <w:tcW w:w="518" w:type="pct"/>
                  <w:tcBorders>
                    <w:tl2br w:val="nil"/>
                    <w:tr2bl w:val="nil"/>
                  </w:tcBorders>
                  <w:vAlign w:val="center"/>
                </w:tcPr>
                <w:p w14:paraId="536FD0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eastAsia="宋体" w:cs="Times New Roman"/>
                      <w:bCs/>
                      <w:color w:val="auto"/>
                      <w:kern w:val="2"/>
                      <w:sz w:val="21"/>
                      <w:szCs w:val="21"/>
                      <w:highlight w:val="none"/>
                      <w:lang w:val="en-US" w:eastAsia="zh-CN" w:bidi="ar-SA"/>
                    </w:rPr>
                    <w:t>2</w:t>
                  </w:r>
                </w:p>
              </w:tc>
              <w:tc>
                <w:tcPr>
                  <w:tcW w:w="670" w:type="pct"/>
                  <w:tcBorders>
                    <w:tl2br w:val="nil"/>
                    <w:tr2bl w:val="nil"/>
                  </w:tcBorders>
                  <w:vAlign w:val="center"/>
                </w:tcPr>
                <w:p w14:paraId="073F9B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0</w:t>
                  </w:r>
                </w:p>
              </w:tc>
              <w:tc>
                <w:tcPr>
                  <w:tcW w:w="518" w:type="pct"/>
                  <w:tcBorders>
                    <w:tl2br w:val="nil"/>
                    <w:tr2bl w:val="nil"/>
                  </w:tcBorders>
                  <w:vAlign w:val="center"/>
                </w:tcPr>
                <w:p w14:paraId="7A04D2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eastAsia="宋体" w:cs="Times New Roman"/>
                      <w:bCs/>
                      <w:color w:val="auto"/>
                      <w:kern w:val="2"/>
                      <w:sz w:val="21"/>
                      <w:szCs w:val="21"/>
                      <w:highlight w:val="none"/>
                      <w:lang w:val="en-US" w:eastAsia="zh-CN" w:bidi="ar-SA"/>
                    </w:rPr>
                    <w:t>2</w:t>
                  </w:r>
                </w:p>
              </w:tc>
              <w:tc>
                <w:tcPr>
                  <w:tcW w:w="1571" w:type="pct"/>
                  <w:vMerge w:val="continue"/>
                  <w:tcBorders>
                    <w:tl2br w:val="nil"/>
                    <w:tr2bl w:val="nil"/>
                  </w:tcBorders>
                  <w:vAlign w:val="center"/>
                </w:tcPr>
                <w:p w14:paraId="435DC3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p>
              </w:tc>
            </w:tr>
          </w:tbl>
          <w:p w14:paraId="45BFC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cs="Times New Roman"/>
                <w:bCs/>
                <w:color w:val="auto"/>
                <w:sz w:val="24"/>
                <w:highlight w:val="none"/>
                <w:lang w:val="en-US" w:eastAsia="zh-CN"/>
              </w:rPr>
            </w:pPr>
            <w:r>
              <w:rPr>
                <w:rFonts w:hint="eastAsia" w:cs="Times New Roman"/>
                <w:bCs/>
                <w:color w:val="auto"/>
                <w:sz w:val="24"/>
                <w:highlight w:val="none"/>
                <w:lang w:val="en-US" w:eastAsia="zh-CN"/>
              </w:rPr>
              <w:t>①生活垃圾</w:t>
            </w:r>
          </w:p>
          <w:p w14:paraId="5C2D306B">
            <w:pPr>
              <w:pStyle w:val="4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textAlignment w:val="auto"/>
              <w:rPr>
                <w:rFonts w:hint="default"/>
                <w:color w:val="auto"/>
                <w:highlight w:val="none"/>
                <w:lang w:val="en-US" w:eastAsia="zh-CN"/>
              </w:rPr>
            </w:pPr>
            <w:r>
              <w:rPr>
                <w:rFonts w:hint="default" w:ascii="Times New Roman" w:hAnsi="Times New Roman" w:cs="Times New Roman"/>
                <w:color w:val="auto"/>
                <w:sz w:val="24"/>
                <w:szCs w:val="24"/>
                <w:highlight w:val="none"/>
              </w:rPr>
              <w:t>本项目职工日常办公、生活会产生生活垃圾，根据我国生活污染源产排污系数，生活垃圾产生量人均按0.5kg/d.人计，本项目职工共有</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人，</w:t>
            </w:r>
            <w:r>
              <w:rPr>
                <w:rFonts w:hint="eastAsia" w:cs="Times New Roman"/>
                <w:color w:val="auto"/>
                <w:sz w:val="24"/>
                <w:szCs w:val="24"/>
                <w:highlight w:val="none"/>
                <w:lang w:val="en-US" w:eastAsia="zh-CN"/>
              </w:rPr>
              <w:t>年工作330d，</w:t>
            </w:r>
            <w:r>
              <w:rPr>
                <w:rFonts w:hint="default" w:ascii="Times New Roman" w:hAnsi="Times New Roman" w:cs="Times New Roman"/>
                <w:color w:val="auto"/>
                <w:sz w:val="24"/>
                <w:szCs w:val="24"/>
                <w:highlight w:val="none"/>
              </w:rPr>
              <w:t>预计生活垃圾总产生量为</w:t>
            </w:r>
            <w:r>
              <w:rPr>
                <w:rFonts w:hint="eastAsia"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9</w:t>
            </w:r>
            <w:r>
              <w:rPr>
                <w:rFonts w:hint="eastAsia" w:ascii="Times New Roman" w:hAnsi="Times New Roman" w:cs="Times New Roman"/>
                <w:color w:val="auto"/>
                <w:sz w:val="24"/>
                <w:szCs w:val="24"/>
                <w:highlight w:val="none"/>
                <w:lang w:val="en-US" w:eastAsia="zh-CN"/>
              </w:rPr>
              <w:t>5t/a</w:t>
            </w:r>
            <w:r>
              <w:rPr>
                <w:rFonts w:hint="default" w:ascii="Times New Roman" w:hAnsi="Times New Roman" w:cs="Times New Roman"/>
                <w:color w:val="auto"/>
                <w:sz w:val="24"/>
                <w:szCs w:val="24"/>
                <w:highlight w:val="none"/>
              </w:rPr>
              <w:t>。厂内设封闭式分类垃圾收集箱若干，将生活垃圾集中分类收集后运送至环卫部门指定的地点进行统一处置，严禁生活垃圾在厂区内长期堆存，随意丢弃</w:t>
            </w:r>
            <w:r>
              <w:rPr>
                <w:rFonts w:hint="eastAsia" w:ascii="Times New Roman" w:hAnsi="Times New Roman" w:cs="Times New Roman"/>
                <w:color w:val="auto"/>
                <w:sz w:val="24"/>
                <w:szCs w:val="24"/>
                <w:highlight w:val="none"/>
                <w:lang w:eastAsia="zh-CN"/>
              </w:rPr>
              <w:t>。</w:t>
            </w:r>
          </w:p>
          <w:p w14:paraId="3D3801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eastAsia" w:cs="Times New Roman"/>
                <w:bCs/>
                <w:color w:val="auto"/>
                <w:sz w:val="24"/>
                <w:highlight w:val="none"/>
                <w:lang w:val="en-US" w:eastAsia="zh-CN"/>
              </w:rPr>
              <w:t>②</w:t>
            </w:r>
            <w:r>
              <w:rPr>
                <w:rFonts w:hint="default" w:ascii="Times New Roman" w:hAnsi="Times New Roman" w:eastAsia="宋体" w:cs="Times New Roman"/>
                <w:bCs/>
                <w:color w:val="auto"/>
                <w:sz w:val="24"/>
                <w:highlight w:val="none"/>
              </w:rPr>
              <w:t>除尘器</w:t>
            </w:r>
            <w:r>
              <w:rPr>
                <w:rFonts w:hint="default" w:ascii="Times New Roman" w:hAnsi="Times New Roman" w:eastAsia="宋体" w:cs="Times New Roman"/>
                <w:bCs/>
                <w:color w:val="auto"/>
                <w:sz w:val="24"/>
                <w:highlight w:val="none"/>
                <w:lang w:val="en-US" w:eastAsia="zh-CN"/>
              </w:rPr>
              <w:t>除尘灰</w:t>
            </w:r>
          </w:p>
          <w:p w14:paraId="49C3068D">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lang w:val="en-US"/>
              </w:rPr>
            </w:pPr>
            <w:r>
              <w:rPr>
                <w:rFonts w:hint="eastAsia" w:ascii="Times New Roman" w:hAnsi="Times New Roman" w:eastAsia="宋体" w:cs="Times New Roman"/>
                <w:color w:val="auto"/>
                <w:sz w:val="24"/>
                <w:highlight w:val="none"/>
                <w:lang w:val="en-US" w:eastAsia="zh-CN"/>
              </w:rPr>
              <w:t>各工序除尘器收集的除尘灰产生量约75.81t/a，暂存在生产车间内，收集后外售废品收购站。</w:t>
            </w:r>
          </w:p>
          <w:p w14:paraId="1669E7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cs="Times New Roman"/>
                <w:bCs/>
                <w:color w:val="auto"/>
                <w:sz w:val="24"/>
                <w:highlight w:val="none"/>
                <w:lang w:val="en-US" w:eastAsia="zh-CN"/>
              </w:rPr>
            </w:pPr>
            <w:r>
              <w:rPr>
                <w:rFonts w:hint="eastAsia" w:cs="Times New Roman"/>
                <w:bCs/>
                <w:color w:val="auto"/>
                <w:sz w:val="24"/>
                <w:highlight w:val="none"/>
                <w:lang w:val="en-US" w:eastAsia="zh-CN"/>
              </w:rPr>
              <w:t>③废布袋</w:t>
            </w:r>
          </w:p>
          <w:p w14:paraId="51951781">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建设单位需</w:t>
            </w:r>
            <w:r>
              <w:rPr>
                <w:rFonts w:hint="eastAsia" w:ascii="Times New Roman" w:hAnsi="Times New Roman" w:eastAsia="宋体" w:cs="Times New Roman"/>
                <w:color w:val="auto"/>
                <w:sz w:val="24"/>
                <w:szCs w:val="24"/>
                <w:highlight w:val="none"/>
                <w:lang w:val="en-US" w:eastAsia="zh-CN"/>
              </w:rPr>
              <w:t>2年</w:t>
            </w:r>
            <w:r>
              <w:rPr>
                <w:rFonts w:hint="default" w:ascii="Times New Roman" w:hAnsi="Times New Roman" w:eastAsia="宋体" w:cs="Times New Roman"/>
                <w:color w:val="auto"/>
                <w:sz w:val="24"/>
                <w:szCs w:val="24"/>
                <w:highlight w:val="none"/>
                <w:lang w:val="en-US" w:eastAsia="zh-CN"/>
              </w:rPr>
              <w:t>更换</w:t>
            </w:r>
            <w:r>
              <w:rPr>
                <w:rFonts w:hint="eastAsia" w:ascii="Times New Roman" w:hAnsi="Times New Roman" w:eastAsia="宋体" w:cs="Times New Roman"/>
                <w:color w:val="auto"/>
                <w:sz w:val="24"/>
                <w:szCs w:val="24"/>
                <w:highlight w:val="none"/>
                <w:lang w:val="en-US" w:eastAsia="zh-CN"/>
              </w:rPr>
              <w:t>一次布袋除尘器中</w:t>
            </w:r>
            <w:r>
              <w:rPr>
                <w:rFonts w:hint="default" w:ascii="Times New Roman" w:hAnsi="Times New Roman" w:eastAsia="宋体" w:cs="Times New Roman"/>
                <w:color w:val="auto"/>
                <w:sz w:val="24"/>
                <w:szCs w:val="24"/>
                <w:highlight w:val="none"/>
                <w:lang w:val="en-US" w:eastAsia="zh-CN"/>
              </w:rPr>
              <w:t>布袋，废布袋产生量</w:t>
            </w:r>
            <w:r>
              <w:rPr>
                <w:rFonts w:hint="eastAsia" w:ascii="Times New Roman" w:hAnsi="Times New Roman" w:eastAsia="宋体" w:cs="Times New Roman"/>
                <w:color w:val="auto"/>
                <w:sz w:val="24"/>
                <w:szCs w:val="24"/>
                <w:highlight w:val="none"/>
                <w:lang w:val="en-US" w:eastAsia="zh-CN"/>
              </w:rPr>
              <w:t>约</w:t>
            </w:r>
            <w:r>
              <w:rPr>
                <w:rFonts w:hint="default" w:ascii="Times New Roman" w:hAnsi="Times New Roman" w:eastAsia="宋体" w:cs="Times New Roman"/>
                <w:color w:val="auto"/>
                <w:sz w:val="24"/>
                <w:szCs w:val="24"/>
                <w:highlight w:val="none"/>
                <w:lang w:val="en-US" w:eastAsia="zh-CN"/>
              </w:rPr>
              <w:t>为0.</w:t>
            </w:r>
            <w:r>
              <w:rPr>
                <w:rFonts w:hint="eastAsia" w:cs="Times New Roman"/>
                <w:color w:val="auto"/>
                <w:sz w:val="24"/>
                <w:szCs w:val="24"/>
                <w:highlight w:val="none"/>
                <w:lang w:val="en-US" w:eastAsia="zh-CN"/>
              </w:rPr>
              <w:t>05</w:t>
            </w:r>
            <w:r>
              <w:rPr>
                <w:rFonts w:hint="default" w:ascii="Times New Roman" w:hAnsi="Times New Roman" w:eastAsia="宋体" w:cs="Times New Roman"/>
                <w:color w:val="auto"/>
                <w:sz w:val="24"/>
                <w:szCs w:val="24"/>
                <w:highlight w:val="none"/>
                <w:lang w:val="en-US" w:eastAsia="zh-CN"/>
              </w:rPr>
              <w:t>t/a，由厂家回收处理。</w:t>
            </w:r>
          </w:p>
          <w:p w14:paraId="2E293E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sz w:val="24"/>
                <w:highlight w:val="none"/>
                <w:lang w:val="en-US" w:eastAsia="zh-CN"/>
              </w:rPr>
            </w:pPr>
            <w:r>
              <w:rPr>
                <w:rFonts w:hint="eastAsia" w:cs="Times New Roman"/>
                <w:bCs/>
                <w:color w:val="auto"/>
                <w:sz w:val="24"/>
                <w:highlight w:val="none"/>
                <w:lang w:val="en-US" w:eastAsia="zh-CN"/>
              </w:rPr>
              <w:t>④废边角料</w:t>
            </w:r>
          </w:p>
          <w:p w14:paraId="3200B088">
            <w:pPr>
              <w:keepNext w:val="0"/>
              <w:keepLines w:val="0"/>
              <w:pageBreakBefore w:val="0"/>
              <w:widowControl w:val="0"/>
              <w:suppressLineNumbers w:val="0"/>
              <w:kinsoku/>
              <w:wordWrap/>
              <w:overflowPunct/>
              <w:topLinePunct w:val="0"/>
              <w:bidi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lang w:val="en-US"/>
              </w:rPr>
            </w:pPr>
            <w:r>
              <w:rPr>
                <w:rFonts w:hint="eastAsia" w:cs="Times New Roman"/>
                <w:bCs/>
                <w:color w:val="auto"/>
                <w:sz w:val="24"/>
                <w:highlight w:val="none"/>
                <w:lang w:val="en-US" w:eastAsia="zh-CN"/>
              </w:rPr>
              <w:t>热压成型过程中产生的废边角料产生量约2924.19</w:t>
            </w:r>
            <w:r>
              <w:rPr>
                <w:rFonts w:hint="eastAsia" w:ascii="Times New Roman" w:hAnsi="Times New Roman" w:eastAsia="宋体" w:cs="Times New Roman"/>
                <w:color w:val="auto"/>
                <w:sz w:val="24"/>
                <w:highlight w:val="none"/>
                <w:lang w:val="en-US" w:eastAsia="zh-CN"/>
              </w:rPr>
              <w:t>t/a，暂存在生产车间内，收集后外售废品收购站。</w:t>
            </w:r>
          </w:p>
          <w:p w14:paraId="58A080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Cs/>
                <w:color w:val="auto"/>
                <w:sz w:val="24"/>
                <w:highlight w:val="none"/>
                <w:lang w:val="en-US" w:eastAsia="zh-CN"/>
              </w:rPr>
            </w:pPr>
            <w:r>
              <w:rPr>
                <w:rFonts w:hint="eastAsia" w:cs="Times New Roman"/>
                <w:bCs/>
                <w:color w:val="auto"/>
                <w:sz w:val="24"/>
                <w:highlight w:val="none"/>
                <w:lang w:val="en-US" w:eastAsia="zh-CN"/>
              </w:rPr>
              <w:t>⑤危险废物</w:t>
            </w:r>
          </w:p>
          <w:p w14:paraId="1DE7C015">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厂区现有</w:t>
            </w:r>
            <w:r>
              <w:rPr>
                <w:rFonts w:hint="eastAsia"/>
                <w:bCs/>
                <w:color w:val="auto"/>
                <w:sz w:val="24"/>
                <w:highlight w:val="none"/>
                <w:lang w:eastAsia="zh-CN"/>
              </w:rPr>
              <w:t>危废贮存</w:t>
            </w:r>
            <w:r>
              <w:rPr>
                <w:rFonts w:hint="eastAsia"/>
                <w:bCs/>
                <w:color w:val="auto"/>
                <w:sz w:val="24"/>
                <w:highlight w:val="none"/>
                <w:lang w:val="en-US" w:eastAsia="zh-CN"/>
              </w:rPr>
              <w:t>库已</w:t>
            </w:r>
            <w:r>
              <w:rPr>
                <w:rFonts w:hint="eastAsia"/>
                <w:bCs/>
                <w:color w:val="auto"/>
                <w:sz w:val="24"/>
                <w:highlight w:val="none"/>
              </w:rPr>
              <w:t>按照《危险废物贮存污染控制标准》（GB18597-2023）相关要求</w:t>
            </w:r>
            <w:r>
              <w:rPr>
                <w:rFonts w:hint="eastAsia"/>
                <w:bCs/>
                <w:color w:val="auto"/>
                <w:sz w:val="24"/>
                <w:highlight w:val="none"/>
                <w:lang w:val="en-US" w:eastAsia="zh-CN"/>
              </w:rPr>
              <w:t>建设，已</w:t>
            </w:r>
            <w:r>
              <w:rPr>
                <w:rFonts w:hint="eastAsia"/>
                <w:bCs/>
                <w:color w:val="auto"/>
                <w:sz w:val="24"/>
                <w:highlight w:val="none"/>
              </w:rPr>
              <w:t>采取必要的防风、防晒、防雨、防漏、防渗、防腐以及其他环境污染防治措施，不露天堆放危险废物，可有效防止临时存放过程中的二次污染，危险废物贮存库</w:t>
            </w:r>
            <w:r>
              <w:rPr>
                <w:rFonts w:hint="eastAsia"/>
                <w:bCs/>
                <w:color w:val="auto"/>
                <w:sz w:val="24"/>
                <w:highlight w:val="none"/>
                <w:lang w:val="en-US" w:eastAsia="zh-CN"/>
              </w:rPr>
              <w:t>已</w:t>
            </w:r>
            <w:r>
              <w:rPr>
                <w:rFonts w:hint="eastAsia"/>
                <w:bCs/>
                <w:color w:val="auto"/>
                <w:sz w:val="24"/>
                <w:highlight w:val="none"/>
              </w:rPr>
              <w:t>按照贮存物质特性分区存放（每个项目单独设置存放区），每个项目指定专人进行管理。</w:t>
            </w:r>
            <w:r>
              <w:rPr>
                <w:rFonts w:hint="eastAsia"/>
                <w:bCs/>
                <w:color w:val="auto"/>
                <w:sz w:val="24"/>
                <w:highlight w:val="none"/>
                <w:lang w:val="en-US" w:eastAsia="zh-CN"/>
              </w:rPr>
              <w:t>已</w:t>
            </w:r>
            <w:r>
              <w:rPr>
                <w:rFonts w:hint="eastAsia"/>
                <w:bCs/>
                <w:color w:val="auto"/>
                <w:sz w:val="24"/>
                <w:highlight w:val="none"/>
              </w:rPr>
              <w:t>按照《危险废物识别标志设置技术规范》（HJ2176-2022）要求设置相应的危废标识。</w:t>
            </w:r>
          </w:p>
          <w:p w14:paraId="138016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本项目生产过程各设备</w:t>
            </w:r>
            <w:r>
              <w:rPr>
                <w:rFonts w:hint="eastAsia" w:ascii="Times New Roman" w:hAnsi="Times New Roman" w:eastAsia="宋体" w:cs="Times New Roman"/>
                <w:bCs/>
                <w:color w:val="auto"/>
                <w:sz w:val="24"/>
                <w:highlight w:val="none"/>
                <w:lang w:val="en-US" w:eastAsia="zh-CN"/>
              </w:rPr>
              <w:t>需日常维修保养，在此过程中</w:t>
            </w:r>
            <w:r>
              <w:rPr>
                <w:rFonts w:hint="default" w:ascii="Times New Roman" w:hAnsi="Times New Roman" w:eastAsia="宋体" w:cs="Times New Roman"/>
                <w:bCs/>
                <w:color w:val="auto"/>
                <w:sz w:val="24"/>
                <w:highlight w:val="none"/>
                <w:lang w:val="en-US" w:eastAsia="zh-CN"/>
              </w:rPr>
              <w:t>会产生少量废矿物油</w:t>
            </w:r>
            <w:r>
              <w:rPr>
                <w:rFonts w:hint="eastAsia" w:ascii="Times New Roman" w:hAnsi="Times New Roman" w:eastAsia="宋体" w:cs="Times New Roman"/>
                <w:bCs/>
                <w:color w:val="auto"/>
                <w:sz w:val="24"/>
                <w:highlight w:val="none"/>
                <w:lang w:val="en-US" w:eastAsia="zh-CN"/>
              </w:rPr>
              <w:t>、</w:t>
            </w:r>
            <w:r>
              <w:rPr>
                <w:rFonts w:hint="eastAsia" w:cs="Times New Roman"/>
                <w:bCs/>
                <w:color w:val="auto"/>
                <w:sz w:val="24"/>
                <w:highlight w:val="none"/>
                <w:lang w:val="en-US" w:eastAsia="zh-CN"/>
              </w:rPr>
              <w:t>废液压油、废润滑油</w:t>
            </w:r>
            <w:r>
              <w:rPr>
                <w:rFonts w:hint="eastAsia" w:ascii="Times New Roman" w:hAnsi="Times New Roman" w:eastAsia="宋体" w:cs="Times New Roman"/>
                <w:bCs/>
                <w:color w:val="auto"/>
                <w:sz w:val="24"/>
                <w:highlight w:val="none"/>
                <w:lang w:val="en-US" w:eastAsia="zh-CN"/>
              </w:rPr>
              <w:t>及废油桶</w:t>
            </w:r>
            <w:r>
              <w:rPr>
                <w:rFonts w:hint="default" w:ascii="Times New Roman" w:hAnsi="Times New Roman" w:eastAsia="宋体" w:cs="Times New Roman"/>
                <w:bCs/>
                <w:color w:val="auto"/>
                <w:sz w:val="24"/>
                <w:highlight w:val="none"/>
                <w:lang w:val="en-US" w:eastAsia="zh-CN"/>
              </w:rPr>
              <w:t>，按照《国家危险废物名录》（202</w:t>
            </w:r>
            <w:r>
              <w:rPr>
                <w:rFonts w:hint="eastAsia" w:ascii="Times New Roman" w:hAnsi="Times New Roman" w:eastAsia="宋体" w:cs="Times New Roman"/>
                <w:bCs/>
                <w:color w:val="auto"/>
                <w:sz w:val="24"/>
                <w:highlight w:val="none"/>
                <w:lang w:val="en-US" w:eastAsia="zh-CN"/>
              </w:rPr>
              <w:t>5</w:t>
            </w:r>
            <w:r>
              <w:rPr>
                <w:rFonts w:hint="default" w:ascii="Times New Roman" w:hAnsi="Times New Roman" w:eastAsia="宋体" w:cs="Times New Roman"/>
                <w:bCs/>
                <w:color w:val="auto"/>
                <w:sz w:val="24"/>
                <w:highlight w:val="none"/>
                <w:lang w:val="en-US" w:eastAsia="zh-CN"/>
              </w:rPr>
              <w:t>年版），废矿物油</w:t>
            </w:r>
            <w:r>
              <w:rPr>
                <w:rFonts w:hint="eastAsia" w:ascii="Times New Roman" w:hAnsi="Times New Roman" w:eastAsia="宋体" w:cs="Times New Roman"/>
                <w:bCs/>
                <w:color w:val="auto"/>
                <w:sz w:val="24"/>
                <w:highlight w:val="none"/>
                <w:lang w:val="en-US" w:eastAsia="zh-CN"/>
              </w:rPr>
              <w:t>、</w:t>
            </w:r>
            <w:r>
              <w:rPr>
                <w:rFonts w:hint="eastAsia" w:cs="Times New Roman"/>
                <w:bCs/>
                <w:color w:val="auto"/>
                <w:sz w:val="24"/>
                <w:highlight w:val="none"/>
                <w:lang w:val="en-US" w:eastAsia="zh-CN"/>
              </w:rPr>
              <w:t>废液压油、废润滑油</w:t>
            </w:r>
            <w:r>
              <w:rPr>
                <w:rFonts w:hint="eastAsia" w:ascii="Times New Roman" w:hAnsi="Times New Roman" w:eastAsia="宋体" w:cs="Times New Roman"/>
                <w:bCs/>
                <w:color w:val="auto"/>
                <w:sz w:val="24"/>
                <w:highlight w:val="none"/>
                <w:lang w:val="en-US" w:eastAsia="zh-CN"/>
              </w:rPr>
              <w:t>及废油桶</w:t>
            </w:r>
            <w:r>
              <w:rPr>
                <w:rFonts w:hint="default" w:ascii="Times New Roman" w:hAnsi="Times New Roman" w:eastAsia="宋体" w:cs="Times New Roman"/>
                <w:bCs/>
                <w:color w:val="auto"/>
                <w:sz w:val="24"/>
                <w:highlight w:val="none"/>
                <w:lang w:val="en-US" w:eastAsia="zh-CN"/>
              </w:rPr>
              <w:t>属于危险废物，废矿物油产生量约为</w:t>
            </w:r>
            <w:r>
              <w:rPr>
                <w:rFonts w:hint="eastAsia" w:ascii="Times New Roman" w:hAnsi="Times New Roman" w:eastAsia="宋体" w:cs="Times New Roman"/>
                <w:bCs/>
                <w:color w:val="auto"/>
                <w:sz w:val="24"/>
                <w:highlight w:val="none"/>
                <w:lang w:val="en-US" w:eastAsia="zh-CN"/>
              </w:rPr>
              <w:t>0.</w:t>
            </w:r>
            <w:r>
              <w:rPr>
                <w:rFonts w:hint="eastAsia" w:cs="Times New Roman"/>
                <w:bCs/>
                <w:color w:val="auto"/>
                <w:sz w:val="24"/>
                <w:highlight w:val="none"/>
                <w:lang w:val="en-US" w:eastAsia="zh-CN"/>
              </w:rPr>
              <w:t>3</w:t>
            </w:r>
            <w:r>
              <w:rPr>
                <w:rFonts w:hint="eastAsia" w:ascii="Times New Roman" w:hAnsi="Times New Roman" w:eastAsia="宋体" w:cs="Times New Roman"/>
                <w:bCs/>
                <w:color w:val="auto"/>
                <w:sz w:val="24"/>
                <w:highlight w:val="none"/>
                <w:lang w:val="en-US" w:eastAsia="zh-CN"/>
              </w:rPr>
              <w:t>t/a，</w:t>
            </w:r>
            <w:r>
              <w:rPr>
                <w:rFonts w:hint="eastAsia" w:cs="Times New Roman"/>
                <w:bCs/>
                <w:color w:val="auto"/>
                <w:sz w:val="24"/>
                <w:highlight w:val="none"/>
                <w:lang w:val="en-US" w:eastAsia="zh-CN"/>
              </w:rPr>
              <w:t>废液压油</w:t>
            </w:r>
            <w:r>
              <w:rPr>
                <w:rFonts w:hint="default" w:ascii="Times New Roman" w:hAnsi="Times New Roman" w:eastAsia="宋体" w:cs="Times New Roman"/>
                <w:bCs/>
                <w:color w:val="auto"/>
                <w:sz w:val="24"/>
                <w:highlight w:val="none"/>
                <w:lang w:val="en-US" w:eastAsia="zh-CN"/>
              </w:rPr>
              <w:t>产生量约为</w:t>
            </w:r>
            <w:r>
              <w:rPr>
                <w:rFonts w:hint="eastAsia" w:ascii="Times New Roman" w:hAnsi="Times New Roman" w:eastAsia="宋体" w:cs="Times New Roman"/>
                <w:bCs/>
                <w:color w:val="auto"/>
                <w:sz w:val="24"/>
                <w:highlight w:val="none"/>
                <w:lang w:val="en-US" w:eastAsia="zh-CN"/>
              </w:rPr>
              <w:t>0.</w:t>
            </w:r>
            <w:r>
              <w:rPr>
                <w:rFonts w:hint="eastAsia" w:cs="Times New Roman"/>
                <w:bCs/>
                <w:color w:val="auto"/>
                <w:sz w:val="24"/>
                <w:highlight w:val="none"/>
                <w:lang w:val="en-US" w:eastAsia="zh-CN"/>
              </w:rPr>
              <w:t>1</w:t>
            </w:r>
            <w:r>
              <w:rPr>
                <w:rFonts w:hint="eastAsia" w:ascii="Times New Roman" w:hAnsi="Times New Roman" w:eastAsia="宋体" w:cs="Times New Roman"/>
                <w:bCs/>
                <w:color w:val="auto"/>
                <w:sz w:val="24"/>
                <w:highlight w:val="none"/>
                <w:lang w:val="en-US" w:eastAsia="zh-CN"/>
              </w:rPr>
              <w:t>t/a，</w:t>
            </w:r>
            <w:r>
              <w:rPr>
                <w:rFonts w:hint="eastAsia" w:cs="Times New Roman"/>
                <w:bCs/>
                <w:color w:val="auto"/>
                <w:sz w:val="24"/>
                <w:highlight w:val="none"/>
                <w:lang w:val="en-US" w:eastAsia="zh-CN"/>
              </w:rPr>
              <w:t>废润滑油</w:t>
            </w:r>
            <w:r>
              <w:rPr>
                <w:rFonts w:hint="default" w:ascii="Times New Roman" w:hAnsi="Times New Roman" w:eastAsia="宋体" w:cs="Times New Roman"/>
                <w:bCs/>
                <w:color w:val="auto"/>
                <w:sz w:val="24"/>
                <w:highlight w:val="none"/>
                <w:lang w:val="en-US" w:eastAsia="zh-CN"/>
              </w:rPr>
              <w:t>产生量约为</w:t>
            </w:r>
            <w:r>
              <w:rPr>
                <w:rFonts w:hint="eastAsia" w:ascii="Times New Roman" w:hAnsi="Times New Roman" w:eastAsia="宋体" w:cs="Times New Roman"/>
                <w:bCs/>
                <w:color w:val="auto"/>
                <w:sz w:val="24"/>
                <w:highlight w:val="none"/>
                <w:lang w:val="en-US" w:eastAsia="zh-CN"/>
              </w:rPr>
              <w:t>0.</w:t>
            </w:r>
            <w:r>
              <w:rPr>
                <w:rFonts w:hint="eastAsia" w:cs="Times New Roman"/>
                <w:bCs/>
                <w:color w:val="auto"/>
                <w:sz w:val="24"/>
                <w:highlight w:val="none"/>
                <w:lang w:val="en-US" w:eastAsia="zh-CN"/>
              </w:rPr>
              <w:t>1</w:t>
            </w:r>
            <w:r>
              <w:rPr>
                <w:rFonts w:hint="eastAsia" w:ascii="Times New Roman" w:hAnsi="Times New Roman" w:eastAsia="宋体" w:cs="Times New Roman"/>
                <w:bCs/>
                <w:color w:val="auto"/>
                <w:sz w:val="24"/>
                <w:highlight w:val="none"/>
                <w:lang w:val="en-US" w:eastAsia="zh-CN"/>
              </w:rPr>
              <w:t>t/a，废油桶产生量约0.</w:t>
            </w:r>
            <w:r>
              <w:rPr>
                <w:rFonts w:hint="eastAsia" w:cs="Times New Roman"/>
                <w:bCs/>
                <w:color w:val="auto"/>
                <w:sz w:val="24"/>
                <w:highlight w:val="none"/>
                <w:lang w:val="en-US" w:eastAsia="zh-CN"/>
              </w:rPr>
              <w:t>2</w:t>
            </w:r>
            <w:r>
              <w:rPr>
                <w:rFonts w:hint="eastAsia" w:ascii="Times New Roman" w:hAnsi="Times New Roman" w:eastAsia="宋体" w:cs="Times New Roman"/>
                <w:bCs/>
                <w:color w:val="auto"/>
                <w:sz w:val="24"/>
                <w:highlight w:val="none"/>
                <w:lang w:val="en-US" w:eastAsia="zh-CN"/>
              </w:rPr>
              <w:t>t/a</w:t>
            </w:r>
            <w:r>
              <w:rPr>
                <w:rFonts w:hint="default" w:ascii="Times New Roman" w:hAnsi="Times New Roman" w:eastAsia="宋体" w:cs="Times New Roman"/>
                <w:bCs/>
                <w:color w:val="auto"/>
                <w:sz w:val="24"/>
                <w:highlight w:val="none"/>
                <w:lang w:val="en-US" w:eastAsia="zh-CN"/>
              </w:rPr>
              <w:t>。</w:t>
            </w:r>
            <w:r>
              <w:rPr>
                <w:rFonts w:hint="eastAsia" w:eastAsia="宋体" w:cs="Times New Roman"/>
                <w:bCs/>
                <w:color w:val="auto"/>
                <w:sz w:val="24"/>
                <w:highlight w:val="none"/>
                <w:lang w:val="en-US" w:eastAsia="zh-CN"/>
              </w:rPr>
              <w:t>依托</w:t>
            </w:r>
            <w:r>
              <w:rPr>
                <w:rFonts w:hint="default" w:ascii="Times New Roman" w:hAnsi="Times New Roman" w:eastAsia="宋体" w:cs="Times New Roman"/>
                <w:color w:val="auto"/>
                <w:sz w:val="24"/>
                <w:szCs w:val="24"/>
                <w:highlight w:val="none"/>
              </w:rPr>
              <w:t>厂区东南</w:t>
            </w:r>
            <w:r>
              <w:rPr>
                <w:rFonts w:hint="eastAsia" w:ascii="Times New Roman" w:hAnsi="Times New Roman" w:eastAsia="宋体" w:cs="Times New Roman"/>
                <w:color w:val="auto"/>
                <w:sz w:val="24"/>
                <w:szCs w:val="24"/>
                <w:highlight w:val="none"/>
                <w:lang w:val="en-US" w:eastAsia="zh-CN"/>
              </w:rPr>
              <w:t>侧</w:t>
            </w:r>
            <w:r>
              <w:rPr>
                <w:rFonts w:hint="default" w:ascii="Times New Roman" w:hAnsi="Times New Roman" w:eastAsia="宋体" w:cs="Times New Roman"/>
                <w:color w:val="auto"/>
                <w:sz w:val="24"/>
                <w:szCs w:val="24"/>
                <w:highlight w:val="none"/>
                <w:lang w:val="en-US" w:eastAsia="zh-CN"/>
              </w:rPr>
              <w:t>现有1座占地面积约500m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rPr>
              <w:t>危废</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pacing w:val="0"/>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rPr>
              <w:t>入口设置</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0mm围堰</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pacing w:val="0"/>
                <w:sz w:val="24"/>
                <w:szCs w:val="24"/>
                <w:highlight w:val="none"/>
                <w:vertAlign w:val="baseline"/>
                <w:lang w:val="en-US" w:eastAsia="zh-CN"/>
              </w:rPr>
              <w:t>库内地面已做硬化及防渗处理，</w:t>
            </w:r>
            <w:r>
              <w:rPr>
                <w:rFonts w:hint="default" w:ascii="Times New Roman" w:hAnsi="Times New Roman" w:eastAsia="宋体" w:cs="Times New Roman"/>
                <w:color w:val="auto"/>
                <w:sz w:val="24"/>
                <w:szCs w:val="24"/>
                <w:highlight w:val="none"/>
              </w:rPr>
              <w:t>设置导流槽、集液池，</w:t>
            </w:r>
            <w:r>
              <w:rPr>
                <w:rFonts w:hint="default" w:ascii="Times New Roman" w:hAnsi="Times New Roman" w:eastAsia="宋体" w:cs="Times New Roman"/>
                <w:color w:val="auto"/>
                <w:kern w:val="0"/>
                <w:sz w:val="24"/>
                <w:szCs w:val="24"/>
                <w:highlight w:val="none"/>
              </w:rPr>
              <w:t>各类危废进行分区存放</w:t>
            </w:r>
            <w:r>
              <w:rPr>
                <w:rFonts w:hint="default" w:ascii="Times New Roman" w:hAnsi="Times New Roman" w:eastAsia="宋体" w:cs="Times New Roman"/>
                <w:color w:val="auto"/>
                <w:spacing w:val="0"/>
                <w:sz w:val="24"/>
                <w:szCs w:val="24"/>
                <w:highlight w:val="none"/>
                <w:lang w:val="en-US" w:eastAsia="zh-CN"/>
              </w:rPr>
              <w:t>，</w:t>
            </w:r>
            <w:r>
              <w:rPr>
                <w:rFonts w:hint="eastAsia" w:cs="Times New Roman"/>
                <w:color w:val="auto"/>
                <w:spacing w:val="0"/>
                <w:sz w:val="24"/>
                <w:szCs w:val="20"/>
                <w:highlight w:val="none"/>
                <w:lang w:val="en-US" w:eastAsia="zh-CN"/>
              </w:rPr>
              <w:t>在废油液贮存区上方设置集气罩，废气由引风管引入一套活性炭吸附装置进行净化处理后经15m高排气筒排放。本项目产生的</w:t>
            </w:r>
            <w:r>
              <w:rPr>
                <w:rFonts w:hint="default" w:ascii="Times New Roman" w:hAnsi="Times New Roman" w:eastAsia="宋体" w:cs="Times New Roman"/>
                <w:color w:val="auto"/>
                <w:spacing w:val="0"/>
                <w:sz w:val="24"/>
                <w:szCs w:val="24"/>
                <w:highlight w:val="none"/>
                <w:vertAlign w:val="baseline"/>
                <w:lang w:val="en-US" w:eastAsia="zh-CN"/>
              </w:rPr>
              <w:t>废矿物油、</w:t>
            </w:r>
            <w:r>
              <w:rPr>
                <w:rFonts w:hint="eastAsia" w:cs="Times New Roman"/>
                <w:bCs/>
                <w:color w:val="auto"/>
                <w:sz w:val="24"/>
                <w:highlight w:val="none"/>
                <w:lang w:val="en-US" w:eastAsia="zh-CN"/>
              </w:rPr>
              <w:t>废液压油、废润滑油</w:t>
            </w:r>
            <w:r>
              <w:rPr>
                <w:rFonts w:hint="eastAsia" w:ascii="Times New Roman" w:hAnsi="Times New Roman" w:eastAsia="宋体" w:cs="Times New Roman"/>
                <w:bCs/>
                <w:color w:val="auto"/>
                <w:sz w:val="24"/>
                <w:highlight w:val="none"/>
                <w:lang w:val="en-US" w:eastAsia="zh-CN"/>
              </w:rPr>
              <w:t>及废油桶</w:t>
            </w:r>
            <w:r>
              <w:rPr>
                <w:rFonts w:hint="eastAsia" w:eastAsia="宋体" w:cs="Times New Roman"/>
                <w:bCs/>
                <w:color w:val="auto"/>
                <w:sz w:val="24"/>
                <w:highlight w:val="none"/>
                <w:lang w:val="en-US" w:eastAsia="zh-CN"/>
              </w:rPr>
              <w:t>应</w:t>
            </w:r>
            <w:r>
              <w:rPr>
                <w:rFonts w:hint="default" w:ascii="Times New Roman" w:hAnsi="Times New Roman" w:eastAsia="宋体" w:cs="Times New Roman"/>
                <w:color w:val="auto"/>
                <w:spacing w:val="0"/>
                <w:sz w:val="24"/>
                <w:szCs w:val="24"/>
                <w:highlight w:val="none"/>
                <w:vertAlign w:val="baseline"/>
                <w:lang w:val="en-US" w:eastAsia="zh-CN"/>
              </w:rPr>
              <w:t>分区</w:t>
            </w:r>
            <w:r>
              <w:rPr>
                <w:rFonts w:hint="default" w:ascii="Times New Roman" w:hAnsi="Times New Roman" w:eastAsia="宋体" w:cs="Times New Roman"/>
                <w:color w:val="auto"/>
                <w:spacing w:val="0"/>
                <w:sz w:val="24"/>
                <w:szCs w:val="24"/>
                <w:highlight w:val="none"/>
                <w:lang w:val="en-US" w:eastAsia="zh-CN"/>
              </w:rPr>
              <w:t>暂存于危废贮存</w:t>
            </w:r>
            <w:r>
              <w:rPr>
                <w:rFonts w:hint="default" w:ascii="Times New Roman" w:hAnsi="Times New Roman" w:eastAsia="宋体" w:cs="Times New Roman"/>
                <w:color w:val="auto"/>
                <w:spacing w:val="0"/>
                <w:sz w:val="24"/>
                <w:szCs w:val="24"/>
                <w:highlight w:val="none"/>
                <w:vertAlign w:val="baseline"/>
                <w:lang w:val="en-US" w:eastAsia="zh-CN"/>
              </w:rPr>
              <w:t>库内</w:t>
            </w:r>
            <w:r>
              <w:rPr>
                <w:rFonts w:hint="default" w:ascii="Times New Roman" w:hAnsi="Times New Roman" w:eastAsia="宋体" w:cs="Times New Roman"/>
                <w:color w:val="auto"/>
                <w:spacing w:val="0"/>
                <w:sz w:val="24"/>
                <w:szCs w:val="24"/>
                <w:highlight w:val="none"/>
                <w:lang w:val="en-US" w:eastAsia="zh-CN"/>
              </w:rPr>
              <w:t>，定期委托有资质单位处置</w:t>
            </w:r>
            <w:r>
              <w:rPr>
                <w:rFonts w:hint="eastAsia" w:ascii="Times New Roman" w:hAnsi="Times New Roman" w:eastAsia="宋体" w:cs="Times New Roman"/>
                <w:color w:val="auto"/>
                <w:spacing w:val="0"/>
                <w:sz w:val="24"/>
                <w:szCs w:val="24"/>
                <w:highlight w:val="none"/>
                <w:lang w:val="en-US" w:eastAsia="zh-CN"/>
              </w:rPr>
              <w:t>。</w:t>
            </w:r>
          </w:p>
          <w:p w14:paraId="52B1CA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ascii="Times New Roman" w:hAnsi="Times New Roman" w:eastAsia="黑体" w:cs="Times New Roman"/>
                <w:b w:val="0"/>
                <w:bCs w:val="0"/>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18</w:t>
            </w:r>
            <w:r>
              <w:rPr>
                <w:rFonts w:hint="default" w:ascii="Times New Roman" w:hAnsi="Times New Roman" w:eastAsia="宋体" w:cs="Times New Roman"/>
                <w:b/>
                <w:bCs/>
                <w:color w:val="auto"/>
                <w:kern w:val="2"/>
                <w:sz w:val="21"/>
                <w:szCs w:val="21"/>
                <w:highlight w:val="none"/>
                <w:lang w:val="en-US" w:eastAsia="zh-CN" w:bidi="ar-SA"/>
              </w:rPr>
              <w:t xml:space="preserve">  项目危险废物汇总情况</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671"/>
              <w:gridCol w:w="1972"/>
              <w:gridCol w:w="1703"/>
              <w:gridCol w:w="1811"/>
              <w:gridCol w:w="1986"/>
            </w:tblGrid>
            <w:tr w14:paraId="4AE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450CE6F3">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危险废物名称</w:t>
                  </w:r>
                </w:p>
              </w:tc>
              <w:tc>
                <w:tcPr>
                  <w:tcW w:w="1078" w:type="pct"/>
                  <w:tcBorders>
                    <w:tl2br w:val="nil"/>
                    <w:tr2bl w:val="nil"/>
                  </w:tcBorders>
                  <w:shd w:val="clear" w:color="auto" w:fill="auto"/>
                  <w:noWrap w:val="0"/>
                  <w:vAlign w:val="center"/>
                </w:tcPr>
                <w:p w14:paraId="5E234B99">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废</w:t>
                  </w:r>
                  <w:r>
                    <w:rPr>
                      <w:rFonts w:hint="eastAsia" w:ascii="Times New Roman" w:hAnsi="Times New Roman" w:eastAsia="宋体" w:cs="Times New Roman"/>
                      <w:color w:val="auto"/>
                      <w:highlight w:val="none"/>
                      <w:lang w:val="en-US" w:eastAsia="zh-CN"/>
                    </w:rPr>
                    <w:t>矿物油</w:t>
                  </w:r>
                </w:p>
              </w:tc>
              <w:tc>
                <w:tcPr>
                  <w:tcW w:w="931" w:type="pct"/>
                  <w:tcBorders>
                    <w:tl2br w:val="nil"/>
                    <w:tr2bl w:val="nil"/>
                  </w:tcBorders>
                  <w:shd w:val="clear" w:color="auto" w:fill="auto"/>
                  <w:noWrap w:val="0"/>
                  <w:vAlign w:val="center"/>
                </w:tcPr>
                <w:p w14:paraId="69F2128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废液压油</w:t>
                  </w:r>
                </w:p>
              </w:tc>
              <w:tc>
                <w:tcPr>
                  <w:tcW w:w="990" w:type="pct"/>
                  <w:tcBorders>
                    <w:tl2br w:val="nil"/>
                    <w:tr2bl w:val="nil"/>
                  </w:tcBorders>
                  <w:shd w:val="clear" w:color="auto" w:fill="auto"/>
                  <w:noWrap w:val="0"/>
                  <w:vAlign w:val="center"/>
                </w:tcPr>
                <w:p w14:paraId="5EC4D88F">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eastAsia" w:cs="Times New Roman"/>
                      <w:bCs/>
                      <w:color w:val="auto"/>
                      <w:sz w:val="21"/>
                      <w:szCs w:val="21"/>
                      <w:highlight w:val="none"/>
                      <w:lang w:val="en-US" w:eastAsia="zh-CN"/>
                    </w:rPr>
                    <w:t>废润滑油</w:t>
                  </w:r>
                </w:p>
              </w:tc>
              <w:tc>
                <w:tcPr>
                  <w:tcW w:w="1085" w:type="pct"/>
                  <w:tcBorders>
                    <w:tl2br w:val="nil"/>
                    <w:tr2bl w:val="nil"/>
                  </w:tcBorders>
                  <w:shd w:val="clear" w:color="auto" w:fill="auto"/>
                  <w:noWrap w:val="0"/>
                  <w:vAlign w:val="center"/>
                </w:tcPr>
                <w:p w14:paraId="1F52F0F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废</w:t>
                  </w:r>
                  <w:r>
                    <w:rPr>
                      <w:rFonts w:hint="eastAsia" w:ascii="Times New Roman" w:hAnsi="Times New Roman" w:eastAsia="宋体" w:cs="Times New Roman"/>
                      <w:color w:val="auto"/>
                      <w:highlight w:val="none"/>
                      <w:lang w:val="en-US" w:eastAsia="zh-CN"/>
                    </w:rPr>
                    <w:t>油桶</w:t>
                  </w:r>
                </w:p>
              </w:tc>
            </w:tr>
            <w:tr w14:paraId="45D8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6C601345">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危险废物类别</w:t>
                  </w:r>
                </w:p>
              </w:tc>
              <w:tc>
                <w:tcPr>
                  <w:tcW w:w="1078" w:type="pct"/>
                  <w:tcBorders>
                    <w:tl2br w:val="nil"/>
                    <w:tr2bl w:val="nil"/>
                  </w:tcBorders>
                  <w:shd w:val="clear" w:color="auto" w:fill="auto"/>
                  <w:noWrap w:val="0"/>
                  <w:vAlign w:val="center"/>
                </w:tcPr>
                <w:p w14:paraId="2F15CABB">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HW08</w:t>
                  </w:r>
                </w:p>
              </w:tc>
              <w:tc>
                <w:tcPr>
                  <w:tcW w:w="931" w:type="pct"/>
                  <w:tcBorders>
                    <w:tl2br w:val="nil"/>
                    <w:tr2bl w:val="nil"/>
                  </w:tcBorders>
                  <w:shd w:val="clear" w:color="auto" w:fill="auto"/>
                  <w:noWrap w:val="0"/>
                  <w:vAlign w:val="center"/>
                </w:tcPr>
                <w:p w14:paraId="165366B5">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HW08</w:t>
                  </w:r>
                </w:p>
              </w:tc>
              <w:tc>
                <w:tcPr>
                  <w:tcW w:w="990" w:type="pct"/>
                  <w:tcBorders>
                    <w:tl2br w:val="nil"/>
                    <w:tr2bl w:val="nil"/>
                  </w:tcBorders>
                  <w:shd w:val="clear" w:color="auto" w:fill="auto"/>
                  <w:noWrap w:val="0"/>
                  <w:vAlign w:val="center"/>
                </w:tcPr>
                <w:p w14:paraId="19AC92C6">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HW08</w:t>
                  </w:r>
                </w:p>
              </w:tc>
              <w:tc>
                <w:tcPr>
                  <w:tcW w:w="1085" w:type="pct"/>
                  <w:tcBorders>
                    <w:tl2br w:val="nil"/>
                    <w:tr2bl w:val="nil"/>
                  </w:tcBorders>
                  <w:shd w:val="clear" w:color="auto" w:fill="auto"/>
                  <w:noWrap w:val="0"/>
                  <w:vAlign w:val="center"/>
                </w:tcPr>
                <w:p w14:paraId="7F6B4DA5">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HW08</w:t>
                  </w:r>
                </w:p>
              </w:tc>
            </w:tr>
            <w:tr w14:paraId="1230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7256EF07">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危险废物代码</w:t>
                  </w:r>
                </w:p>
              </w:tc>
              <w:tc>
                <w:tcPr>
                  <w:tcW w:w="1078" w:type="pct"/>
                  <w:tcBorders>
                    <w:tl2br w:val="nil"/>
                    <w:tr2bl w:val="nil"/>
                  </w:tcBorders>
                  <w:shd w:val="clear" w:color="auto" w:fill="auto"/>
                  <w:noWrap w:val="0"/>
                  <w:vAlign w:val="center"/>
                </w:tcPr>
                <w:p w14:paraId="655A2D9B">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900-2</w:t>
                  </w:r>
                  <w:r>
                    <w:rPr>
                      <w:rFonts w:hint="eastAsia" w:cs="Times New Roman"/>
                      <w:color w:val="auto"/>
                      <w:highlight w:val="none"/>
                      <w:lang w:val="en-US" w:eastAsia="zh-CN"/>
                    </w:rPr>
                    <w:t>49</w:t>
                  </w:r>
                  <w:r>
                    <w:rPr>
                      <w:rFonts w:hint="default" w:ascii="Times New Roman" w:hAnsi="Times New Roman" w:eastAsia="宋体" w:cs="Times New Roman"/>
                      <w:color w:val="auto"/>
                      <w:highlight w:val="none"/>
                    </w:rPr>
                    <w:t>-08</w:t>
                  </w:r>
                </w:p>
              </w:tc>
              <w:tc>
                <w:tcPr>
                  <w:tcW w:w="931" w:type="pct"/>
                  <w:tcBorders>
                    <w:tl2br w:val="nil"/>
                    <w:tr2bl w:val="nil"/>
                  </w:tcBorders>
                  <w:shd w:val="clear" w:color="auto" w:fill="auto"/>
                  <w:noWrap w:val="0"/>
                  <w:vAlign w:val="center"/>
                </w:tcPr>
                <w:p w14:paraId="46902C0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900-218-08</w:t>
                  </w:r>
                </w:p>
              </w:tc>
              <w:tc>
                <w:tcPr>
                  <w:tcW w:w="990" w:type="pct"/>
                  <w:tcBorders>
                    <w:tl2br w:val="nil"/>
                    <w:tr2bl w:val="nil"/>
                  </w:tcBorders>
                  <w:shd w:val="clear" w:color="auto" w:fill="auto"/>
                  <w:noWrap w:val="0"/>
                  <w:vAlign w:val="center"/>
                </w:tcPr>
                <w:p w14:paraId="7C8849B8">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900-214-08</w:t>
                  </w:r>
                </w:p>
              </w:tc>
              <w:tc>
                <w:tcPr>
                  <w:tcW w:w="1085" w:type="pct"/>
                  <w:tcBorders>
                    <w:tl2br w:val="nil"/>
                    <w:tr2bl w:val="nil"/>
                  </w:tcBorders>
                  <w:shd w:val="clear" w:color="auto" w:fill="auto"/>
                  <w:noWrap w:val="0"/>
                  <w:vAlign w:val="center"/>
                </w:tcPr>
                <w:p w14:paraId="72AA9C1D">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900-2</w:t>
                  </w:r>
                  <w:r>
                    <w:rPr>
                      <w:rFonts w:hint="eastAsia" w:cs="Times New Roman"/>
                      <w:color w:val="auto"/>
                      <w:highlight w:val="none"/>
                      <w:lang w:val="en-US" w:eastAsia="zh-CN"/>
                    </w:rPr>
                    <w:t>49</w:t>
                  </w:r>
                  <w:r>
                    <w:rPr>
                      <w:rFonts w:hint="default" w:ascii="Times New Roman" w:hAnsi="Times New Roman" w:eastAsia="宋体" w:cs="Times New Roman"/>
                      <w:color w:val="auto"/>
                      <w:highlight w:val="none"/>
                    </w:rPr>
                    <w:t>-08</w:t>
                  </w:r>
                </w:p>
              </w:tc>
            </w:tr>
            <w:tr w14:paraId="2D6F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522C267E">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b w:val="0"/>
                      <w:bCs w:val="0"/>
                      <w:color w:val="auto"/>
                      <w:highlight w:val="none"/>
                      <w:lang w:eastAsia="zh-CN"/>
                    </w:rPr>
                  </w:pPr>
                  <w:r>
                    <w:rPr>
                      <w:rFonts w:hint="default" w:ascii="Times New Roman" w:hAnsi="Times New Roman" w:eastAsia="宋体" w:cs="Times New Roman"/>
                      <w:b w:val="0"/>
                      <w:bCs w:val="0"/>
                      <w:color w:val="auto"/>
                      <w:highlight w:val="none"/>
                    </w:rPr>
                    <w:t>产生量</w:t>
                  </w:r>
                  <w:r>
                    <w:rPr>
                      <w:rFonts w:hint="eastAsia" w:cs="Times New Roman"/>
                      <w:b w:val="0"/>
                      <w:bCs w:val="0"/>
                      <w:color w:val="auto"/>
                      <w:highlight w:val="none"/>
                      <w:lang w:eastAsia="zh-CN"/>
                    </w:rPr>
                    <w:t>（</w:t>
                  </w:r>
                  <w:r>
                    <w:rPr>
                      <w:rFonts w:hint="default" w:ascii="Times New Roman" w:hAnsi="Times New Roman" w:eastAsia="宋体" w:cs="Times New Roman"/>
                      <w:b w:val="0"/>
                      <w:bCs w:val="0"/>
                      <w:color w:val="auto"/>
                      <w:highlight w:val="none"/>
                    </w:rPr>
                    <w:t>吨/年</w:t>
                  </w:r>
                  <w:r>
                    <w:rPr>
                      <w:rFonts w:hint="eastAsia" w:cs="Times New Roman"/>
                      <w:b w:val="0"/>
                      <w:bCs w:val="0"/>
                      <w:color w:val="auto"/>
                      <w:highlight w:val="none"/>
                      <w:lang w:eastAsia="zh-CN"/>
                    </w:rPr>
                    <w:t>）</w:t>
                  </w:r>
                </w:p>
              </w:tc>
              <w:tc>
                <w:tcPr>
                  <w:tcW w:w="1078" w:type="pct"/>
                  <w:tcBorders>
                    <w:tl2br w:val="nil"/>
                    <w:tr2bl w:val="nil"/>
                  </w:tcBorders>
                  <w:shd w:val="clear" w:color="auto" w:fill="auto"/>
                  <w:noWrap w:val="0"/>
                  <w:vAlign w:val="center"/>
                </w:tcPr>
                <w:p w14:paraId="55491A18">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r>
                    <w:rPr>
                      <w:rFonts w:hint="eastAsia" w:cs="Times New Roman"/>
                      <w:color w:val="auto"/>
                      <w:highlight w:val="none"/>
                      <w:lang w:val="en-US" w:eastAsia="zh-CN"/>
                    </w:rPr>
                    <w:t>3</w:t>
                  </w:r>
                </w:p>
              </w:tc>
              <w:tc>
                <w:tcPr>
                  <w:tcW w:w="931" w:type="pct"/>
                  <w:tcBorders>
                    <w:tl2br w:val="nil"/>
                    <w:tr2bl w:val="nil"/>
                  </w:tcBorders>
                  <w:shd w:val="clear" w:color="auto" w:fill="auto"/>
                  <w:noWrap w:val="0"/>
                  <w:vAlign w:val="center"/>
                </w:tcPr>
                <w:p w14:paraId="73D8F8FD">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r>
                    <w:rPr>
                      <w:rFonts w:hint="eastAsia" w:cs="Times New Roman"/>
                      <w:color w:val="auto"/>
                      <w:highlight w:val="none"/>
                      <w:lang w:val="en-US" w:eastAsia="zh-CN"/>
                    </w:rPr>
                    <w:t>1</w:t>
                  </w:r>
                </w:p>
              </w:tc>
              <w:tc>
                <w:tcPr>
                  <w:tcW w:w="990" w:type="pct"/>
                  <w:tcBorders>
                    <w:tl2br w:val="nil"/>
                    <w:tr2bl w:val="nil"/>
                  </w:tcBorders>
                  <w:shd w:val="clear" w:color="auto" w:fill="auto"/>
                  <w:noWrap w:val="0"/>
                  <w:vAlign w:val="center"/>
                </w:tcPr>
                <w:p w14:paraId="57E75E9E">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0.</w:t>
                  </w:r>
                  <w:r>
                    <w:rPr>
                      <w:rFonts w:hint="eastAsia" w:cs="Times New Roman"/>
                      <w:color w:val="auto"/>
                      <w:highlight w:val="none"/>
                      <w:lang w:val="en-US" w:eastAsia="zh-CN"/>
                    </w:rPr>
                    <w:t>1</w:t>
                  </w:r>
                </w:p>
              </w:tc>
              <w:tc>
                <w:tcPr>
                  <w:tcW w:w="1085" w:type="pct"/>
                  <w:tcBorders>
                    <w:tl2br w:val="nil"/>
                    <w:tr2bl w:val="nil"/>
                  </w:tcBorders>
                  <w:shd w:val="clear" w:color="auto" w:fill="auto"/>
                  <w:noWrap w:val="0"/>
                  <w:vAlign w:val="center"/>
                </w:tcPr>
                <w:p w14:paraId="14121F27">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w:t>
                  </w:r>
                  <w:r>
                    <w:rPr>
                      <w:rFonts w:hint="eastAsia" w:cs="Times New Roman"/>
                      <w:color w:val="auto"/>
                      <w:highlight w:val="none"/>
                      <w:lang w:val="en-US" w:eastAsia="zh-CN"/>
                    </w:rPr>
                    <w:t>2</w:t>
                  </w:r>
                </w:p>
              </w:tc>
            </w:tr>
            <w:tr w14:paraId="59ED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22B19DE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产生工序及装置</w:t>
                  </w:r>
                </w:p>
              </w:tc>
              <w:tc>
                <w:tcPr>
                  <w:tcW w:w="1078" w:type="pct"/>
                  <w:tcBorders>
                    <w:tl2br w:val="nil"/>
                    <w:tr2bl w:val="nil"/>
                  </w:tcBorders>
                  <w:shd w:val="clear" w:color="auto" w:fill="auto"/>
                  <w:noWrap w:val="0"/>
                  <w:vAlign w:val="center"/>
                </w:tcPr>
                <w:p w14:paraId="351BA2D3">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生产工艺及设备维护</w:t>
                  </w:r>
                </w:p>
              </w:tc>
              <w:tc>
                <w:tcPr>
                  <w:tcW w:w="931" w:type="pct"/>
                  <w:tcBorders>
                    <w:tl2br w:val="nil"/>
                    <w:tr2bl w:val="nil"/>
                  </w:tcBorders>
                  <w:shd w:val="clear" w:color="auto" w:fill="auto"/>
                  <w:noWrap w:val="0"/>
                  <w:vAlign w:val="center"/>
                </w:tcPr>
                <w:p w14:paraId="7999224B">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液压设备维修保养</w:t>
                  </w:r>
                </w:p>
              </w:tc>
              <w:tc>
                <w:tcPr>
                  <w:tcW w:w="990" w:type="pct"/>
                  <w:tcBorders>
                    <w:tl2br w:val="nil"/>
                    <w:tr2bl w:val="nil"/>
                  </w:tcBorders>
                  <w:shd w:val="clear" w:color="auto" w:fill="auto"/>
                  <w:noWrap w:val="0"/>
                  <w:vAlign w:val="center"/>
                </w:tcPr>
                <w:p w14:paraId="4FC4557E">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eastAsia" w:cs="Times New Roman"/>
                      <w:color w:val="auto"/>
                      <w:highlight w:val="none"/>
                      <w:lang w:val="en-US" w:eastAsia="zh-CN"/>
                    </w:rPr>
                    <w:t>液压设备维修保养</w:t>
                  </w:r>
                </w:p>
              </w:tc>
              <w:tc>
                <w:tcPr>
                  <w:tcW w:w="1085" w:type="pct"/>
                  <w:tcBorders>
                    <w:tl2br w:val="nil"/>
                    <w:tr2bl w:val="nil"/>
                  </w:tcBorders>
                  <w:shd w:val="clear" w:color="auto" w:fill="auto"/>
                  <w:noWrap w:val="0"/>
                  <w:vAlign w:val="center"/>
                </w:tcPr>
                <w:p w14:paraId="180EAAFF">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生产工艺及设备维护</w:t>
                  </w:r>
                </w:p>
              </w:tc>
            </w:tr>
            <w:tr w14:paraId="013F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76AAAF8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形态</w:t>
                  </w:r>
                </w:p>
              </w:tc>
              <w:tc>
                <w:tcPr>
                  <w:tcW w:w="1078" w:type="pct"/>
                  <w:tcBorders>
                    <w:tl2br w:val="nil"/>
                    <w:tr2bl w:val="nil"/>
                  </w:tcBorders>
                  <w:shd w:val="clear" w:color="auto" w:fill="auto"/>
                  <w:noWrap w:val="0"/>
                  <w:vAlign w:val="center"/>
                </w:tcPr>
                <w:p w14:paraId="67EC0118">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液态</w:t>
                  </w:r>
                </w:p>
              </w:tc>
              <w:tc>
                <w:tcPr>
                  <w:tcW w:w="931" w:type="pct"/>
                  <w:tcBorders>
                    <w:tl2br w:val="nil"/>
                    <w:tr2bl w:val="nil"/>
                  </w:tcBorders>
                  <w:shd w:val="clear" w:color="auto" w:fill="auto"/>
                  <w:noWrap w:val="0"/>
                  <w:vAlign w:val="center"/>
                </w:tcPr>
                <w:p w14:paraId="4039938C">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液态</w:t>
                  </w:r>
                </w:p>
              </w:tc>
              <w:tc>
                <w:tcPr>
                  <w:tcW w:w="990" w:type="pct"/>
                  <w:tcBorders>
                    <w:tl2br w:val="nil"/>
                    <w:tr2bl w:val="nil"/>
                  </w:tcBorders>
                  <w:shd w:val="clear" w:color="auto" w:fill="auto"/>
                  <w:noWrap w:val="0"/>
                  <w:vAlign w:val="center"/>
                </w:tcPr>
                <w:p w14:paraId="5CF393D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液态</w:t>
                  </w:r>
                </w:p>
              </w:tc>
              <w:tc>
                <w:tcPr>
                  <w:tcW w:w="1085" w:type="pct"/>
                  <w:tcBorders>
                    <w:tl2br w:val="nil"/>
                    <w:tr2bl w:val="nil"/>
                  </w:tcBorders>
                  <w:shd w:val="clear" w:color="auto" w:fill="auto"/>
                  <w:noWrap w:val="0"/>
                  <w:vAlign w:val="center"/>
                </w:tcPr>
                <w:p w14:paraId="7B3F2E37">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固态</w:t>
                  </w:r>
                </w:p>
              </w:tc>
            </w:tr>
            <w:tr w14:paraId="3165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637934FB">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主要成分</w:t>
                  </w:r>
                </w:p>
              </w:tc>
              <w:tc>
                <w:tcPr>
                  <w:tcW w:w="1078" w:type="pct"/>
                  <w:tcBorders>
                    <w:tl2br w:val="nil"/>
                    <w:tr2bl w:val="nil"/>
                  </w:tcBorders>
                  <w:shd w:val="clear" w:color="auto" w:fill="auto"/>
                  <w:noWrap w:val="0"/>
                  <w:vAlign w:val="center"/>
                </w:tcPr>
                <w:p w14:paraId="048ABB8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碳氢化合物</w:t>
                  </w:r>
                </w:p>
              </w:tc>
              <w:tc>
                <w:tcPr>
                  <w:tcW w:w="931" w:type="pct"/>
                  <w:tcBorders>
                    <w:tl2br w:val="nil"/>
                    <w:tr2bl w:val="nil"/>
                  </w:tcBorders>
                  <w:shd w:val="clear" w:color="auto" w:fill="auto"/>
                  <w:noWrap w:val="0"/>
                  <w:vAlign w:val="center"/>
                </w:tcPr>
                <w:p w14:paraId="526966C2">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碳氢化合物</w:t>
                  </w:r>
                </w:p>
              </w:tc>
              <w:tc>
                <w:tcPr>
                  <w:tcW w:w="990" w:type="pct"/>
                  <w:tcBorders>
                    <w:tl2br w:val="nil"/>
                    <w:tr2bl w:val="nil"/>
                  </w:tcBorders>
                  <w:shd w:val="clear" w:color="auto" w:fill="auto"/>
                  <w:noWrap w:val="0"/>
                  <w:vAlign w:val="center"/>
                </w:tcPr>
                <w:p w14:paraId="5D7FAD4E">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碳氢化合物</w:t>
                  </w:r>
                </w:p>
              </w:tc>
              <w:tc>
                <w:tcPr>
                  <w:tcW w:w="1085" w:type="pct"/>
                  <w:tcBorders>
                    <w:tl2br w:val="nil"/>
                    <w:tr2bl w:val="nil"/>
                  </w:tcBorders>
                  <w:shd w:val="clear" w:color="auto" w:fill="auto"/>
                  <w:noWrap w:val="0"/>
                  <w:vAlign w:val="center"/>
                </w:tcPr>
                <w:p w14:paraId="74A26221">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碳氢化合物</w:t>
                  </w:r>
                </w:p>
              </w:tc>
            </w:tr>
            <w:tr w14:paraId="49C9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6E67753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有害成分</w:t>
                  </w:r>
                </w:p>
              </w:tc>
              <w:tc>
                <w:tcPr>
                  <w:tcW w:w="1078" w:type="pct"/>
                  <w:tcBorders>
                    <w:tl2br w:val="nil"/>
                    <w:tr2bl w:val="nil"/>
                  </w:tcBorders>
                  <w:shd w:val="clear" w:color="auto" w:fill="auto"/>
                  <w:noWrap w:val="0"/>
                  <w:vAlign w:val="center"/>
                </w:tcPr>
                <w:p w14:paraId="6EFE5088">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多环芳烃</w:t>
                  </w:r>
                  <w:r>
                    <w:rPr>
                      <w:rFonts w:hint="eastAsia" w:cs="Times New Roman"/>
                      <w:color w:val="auto"/>
                      <w:highlight w:val="none"/>
                      <w:lang w:eastAsia="zh-CN"/>
                    </w:rPr>
                    <w:t>、苯系物、酚类</w:t>
                  </w:r>
                  <w:r>
                    <w:rPr>
                      <w:rFonts w:hint="eastAsia" w:cs="Times New Roman"/>
                      <w:color w:val="auto"/>
                      <w:highlight w:val="none"/>
                      <w:lang w:val="en-US" w:eastAsia="zh-CN"/>
                    </w:rPr>
                    <w:t>等</w:t>
                  </w:r>
                </w:p>
              </w:tc>
              <w:tc>
                <w:tcPr>
                  <w:tcW w:w="931" w:type="pct"/>
                  <w:tcBorders>
                    <w:tl2br w:val="nil"/>
                    <w:tr2bl w:val="nil"/>
                  </w:tcBorders>
                  <w:shd w:val="clear" w:color="auto" w:fill="auto"/>
                  <w:noWrap w:val="0"/>
                  <w:vAlign w:val="center"/>
                </w:tcPr>
                <w:p w14:paraId="2E2D6409">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多环芳烃</w:t>
                  </w:r>
                  <w:r>
                    <w:rPr>
                      <w:rFonts w:hint="eastAsia" w:cs="Times New Roman"/>
                      <w:color w:val="auto"/>
                      <w:highlight w:val="none"/>
                      <w:lang w:eastAsia="zh-CN"/>
                    </w:rPr>
                    <w:t>、苯系物、酚类</w:t>
                  </w:r>
                  <w:r>
                    <w:rPr>
                      <w:rFonts w:hint="eastAsia" w:cs="Times New Roman"/>
                      <w:color w:val="auto"/>
                      <w:highlight w:val="none"/>
                      <w:lang w:val="en-US" w:eastAsia="zh-CN"/>
                    </w:rPr>
                    <w:t>等</w:t>
                  </w:r>
                </w:p>
              </w:tc>
              <w:tc>
                <w:tcPr>
                  <w:tcW w:w="990" w:type="pct"/>
                  <w:tcBorders>
                    <w:tl2br w:val="nil"/>
                    <w:tr2bl w:val="nil"/>
                  </w:tcBorders>
                  <w:shd w:val="clear" w:color="auto" w:fill="auto"/>
                  <w:noWrap w:val="0"/>
                  <w:vAlign w:val="center"/>
                </w:tcPr>
                <w:p w14:paraId="23A51451">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多环芳烃</w:t>
                  </w:r>
                  <w:r>
                    <w:rPr>
                      <w:rFonts w:hint="eastAsia" w:cs="Times New Roman"/>
                      <w:color w:val="auto"/>
                      <w:highlight w:val="none"/>
                      <w:lang w:eastAsia="zh-CN"/>
                    </w:rPr>
                    <w:t>、苯系物、酚类</w:t>
                  </w:r>
                  <w:r>
                    <w:rPr>
                      <w:rFonts w:hint="eastAsia" w:cs="Times New Roman"/>
                      <w:color w:val="auto"/>
                      <w:highlight w:val="none"/>
                      <w:lang w:val="en-US" w:eastAsia="zh-CN"/>
                    </w:rPr>
                    <w:t>等</w:t>
                  </w:r>
                </w:p>
              </w:tc>
              <w:tc>
                <w:tcPr>
                  <w:tcW w:w="1085" w:type="pct"/>
                  <w:tcBorders>
                    <w:tl2br w:val="nil"/>
                    <w:tr2bl w:val="nil"/>
                  </w:tcBorders>
                  <w:shd w:val="clear" w:color="auto" w:fill="auto"/>
                  <w:noWrap w:val="0"/>
                  <w:vAlign w:val="center"/>
                </w:tcPr>
                <w:p w14:paraId="74A5A9CF">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多环芳烃</w:t>
                  </w:r>
                  <w:r>
                    <w:rPr>
                      <w:rFonts w:hint="eastAsia" w:cs="Times New Roman"/>
                      <w:color w:val="auto"/>
                      <w:highlight w:val="none"/>
                      <w:lang w:eastAsia="zh-CN"/>
                    </w:rPr>
                    <w:t>、苯系物、酚类</w:t>
                  </w:r>
                  <w:r>
                    <w:rPr>
                      <w:rFonts w:hint="eastAsia" w:cs="Times New Roman"/>
                      <w:color w:val="auto"/>
                      <w:highlight w:val="none"/>
                      <w:lang w:val="en-US" w:eastAsia="zh-CN"/>
                    </w:rPr>
                    <w:t>等</w:t>
                  </w:r>
                </w:p>
              </w:tc>
            </w:tr>
            <w:tr w14:paraId="1858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4C0A851F">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产废周期</w:t>
                  </w:r>
                </w:p>
              </w:tc>
              <w:tc>
                <w:tcPr>
                  <w:tcW w:w="1078" w:type="pct"/>
                  <w:tcBorders>
                    <w:tl2br w:val="nil"/>
                    <w:tr2bl w:val="nil"/>
                  </w:tcBorders>
                  <w:shd w:val="clear" w:color="auto" w:fill="auto"/>
                  <w:noWrap w:val="0"/>
                  <w:vAlign w:val="center"/>
                </w:tcPr>
                <w:p w14:paraId="08EBE87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2月</w:t>
                  </w:r>
                </w:p>
              </w:tc>
              <w:tc>
                <w:tcPr>
                  <w:tcW w:w="931" w:type="pct"/>
                  <w:tcBorders>
                    <w:tl2br w:val="nil"/>
                    <w:tr2bl w:val="nil"/>
                  </w:tcBorders>
                  <w:shd w:val="clear" w:color="auto" w:fill="auto"/>
                  <w:noWrap w:val="0"/>
                  <w:vAlign w:val="center"/>
                </w:tcPr>
                <w:p w14:paraId="67E0DBD8">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3月</w:t>
                  </w:r>
                </w:p>
              </w:tc>
              <w:tc>
                <w:tcPr>
                  <w:tcW w:w="990" w:type="pct"/>
                  <w:tcBorders>
                    <w:tl2br w:val="nil"/>
                    <w:tr2bl w:val="nil"/>
                  </w:tcBorders>
                  <w:shd w:val="clear" w:color="auto" w:fill="auto"/>
                  <w:noWrap w:val="0"/>
                  <w:vAlign w:val="center"/>
                </w:tcPr>
                <w:p w14:paraId="340C447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eastAsia" w:cs="Times New Roman"/>
                      <w:color w:val="auto"/>
                      <w:highlight w:val="none"/>
                      <w:lang w:val="en-US" w:eastAsia="zh-CN"/>
                    </w:rPr>
                    <w:t>3月</w:t>
                  </w:r>
                </w:p>
              </w:tc>
              <w:tc>
                <w:tcPr>
                  <w:tcW w:w="1085" w:type="pct"/>
                  <w:tcBorders>
                    <w:tl2br w:val="nil"/>
                    <w:tr2bl w:val="nil"/>
                  </w:tcBorders>
                  <w:shd w:val="clear" w:color="auto" w:fill="auto"/>
                  <w:noWrap w:val="0"/>
                  <w:vAlign w:val="center"/>
                </w:tcPr>
                <w:p w14:paraId="4F2ACAB5">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1月</w:t>
                  </w:r>
                </w:p>
              </w:tc>
            </w:tr>
            <w:tr w14:paraId="7001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31F89C1A">
                  <w:pPr>
                    <w:keepNext w:val="0"/>
                    <w:keepLines w:val="0"/>
                    <w:pageBreakBefore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危险特性</w:t>
                  </w:r>
                </w:p>
              </w:tc>
              <w:tc>
                <w:tcPr>
                  <w:tcW w:w="1078" w:type="pct"/>
                  <w:tcBorders>
                    <w:tl2br w:val="nil"/>
                    <w:tr2bl w:val="nil"/>
                  </w:tcBorders>
                  <w:shd w:val="clear" w:color="auto" w:fill="auto"/>
                  <w:noWrap w:val="0"/>
                  <w:vAlign w:val="center"/>
                </w:tcPr>
                <w:p w14:paraId="3E7DABD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T、I</w:t>
                  </w:r>
                </w:p>
              </w:tc>
              <w:tc>
                <w:tcPr>
                  <w:tcW w:w="931" w:type="pct"/>
                  <w:tcBorders>
                    <w:tl2br w:val="nil"/>
                    <w:tr2bl w:val="nil"/>
                  </w:tcBorders>
                  <w:shd w:val="clear" w:color="auto" w:fill="auto"/>
                  <w:noWrap w:val="0"/>
                  <w:vAlign w:val="center"/>
                </w:tcPr>
                <w:p w14:paraId="6E8C33DF">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T、I</w:t>
                  </w:r>
                </w:p>
              </w:tc>
              <w:tc>
                <w:tcPr>
                  <w:tcW w:w="990" w:type="pct"/>
                  <w:tcBorders>
                    <w:tl2br w:val="nil"/>
                    <w:tr2bl w:val="nil"/>
                  </w:tcBorders>
                  <w:shd w:val="clear" w:color="auto" w:fill="auto"/>
                  <w:noWrap w:val="0"/>
                  <w:vAlign w:val="center"/>
                </w:tcPr>
                <w:p w14:paraId="61ACA984">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T、I</w:t>
                  </w:r>
                </w:p>
              </w:tc>
              <w:tc>
                <w:tcPr>
                  <w:tcW w:w="1085" w:type="pct"/>
                  <w:tcBorders>
                    <w:tl2br w:val="nil"/>
                    <w:tr2bl w:val="nil"/>
                  </w:tcBorders>
                  <w:shd w:val="clear" w:color="auto" w:fill="auto"/>
                  <w:noWrap w:val="0"/>
                  <w:vAlign w:val="center"/>
                </w:tcPr>
                <w:p w14:paraId="5B944637">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T</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I</w:t>
                  </w:r>
                </w:p>
              </w:tc>
            </w:tr>
            <w:tr w14:paraId="4E60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3306E23E">
                  <w:pPr>
                    <w:keepNext w:val="0"/>
                    <w:keepLines w:val="0"/>
                    <w:pageBreakBefore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储存周期</w:t>
                  </w:r>
                </w:p>
              </w:tc>
              <w:tc>
                <w:tcPr>
                  <w:tcW w:w="1078" w:type="pct"/>
                  <w:tcBorders>
                    <w:tl2br w:val="nil"/>
                    <w:tr2bl w:val="nil"/>
                  </w:tcBorders>
                  <w:shd w:val="clear" w:color="auto" w:fill="auto"/>
                  <w:noWrap w:val="0"/>
                  <w:vAlign w:val="center"/>
                </w:tcPr>
                <w:p w14:paraId="51815754">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1年</w:t>
                  </w:r>
                </w:p>
              </w:tc>
              <w:tc>
                <w:tcPr>
                  <w:tcW w:w="931" w:type="pct"/>
                  <w:tcBorders>
                    <w:tl2br w:val="nil"/>
                    <w:tr2bl w:val="nil"/>
                  </w:tcBorders>
                  <w:shd w:val="clear" w:color="auto" w:fill="auto"/>
                  <w:noWrap w:val="0"/>
                  <w:vAlign w:val="center"/>
                </w:tcPr>
                <w:p w14:paraId="1EE39CD8">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1年</w:t>
                  </w:r>
                </w:p>
              </w:tc>
              <w:tc>
                <w:tcPr>
                  <w:tcW w:w="990" w:type="pct"/>
                  <w:tcBorders>
                    <w:tl2br w:val="nil"/>
                    <w:tr2bl w:val="nil"/>
                  </w:tcBorders>
                  <w:shd w:val="clear" w:color="auto" w:fill="auto"/>
                  <w:noWrap w:val="0"/>
                  <w:vAlign w:val="center"/>
                </w:tcPr>
                <w:p w14:paraId="6B89E79C">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1年</w:t>
                  </w:r>
                </w:p>
              </w:tc>
              <w:tc>
                <w:tcPr>
                  <w:tcW w:w="1085" w:type="pct"/>
                  <w:tcBorders>
                    <w:tl2br w:val="nil"/>
                    <w:tr2bl w:val="nil"/>
                  </w:tcBorders>
                  <w:shd w:val="clear" w:color="auto" w:fill="auto"/>
                  <w:noWrap w:val="0"/>
                  <w:vAlign w:val="center"/>
                </w:tcPr>
                <w:p w14:paraId="6173098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1年</w:t>
                  </w:r>
                </w:p>
              </w:tc>
            </w:tr>
            <w:tr w14:paraId="326E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5995CD27">
                  <w:pPr>
                    <w:keepNext w:val="0"/>
                    <w:keepLines w:val="0"/>
                    <w:pageBreakBefore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储存方式</w:t>
                  </w:r>
                </w:p>
              </w:tc>
              <w:tc>
                <w:tcPr>
                  <w:tcW w:w="1078" w:type="pct"/>
                  <w:tcBorders>
                    <w:tl2br w:val="nil"/>
                    <w:tr2bl w:val="nil"/>
                  </w:tcBorders>
                  <w:shd w:val="clear" w:color="auto" w:fill="auto"/>
                  <w:noWrap w:val="0"/>
                  <w:vAlign w:val="center"/>
                </w:tcPr>
                <w:p w14:paraId="1F4EC2CA">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密闭废油桶，置于防渗托盘上</w:t>
                  </w:r>
                </w:p>
              </w:tc>
              <w:tc>
                <w:tcPr>
                  <w:tcW w:w="931" w:type="pct"/>
                  <w:tcBorders>
                    <w:tl2br w:val="nil"/>
                    <w:tr2bl w:val="nil"/>
                  </w:tcBorders>
                  <w:shd w:val="clear" w:color="auto" w:fill="auto"/>
                  <w:noWrap w:val="0"/>
                  <w:vAlign w:val="center"/>
                </w:tcPr>
                <w:p w14:paraId="331D973B">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密闭废油桶，置于防渗托盘上</w:t>
                  </w:r>
                </w:p>
              </w:tc>
              <w:tc>
                <w:tcPr>
                  <w:tcW w:w="990" w:type="pct"/>
                  <w:tcBorders>
                    <w:tl2br w:val="nil"/>
                    <w:tr2bl w:val="nil"/>
                  </w:tcBorders>
                  <w:shd w:val="clear" w:color="auto" w:fill="auto"/>
                  <w:noWrap w:val="0"/>
                  <w:vAlign w:val="center"/>
                </w:tcPr>
                <w:p w14:paraId="696710BE">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密闭废油桶，置于防渗托盘上</w:t>
                  </w:r>
                </w:p>
              </w:tc>
              <w:tc>
                <w:tcPr>
                  <w:tcW w:w="1085" w:type="pct"/>
                  <w:tcBorders>
                    <w:tl2br w:val="nil"/>
                    <w:tr2bl w:val="nil"/>
                  </w:tcBorders>
                  <w:shd w:val="clear" w:color="auto" w:fill="auto"/>
                  <w:noWrap w:val="0"/>
                  <w:vAlign w:val="center"/>
                </w:tcPr>
                <w:p w14:paraId="4C4D7BEE">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置于防渗托盘上</w:t>
                  </w:r>
                </w:p>
              </w:tc>
            </w:tr>
            <w:tr w14:paraId="76E3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914" w:type="pct"/>
                  <w:tcBorders>
                    <w:tl2br w:val="nil"/>
                    <w:tr2bl w:val="nil"/>
                  </w:tcBorders>
                  <w:shd w:val="clear" w:color="auto" w:fill="auto"/>
                  <w:noWrap w:val="0"/>
                  <w:vAlign w:val="center"/>
                </w:tcPr>
                <w:p w14:paraId="504616EC">
                  <w:pPr>
                    <w:keepNext w:val="0"/>
                    <w:keepLines w:val="0"/>
                    <w:pageBreakBefore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处置方式</w:t>
                  </w:r>
                </w:p>
              </w:tc>
              <w:tc>
                <w:tcPr>
                  <w:tcW w:w="4085" w:type="pct"/>
                  <w:gridSpan w:val="4"/>
                  <w:tcBorders>
                    <w:tl2br w:val="nil"/>
                    <w:tr2bl w:val="nil"/>
                  </w:tcBorders>
                  <w:shd w:val="clear" w:color="auto" w:fill="auto"/>
                  <w:noWrap w:val="0"/>
                  <w:vAlign w:val="center"/>
                </w:tcPr>
                <w:p w14:paraId="6D3FC570">
                  <w:pPr>
                    <w:keepNext w:val="0"/>
                    <w:keepLines w:val="0"/>
                    <w:pageBreakBefore w:val="0"/>
                    <w:suppressLineNumbers w:val="0"/>
                    <w:kinsoku/>
                    <w:wordWrap/>
                    <w:overflowPunct/>
                    <w:autoSpaceDE/>
                    <w:autoSpaceDN/>
                    <w:bidi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收集至</w:t>
                  </w:r>
                  <w:r>
                    <w:rPr>
                      <w:rFonts w:hint="eastAsia" w:cs="Times New Roman"/>
                      <w:color w:val="auto"/>
                      <w:kern w:val="0"/>
                      <w:sz w:val="21"/>
                      <w:szCs w:val="21"/>
                      <w:highlight w:val="none"/>
                      <w:lang w:val="en-US" w:eastAsia="zh-CN"/>
                    </w:rPr>
                    <w:t>厂区内</w:t>
                  </w:r>
                  <w:r>
                    <w:rPr>
                      <w:rFonts w:hint="eastAsia" w:cs="Times New Roman"/>
                      <w:color w:val="auto"/>
                      <w:kern w:val="0"/>
                      <w:sz w:val="21"/>
                      <w:szCs w:val="21"/>
                      <w:highlight w:val="none"/>
                      <w:lang w:eastAsia="zh-CN"/>
                    </w:rPr>
                    <w:t>危废贮存</w:t>
                  </w:r>
                  <w:r>
                    <w:rPr>
                      <w:rFonts w:hint="eastAsia" w:cs="Times New Roman"/>
                      <w:color w:val="auto"/>
                      <w:kern w:val="0"/>
                      <w:sz w:val="21"/>
                      <w:szCs w:val="21"/>
                      <w:highlight w:val="none"/>
                      <w:lang w:val="en-US" w:eastAsia="zh-CN"/>
                    </w:rPr>
                    <w:t>库</w:t>
                  </w:r>
                  <w:r>
                    <w:rPr>
                      <w:rFonts w:hint="eastAsia" w:ascii="Times New Roman" w:hAnsi="Times New Roman" w:eastAsia="宋体" w:cs="Times New Roman"/>
                      <w:color w:val="auto"/>
                      <w:kern w:val="0"/>
                      <w:sz w:val="21"/>
                      <w:szCs w:val="21"/>
                      <w:highlight w:val="none"/>
                      <w:lang w:val="en-US" w:eastAsia="zh-CN"/>
                    </w:rPr>
                    <w:t>分区贮存</w:t>
                  </w:r>
                  <w:r>
                    <w:rPr>
                      <w:rFonts w:hint="default" w:ascii="Times New Roman" w:hAnsi="Times New Roman" w:eastAsia="宋体" w:cs="Times New Roman"/>
                      <w:color w:val="auto"/>
                      <w:kern w:val="0"/>
                      <w:sz w:val="21"/>
                      <w:szCs w:val="21"/>
                      <w:highlight w:val="none"/>
                    </w:rPr>
                    <w:t>，定期交由有资质的单位处置</w:t>
                  </w:r>
                </w:p>
              </w:tc>
            </w:tr>
          </w:tbl>
          <w:p w14:paraId="5CAB1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 w:val="0"/>
                <w:bCs/>
                <w:color w:val="auto"/>
                <w:sz w:val="24"/>
                <w:highlight w:val="none"/>
                <w:lang w:val="en-US" w:eastAsia="zh-CN"/>
              </w:rPr>
            </w:pPr>
            <w:r>
              <w:rPr>
                <w:rFonts w:hint="eastAsia" w:cs="Times New Roman"/>
                <w:b w:val="0"/>
                <w:bCs/>
                <w:color w:val="auto"/>
                <w:sz w:val="24"/>
                <w:szCs w:val="24"/>
                <w:highlight w:val="none"/>
                <w:lang w:val="en-US" w:eastAsia="zh-CN"/>
              </w:rPr>
              <w:t>（2）</w:t>
            </w:r>
            <w:r>
              <w:rPr>
                <w:rFonts w:hint="eastAsia" w:hAnsi="宋体"/>
                <w:b w:val="0"/>
                <w:bCs/>
                <w:color w:val="auto"/>
                <w:sz w:val="24"/>
                <w:highlight w:val="none"/>
                <w:lang w:val="en-US" w:eastAsia="zh-CN"/>
              </w:rPr>
              <w:t>一般固体废物</w:t>
            </w:r>
            <w:r>
              <w:rPr>
                <w:rFonts w:hint="eastAsia" w:hAnsi="宋体"/>
                <w:b w:val="0"/>
                <w:bCs/>
                <w:color w:val="auto"/>
                <w:sz w:val="24"/>
                <w:highlight w:val="none"/>
              </w:rPr>
              <w:t>污染防治措施及管理要求</w:t>
            </w:r>
          </w:p>
          <w:p w14:paraId="317655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Cs/>
                <w:color w:val="auto"/>
                <w:sz w:val="24"/>
                <w:highlight w:val="none"/>
                <w:lang w:val="en-US" w:eastAsia="zh-CN"/>
              </w:rPr>
            </w:pPr>
            <w:r>
              <w:rPr>
                <w:rFonts w:hint="eastAsia"/>
                <w:bCs/>
                <w:color w:val="auto"/>
                <w:sz w:val="24"/>
                <w:highlight w:val="none"/>
                <w:lang w:val="en-US" w:eastAsia="zh-CN"/>
              </w:rPr>
              <w:t>本项目一般固体废物台账应按照《一般工业固体废物管理台账制定指南（试行）》中以下要求记录：</w:t>
            </w:r>
          </w:p>
          <w:p w14:paraId="46E9E6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bCs/>
                <w:color w:val="auto"/>
                <w:sz w:val="24"/>
                <w:highlight w:val="none"/>
              </w:rPr>
            </w:pPr>
            <w:r>
              <w:rPr>
                <w:rFonts w:hint="eastAsia"/>
                <w:bCs/>
                <w:color w:val="auto"/>
                <w:sz w:val="24"/>
                <w:highlight w:val="none"/>
                <w:lang w:val="en-US" w:eastAsia="zh-CN"/>
              </w:rPr>
              <w:t>①</w:t>
            </w:r>
            <w:r>
              <w:rPr>
                <w:rFonts w:hint="eastAsia"/>
                <w:bCs/>
                <w:color w:val="auto"/>
                <w:sz w:val="24"/>
                <w:highlight w:val="none"/>
              </w:rPr>
              <w:t>一般工业固体废物产生清单：应记录一般工业固体废物代码、名称、产生环节、物理性状、主要成分、污染特性、年产量、去向等。</w:t>
            </w:r>
          </w:p>
          <w:p w14:paraId="211BFDCB">
            <w:pPr>
              <w:keepNext w:val="0"/>
              <w:keepLines w:val="0"/>
              <w:suppressLineNumbers w:val="0"/>
              <w:adjustRightInd w:val="0"/>
              <w:snapToGrid w:val="0"/>
              <w:spacing w:before="0" w:beforeAutospacing="0" w:after="0" w:afterAutospacing="0" w:line="480" w:lineRule="exact"/>
              <w:ind w:left="0" w:right="0" w:firstLine="480" w:firstLineChars="200"/>
              <w:rPr>
                <w:rFonts w:hint="eastAsia"/>
                <w:bCs/>
                <w:color w:val="auto"/>
                <w:sz w:val="24"/>
                <w:highlight w:val="none"/>
              </w:rPr>
            </w:pPr>
            <w:r>
              <w:rPr>
                <w:rFonts w:hint="eastAsia"/>
                <w:bCs/>
                <w:color w:val="auto"/>
                <w:sz w:val="24"/>
                <w:highlight w:val="none"/>
                <w:lang w:val="en-US" w:eastAsia="zh-CN"/>
              </w:rPr>
              <w:t>②</w:t>
            </w:r>
            <w:r>
              <w:rPr>
                <w:rFonts w:hint="eastAsia"/>
                <w:bCs/>
                <w:color w:val="auto"/>
                <w:sz w:val="24"/>
                <w:highlight w:val="none"/>
              </w:rPr>
              <w:t>一般工业固体废物流向汇总表：应记录一般工业固体废物代码、名称、产生量、自行利用数量等。</w:t>
            </w:r>
          </w:p>
          <w:p w14:paraId="6D001F3D">
            <w:pPr>
              <w:keepNext w:val="0"/>
              <w:keepLines w:val="0"/>
              <w:suppressLineNumbers w:val="0"/>
              <w:adjustRightInd w:val="0"/>
              <w:snapToGrid w:val="0"/>
              <w:spacing w:before="0" w:beforeAutospacing="0" w:after="0" w:afterAutospacing="0" w:line="480" w:lineRule="exact"/>
              <w:ind w:left="0" w:right="0" w:firstLine="480" w:firstLineChars="200"/>
              <w:rPr>
                <w:rFonts w:hint="eastAsia"/>
                <w:bCs/>
                <w:color w:val="auto"/>
                <w:sz w:val="24"/>
                <w:highlight w:val="none"/>
              </w:rPr>
            </w:pPr>
            <w:r>
              <w:rPr>
                <w:rFonts w:hint="eastAsia"/>
                <w:bCs/>
                <w:color w:val="auto"/>
                <w:sz w:val="24"/>
                <w:highlight w:val="none"/>
                <w:lang w:val="en-US" w:eastAsia="zh-CN"/>
              </w:rPr>
              <w:t>③</w:t>
            </w:r>
            <w:r>
              <w:rPr>
                <w:rFonts w:hint="eastAsia"/>
                <w:bCs/>
                <w:color w:val="auto"/>
                <w:sz w:val="24"/>
                <w:highlight w:val="none"/>
              </w:rPr>
              <w:t>一般工业固体废物出厂环节记录表：应记录一般工业固体废物代码、名称、出厂时间、出厂数量、出厂环节经办人、运输单位、接收单位、废物流向类型等信息。</w:t>
            </w:r>
          </w:p>
          <w:p w14:paraId="10BDC108">
            <w:pPr>
              <w:keepNext w:val="0"/>
              <w:keepLines w:val="0"/>
              <w:suppressLineNumbers w:val="0"/>
              <w:adjustRightInd w:val="0"/>
              <w:snapToGrid w:val="0"/>
              <w:spacing w:before="0" w:beforeAutospacing="0" w:after="0" w:afterAutospacing="0" w:line="480" w:lineRule="exact"/>
              <w:ind w:left="0" w:right="0" w:firstLine="480" w:firstLineChars="200"/>
              <w:rPr>
                <w:rFonts w:hint="eastAsia"/>
                <w:bCs/>
                <w:color w:val="auto"/>
                <w:sz w:val="24"/>
                <w:highlight w:val="none"/>
              </w:rPr>
            </w:pPr>
            <w:r>
              <w:rPr>
                <w:rFonts w:hint="eastAsia"/>
                <w:bCs/>
                <w:color w:val="auto"/>
                <w:sz w:val="24"/>
                <w:highlight w:val="none"/>
                <w:lang w:val="en-US" w:eastAsia="zh-CN"/>
              </w:rPr>
              <w:t>④</w:t>
            </w:r>
            <w:r>
              <w:rPr>
                <w:rFonts w:hint="eastAsia"/>
                <w:bCs/>
                <w:color w:val="auto"/>
                <w:sz w:val="24"/>
                <w:highlight w:val="none"/>
              </w:rPr>
              <w:t>一般工业固体废物产生环节记录表：应记录一般工业固体废物代码、名称、产生时间、产生数量（单位）、转移时间、转移去向、废物产生部门经办人等。</w:t>
            </w:r>
          </w:p>
          <w:p w14:paraId="4C95A1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eastAsia" w:cs="Times New Roman"/>
                <w:b/>
                <w:bCs w:val="0"/>
                <w:color w:val="auto"/>
                <w:sz w:val="24"/>
                <w:highlight w:val="none"/>
                <w:lang w:val="en-US" w:eastAsia="zh-CN"/>
              </w:rPr>
            </w:pPr>
            <w:r>
              <w:rPr>
                <w:rFonts w:hint="eastAsia"/>
                <w:bCs/>
                <w:color w:val="auto"/>
                <w:sz w:val="24"/>
                <w:highlight w:val="none"/>
                <w:lang w:val="en-US" w:eastAsia="zh-CN"/>
              </w:rPr>
              <w:t>⑤</w:t>
            </w:r>
            <w:r>
              <w:rPr>
                <w:rFonts w:hint="eastAsia"/>
                <w:bCs/>
                <w:color w:val="auto"/>
                <w:sz w:val="24"/>
                <w:highlight w:val="none"/>
              </w:rPr>
              <w:t>一般工业固体废物贮存环节记录表：应记录入库情况（入库时间、入库编号等）、出库情况（出库时间、出库数量、废物去向等）。</w:t>
            </w:r>
          </w:p>
          <w:p w14:paraId="4D91B9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highlight w:val="none"/>
                <w:lang w:val="en-US" w:eastAsia="zh-CN"/>
              </w:rPr>
            </w:pPr>
            <w:r>
              <w:rPr>
                <w:rFonts w:hint="eastAsia" w:cs="Times New Roman"/>
                <w:b w:val="0"/>
                <w:bCs/>
                <w:color w:val="auto"/>
                <w:sz w:val="24"/>
                <w:szCs w:val="24"/>
                <w:highlight w:val="none"/>
                <w:lang w:val="en-US" w:eastAsia="zh-CN"/>
              </w:rPr>
              <w:t>（3）</w:t>
            </w:r>
            <w:r>
              <w:rPr>
                <w:rFonts w:hint="eastAsia" w:ascii="Times New Roman" w:hAnsi="Times New Roman" w:eastAsia="宋体" w:cs="Times New Roman"/>
                <w:b w:val="0"/>
                <w:bCs/>
                <w:color w:val="auto"/>
                <w:sz w:val="24"/>
                <w:highlight w:val="none"/>
                <w:lang w:val="en-US" w:eastAsia="zh-CN"/>
              </w:rPr>
              <w:t>危险废物环境管理要求</w:t>
            </w:r>
          </w:p>
          <w:p w14:paraId="7F1F56F1">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厂区现有危废贮存库</w:t>
            </w:r>
            <w:r>
              <w:rPr>
                <w:rFonts w:hint="eastAsia"/>
                <w:bCs/>
                <w:color w:val="auto"/>
                <w:sz w:val="24"/>
                <w:highlight w:val="none"/>
              </w:rPr>
              <w:t>环境管理要求</w:t>
            </w:r>
            <w:r>
              <w:rPr>
                <w:rFonts w:hint="eastAsia"/>
                <w:bCs/>
                <w:color w:val="auto"/>
                <w:sz w:val="24"/>
                <w:highlight w:val="none"/>
                <w:lang w:val="en-US" w:eastAsia="zh-CN"/>
              </w:rPr>
              <w:t>如下</w:t>
            </w:r>
            <w:r>
              <w:rPr>
                <w:rFonts w:hint="eastAsia"/>
                <w:bCs/>
                <w:color w:val="auto"/>
                <w:sz w:val="24"/>
                <w:highlight w:val="none"/>
              </w:rPr>
              <w:t>：</w:t>
            </w:r>
          </w:p>
          <w:p w14:paraId="42A4D6E1">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①</w:t>
            </w:r>
            <w:r>
              <w:rPr>
                <w:rFonts w:hint="eastAsia"/>
                <w:bCs/>
                <w:color w:val="auto"/>
                <w:sz w:val="24"/>
                <w:highlight w:val="none"/>
              </w:rPr>
              <w:t>危险废物储存要求</w:t>
            </w:r>
          </w:p>
          <w:p w14:paraId="664E0581">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1）不同种类的危险化学品要分区储存，并在储存区贴上符合危险废物种类的相应标签。</w:t>
            </w:r>
          </w:p>
          <w:p w14:paraId="281DA9C8">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2）贮存场必须做好防渗处理，同时还要略高出地面并加盖防雨措施，防止水流入造成对地表水和大气环境的污染。</w:t>
            </w:r>
          </w:p>
          <w:p w14:paraId="5F232986">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3）贮存场设置明显的贮存危险废物种类标识和警示标识，并在贮存场周围显著处标记“严禁烟火”的</w:t>
            </w:r>
            <w:r>
              <w:rPr>
                <w:rFonts w:hint="eastAsia"/>
                <w:bCs/>
                <w:color w:val="auto"/>
                <w:sz w:val="24"/>
                <w:highlight w:val="none"/>
                <w:lang w:eastAsia="zh-CN"/>
              </w:rPr>
              <w:t>警示牌</w:t>
            </w:r>
            <w:r>
              <w:rPr>
                <w:rFonts w:hint="eastAsia"/>
                <w:bCs/>
                <w:color w:val="auto"/>
                <w:sz w:val="24"/>
                <w:highlight w:val="none"/>
              </w:rPr>
              <w:t>。</w:t>
            </w:r>
          </w:p>
          <w:p w14:paraId="6EE5B9C5">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4）厂内要有专人管理危险废物，危险废物出入贮存场前，应登记造册，做好记录，注明危险废物的名称、来源、数量、特性、入库日期、出库日期、</w:t>
            </w:r>
            <w:r>
              <w:rPr>
                <w:rFonts w:hint="eastAsia"/>
                <w:bCs/>
                <w:color w:val="auto"/>
                <w:sz w:val="24"/>
                <w:highlight w:val="none"/>
                <w:lang w:eastAsia="zh-CN"/>
              </w:rPr>
              <w:t>接收单位</w:t>
            </w:r>
            <w:r>
              <w:rPr>
                <w:rFonts w:hint="eastAsia"/>
                <w:bCs/>
                <w:color w:val="auto"/>
                <w:sz w:val="24"/>
                <w:highlight w:val="none"/>
              </w:rPr>
              <w:t>等。</w:t>
            </w:r>
          </w:p>
          <w:p w14:paraId="60FE47F5">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5）定期对所贮存的危险废物包装容器及贮存设施进行检查，发现破损及时清理更换。</w:t>
            </w:r>
          </w:p>
          <w:p w14:paraId="51F0F6AF">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6）危险废物应按照国家有关规定向当地环境保护行政主管部门申报登记，接受当地环境保护行政主管部门监督管理。危险废物应按照国家有关规定向当地环境保护行政主管部门申报登记，接受当地环境保护行政主管部门监督管理。</w:t>
            </w:r>
          </w:p>
          <w:p w14:paraId="73663D3A">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②</w:t>
            </w:r>
            <w:r>
              <w:rPr>
                <w:rFonts w:hint="eastAsia"/>
                <w:bCs/>
                <w:color w:val="auto"/>
                <w:sz w:val="24"/>
                <w:highlight w:val="none"/>
              </w:rPr>
              <w:t>危险废物控制要求</w:t>
            </w:r>
          </w:p>
          <w:p w14:paraId="110ECFBE">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rPr>
              <w:t>企业</w:t>
            </w:r>
            <w:r>
              <w:rPr>
                <w:rFonts w:hint="eastAsia"/>
                <w:bCs/>
                <w:color w:val="auto"/>
                <w:sz w:val="24"/>
                <w:highlight w:val="none"/>
                <w:lang w:val="en-US" w:eastAsia="zh-CN"/>
              </w:rPr>
              <w:t>已</w:t>
            </w:r>
            <w:r>
              <w:rPr>
                <w:rFonts w:hint="eastAsia"/>
                <w:bCs/>
                <w:color w:val="auto"/>
                <w:sz w:val="24"/>
                <w:highlight w:val="none"/>
              </w:rPr>
              <w:t>严格加强固体废物贮存和处置全过程的管理，具体如下执行：</w:t>
            </w:r>
          </w:p>
          <w:p w14:paraId="223C7D84">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1）</w:t>
            </w:r>
            <w:r>
              <w:rPr>
                <w:rFonts w:hint="eastAsia"/>
                <w:bCs/>
                <w:color w:val="auto"/>
                <w:sz w:val="24"/>
                <w:highlight w:val="none"/>
              </w:rPr>
              <w:t>危险废物与其他固体废物严格隔离，禁止一般工业固废垃圾混入；同时也禁止危险废物混入一般工业固废中。</w:t>
            </w:r>
          </w:p>
          <w:p w14:paraId="002640AB">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2）</w:t>
            </w:r>
            <w:r>
              <w:rPr>
                <w:rFonts w:hint="eastAsia"/>
                <w:bCs/>
                <w:color w:val="auto"/>
                <w:sz w:val="24"/>
                <w:highlight w:val="none"/>
              </w:rPr>
              <w:t>禁止将不相容（相互反应）的危险废物在同一容器内混装；盛装危险废物的容器上必须粘贴符合标准的标签。</w:t>
            </w:r>
          </w:p>
          <w:p w14:paraId="3B9653CE">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3）</w:t>
            </w:r>
            <w:r>
              <w:rPr>
                <w:rFonts w:hint="eastAsia"/>
                <w:bCs/>
                <w:color w:val="auto"/>
                <w:sz w:val="24"/>
                <w:highlight w:val="none"/>
              </w:rPr>
              <w:t>检查堆场内的通讯设备、照明设施、安全防护服装及工具，检查应急防护设施。</w:t>
            </w:r>
          </w:p>
          <w:p w14:paraId="61ABB640">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4）</w:t>
            </w:r>
            <w:r>
              <w:rPr>
                <w:rFonts w:hint="eastAsia"/>
                <w:bCs/>
                <w:color w:val="auto"/>
                <w:sz w:val="24"/>
                <w:highlight w:val="none"/>
              </w:rPr>
              <w:t>完善维护制度，定期检查维护防渗设施，发现有损坏可能或异常，应及时采取必要措施，以保障正常运行；详细记录入场固体废物的种类和数量以及其他相关资料并长期保存，供随时查阅。</w:t>
            </w:r>
          </w:p>
          <w:p w14:paraId="04CF0B01">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5）</w:t>
            </w:r>
            <w:r>
              <w:rPr>
                <w:rFonts w:hint="eastAsia"/>
                <w:bCs/>
                <w:color w:val="auto"/>
                <w:sz w:val="24"/>
                <w:highlight w:val="none"/>
              </w:rPr>
              <w:t>当贮存库因故不再承担新的贮存、处置任务时，应予以关闭或封场，同时采取措施消除污染，无法消除污染的设备、土壤、墙体等按危险废物处理，并运至正在营运的危险废物处理处置场或其它贮存设施中。关闭或封场后，应设置标志物，注明关闭或封场时间，以及使用该土地时应注意的事项，并继续维护管理，直到稳定为止。监测部门的监测结果表明已不存在污染时，方可摘下警示标志，撤离留守人员。</w:t>
            </w:r>
          </w:p>
          <w:p w14:paraId="43FA7016">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6）</w:t>
            </w:r>
            <w:r>
              <w:rPr>
                <w:rFonts w:hint="eastAsia"/>
                <w:bCs/>
                <w:color w:val="auto"/>
                <w:sz w:val="24"/>
                <w:highlight w:val="none"/>
              </w:rPr>
              <w:t>项目产生的固体废物产生量、拟采取的处置措施及去向按《中华人民共和国固体废物污染环境防治法》的规定向</w:t>
            </w:r>
            <w:r>
              <w:rPr>
                <w:rFonts w:hint="eastAsia"/>
                <w:bCs/>
                <w:color w:val="auto"/>
                <w:sz w:val="24"/>
                <w:highlight w:val="none"/>
                <w:lang w:val="en-US" w:eastAsia="zh-CN"/>
              </w:rPr>
              <w:t>当地生态环境部门</w:t>
            </w:r>
            <w:r>
              <w:rPr>
                <w:rFonts w:hint="eastAsia"/>
                <w:bCs/>
                <w:color w:val="auto"/>
                <w:sz w:val="24"/>
                <w:highlight w:val="none"/>
              </w:rPr>
              <w:t>申报，填报危险废物转移五联单，按要求对危险废物进行全过程严格管理和安全处置。</w:t>
            </w:r>
          </w:p>
          <w:p w14:paraId="3A69498F">
            <w:pPr>
              <w:keepNext w:val="0"/>
              <w:keepLines w:val="0"/>
              <w:suppressLineNumbers w:val="0"/>
              <w:adjustRightInd w:val="0"/>
              <w:snapToGrid w:val="0"/>
              <w:spacing w:before="0" w:beforeAutospacing="0" w:after="0" w:afterAutospacing="0" w:line="480" w:lineRule="exact"/>
              <w:ind w:left="0" w:right="0" w:firstLine="480" w:firstLineChars="200"/>
              <w:rPr>
                <w:rFonts w:hint="eastAsia"/>
                <w:bCs/>
                <w:color w:val="auto"/>
                <w:sz w:val="24"/>
                <w:highlight w:val="none"/>
              </w:rPr>
            </w:pPr>
            <w:r>
              <w:rPr>
                <w:rFonts w:hint="eastAsia" w:cs="Times New Roman"/>
                <w:bCs/>
                <w:color w:val="auto"/>
                <w:sz w:val="24"/>
                <w:highlight w:val="none"/>
                <w:lang w:val="en-US" w:eastAsia="zh-CN"/>
              </w:rPr>
              <w:t>7）</w:t>
            </w:r>
            <w:r>
              <w:rPr>
                <w:rFonts w:hint="default" w:ascii="Times New Roman" w:hAnsi="Times New Roman" w:eastAsia="宋体" w:cs="Times New Roman"/>
                <w:bCs/>
                <w:color w:val="auto"/>
                <w:sz w:val="24"/>
                <w:highlight w:val="none"/>
                <w:lang w:val="en-US" w:eastAsia="zh-CN"/>
              </w:rPr>
              <w:t>建设单位按照《危险废物管理计划和台账指定技术导则》（HJ1259-2022）相关要求制定</w:t>
            </w:r>
            <w:r>
              <w:rPr>
                <w:rFonts w:hint="eastAsia" w:cs="Times New Roman"/>
                <w:bCs/>
                <w:color w:val="auto"/>
                <w:sz w:val="24"/>
                <w:highlight w:val="none"/>
                <w:lang w:val="en-US" w:eastAsia="zh-CN"/>
              </w:rPr>
              <w:t>了</w:t>
            </w:r>
            <w:r>
              <w:rPr>
                <w:rFonts w:hint="default" w:ascii="Times New Roman" w:hAnsi="Times New Roman" w:eastAsia="宋体" w:cs="Times New Roman"/>
                <w:bCs/>
                <w:color w:val="auto"/>
                <w:sz w:val="24"/>
                <w:highlight w:val="none"/>
                <w:lang w:val="en-US" w:eastAsia="zh-CN"/>
              </w:rPr>
              <w:t>危险废物管理台账</w:t>
            </w:r>
            <w:r>
              <w:rPr>
                <w:rFonts w:hint="eastAsia" w:cs="Times New Roman"/>
                <w:bCs/>
                <w:color w:val="auto"/>
                <w:sz w:val="24"/>
                <w:highlight w:val="none"/>
                <w:lang w:val="en-US" w:eastAsia="zh-CN"/>
              </w:rPr>
              <w:t>。</w:t>
            </w:r>
          </w:p>
          <w:p w14:paraId="557D3B04">
            <w:pPr>
              <w:keepNext w:val="0"/>
              <w:keepLines w:val="0"/>
              <w:suppressLineNumbers w:val="0"/>
              <w:adjustRightInd w:val="0"/>
              <w:snapToGrid w:val="0"/>
              <w:spacing w:before="0" w:beforeAutospacing="0" w:after="0" w:afterAutospacing="0" w:line="480" w:lineRule="exact"/>
              <w:ind w:left="0" w:right="0" w:firstLine="480" w:firstLineChars="200"/>
              <w:rPr>
                <w:rFonts w:hint="default"/>
                <w:bCs/>
                <w:color w:val="auto"/>
                <w:sz w:val="24"/>
                <w:highlight w:val="none"/>
              </w:rPr>
            </w:pPr>
            <w:r>
              <w:rPr>
                <w:rFonts w:hint="eastAsia"/>
                <w:bCs/>
                <w:color w:val="auto"/>
                <w:sz w:val="24"/>
                <w:highlight w:val="none"/>
                <w:lang w:val="en-US" w:eastAsia="zh-CN"/>
              </w:rPr>
              <w:t>③</w:t>
            </w:r>
            <w:r>
              <w:rPr>
                <w:rFonts w:hint="eastAsia"/>
                <w:bCs/>
                <w:color w:val="auto"/>
                <w:sz w:val="24"/>
                <w:highlight w:val="none"/>
              </w:rPr>
              <w:t>危险废物转移要求</w:t>
            </w:r>
          </w:p>
          <w:p w14:paraId="5305A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bCs/>
                <w:color w:val="auto"/>
                <w:sz w:val="24"/>
                <w:highlight w:val="none"/>
                <w:lang w:val="en-US" w:eastAsia="zh-CN"/>
              </w:rPr>
            </w:pPr>
            <w:r>
              <w:rPr>
                <w:rFonts w:hint="eastAsia"/>
                <w:bCs/>
                <w:color w:val="auto"/>
                <w:sz w:val="24"/>
                <w:highlight w:val="none"/>
              </w:rPr>
              <w:t>在送往有资质危险废物定点单位处理时严格执行《危险废物转移联单管理办法》中严格做好相应防范措施，防止危险废物的泄漏，或发生重大交通事故。</w:t>
            </w:r>
          </w:p>
          <w:p w14:paraId="5C1B4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eastAsia"/>
                <w:bCs/>
                <w:color w:val="auto"/>
                <w:sz w:val="24"/>
                <w:highlight w:val="none"/>
                <w:lang w:val="en-US" w:eastAsia="zh-CN"/>
              </w:rPr>
            </w:pPr>
            <w:r>
              <w:rPr>
                <w:rFonts w:hint="default"/>
                <w:bCs/>
                <w:color w:val="auto"/>
                <w:sz w:val="24"/>
                <w:highlight w:val="none"/>
              </w:rPr>
              <w:t>综上所述，</w:t>
            </w:r>
            <w:r>
              <w:rPr>
                <w:rFonts w:hint="eastAsia"/>
                <w:bCs/>
                <w:color w:val="auto"/>
                <w:sz w:val="24"/>
                <w:highlight w:val="none"/>
                <w:lang w:val="en-US" w:eastAsia="zh-CN"/>
              </w:rPr>
              <w:t>厂区现有危废贮存库建设和管理可满足</w:t>
            </w:r>
            <w:r>
              <w:rPr>
                <w:rFonts w:hint="default"/>
                <w:bCs/>
                <w:color w:val="auto"/>
                <w:sz w:val="24"/>
                <w:highlight w:val="none"/>
              </w:rPr>
              <w:t>《危险废物贮存污染控制标准》（GB18597-2023）</w:t>
            </w:r>
            <w:r>
              <w:rPr>
                <w:rFonts w:hint="eastAsia"/>
                <w:bCs/>
                <w:color w:val="auto"/>
                <w:sz w:val="24"/>
                <w:highlight w:val="none"/>
                <w:lang w:val="en-US" w:eastAsia="zh-CN"/>
              </w:rPr>
              <w:t>中相关要求。</w:t>
            </w:r>
          </w:p>
          <w:p w14:paraId="0B129C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bCs/>
                <w:color w:val="auto"/>
                <w:sz w:val="24"/>
                <w:highlight w:val="none"/>
              </w:rPr>
            </w:pPr>
            <w:r>
              <w:rPr>
                <w:rFonts w:hint="default"/>
                <w:bCs/>
                <w:color w:val="auto"/>
                <w:sz w:val="24"/>
                <w:highlight w:val="none"/>
              </w:rPr>
              <w:t>本项目所产生的固体废物均得到了综合利用或合理处置，对周围环境影响较小。</w:t>
            </w:r>
          </w:p>
          <w:p w14:paraId="5D9405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z w:val="24"/>
                <w:szCs w:val="24"/>
                <w:highlight w:val="none"/>
              </w:rPr>
            </w:pPr>
            <w:r>
              <w:rPr>
                <w:rFonts w:hint="eastAsia" w:cs="Times New Roman"/>
                <w:b/>
                <w:color w:val="auto"/>
                <w:sz w:val="24"/>
                <w:szCs w:val="24"/>
                <w:highlight w:val="none"/>
                <w:lang w:val="en-US" w:eastAsia="zh-CN"/>
              </w:rPr>
              <w:t>5、</w:t>
            </w:r>
            <w:r>
              <w:rPr>
                <w:rFonts w:hint="eastAsia" w:ascii="Times New Roman" w:hAnsi="Times New Roman" w:eastAsia="宋体" w:cs="Times New Roman"/>
                <w:b/>
                <w:color w:val="auto"/>
                <w:sz w:val="24"/>
                <w:szCs w:val="24"/>
                <w:highlight w:val="none"/>
                <w:lang w:val="en-US" w:eastAsia="zh-CN"/>
              </w:rPr>
              <w:t>地下水</w:t>
            </w:r>
            <w:r>
              <w:rPr>
                <w:rFonts w:hint="eastAsia" w:ascii="Times New Roman" w:hAnsi="Times New Roman" w:eastAsia="宋体" w:cs="Times New Roman"/>
                <w:b/>
                <w:color w:val="auto"/>
                <w:sz w:val="24"/>
                <w:szCs w:val="24"/>
                <w:highlight w:val="none"/>
                <w:lang w:eastAsia="zh-CN"/>
              </w:rPr>
              <w:t>、</w:t>
            </w:r>
            <w:r>
              <w:rPr>
                <w:rFonts w:hint="default" w:ascii="Times New Roman" w:hAnsi="Times New Roman" w:eastAsia="宋体" w:cs="Times New Roman"/>
                <w:b/>
                <w:color w:val="auto"/>
                <w:sz w:val="24"/>
                <w:szCs w:val="24"/>
                <w:highlight w:val="none"/>
              </w:rPr>
              <w:t>土壤</w:t>
            </w:r>
          </w:p>
          <w:p w14:paraId="14CE9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highlight w:val="none"/>
                <w:lang w:val="en-US" w:eastAsia="zh-CN"/>
              </w:rPr>
            </w:pPr>
            <w:r>
              <w:rPr>
                <w:rFonts w:hint="eastAsia"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highlight w:val="none"/>
              </w:rPr>
              <w:t>污染源</w:t>
            </w:r>
            <w:r>
              <w:rPr>
                <w:rFonts w:hint="default" w:ascii="Times New Roman" w:hAnsi="Times New Roman" w:eastAsia="宋体" w:cs="Times New Roman"/>
                <w:b w:val="0"/>
                <w:bCs/>
                <w:color w:val="auto"/>
                <w:sz w:val="24"/>
                <w:highlight w:val="none"/>
                <w:lang w:val="en-US" w:eastAsia="zh-CN"/>
              </w:rPr>
              <w:t>和污染途径</w:t>
            </w:r>
          </w:p>
          <w:p w14:paraId="0FEBA8A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 w:val="0"/>
                <w:bCs/>
                <w:color w:val="auto"/>
                <w:sz w:val="24"/>
                <w:highlight w:val="none"/>
                <w:lang w:val="en-US" w:eastAsia="zh-CN"/>
              </w:rPr>
              <w:t>本项目土壤</w:t>
            </w:r>
            <w:r>
              <w:rPr>
                <w:rFonts w:hint="eastAsia" w:ascii="Times New Roman" w:hAnsi="Times New Roman" w:eastAsia="宋体" w:cs="Times New Roman"/>
                <w:b w:val="0"/>
                <w:bCs/>
                <w:color w:val="auto"/>
                <w:sz w:val="24"/>
                <w:highlight w:val="none"/>
                <w:lang w:val="en-US" w:eastAsia="zh-CN"/>
              </w:rPr>
              <w:t>、</w:t>
            </w:r>
            <w:r>
              <w:rPr>
                <w:rFonts w:hint="default" w:ascii="Times New Roman" w:hAnsi="Times New Roman" w:eastAsia="宋体" w:cs="Times New Roman"/>
                <w:b w:val="0"/>
                <w:bCs/>
                <w:color w:val="auto"/>
                <w:sz w:val="24"/>
                <w:highlight w:val="none"/>
                <w:lang w:val="en-US" w:eastAsia="zh-CN"/>
              </w:rPr>
              <w:t>地下水</w:t>
            </w:r>
            <w:r>
              <w:rPr>
                <w:rFonts w:hint="eastAsia" w:ascii="Times New Roman" w:hAnsi="Times New Roman" w:eastAsia="宋体" w:cs="Times New Roman"/>
                <w:b w:val="0"/>
                <w:bCs/>
                <w:color w:val="auto"/>
                <w:sz w:val="24"/>
                <w:highlight w:val="none"/>
                <w:lang w:val="en-US" w:eastAsia="zh-CN"/>
              </w:rPr>
              <w:t>污染</w:t>
            </w:r>
            <w:r>
              <w:rPr>
                <w:rFonts w:hint="eastAsia" w:ascii="Times New Roman" w:hAnsi="Times New Roman" w:eastAsia="宋体" w:cs="Times New Roman"/>
                <w:bCs/>
                <w:color w:val="auto"/>
                <w:sz w:val="24"/>
                <w:highlight w:val="none"/>
                <w:lang w:val="en-US" w:eastAsia="zh-CN"/>
              </w:rPr>
              <w:t>途径</w:t>
            </w:r>
            <w:r>
              <w:rPr>
                <w:rFonts w:hint="default" w:ascii="Times New Roman" w:hAnsi="Times New Roman" w:eastAsia="宋体" w:cs="Times New Roman"/>
                <w:bCs/>
                <w:color w:val="auto"/>
                <w:sz w:val="24"/>
                <w:highlight w:val="none"/>
                <w:lang w:val="en-US" w:eastAsia="zh-CN"/>
              </w:rPr>
              <w:t>主要为</w:t>
            </w:r>
            <w:r>
              <w:rPr>
                <w:rFonts w:hint="eastAsia" w:ascii="Times New Roman" w:hAnsi="Times New Roman" w:eastAsia="宋体" w:cs="Times New Roman"/>
                <w:bCs/>
                <w:color w:val="auto"/>
                <w:sz w:val="24"/>
                <w:highlight w:val="none"/>
                <w:lang w:val="en-US" w:eastAsia="zh-CN"/>
              </w:rPr>
              <w:t>危废贮存</w:t>
            </w:r>
            <w:r>
              <w:rPr>
                <w:rFonts w:hint="eastAsia" w:cs="Times New Roman"/>
                <w:bCs/>
                <w:color w:val="auto"/>
                <w:sz w:val="24"/>
                <w:highlight w:val="none"/>
                <w:lang w:val="en-US" w:eastAsia="zh-CN"/>
              </w:rPr>
              <w:t>库内</w:t>
            </w:r>
            <w:r>
              <w:rPr>
                <w:rFonts w:hint="eastAsia" w:ascii="Times New Roman" w:hAnsi="Times New Roman" w:eastAsia="宋体" w:cs="Times New Roman"/>
                <w:bCs/>
                <w:color w:val="auto"/>
                <w:sz w:val="24"/>
                <w:highlight w:val="none"/>
                <w:lang w:val="en-US" w:eastAsia="zh-CN"/>
              </w:rPr>
              <w:t>地面防渗结构发生破损且包装出现开裂或倾覆</w:t>
            </w:r>
            <w:r>
              <w:rPr>
                <w:rFonts w:hint="default" w:ascii="Times New Roman" w:hAnsi="Times New Roman" w:eastAsia="宋体" w:cs="Times New Roman"/>
                <w:bCs/>
                <w:color w:val="auto"/>
                <w:sz w:val="24"/>
                <w:highlight w:val="none"/>
                <w:lang w:val="en-US" w:eastAsia="zh-CN"/>
              </w:rPr>
              <w:t>造成的</w:t>
            </w:r>
            <w:r>
              <w:rPr>
                <w:rFonts w:hint="eastAsia" w:cs="Times New Roman"/>
                <w:bCs/>
                <w:color w:val="auto"/>
                <w:sz w:val="24"/>
                <w:highlight w:val="none"/>
                <w:lang w:val="en-US" w:eastAsia="zh-CN"/>
              </w:rPr>
              <w:t>油类物质</w:t>
            </w:r>
            <w:r>
              <w:rPr>
                <w:rFonts w:hint="default" w:ascii="Times New Roman" w:hAnsi="Times New Roman" w:eastAsia="宋体" w:cs="Times New Roman"/>
                <w:bCs/>
                <w:color w:val="auto"/>
                <w:sz w:val="24"/>
                <w:highlight w:val="none"/>
                <w:lang w:val="en-US" w:eastAsia="zh-CN"/>
              </w:rPr>
              <w:t>泄漏，主要成分为石油类。污染物经土层运移至含水层进而下渗污染土壤、地下水，会对区域土壤及地下水造成影响。</w:t>
            </w:r>
          </w:p>
          <w:p w14:paraId="69D31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b w:val="0"/>
                <w:bCs/>
                <w:color w:val="auto"/>
                <w:sz w:val="24"/>
                <w:highlight w:val="none"/>
                <w:lang w:val="en-US" w:eastAsia="zh-CN"/>
              </w:rPr>
            </w:pPr>
            <w:r>
              <w:rPr>
                <w:rFonts w:hint="eastAsia" w:cs="Times New Roman"/>
                <w:b w:val="0"/>
                <w:bCs/>
                <w:color w:val="auto"/>
                <w:sz w:val="24"/>
                <w:szCs w:val="24"/>
                <w:highlight w:val="none"/>
                <w:lang w:val="en-US" w:eastAsia="zh-CN"/>
              </w:rPr>
              <w:t>（2）</w:t>
            </w:r>
            <w:r>
              <w:rPr>
                <w:rFonts w:hint="eastAsia" w:ascii="Times New Roman" w:hAnsi="Times New Roman" w:eastAsia="宋体" w:cs="Times New Roman"/>
                <w:b w:val="0"/>
                <w:bCs/>
                <w:color w:val="auto"/>
                <w:sz w:val="24"/>
                <w:highlight w:val="none"/>
                <w:lang w:val="en-US" w:eastAsia="zh-CN"/>
              </w:rPr>
              <w:t>防控措施</w:t>
            </w:r>
          </w:p>
          <w:p w14:paraId="02A260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污染防治措施针对项目可能发生的地下水、土壤污染，本项目按照分区防控的要求提出了以下的防控措施：</w:t>
            </w:r>
          </w:p>
          <w:p w14:paraId="06778B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eastAsia" w:cs="Times New Roman"/>
                <w:i w:val="0"/>
                <w:iCs w:val="0"/>
                <w:caps w:val="0"/>
                <w:color w:val="auto"/>
                <w:spacing w:val="0"/>
                <w:kern w:val="0"/>
                <w:sz w:val="24"/>
                <w:szCs w:val="24"/>
                <w:highlight w:val="none"/>
                <w:shd w:val="clear" w:color="auto" w:fill="FFFFFF"/>
                <w:lang w:val="en-US" w:eastAsia="zh-CN" w:bidi="ar"/>
              </w:rPr>
              <w:t>①</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厂区防渗分区及要求</w:t>
            </w:r>
          </w:p>
          <w:p w14:paraId="75A9779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对厂区可能泄漏污染物的污染区地面进行防渗处理，并及时地将泄漏渗漏的污染物收集起来进行处理，可有效</w:t>
            </w:r>
            <w:r>
              <w:rPr>
                <w:rFonts w:hint="eastAsia" w:cs="Times New Roman"/>
                <w:i w:val="0"/>
                <w:iCs w:val="0"/>
                <w:caps w:val="0"/>
                <w:color w:val="auto"/>
                <w:spacing w:val="0"/>
                <w:kern w:val="0"/>
                <w:sz w:val="24"/>
                <w:szCs w:val="24"/>
                <w:highlight w:val="none"/>
                <w:shd w:val="clear" w:color="auto" w:fill="FFFFFF"/>
                <w:lang w:val="en-US" w:eastAsia="zh-CN" w:bidi="ar"/>
              </w:rPr>
              <w:t>防止</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洒落地面的污染物渗入地下根据防渗参照的标准和规范，结合目前施工过程中的可操作性和技术水平针对不同的防渗区域采用的防渗措施如下</w:t>
            </w:r>
            <w:r>
              <w:rPr>
                <w:rFonts w:hint="eastAsia" w:cs="Times New Roman"/>
                <w:i w:val="0"/>
                <w:iCs w:val="0"/>
                <w:caps w:val="0"/>
                <w:color w:val="auto"/>
                <w:spacing w:val="0"/>
                <w:kern w:val="0"/>
                <w:sz w:val="24"/>
                <w:szCs w:val="24"/>
                <w:highlight w:val="none"/>
                <w:shd w:val="clear" w:color="auto" w:fill="FFFFFF"/>
                <w:lang w:val="en-US" w:eastAsia="zh-CN" w:bidi="ar"/>
              </w:rPr>
              <w:t>：</w:t>
            </w:r>
          </w:p>
          <w:p w14:paraId="51D9D43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1）</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重点污染防治区</w:t>
            </w:r>
          </w:p>
          <w:p w14:paraId="61CD1A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主要为危废</w:t>
            </w:r>
            <w:r>
              <w:rPr>
                <w:rFonts w:hint="eastAsia"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贮存</w:t>
            </w:r>
            <w:r>
              <w:rPr>
                <w:rFonts w:hint="eastAsia" w:cs="Times New Roman"/>
                <w:i w:val="0"/>
                <w:iCs w:val="0"/>
                <w:caps w:val="0"/>
                <w:color w:val="auto"/>
                <w:spacing w:val="0"/>
                <w:kern w:val="0"/>
                <w:sz w:val="24"/>
                <w:szCs w:val="24"/>
                <w:highlight w:val="none"/>
                <w:shd w:val="clear" w:color="auto" w:fill="FFFFFF"/>
                <w:lang w:val="en-US" w:eastAsia="zh-CN" w:bidi="ar"/>
              </w:rPr>
              <w:t>库，已</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参照《环境影响评价技术导则 地下水环境》</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HJ610-2016</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中关于重点防渗区的要求</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color w:val="auto"/>
                <w:kern w:val="2"/>
                <w:sz w:val="24"/>
                <w:szCs w:val="24"/>
                <w:highlight w:val="none"/>
              </w:rPr>
              <w:t>至少2mm厚高密度聚乙烯，渗透系数K</w:t>
            </w:r>
            <w:r>
              <w:rPr>
                <w:rFonts w:hint="eastAsia" w:ascii="宋体" w:hAnsi="宋体" w:eastAsia="宋体" w:cs="宋体"/>
                <w:color w:val="auto"/>
                <w:kern w:val="2"/>
                <w:sz w:val="24"/>
                <w:szCs w:val="24"/>
                <w:highlight w:val="none"/>
              </w:rPr>
              <w:t>≤</w:t>
            </w:r>
            <w:r>
              <w:rPr>
                <w:rFonts w:hint="default" w:ascii="Times New Roman" w:hAnsi="Times New Roman" w:eastAsia="宋体" w:cs="Times New Roman"/>
                <w:color w:val="auto"/>
                <w:kern w:val="2"/>
                <w:sz w:val="24"/>
                <w:szCs w:val="24"/>
                <w:highlight w:val="none"/>
              </w:rPr>
              <w:t>1×10</w:t>
            </w:r>
            <w:r>
              <w:rPr>
                <w:rFonts w:hint="default" w:ascii="Times New Roman" w:hAnsi="Times New Roman" w:eastAsia="宋体" w:cs="Times New Roman"/>
                <w:color w:val="auto"/>
                <w:kern w:val="2"/>
                <w:sz w:val="24"/>
                <w:szCs w:val="24"/>
                <w:highlight w:val="none"/>
                <w:vertAlign w:val="superscript"/>
              </w:rPr>
              <w:t>-</w:t>
            </w:r>
            <w:r>
              <w:rPr>
                <w:rFonts w:hint="eastAsia" w:cs="Times New Roman"/>
                <w:color w:val="auto"/>
                <w:kern w:val="2"/>
                <w:sz w:val="24"/>
                <w:szCs w:val="24"/>
                <w:highlight w:val="none"/>
                <w:vertAlign w:val="superscript"/>
                <w:lang w:val="en-US" w:eastAsia="zh-CN"/>
              </w:rPr>
              <w:t>7</w:t>
            </w:r>
            <w:r>
              <w:rPr>
                <w:rFonts w:hint="default" w:ascii="Times New Roman" w:hAnsi="Times New Roman" w:eastAsia="宋体" w:cs="Times New Roman"/>
                <w:color w:val="auto"/>
                <w:kern w:val="2"/>
                <w:sz w:val="24"/>
                <w:szCs w:val="24"/>
                <w:highlight w:val="none"/>
              </w:rPr>
              <w:t>cm/s</w:t>
            </w:r>
            <w:r>
              <w:rPr>
                <w:rFonts w:hint="eastAsia" w:cs="Times New Roman"/>
                <w:i w:val="0"/>
                <w:iCs w:val="0"/>
                <w:caps w:val="0"/>
                <w:color w:val="auto"/>
                <w:spacing w:val="0"/>
                <w:kern w:val="0"/>
                <w:sz w:val="24"/>
                <w:szCs w:val="24"/>
                <w:highlight w:val="none"/>
                <w:shd w:val="clear" w:color="auto" w:fill="FFFFFF"/>
                <w:lang w:val="en-US" w:eastAsia="zh-CN" w:bidi="ar"/>
              </w:rPr>
              <w:t>做防渗处理</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p>
          <w:p w14:paraId="14F197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2）</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一般防渗区</w:t>
            </w:r>
          </w:p>
          <w:p w14:paraId="138BCB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主要为</w:t>
            </w:r>
            <w:r>
              <w:rPr>
                <w:rFonts w:hint="eastAsia" w:cs="Times New Roman"/>
                <w:i w:val="0"/>
                <w:iCs w:val="0"/>
                <w:caps w:val="0"/>
                <w:color w:val="auto"/>
                <w:spacing w:val="0"/>
                <w:kern w:val="0"/>
                <w:sz w:val="24"/>
                <w:szCs w:val="24"/>
                <w:highlight w:val="none"/>
                <w:shd w:val="clear" w:color="auto" w:fill="FFFFFF"/>
                <w:lang w:val="en-US" w:eastAsia="zh-CN" w:bidi="ar"/>
              </w:rPr>
              <w:t>1#厂房、2#厂房、3#厂房、报废汽车、报废新能源汽车堆场、初期雨水收集池，已</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参照《环境影响评价技术导则 地下水环境》</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HJ610-2016</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中关于一般防渗区的要求</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等效黏土防渗层Mb&gt;1.5m，K</w:t>
            </w:r>
            <w:r>
              <w:rPr>
                <w:rFonts w:hint="eastAsia" w:cs="Times New Roman"/>
                <w:i w:val="0"/>
                <w:iCs w:val="0"/>
                <w:caps w:val="0"/>
                <w:color w:val="auto"/>
                <w:spacing w:val="0"/>
                <w:kern w:val="0"/>
                <w:sz w:val="24"/>
                <w:szCs w:val="24"/>
                <w:highlight w:val="none"/>
                <w:shd w:val="clear" w:color="auto" w:fill="FFFFFF"/>
                <w:lang w:val="en-US" w:eastAsia="zh-CN" w:bidi="ar"/>
              </w:rPr>
              <w:t>≤1</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0</w:t>
            </w:r>
            <w:r>
              <w:rPr>
                <w:rFonts w:hint="default" w:ascii="Times New Roman" w:hAnsi="Times New Roman" w:eastAsia="宋体" w:cs="Times New Roman"/>
                <w:i w:val="0"/>
                <w:iCs w:val="0"/>
                <w:caps w:val="0"/>
                <w:color w:val="auto"/>
                <w:spacing w:val="0"/>
                <w:kern w:val="0"/>
                <w:sz w:val="24"/>
                <w:szCs w:val="24"/>
                <w:highlight w:val="none"/>
                <w:shd w:val="clear" w:color="auto" w:fill="FFFFFF"/>
                <w:vertAlign w:val="superscript"/>
                <w:lang w:val="en-US" w:eastAsia="zh-CN" w:bidi="ar"/>
              </w:rPr>
              <w:t>-7</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cm/s</w:t>
            </w:r>
            <w:r>
              <w:rPr>
                <w:rFonts w:hint="eastAsia" w:cs="Times New Roman"/>
                <w:i w:val="0"/>
                <w:iCs w:val="0"/>
                <w:caps w:val="0"/>
                <w:color w:val="auto"/>
                <w:spacing w:val="0"/>
                <w:kern w:val="0"/>
                <w:sz w:val="24"/>
                <w:szCs w:val="24"/>
                <w:highlight w:val="none"/>
                <w:shd w:val="clear" w:color="auto" w:fill="FFFFFF"/>
                <w:lang w:val="en-US" w:eastAsia="zh-CN" w:bidi="ar"/>
              </w:rPr>
              <w:t>全部做防渗处理</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p>
          <w:p w14:paraId="11B7E2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3）</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简单防渗区</w:t>
            </w:r>
          </w:p>
          <w:p w14:paraId="2B71C37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both"/>
              <w:textAlignment w:val="auto"/>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pPr>
            <w:r>
              <w:rPr>
                <w:rFonts w:hint="eastAsia" w:cs="Times New Roman"/>
                <w:i w:val="0"/>
                <w:iCs w:val="0"/>
                <w:caps w:val="0"/>
                <w:color w:val="auto"/>
                <w:spacing w:val="0"/>
                <w:kern w:val="0"/>
                <w:sz w:val="24"/>
                <w:szCs w:val="24"/>
                <w:highlight w:val="none"/>
                <w:shd w:val="clear" w:color="auto" w:fill="FFFFFF"/>
                <w:lang w:val="en-US" w:eastAsia="zh-CN" w:bidi="ar"/>
              </w:rPr>
              <w:t>办公楼、</w:t>
            </w:r>
            <w:r>
              <w:rPr>
                <w:rFonts w:hint="default" w:ascii="Times New Roman" w:hAnsi="Times New Roman" w:eastAsia="宋体" w:cs="Times New Roman"/>
                <w:i w:val="0"/>
                <w:iCs w:val="0"/>
                <w:caps w:val="0"/>
                <w:color w:val="auto"/>
                <w:spacing w:val="0"/>
                <w:kern w:val="0"/>
                <w:sz w:val="24"/>
                <w:szCs w:val="24"/>
                <w:highlight w:val="none"/>
                <w:shd w:val="clear" w:color="auto" w:fill="FFFFFF"/>
                <w:lang w:val="en-US" w:eastAsia="zh-CN" w:bidi="ar"/>
              </w:rPr>
              <w:t>厂区道路全部采用混凝土硬化</w:t>
            </w:r>
            <w:r>
              <w:rPr>
                <w:rFonts w:hint="eastAsia" w:ascii="Times New Roman" w:hAnsi="Times New Roman" w:cs="Times New Roman"/>
                <w:i w:val="0"/>
                <w:iCs w:val="0"/>
                <w:caps w:val="0"/>
                <w:color w:val="auto"/>
                <w:spacing w:val="0"/>
                <w:kern w:val="0"/>
                <w:sz w:val="24"/>
                <w:szCs w:val="24"/>
                <w:highlight w:val="none"/>
                <w:shd w:val="clear" w:color="auto" w:fill="FFFFFF"/>
                <w:lang w:val="en-US" w:eastAsia="zh-CN" w:bidi="ar"/>
              </w:rPr>
              <w:t>。</w:t>
            </w:r>
            <w:r>
              <w:rPr>
                <w:rFonts w:hint="default" w:ascii="Times New Roman" w:hAnsi="Times New Roman" w:eastAsia="宋体" w:cs="Times New Roman"/>
                <w:color w:val="auto"/>
                <w:sz w:val="24"/>
                <w:highlight w:val="none"/>
              </w:rPr>
              <w:t>本项目防渗污染防治分区见</w:t>
            </w:r>
            <w:r>
              <w:rPr>
                <w:rFonts w:hint="default" w:ascii="Times New Roman" w:hAnsi="Times New Roman" w:eastAsia="宋体" w:cs="Times New Roman"/>
                <w:color w:val="auto"/>
                <w:sz w:val="24"/>
                <w:highlight w:val="none"/>
                <w:lang w:eastAsia="zh-CN"/>
              </w:rPr>
              <w:t>下</w:t>
            </w:r>
            <w:r>
              <w:rPr>
                <w:rFonts w:hint="default" w:ascii="Times New Roman" w:hAnsi="Times New Roman" w:eastAsia="宋体" w:cs="Times New Roman"/>
                <w:color w:val="auto"/>
                <w:sz w:val="24"/>
                <w:highlight w:val="none"/>
              </w:rPr>
              <w:t>表。</w:t>
            </w:r>
            <w:r>
              <w:rPr>
                <w:rFonts w:hint="default" w:ascii="Times New Roman" w:hAnsi="Times New Roman" w:eastAsia="宋体" w:cs="Times New Roman"/>
                <w:bCs/>
                <w:color w:val="auto"/>
                <w:sz w:val="24"/>
                <w:szCs w:val="22"/>
                <w:highlight w:val="none"/>
                <w:lang w:val="en-US" w:eastAsia="zh-CN"/>
              </w:rPr>
              <w:t>分区防渗图见附图</w:t>
            </w:r>
            <w:r>
              <w:rPr>
                <w:rFonts w:hint="eastAsia" w:cs="Times New Roman"/>
                <w:bCs/>
                <w:color w:val="auto"/>
                <w:sz w:val="24"/>
                <w:szCs w:val="22"/>
                <w:highlight w:val="none"/>
                <w:lang w:val="en-US" w:eastAsia="zh-CN"/>
              </w:rPr>
              <w:t>4</w:t>
            </w:r>
          </w:p>
          <w:p w14:paraId="19C1F8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-19</w:t>
            </w:r>
            <w:r>
              <w:rPr>
                <w:rFonts w:hint="default" w:ascii="Times New Roman" w:hAnsi="Times New Roman" w:eastAsia="宋体" w:cs="Times New Roman"/>
                <w:b/>
                <w:bCs/>
                <w:color w:val="auto"/>
                <w:kern w:val="2"/>
                <w:sz w:val="21"/>
                <w:szCs w:val="21"/>
                <w:highlight w:val="none"/>
                <w:lang w:val="en-US" w:eastAsia="zh-CN" w:bidi="ar-SA"/>
              </w:rPr>
              <w:t xml:space="preserve">  防渗分区及防渗要求情况表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2126"/>
              <w:gridCol w:w="2250"/>
              <w:gridCol w:w="3480"/>
            </w:tblGrid>
            <w:tr w14:paraId="7607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04" w:type="pct"/>
                  <w:tcBorders>
                    <w:tl2br w:val="nil"/>
                    <w:tr2bl w:val="nil"/>
                  </w:tcBorders>
                  <w:vAlign w:val="center"/>
                </w:tcPr>
                <w:p w14:paraId="3F813CB8">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Cs w:val="22"/>
                      <w:highlight w:val="none"/>
                      <w:lang w:val="en-US" w:eastAsia="zh-CN"/>
                    </w:rPr>
                  </w:pPr>
                  <w:r>
                    <w:rPr>
                      <w:rFonts w:hint="default" w:ascii="Times New Roman" w:hAnsi="Times New Roman" w:eastAsia="宋体" w:cs="Times New Roman"/>
                      <w:b/>
                      <w:bCs/>
                      <w:color w:val="auto"/>
                      <w:szCs w:val="22"/>
                      <w:highlight w:val="none"/>
                      <w:lang w:val="en-US" w:eastAsia="zh-CN"/>
                    </w:rPr>
                    <w:t>防渗分区</w:t>
                  </w:r>
                </w:p>
              </w:tc>
              <w:tc>
                <w:tcPr>
                  <w:tcW w:w="1162" w:type="pct"/>
                  <w:tcBorders>
                    <w:tl2br w:val="nil"/>
                    <w:tr2bl w:val="nil"/>
                  </w:tcBorders>
                  <w:vAlign w:val="center"/>
                </w:tcPr>
                <w:p w14:paraId="26F90124">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Cs w:val="22"/>
                      <w:highlight w:val="none"/>
                      <w:lang w:val="en-US" w:eastAsia="zh-CN"/>
                    </w:rPr>
                  </w:pPr>
                  <w:r>
                    <w:rPr>
                      <w:rFonts w:hint="eastAsia" w:ascii="Times New Roman" w:hAnsi="Times New Roman" w:eastAsia="宋体" w:cs="Times New Roman"/>
                      <w:b/>
                      <w:bCs/>
                      <w:color w:val="auto"/>
                      <w:szCs w:val="22"/>
                      <w:highlight w:val="none"/>
                      <w:lang w:val="en-US" w:eastAsia="zh-CN"/>
                    </w:rPr>
                    <w:t>防渗区域</w:t>
                  </w:r>
                </w:p>
              </w:tc>
              <w:tc>
                <w:tcPr>
                  <w:tcW w:w="1230" w:type="pct"/>
                  <w:tcBorders>
                    <w:tl2br w:val="nil"/>
                    <w:tr2bl w:val="nil"/>
                  </w:tcBorders>
                  <w:vAlign w:val="center"/>
                </w:tcPr>
                <w:p w14:paraId="42976EEA">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Cs w:val="22"/>
                      <w:highlight w:val="none"/>
                      <w:lang w:val="en-US" w:eastAsia="zh-CN"/>
                    </w:rPr>
                  </w:pPr>
                  <w:r>
                    <w:rPr>
                      <w:rFonts w:hint="default" w:ascii="Times New Roman" w:hAnsi="Times New Roman" w:eastAsia="宋体" w:cs="Times New Roman"/>
                      <w:b/>
                      <w:bCs/>
                      <w:color w:val="auto"/>
                      <w:szCs w:val="22"/>
                      <w:highlight w:val="none"/>
                      <w:lang w:val="en-US" w:eastAsia="zh-CN"/>
                    </w:rPr>
                    <w:t>防渗要求</w:t>
                  </w:r>
                </w:p>
              </w:tc>
              <w:tc>
                <w:tcPr>
                  <w:tcW w:w="1902" w:type="pct"/>
                  <w:tcBorders>
                    <w:tl2br w:val="nil"/>
                    <w:tr2bl w:val="nil"/>
                  </w:tcBorders>
                  <w:vAlign w:val="center"/>
                </w:tcPr>
                <w:p w14:paraId="2AA10F2E">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Cs w:val="22"/>
                      <w:highlight w:val="none"/>
                      <w:lang w:val="en-US" w:eastAsia="zh-CN"/>
                    </w:rPr>
                  </w:pPr>
                  <w:r>
                    <w:rPr>
                      <w:rFonts w:hint="eastAsia" w:cs="Times New Roman"/>
                      <w:b/>
                      <w:bCs/>
                      <w:color w:val="auto"/>
                      <w:sz w:val="21"/>
                      <w:szCs w:val="21"/>
                      <w:highlight w:val="none"/>
                      <w:lang w:val="en-US" w:eastAsia="zh-CN"/>
                    </w:rPr>
                    <w:t>已</w:t>
                  </w:r>
                  <w:r>
                    <w:rPr>
                      <w:rFonts w:hint="default" w:ascii="Times New Roman" w:hAnsi="Times New Roman" w:eastAsia="宋体" w:cs="Times New Roman"/>
                      <w:b/>
                      <w:bCs/>
                      <w:color w:val="auto"/>
                      <w:sz w:val="21"/>
                      <w:szCs w:val="21"/>
                      <w:highlight w:val="none"/>
                    </w:rPr>
                    <w:t>采取的防渗处理措施</w:t>
                  </w:r>
                </w:p>
              </w:tc>
            </w:tr>
            <w:tr w14:paraId="0E74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04" w:type="pct"/>
                  <w:tcBorders>
                    <w:tl2br w:val="nil"/>
                    <w:tr2bl w:val="nil"/>
                  </w:tcBorders>
                  <w:vAlign w:val="center"/>
                </w:tcPr>
                <w:p w14:paraId="0D8B8B4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2"/>
                      <w:highlight w:val="none"/>
                      <w:lang w:val="en-US" w:eastAsia="zh-CN"/>
                    </w:rPr>
                  </w:pPr>
                  <w:r>
                    <w:rPr>
                      <w:rFonts w:hint="default" w:ascii="Times New Roman" w:hAnsi="Times New Roman" w:eastAsia="宋体" w:cs="Times New Roman"/>
                      <w:color w:val="auto"/>
                      <w:szCs w:val="22"/>
                      <w:highlight w:val="none"/>
                      <w:lang w:val="en-US" w:eastAsia="zh-CN"/>
                    </w:rPr>
                    <w:t>重点防渗区</w:t>
                  </w:r>
                </w:p>
              </w:tc>
              <w:tc>
                <w:tcPr>
                  <w:tcW w:w="1162" w:type="pct"/>
                  <w:tcBorders>
                    <w:tl2br w:val="nil"/>
                    <w:tr2bl w:val="nil"/>
                  </w:tcBorders>
                  <w:vAlign w:val="center"/>
                </w:tcPr>
                <w:p w14:paraId="7A765837">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危废贮存库</w:t>
                  </w:r>
                </w:p>
              </w:tc>
              <w:tc>
                <w:tcPr>
                  <w:tcW w:w="1230" w:type="pct"/>
                  <w:tcBorders>
                    <w:tl2br w:val="nil"/>
                    <w:tr2bl w:val="nil"/>
                  </w:tcBorders>
                  <w:vAlign w:val="center"/>
                </w:tcPr>
                <w:p w14:paraId="56D6814C">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spacing w:val="0"/>
                      <w:szCs w:val="22"/>
                      <w:highlight w:val="none"/>
                      <w:lang w:val="en-US" w:eastAsia="zh-CN"/>
                    </w:rPr>
                    <w:t>等效黏土防渗层Mb≥6.0m，</w:t>
                  </w:r>
                  <w:r>
                    <w:rPr>
                      <w:rFonts w:hint="default" w:ascii="Times New Roman" w:hAnsi="Times New Roman" w:eastAsia="宋体" w:cs="Times New Roman"/>
                      <w:color w:val="auto"/>
                      <w:kern w:val="2"/>
                      <w:sz w:val="21"/>
                      <w:szCs w:val="21"/>
                      <w:highlight w:val="none"/>
                    </w:rPr>
                    <w:t>渗透系数K</w:t>
                  </w:r>
                  <w:r>
                    <w:rPr>
                      <w:rFonts w:hint="eastAsia" w:ascii="宋体" w:hAnsi="宋体" w:eastAsia="宋体" w:cs="宋体"/>
                      <w:color w:val="auto"/>
                      <w:kern w:val="2"/>
                      <w:sz w:val="21"/>
                      <w:szCs w:val="21"/>
                      <w:highlight w:val="none"/>
                    </w:rPr>
                    <w:t>≤</w:t>
                  </w:r>
                  <w:r>
                    <w:rPr>
                      <w:rFonts w:hint="default" w:ascii="Times New Roman" w:hAnsi="Times New Roman" w:eastAsia="宋体" w:cs="Times New Roman"/>
                      <w:color w:val="auto"/>
                      <w:kern w:val="2"/>
                      <w:sz w:val="21"/>
                      <w:szCs w:val="21"/>
                      <w:highlight w:val="none"/>
                    </w:rPr>
                    <w:t>1×10</w:t>
                  </w:r>
                  <w:r>
                    <w:rPr>
                      <w:rFonts w:hint="default" w:ascii="Times New Roman" w:hAnsi="Times New Roman" w:eastAsia="宋体" w:cs="Times New Roman"/>
                      <w:color w:val="auto"/>
                      <w:kern w:val="2"/>
                      <w:sz w:val="21"/>
                      <w:szCs w:val="21"/>
                      <w:highlight w:val="none"/>
                      <w:vertAlign w:val="superscript"/>
                    </w:rPr>
                    <w:t>-</w:t>
                  </w:r>
                  <w:r>
                    <w:rPr>
                      <w:rFonts w:hint="eastAsia" w:ascii="Times New Roman" w:hAnsi="Times New Roman" w:eastAsia="宋体" w:cs="Times New Roman"/>
                      <w:color w:val="auto"/>
                      <w:kern w:val="2"/>
                      <w:sz w:val="21"/>
                      <w:szCs w:val="21"/>
                      <w:highlight w:val="none"/>
                      <w:vertAlign w:val="superscript"/>
                      <w:lang w:val="en-US" w:eastAsia="zh-CN"/>
                    </w:rPr>
                    <w:t>7</w:t>
                  </w:r>
                  <w:r>
                    <w:rPr>
                      <w:rFonts w:hint="default" w:ascii="Times New Roman" w:hAnsi="Times New Roman" w:eastAsia="宋体" w:cs="Times New Roman"/>
                      <w:color w:val="auto"/>
                      <w:kern w:val="2"/>
                      <w:sz w:val="21"/>
                      <w:szCs w:val="21"/>
                      <w:highlight w:val="none"/>
                    </w:rPr>
                    <w:t>cm/s</w:t>
                  </w:r>
                </w:p>
              </w:tc>
              <w:tc>
                <w:tcPr>
                  <w:tcW w:w="1902" w:type="pct"/>
                  <w:tcBorders>
                    <w:tl2br w:val="nil"/>
                    <w:tr2bl w:val="nil"/>
                  </w:tcBorders>
                  <w:vAlign w:val="center"/>
                </w:tcPr>
                <w:p w14:paraId="3EEF3DF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both"/>
                    <w:textAlignment w:val="auto"/>
                    <w:rPr>
                      <w:rFonts w:hint="eastAsia" w:ascii="Times New Roman" w:hAnsi="Times New Roman" w:eastAsia="宋体" w:cs="Times New Roman"/>
                      <w:color w:val="auto"/>
                      <w:spacing w:val="0"/>
                      <w:szCs w:val="22"/>
                      <w:highlight w:val="none"/>
                      <w:lang w:val="en-US" w:eastAsia="zh-CN"/>
                    </w:rPr>
                  </w:pPr>
                  <w:r>
                    <w:rPr>
                      <w:rFonts w:hint="default" w:ascii="Times New Roman" w:hAnsi="Times New Roman" w:eastAsia="宋体" w:cs="Times New Roman"/>
                      <w:color w:val="auto"/>
                      <w:sz w:val="21"/>
                      <w:szCs w:val="21"/>
                      <w:highlight w:val="none"/>
                      <w:lang w:val="en-US" w:eastAsia="zh-CN"/>
                    </w:rPr>
                    <w:t>地面</w:t>
                  </w:r>
                  <w:r>
                    <w:rPr>
                      <w:rFonts w:hint="eastAsia" w:cs="Times New Roman"/>
                      <w:color w:val="auto"/>
                      <w:sz w:val="21"/>
                      <w:szCs w:val="21"/>
                      <w:highlight w:val="none"/>
                      <w:lang w:val="en-US" w:eastAsia="zh-CN"/>
                    </w:rPr>
                    <w:t>已做</w:t>
                  </w:r>
                  <w:r>
                    <w:rPr>
                      <w:rFonts w:hint="default" w:ascii="Times New Roman" w:hAnsi="Times New Roman" w:eastAsia="宋体" w:cs="Times New Roman"/>
                      <w:color w:val="auto"/>
                      <w:sz w:val="21"/>
                      <w:szCs w:val="21"/>
                      <w:highlight w:val="none"/>
                      <w:lang w:val="en-US" w:eastAsia="zh-CN"/>
                    </w:rPr>
                    <w:t>厚C20混凝土</w:t>
                  </w:r>
                  <w:r>
                    <w:rPr>
                      <w:rFonts w:hint="eastAsia" w:ascii="Times New Roman" w:hAnsi="Times New Roman" w:cs="Times New Roman"/>
                      <w:color w:val="auto"/>
                      <w:sz w:val="21"/>
                      <w:szCs w:val="21"/>
                      <w:highlight w:val="none"/>
                      <w:lang w:val="en-US" w:eastAsia="zh-CN"/>
                    </w:rPr>
                    <w:t>硬化</w:t>
                  </w:r>
                  <w:r>
                    <w:rPr>
                      <w:rFonts w:hint="default" w:ascii="Times New Roman" w:hAnsi="Times New Roman" w:eastAsia="宋体" w:cs="Times New Roman"/>
                      <w:color w:val="auto"/>
                      <w:sz w:val="21"/>
                      <w:szCs w:val="21"/>
                      <w:highlight w:val="none"/>
                      <w:lang w:val="en-US" w:eastAsia="zh-CN"/>
                    </w:rPr>
                    <w:t>，在地面涂刷5mm厚环氧树脂漆，在门口设置围堰，设置0.5cm高的铁质托盘</w:t>
                  </w:r>
                </w:p>
              </w:tc>
            </w:tr>
            <w:tr w14:paraId="3E57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04" w:type="pct"/>
                  <w:tcBorders>
                    <w:tl2br w:val="nil"/>
                    <w:tr2bl w:val="nil"/>
                  </w:tcBorders>
                  <w:vAlign w:val="center"/>
                </w:tcPr>
                <w:p w14:paraId="497F5D2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2"/>
                      <w:highlight w:val="none"/>
                      <w:lang w:val="en-US" w:eastAsia="zh-CN"/>
                    </w:rPr>
                  </w:pPr>
                  <w:r>
                    <w:rPr>
                      <w:rFonts w:hint="default" w:ascii="Times New Roman" w:hAnsi="Times New Roman" w:eastAsia="宋体" w:cs="Times New Roman"/>
                      <w:color w:val="auto"/>
                      <w:szCs w:val="22"/>
                      <w:highlight w:val="none"/>
                      <w:lang w:val="en-US" w:eastAsia="zh-CN"/>
                    </w:rPr>
                    <w:t>一般防渗区</w:t>
                  </w:r>
                </w:p>
              </w:tc>
              <w:tc>
                <w:tcPr>
                  <w:tcW w:w="1162" w:type="pct"/>
                  <w:tcBorders>
                    <w:tl2br w:val="nil"/>
                    <w:tr2bl w:val="nil"/>
                  </w:tcBorders>
                  <w:vAlign w:val="center"/>
                </w:tcPr>
                <w:p w14:paraId="68054538">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i w:val="0"/>
                      <w:iCs w:val="0"/>
                      <w:caps w:val="0"/>
                      <w:color w:val="auto"/>
                      <w:spacing w:val="0"/>
                      <w:kern w:val="0"/>
                      <w:sz w:val="21"/>
                      <w:szCs w:val="21"/>
                      <w:highlight w:val="none"/>
                      <w:shd w:val="clear" w:color="auto" w:fill="FFFFFF"/>
                      <w:lang w:val="en-US" w:eastAsia="zh-CN" w:bidi="ar"/>
                    </w:rPr>
                    <w:t>1#厂房、2#厂房、3#厂房、报废汽车、报废新能源汽车堆场、初期雨水收集池</w:t>
                  </w:r>
                </w:p>
              </w:tc>
              <w:tc>
                <w:tcPr>
                  <w:tcW w:w="1230" w:type="pct"/>
                  <w:tcBorders>
                    <w:tl2br w:val="nil"/>
                    <w:tr2bl w:val="nil"/>
                  </w:tcBorders>
                  <w:vAlign w:val="center"/>
                </w:tcPr>
                <w:p w14:paraId="53BCA18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2"/>
                      <w:highlight w:val="none"/>
                      <w:lang w:val="en-US" w:eastAsia="zh-CN"/>
                    </w:rPr>
                  </w:pPr>
                  <w:r>
                    <w:rPr>
                      <w:rFonts w:hint="eastAsia" w:ascii="Times New Roman" w:hAnsi="Times New Roman" w:eastAsia="宋体" w:cs="Times New Roman"/>
                      <w:color w:val="auto"/>
                      <w:spacing w:val="0"/>
                      <w:szCs w:val="22"/>
                      <w:highlight w:val="none"/>
                      <w:lang w:val="en-US" w:eastAsia="zh-CN"/>
                    </w:rPr>
                    <w:t>等效黏土防渗层Mb≥1.5m，</w:t>
                  </w:r>
                  <w:r>
                    <w:rPr>
                      <w:rFonts w:hint="default" w:ascii="Times New Roman" w:hAnsi="Times New Roman" w:eastAsia="宋体" w:cs="Times New Roman"/>
                      <w:color w:val="auto"/>
                      <w:spacing w:val="0"/>
                      <w:szCs w:val="22"/>
                      <w:highlight w:val="none"/>
                      <w:lang w:val="en-US" w:eastAsia="zh-CN"/>
                    </w:rPr>
                    <w:t>渗透系数</w:t>
                  </w:r>
                  <w:r>
                    <w:rPr>
                      <w:rFonts w:hint="default" w:ascii="Times New Roman" w:hAnsi="Times New Roman" w:eastAsia="宋体" w:cs="Times New Roman"/>
                      <w:color w:val="auto"/>
                      <w:kern w:val="2"/>
                      <w:sz w:val="21"/>
                      <w:szCs w:val="21"/>
                      <w:highlight w:val="none"/>
                    </w:rPr>
                    <w:t>K</w:t>
                  </w:r>
                  <w:r>
                    <w:rPr>
                      <w:rFonts w:hint="eastAsia" w:ascii="宋体" w:hAnsi="宋体" w:eastAsia="宋体" w:cs="宋体"/>
                      <w:color w:val="auto"/>
                      <w:kern w:val="2"/>
                      <w:sz w:val="21"/>
                      <w:szCs w:val="21"/>
                      <w:highlight w:val="none"/>
                    </w:rPr>
                    <w:t>≤</w:t>
                  </w:r>
                  <w:r>
                    <w:rPr>
                      <w:rFonts w:hint="default" w:ascii="Times New Roman" w:hAnsi="Times New Roman" w:eastAsia="宋体" w:cs="Times New Roman"/>
                      <w:color w:val="auto"/>
                      <w:kern w:val="2"/>
                      <w:sz w:val="21"/>
                      <w:szCs w:val="21"/>
                      <w:highlight w:val="none"/>
                    </w:rPr>
                    <w:t>1×10</w:t>
                  </w:r>
                  <w:r>
                    <w:rPr>
                      <w:rFonts w:hint="default" w:ascii="Times New Roman" w:hAnsi="Times New Roman" w:eastAsia="宋体" w:cs="Times New Roman"/>
                      <w:color w:val="auto"/>
                      <w:kern w:val="2"/>
                      <w:sz w:val="21"/>
                      <w:szCs w:val="21"/>
                      <w:highlight w:val="none"/>
                      <w:vertAlign w:val="superscript"/>
                    </w:rPr>
                    <w:t>-</w:t>
                  </w:r>
                  <w:r>
                    <w:rPr>
                      <w:rFonts w:hint="eastAsia" w:ascii="Times New Roman" w:hAnsi="Times New Roman" w:eastAsia="宋体" w:cs="Times New Roman"/>
                      <w:color w:val="auto"/>
                      <w:kern w:val="2"/>
                      <w:sz w:val="21"/>
                      <w:szCs w:val="21"/>
                      <w:highlight w:val="none"/>
                      <w:vertAlign w:val="superscript"/>
                      <w:lang w:val="en-US" w:eastAsia="zh-CN"/>
                    </w:rPr>
                    <w:t>7</w:t>
                  </w:r>
                  <w:r>
                    <w:rPr>
                      <w:rFonts w:hint="default" w:ascii="Times New Roman" w:hAnsi="Times New Roman" w:eastAsia="宋体" w:cs="Times New Roman"/>
                      <w:color w:val="auto"/>
                      <w:kern w:val="2"/>
                      <w:sz w:val="21"/>
                      <w:szCs w:val="21"/>
                      <w:highlight w:val="none"/>
                    </w:rPr>
                    <w:t>cm/s</w:t>
                  </w:r>
                </w:p>
              </w:tc>
              <w:tc>
                <w:tcPr>
                  <w:tcW w:w="1902" w:type="pct"/>
                  <w:tcBorders>
                    <w:tl2br w:val="nil"/>
                    <w:tr2bl w:val="nil"/>
                  </w:tcBorders>
                  <w:vAlign w:val="center"/>
                </w:tcPr>
                <w:p w14:paraId="511EE433">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both"/>
                    <w:textAlignment w:val="auto"/>
                    <w:rPr>
                      <w:rFonts w:hint="eastAsia" w:ascii="Times New Roman" w:hAnsi="Times New Roman" w:eastAsia="宋体" w:cs="Times New Roman"/>
                      <w:color w:val="auto"/>
                      <w:spacing w:val="0"/>
                      <w:szCs w:val="22"/>
                      <w:highlight w:val="none"/>
                      <w:lang w:val="en-US" w:eastAsia="zh-CN"/>
                    </w:rPr>
                  </w:pPr>
                  <w:r>
                    <w:rPr>
                      <w:rFonts w:hint="eastAsia" w:cs="Times New Roman"/>
                      <w:color w:val="auto"/>
                      <w:sz w:val="21"/>
                      <w:szCs w:val="21"/>
                      <w:highlight w:val="none"/>
                      <w:lang w:val="en-US" w:eastAsia="zh-CN"/>
                    </w:rPr>
                    <w:t>已按照</w:t>
                  </w:r>
                  <w:r>
                    <w:rPr>
                      <w:rFonts w:hint="eastAsia" w:ascii="Times New Roman" w:hAnsi="Times New Roman" w:eastAsia="宋体" w:cs="Times New Roman"/>
                      <w:color w:val="auto"/>
                      <w:sz w:val="21"/>
                      <w:szCs w:val="21"/>
                      <w:highlight w:val="none"/>
                      <w:lang w:val="en-US" w:eastAsia="zh-CN"/>
                    </w:rPr>
                    <w:t>混凝土抗渗等级</w:t>
                  </w:r>
                  <w:r>
                    <w:rPr>
                      <w:rFonts w:hint="eastAsia" w:cs="Times New Roman"/>
                      <w:color w:val="auto"/>
                      <w:sz w:val="21"/>
                      <w:szCs w:val="21"/>
                      <w:highlight w:val="none"/>
                      <w:lang w:val="en-US" w:eastAsia="zh-CN"/>
                    </w:rPr>
                    <w:t>为</w:t>
                  </w:r>
                  <w:r>
                    <w:rPr>
                      <w:rFonts w:hint="eastAsia" w:ascii="Times New Roman" w:hAnsi="Times New Roman" w:eastAsia="宋体" w:cs="Times New Roman"/>
                      <w:color w:val="auto"/>
                      <w:sz w:val="21"/>
                      <w:szCs w:val="21"/>
                      <w:highlight w:val="none"/>
                      <w:lang w:val="en-US" w:eastAsia="zh-CN"/>
                    </w:rPr>
                    <w:t>P6，基础之下的地基均采取强夯处理</w:t>
                  </w:r>
                </w:p>
              </w:tc>
            </w:tr>
            <w:tr w14:paraId="1B96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704" w:type="pct"/>
                  <w:tcBorders>
                    <w:tl2br w:val="nil"/>
                    <w:tr2bl w:val="nil"/>
                  </w:tcBorders>
                  <w:vAlign w:val="center"/>
                </w:tcPr>
                <w:p w14:paraId="74D1B150">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2"/>
                      <w:highlight w:val="none"/>
                      <w:lang w:val="en-US" w:eastAsia="zh-CN"/>
                    </w:rPr>
                  </w:pPr>
                  <w:r>
                    <w:rPr>
                      <w:rFonts w:hint="eastAsia" w:cs="Times New Roman"/>
                      <w:color w:val="auto"/>
                      <w:szCs w:val="22"/>
                      <w:highlight w:val="none"/>
                      <w:lang w:val="en-US" w:eastAsia="zh-CN"/>
                    </w:rPr>
                    <w:t>简单防渗区</w:t>
                  </w:r>
                </w:p>
              </w:tc>
              <w:tc>
                <w:tcPr>
                  <w:tcW w:w="1162" w:type="pct"/>
                  <w:tcBorders>
                    <w:tl2br w:val="nil"/>
                    <w:tr2bl w:val="nil"/>
                  </w:tcBorders>
                  <w:vAlign w:val="center"/>
                </w:tcPr>
                <w:p w14:paraId="6399E1DD">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办公楼、厂区道路</w:t>
                  </w:r>
                </w:p>
              </w:tc>
              <w:tc>
                <w:tcPr>
                  <w:tcW w:w="1230" w:type="pct"/>
                  <w:tcBorders>
                    <w:tl2br w:val="nil"/>
                    <w:tr2bl w:val="nil"/>
                  </w:tcBorders>
                  <w:vAlign w:val="center"/>
                </w:tcPr>
                <w:p w14:paraId="4D7651C1">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0"/>
                      <w:szCs w:val="22"/>
                      <w:highlight w:val="none"/>
                      <w:lang w:val="en-US" w:eastAsia="zh-CN"/>
                    </w:rPr>
                  </w:pPr>
                  <w:r>
                    <w:rPr>
                      <w:rFonts w:hint="eastAsia" w:cs="Times New Roman"/>
                      <w:color w:val="auto"/>
                      <w:spacing w:val="0"/>
                      <w:szCs w:val="22"/>
                      <w:highlight w:val="none"/>
                      <w:lang w:val="en-US" w:eastAsia="zh-CN"/>
                    </w:rPr>
                    <w:t>一般地面硬化</w:t>
                  </w:r>
                </w:p>
              </w:tc>
              <w:tc>
                <w:tcPr>
                  <w:tcW w:w="1902" w:type="pct"/>
                  <w:tcBorders>
                    <w:tl2br w:val="nil"/>
                    <w:tr2bl w:val="nil"/>
                  </w:tcBorders>
                  <w:vAlign w:val="center"/>
                </w:tcPr>
                <w:p w14:paraId="3A442329">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right="0"/>
                    <w:jc w:val="both"/>
                    <w:textAlignment w:val="auto"/>
                    <w:rPr>
                      <w:rFonts w:hint="eastAsia" w:cs="Times New Roman"/>
                      <w:color w:val="auto"/>
                      <w:spacing w:val="0"/>
                      <w:szCs w:val="22"/>
                      <w:highlight w:val="none"/>
                      <w:lang w:val="en-US" w:eastAsia="zh-CN"/>
                    </w:rPr>
                  </w:pPr>
                  <w:r>
                    <w:rPr>
                      <w:rFonts w:hint="eastAsia" w:cs="Times New Roman"/>
                      <w:color w:val="auto"/>
                      <w:spacing w:val="-4"/>
                      <w:sz w:val="21"/>
                      <w:szCs w:val="21"/>
                      <w:highlight w:val="none"/>
                      <w:lang w:val="en-US" w:eastAsia="zh-CN"/>
                    </w:rPr>
                    <w:t>已做</w:t>
                  </w:r>
                  <w:r>
                    <w:rPr>
                      <w:rFonts w:hint="eastAsia" w:ascii="Times New Roman" w:hAnsi="Times New Roman" w:eastAsia="宋体" w:cs="Times New Roman"/>
                      <w:color w:val="auto"/>
                      <w:spacing w:val="-4"/>
                      <w:sz w:val="21"/>
                      <w:szCs w:val="21"/>
                      <w:highlight w:val="none"/>
                      <w:lang w:val="en-US" w:eastAsia="zh-CN"/>
                    </w:rPr>
                    <w:t>沥青</w:t>
                  </w:r>
                  <w:r>
                    <w:rPr>
                      <w:rFonts w:hint="default" w:ascii="Times New Roman" w:hAnsi="Times New Roman" w:eastAsia="宋体" w:cs="Times New Roman"/>
                      <w:color w:val="auto"/>
                      <w:spacing w:val="-4"/>
                      <w:sz w:val="21"/>
                      <w:szCs w:val="21"/>
                      <w:highlight w:val="none"/>
                    </w:rPr>
                    <w:t>混凝土硬化</w:t>
                  </w:r>
                  <w:r>
                    <w:rPr>
                      <w:rFonts w:hint="default" w:ascii="Times New Roman" w:hAnsi="Times New Roman" w:eastAsia="宋体" w:cs="Times New Roman"/>
                      <w:color w:val="auto"/>
                      <w:sz w:val="21"/>
                      <w:szCs w:val="21"/>
                      <w:highlight w:val="none"/>
                    </w:rPr>
                    <w:t>；基础土分层夯实，压实系数不小于0.95</w:t>
                  </w:r>
                </w:p>
              </w:tc>
            </w:tr>
          </w:tbl>
          <w:p w14:paraId="5D100F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kern w:val="0"/>
                <w:sz w:val="24"/>
                <w:highlight w:val="none"/>
              </w:rPr>
              <w:t>由污染途径及对应措施分析可知，本项目对可能产生地下水</w:t>
            </w:r>
            <w:r>
              <w:rPr>
                <w:rFonts w:hint="default" w:ascii="Times New Roman" w:hAnsi="Times New Roman" w:eastAsia="宋体" w:cs="Times New Roman"/>
                <w:color w:val="auto"/>
                <w:kern w:val="0"/>
                <w:sz w:val="24"/>
                <w:highlight w:val="none"/>
                <w:lang w:eastAsia="zh-CN"/>
              </w:rPr>
              <w:t>及土壤环境</w:t>
            </w:r>
            <w:r>
              <w:rPr>
                <w:rFonts w:hint="default" w:ascii="Times New Roman" w:hAnsi="Times New Roman" w:eastAsia="宋体" w:cs="Times New Roman"/>
                <w:color w:val="auto"/>
                <w:kern w:val="0"/>
                <w:sz w:val="24"/>
                <w:highlight w:val="none"/>
              </w:rPr>
              <w:t>影响的污染途径进行了有效预防，加强了厂内防渗措施。因此</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项目营运期对区域地下水</w:t>
            </w:r>
            <w:r>
              <w:rPr>
                <w:rFonts w:hint="default" w:ascii="Times New Roman" w:hAnsi="Times New Roman" w:eastAsia="宋体" w:cs="Times New Roman"/>
                <w:color w:val="auto"/>
                <w:kern w:val="0"/>
                <w:sz w:val="24"/>
                <w:highlight w:val="none"/>
                <w:lang w:eastAsia="zh-CN"/>
              </w:rPr>
              <w:t>、土壤</w:t>
            </w:r>
            <w:r>
              <w:rPr>
                <w:rFonts w:hint="default" w:ascii="Times New Roman" w:hAnsi="Times New Roman" w:eastAsia="宋体" w:cs="Times New Roman"/>
                <w:color w:val="auto"/>
                <w:kern w:val="0"/>
                <w:sz w:val="24"/>
                <w:highlight w:val="none"/>
              </w:rPr>
              <w:t>环境影响较小。</w:t>
            </w:r>
            <w:r>
              <w:rPr>
                <w:rFonts w:hint="default" w:ascii="Times New Roman" w:hAnsi="Times New Roman" w:eastAsia="宋体" w:cs="Times New Roman"/>
                <w:color w:val="auto"/>
                <w:sz w:val="24"/>
                <w:highlight w:val="none"/>
              </w:rPr>
              <w:t>从地下水</w:t>
            </w:r>
            <w:r>
              <w:rPr>
                <w:rFonts w:hint="default" w:ascii="Times New Roman" w:hAnsi="Times New Roman" w:eastAsia="宋体" w:cs="Times New Roman"/>
                <w:color w:val="auto"/>
                <w:sz w:val="24"/>
                <w:highlight w:val="none"/>
                <w:lang w:eastAsia="zh-CN"/>
              </w:rPr>
              <w:t>及土壤</w:t>
            </w:r>
            <w:r>
              <w:rPr>
                <w:rFonts w:hint="default" w:ascii="Times New Roman" w:hAnsi="Times New Roman" w:eastAsia="宋体" w:cs="Times New Roman"/>
                <w:color w:val="auto"/>
                <w:sz w:val="24"/>
                <w:highlight w:val="none"/>
              </w:rPr>
              <w:t>环境影响分析的角度出发，本项目的建设是可行的。</w:t>
            </w:r>
          </w:p>
          <w:p w14:paraId="23F26E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eastAsia"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rPr>
              <w:t>环境风险</w:t>
            </w:r>
            <w:r>
              <w:rPr>
                <w:rFonts w:hint="default" w:ascii="Times New Roman" w:hAnsi="Times New Roman" w:eastAsia="宋体" w:cs="Times New Roman"/>
                <w:b/>
                <w:color w:val="auto"/>
                <w:sz w:val="24"/>
                <w:szCs w:val="24"/>
                <w:highlight w:val="none"/>
                <w:lang w:val="en-US" w:eastAsia="zh-CN"/>
              </w:rPr>
              <w:t>评价</w:t>
            </w:r>
          </w:p>
          <w:p w14:paraId="7C19E5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b w:val="0"/>
                <w:bCs/>
                <w:color w:val="auto"/>
                <w:sz w:val="24"/>
                <w:szCs w:val="24"/>
                <w:highlight w:val="none"/>
              </w:rPr>
            </w:pPr>
            <w:r>
              <w:rPr>
                <w:rFonts w:hint="eastAsia"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rPr>
              <w:t>风险评价等级判定</w:t>
            </w:r>
          </w:p>
          <w:p w14:paraId="09999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eastAsia="zh-CN"/>
              </w:rPr>
              <w:t>风险调查</w:t>
            </w:r>
          </w:p>
          <w:p w14:paraId="3D291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根据工程分析，结合《建设项目环境风险评价技术导则》（HJ169-2018）中附录B可知，本项目涉及的危险物质主要为</w:t>
            </w:r>
            <w:r>
              <w:rPr>
                <w:rFonts w:hint="eastAsia" w:ascii="Times New Roman" w:hAnsi="Times New Roman" w:eastAsia="宋体" w:cs="Times New Roman"/>
                <w:color w:val="auto"/>
                <w:sz w:val="24"/>
                <w:szCs w:val="24"/>
                <w:highlight w:val="none"/>
                <w:lang w:val="en-US" w:eastAsia="zh-CN"/>
              </w:rPr>
              <w:t>废矿物油</w:t>
            </w:r>
            <w:r>
              <w:rPr>
                <w:rFonts w:hint="eastAsia" w:cs="Times New Roman"/>
                <w:color w:val="auto"/>
                <w:sz w:val="24"/>
                <w:szCs w:val="24"/>
                <w:highlight w:val="none"/>
                <w:lang w:val="en-US" w:eastAsia="zh-CN"/>
              </w:rPr>
              <w:t>、废液压油、废润滑油及天然气</w:t>
            </w:r>
            <w:r>
              <w:rPr>
                <w:rFonts w:hint="default" w:ascii="Times New Roman" w:hAnsi="Times New Roman" w:eastAsia="宋体" w:cs="Times New Roman"/>
                <w:color w:val="auto"/>
                <w:sz w:val="24"/>
                <w:szCs w:val="24"/>
                <w:highlight w:val="none"/>
              </w:rPr>
              <w:t>。</w:t>
            </w:r>
          </w:p>
          <w:p w14:paraId="4538C4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default" w:ascii="Times New Roman" w:hAnsi="Times New Roman" w:eastAsia="宋体" w:cs="Times New Roman"/>
                <w:b/>
                <w:color w:val="auto"/>
                <w:sz w:val="21"/>
                <w:szCs w:val="21"/>
                <w:highlight w:val="none"/>
                <w:lang w:val="zh-CN"/>
              </w:rPr>
            </w:pPr>
            <w:r>
              <w:rPr>
                <w:rFonts w:hint="default" w:ascii="Times New Roman" w:hAnsi="Times New Roman" w:eastAsia="宋体" w:cs="Times New Roman"/>
                <w:b/>
                <w:bCs/>
                <w:color w:val="auto"/>
                <w:kern w:val="2"/>
                <w:sz w:val="21"/>
                <w:szCs w:val="21"/>
                <w:highlight w:val="none"/>
                <w:lang w:val="zh-CN" w:eastAsia="zh-CN" w:bidi="ar-SA"/>
              </w:rPr>
              <w:t>表</w:t>
            </w:r>
            <w:r>
              <w:rPr>
                <w:rFonts w:hint="eastAsia" w:ascii="Times New Roman" w:hAnsi="Times New Roman" w:eastAsia="宋体" w:cs="Times New Roman"/>
                <w:b/>
                <w:bCs/>
                <w:color w:val="auto"/>
                <w:kern w:val="2"/>
                <w:sz w:val="21"/>
                <w:szCs w:val="21"/>
                <w:highlight w:val="none"/>
                <w:lang w:val="en-US" w:eastAsia="zh-CN" w:bidi="ar-SA"/>
              </w:rPr>
              <w:t>4-20</w:t>
            </w:r>
            <w:r>
              <w:rPr>
                <w:rFonts w:hint="default" w:ascii="Times New Roman" w:hAnsi="Times New Roman" w:eastAsia="宋体" w:cs="Times New Roman"/>
                <w:b/>
                <w:bCs/>
                <w:color w:val="auto"/>
                <w:kern w:val="2"/>
                <w:sz w:val="21"/>
                <w:szCs w:val="21"/>
                <w:highlight w:val="none"/>
                <w:lang w:val="zh-CN" w:eastAsia="zh-CN" w:bidi="ar-SA"/>
              </w:rPr>
              <w:t xml:space="preserve"> </w:t>
            </w:r>
            <w:r>
              <w:rPr>
                <w:rFonts w:hint="eastAsia" w:ascii="Times New Roman" w:hAnsi="Times New Roman" w:eastAsia="宋体" w:cs="Times New Roman"/>
                <w:b/>
                <w:bCs/>
                <w:color w:val="auto"/>
                <w:kern w:val="2"/>
                <w:sz w:val="21"/>
                <w:szCs w:val="21"/>
                <w:highlight w:val="none"/>
                <w:lang w:val="en-US" w:eastAsia="zh-CN" w:bidi="ar-SA"/>
              </w:rPr>
              <w:t xml:space="preserve"> </w:t>
            </w:r>
            <w:r>
              <w:rPr>
                <w:rFonts w:hint="default" w:ascii="Times New Roman" w:hAnsi="Times New Roman" w:eastAsia="宋体" w:cs="Times New Roman"/>
                <w:b/>
                <w:bCs/>
                <w:color w:val="auto"/>
                <w:kern w:val="2"/>
                <w:sz w:val="21"/>
                <w:szCs w:val="21"/>
                <w:highlight w:val="none"/>
                <w:lang w:val="zh-CN" w:eastAsia="zh-CN" w:bidi="ar-SA"/>
              </w:rPr>
              <w:t>环境风险物质及风险源调查结果一览表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754"/>
              <w:gridCol w:w="993"/>
              <w:gridCol w:w="783"/>
              <w:gridCol w:w="880"/>
              <w:gridCol w:w="966"/>
              <w:gridCol w:w="1735"/>
              <w:gridCol w:w="1596"/>
            </w:tblGrid>
            <w:tr w14:paraId="15FD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pct"/>
                  <w:noWrap w:val="0"/>
                  <w:vAlign w:val="center"/>
                </w:tcPr>
                <w:p w14:paraId="460F5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rPr>
                    <w:t>风险物质</w:t>
                  </w:r>
                </w:p>
              </w:tc>
              <w:tc>
                <w:tcPr>
                  <w:tcW w:w="412" w:type="pct"/>
                  <w:noWrap w:val="0"/>
                  <w:vAlign w:val="center"/>
                </w:tcPr>
                <w:p w14:paraId="7F65D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highlight w:val="none"/>
                      <w:lang w:val="zh-CN" w:eastAsia="zh-CN" w:bidi="ar-SA"/>
                    </w:rPr>
                  </w:pPr>
                  <w:r>
                    <w:rPr>
                      <w:rFonts w:hint="default" w:ascii="Times New Roman" w:hAnsi="Times New Roman" w:eastAsia="宋体" w:cs="Times New Roman"/>
                      <w:b/>
                      <w:bCs/>
                      <w:color w:val="auto"/>
                      <w:sz w:val="21"/>
                      <w:szCs w:val="21"/>
                      <w:highlight w:val="none"/>
                      <w:lang w:val="zh-CN"/>
                    </w:rPr>
                    <w:t>形态</w:t>
                  </w:r>
                </w:p>
              </w:tc>
              <w:tc>
                <w:tcPr>
                  <w:tcW w:w="543" w:type="pct"/>
                  <w:noWrap w:val="0"/>
                  <w:vAlign w:val="center"/>
                </w:tcPr>
                <w:p w14:paraId="3138E7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sz w:val="21"/>
                      <w:szCs w:val="21"/>
                      <w:highlight w:val="none"/>
                      <w:lang w:val="zh-CN"/>
                    </w:rPr>
                  </w:pPr>
                  <w:r>
                    <w:rPr>
                      <w:rFonts w:hint="default" w:ascii="Times New Roman" w:hAnsi="Times New Roman" w:eastAsia="宋体" w:cs="Times New Roman"/>
                      <w:b/>
                      <w:bCs/>
                      <w:color w:val="auto"/>
                      <w:spacing w:val="-11"/>
                      <w:sz w:val="21"/>
                      <w:szCs w:val="21"/>
                      <w:highlight w:val="none"/>
                      <w:lang w:val="zh-CN"/>
                    </w:rPr>
                    <w:t>贮存</w:t>
                  </w:r>
                </w:p>
                <w:p w14:paraId="4D0D2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kern w:val="2"/>
                      <w:sz w:val="21"/>
                      <w:szCs w:val="21"/>
                      <w:highlight w:val="none"/>
                      <w:lang w:val="zh-CN" w:eastAsia="zh-CN" w:bidi="ar-SA"/>
                    </w:rPr>
                  </w:pPr>
                  <w:r>
                    <w:rPr>
                      <w:rFonts w:hint="default" w:ascii="Times New Roman" w:hAnsi="Times New Roman" w:eastAsia="宋体" w:cs="Times New Roman"/>
                      <w:b/>
                      <w:bCs/>
                      <w:color w:val="auto"/>
                      <w:spacing w:val="-11"/>
                      <w:sz w:val="21"/>
                      <w:szCs w:val="21"/>
                      <w:highlight w:val="none"/>
                      <w:lang w:val="zh-CN"/>
                    </w:rPr>
                    <w:t>场所</w:t>
                  </w:r>
                </w:p>
              </w:tc>
              <w:tc>
                <w:tcPr>
                  <w:tcW w:w="428" w:type="pct"/>
                  <w:noWrap w:val="0"/>
                  <w:vAlign w:val="center"/>
                </w:tcPr>
                <w:p w14:paraId="5AD444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sz w:val="21"/>
                      <w:szCs w:val="21"/>
                      <w:highlight w:val="none"/>
                      <w:lang w:val="zh-CN"/>
                    </w:rPr>
                  </w:pPr>
                  <w:r>
                    <w:rPr>
                      <w:rFonts w:hint="default" w:ascii="Times New Roman" w:hAnsi="Times New Roman" w:eastAsia="宋体" w:cs="Times New Roman"/>
                      <w:b/>
                      <w:bCs/>
                      <w:color w:val="auto"/>
                      <w:spacing w:val="-11"/>
                      <w:sz w:val="21"/>
                      <w:szCs w:val="21"/>
                      <w:highlight w:val="none"/>
                      <w:lang w:val="zh-CN"/>
                    </w:rPr>
                    <w:t>贮存</w:t>
                  </w:r>
                </w:p>
                <w:p w14:paraId="1EAB1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kern w:val="2"/>
                      <w:sz w:val="21"/>
                      <w:szCs w:val="21"/>
                      <w:highlight w:val="none"/>
                      <w:lang w:val="zh-CN" w:eastAsia="zh-CN" w:bidi="ar-SA"/>
                    </w:rPr>
                  </w:pPr>
                  <w:r>
                    <w:rPr>
                      <w:rFonts w:hint="default" w:ascii="Times New Roman" w:hAnsi="Times New Roman" w:eastAsia="宋体" w:cs="Times New Roman"/>
                      <w:b/>
                      <w:bCs/>
                      <w:color w:val="auto"/>
                      <w:spacing w:val="-11"/>
                      <w:sz w:val="21"/>
                      <w:szCs w:val="21"/>
                      <w:highlight w:val="none"/>
                      <w:lang w:val="zh-CN"/>
                    </w:rPr>
                    <w:t>方式</w:t>
                  </w:r>
                </w:p>
              </w:tc>
              <w:tc>
                <w:tcPr>
                  <w:tcW w:w="481" w:type="pct"/>
                  <w:noWrap w:val="0"/>
                  <w:vAlign w:val="center"/>
                </w:tcPr>
                <w:p w14:paraId="20D607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kern w:val="2"/>
                      <w:sz w:val="21"/>
                      <w:szCs w:val="21"/>
                      <w:highlight w:val="none"/>
                      <w:lang w:val="zh-CN" w:eastAsia="zh-CN" w:bidi="ar-SA"/>
                    </w:rPr>
                  </w:pPr>
                  <w:r>
                    <w:rPr>
                      <w:rFonts w:hint="default" w:ascii="Times New Roman" w:hAnsi="Times New Roman" w:eastAsia="宋体" w:cs="Times New Roman"/>
                      <w:b/>
                      <w:bCs/>
                      <w:color w:val="auto"/>
                      <w:spacing w:val="-11"/>
                      <w:sz w:val="21"/>
                      <w:szCs w:val="21"/>
                      <w:highlight w:val="none"/>
                      <w:lang w:val="zh-CN"/>
                    </w:rPr>
                    <w:t>最大存在量</w:t>
                  </w:r>
                  <w:r>
                    <w:rPr>
                      <w:rFonts w:hint="eastAsia" w:ascii="Times New Roman" w:hAnsi="Times New Roman" w:eastAsia="宋体" w:cs="Times New Roman"/>
                      <w:bCs/>
                      <w:color w:val="auto"/>
                      <w:kern w:val="2"/>
                      <w:sz w:val="21"/>
                      <w:szCs w:val="21"/>
                      <w:highlight w:val="none"/>
                      <w:vertAlign w:val="baseline"/>
                      <w:lang w:val="en-US" w:eastAsia="zh-CN" w:bidi="zh-CN"/>
                    </w:rPr>
                    <w:t>t</w:t>
                  </w:r>
                </w:p>
              </w:tc>
              <w:tc>
                <w:tcPr>
                  <w:tcW w:w="528" w:type="pct"/>
                  <w:noWrap w:val="0"/>
                  <w:vAlign w:val="center"/>
                </w:tcPr>
                <w:p w14:paraId="51FCE4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kern w:val="2"/>
                      <w:sz w:val="21"/>
                      <w:szCs w:val="21"/>
                      <w:highlight w:val="none"/>
                      <w:lang w:val="zh-CN" w:eastAsia="zh-CN" w:bidi="ar-SA"/>
                    </w:rPr>
                  </w:pPr>
                  <w:r>
                    <w:rPr>
                      <w:rFonts w:hint="default" w:ascii="Times New Roman" w:hAnsi="Times New Roman" w:eastAsia="宋体" w:cs="Times New Roman"/>
                      <w:b/>
                      <w:bCs/>
                      <w:color w:val="auto"/>
                      <w:spacing w:val="-11"/>
                      <w:sz w:val="21"/>
                      <w:szCs w:val="21"/>
                      <w:highlight w:val="none"/>
                    </w:rPr>
                    <w:t>临界量</w:t>
                  </w:r>
                  <w:r>
                    <w:rPr>
                      <w:rFonts w:hint="eastAsia" w:ascii="Times New Roman" w:hAnsi="Times New Roman" w:eastAsia="宋体" w:cs="Times New Roman"/>
                      <w:bCs/>
                      <w:color w:val="auto"/>
                      <w:kern w:val="2"/>
                      <w:sz w:val="21"/>
                      <w:szCs w:val="21"/>
                      <w:highlight w:val="none"/>
                      <w:vertAlign w:val="baseline"/>
                      <w:lang w:val="en-US" w:eastAsia="zh-CN" w:bidi="zh-CN"/>
                    </w:rPr>
                    <w:t>t</w:t>
                  </w:r>
                </w:p>
              </w:tc>
              <w:tc>
                <w:tcPr>
                  <w:tcW w:w="948" w:type="pct"/>
                  <w:noWrap w:val="0"/>
                  <w:vAlign w:val="center"/>
                </w:tcPr>
                <w:p w14:paraId="714FA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kern w:val="2"/>
                      <w:sz w:val="21"/>
                      <w:szCs w:val="21"/>
                      <w:highlight w:val="none"/>
                      <w:lang w:val="zh-CN" w:eastAsia="zh-CN" w:bidi="ar-SA"/>
                    </w:rPr>
                  </w:pPr>
                  <w:r>
                    <w:rPr>
                      <w:rFonts w:hint="default" w:ascii="Times New Roman" w:hAnsi="Times New Roman" w:eastAsia="宋体" w:cs="Times New Roman"/>
                      <w:b/>
                      <w:bCs/>
                      <w:color w:val="auto"/>
                      <w:spacing w:val="-11"/>
                      <w:sz w:val="21"/>
                      <w:szCs w:val="21"/>
                      <w:highlight w:val="none"/>
                      <w:lang w:eastAsia="zh-CN"/>
                    </w:rPr>
                    <w:t>环境风险类型</w:t>
                  </w:r>
                </w:p>
              </w:tc>
              <w:tc>
                <w:tcPr>
                  <w:tcW w:w="872" w:type="pct"/>
                  <w:noWrap w:val="0"/>
                  <w:vAlign w:val="center"/>
                </w:tcPr>
                <w:p w14:paraId="54DDD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spacing w:val="-11"/>
                      <w:kern w:val="2"/>
                      <w:sz w:val="21"/>
                      <w:szCs w:val="21"/>
                      <w:highlight w:val="none"/>
                      <w:lang w:val="zh-CN" w:eastAsia="zh-CN" w:bidi="ar-SA"/>
                    </w:rPr>
                  </w:pPr>
                  <w:r>
                    <w:rPr>
                      <w:rFonts w:hint="default" w:ascii="Times New Roman" w:hAnsi="Times New Roman" w:eastAsia="宋体" w:cs="Times New Roman"/>
                      <w:b/>
                      <w:bCs/>
                      <w:color w:val="auto"/>
                      <w:spacing w:val="-11"/>
                      <w:sz w:val="21"/>
                      <w:szCs w:val="21"/>
                      <w:highlight w:val="none"/>
                      <w:lang w:eastAsia="zh-CN"/>
                    </w:rPr>
                    <w:t>环境影响途径</w:t>
                  </w:r>
                </w:p>
              </w:tc>
            </w:tr>
            <w:tr w14:paraId="6227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pct"/>
                  <w:noWrap w:val="0"/>
                  <w:vAlign w:val="center"/>
                </w:tcPr>
                <w:p w14:paraId="0EA03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sz w:val="21"/>
                      <w:szCs w:val="21"/>
                      <w:highlight w:val="none"/>
                      <w:lang w:val="en-US" w:eastAsia="zh-CN"/>
                    </w:rPr>
                    <w:t>废矿物油</w:t>
                  </w:r>
                </w:p>
              </w:tc>
              <w:tc>
                <w:tcPr>
                  <w:tcW w:w="412" w:type="pct"/>
                  <w:vMerge w:val="restart"/>
                  <w:noWrap w:val="0"/>
                  <w:vAlign w:val="center"/>
                </w:tcPr>
                <w:p w14:paraId="5B7C6F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sz w:val="21"/>
                      <w:szCs w:val="21"/>
                      <w:highlight w:val="none"/>
                      <w:lang w:val="en-US" w:eastAsia="zh-CN"/>
                    </w:rPr>
                    <w:t>液态</w:t>
                  </w:r>
                </w:p>
              </w:tc>
              <w:tc>
                <w:tcPr>
                  <w:tcW w:w="543" w:type="pct"/>
                  <w:vMerge w:val="restart"/>
                  <w:noWrap w:val="0"/>
                  <w:vAlign w:val="center"/>
                </w:tcPr>
                <w:p w14:paraId="6A581B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危废贮存</w:t>
                  </w:r>
                  <w:r>
                    <w:rPr>
                      <w:rFonts w:hint="eastAsia" w:ascii="Times New Roman" w:hAnsi="Times New Roman" w:eastAsia="宋体" w:cs="Times New Roman"/>
                      <w:color w:val="auto"/>
                      <w:kern w:val="2"/>
                      <w:sz w:val="21"/>
                      <w:szCs w:val="21"/>
                      <w:highlight w:val="none"/>
                      <w:lang w:val="en-US" w:eastAsia="zh-CN" w:bidi="ar-SA"/>
                    </w:rPr>
                    <w:t>库</w:t>
                  </w:r>
                </w:p>
              </w:tc>
              <w:tc>
                <w:tcPr>
                  <w:tcW w:w="428" w:type="pct"/>
                  <w:noWrap w:val="0"/>
                  <w:vAlign w:val="center"/>
                </w:tcPr>
                <w:p w14:paraId="7EE39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sz w:val="21"/>
                      <w:szCs w:val="21"/>
                      <w:highlight w:val="none"/>
                      <w:lang w:val="en-US" w:eastAsia="zh-CN"/>
                    </w:rPr>
                    <w:t>桶装</w:t>
                  </w:r>
                </w:p>
              </w:tc>
              <w:tc>
                <w:tcPr>
                  <w:tcW w:w="481" w:type="pct"/>
                  <w:noWrap w:val="0"/>
                  <w:vAlign w:val="center"/>
                </w:tcPr>
                <w:p w14:paraId="759CCD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kern w:val="2"/>
                      <w:sz w:val="21"/>
                      <w:szCs w:val="21"/>
                      <w:highlight w:val="none"/>
                      <w:vertAlign w:val="baseline"/>
                      <w:lang w:val="en-US" w:eastAsia="zh-CN" w:bidi="zh-CN"/>
                    </w:rPr>
                  </w:pPr>
                  <w:r>
                    <w:rPr>
                      <w:rFonts w:hint="eastAsia" w:ascii="Times New Roman" w:hAnsi="Times New Roman" w:eastAsia="宋体" w:cs="Times New Roman"/>
                      <w:bCs/>
                      <w:color w:val="auto"/>
                      <w:kern w:val="2"/>
                      <w:sz w:val="21"/>
                      <w:szCs w:val="21"/>
                      <w:highlight w:val="none"/>
                      <w:vertAlign w:val="baseline"/>
                      <w:lang w:val="en-US" w:eastAsia="zh-CN" w:bidi="zh-CN"/>
                    </w:rPr>
                    <w:t>3</w:t>
                  </w:r>
                </w:p>
              </w:tc>
              <w:tc>
                <w:tcPr>
                  <w:tcW w:w="528" w:type="pct"/>
                  <w:noWrap w:val="0"/>
                  <w:vAlign w:val="center"/>
                </w:tcPr>
                <w:p w14:paraId="56263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sz w:val="21"/>
                      <w:szCs w:val="21"/>
                      <w:highlight w:val="none"/>
                      <w:lang w:val="en-US" w:eastAsia="zh-CN"/>
                    </w:rPr>
                    <w:t>2500</w:t>
                  </w:r>
                </w:p>
              </w:tc>
              <w:tc>
                <w:tcPr>
                  <w:tcW w:w="948" w:type="pct"/>
                  <w:vMerge w:val="restart"/>
                  <w:noWrap w:val="0"/>
                  <w:vAlign w:val="center"/>
                </w:tcPr>
                <w:p w14:paraId="62FB44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sz w:val="21"/>
                      <w:szCs w:val="21"/>
                      <w:highlight w:val="none"/>
                    </w:rPr>
                    <w:t>泄漏及火灾、爆炸等引发的伴生/次生污染物排放</w:t>
                  </w:r>
                </w:p>
              </w:tc>
              <w:tc>
                <w:tcPr>
                  <w:tcW w:w="872" w:type="pct"/>
                  <w:vMerge w:val="restart"/>
                  <w:noWrap w:val="0"/>
                  <w:vAlign w:val="center"/>
                </w:tcPr>
                <w:p w14:paraId="4B4BA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zh-CN" w:eastAsia="zh-CN" w:bidi="ar-SA"/>
                    </w:rPr>
                  </w:pPr>
                  <w:r>
                    <w:rPr>
                      <w:rFonts w:hint="default" w:ascii="Times New Roman" w:hAnsi="Times New Roman" w:eastAsia="宋体" w:cs="Times New Roman"/>
                      <w:color w:val="auto"/>
                      <w:sz w:val="21"/>
                      <w:szCs w:val="21"/>
                      <w:highlight w:val="none"/>
                    </w:rPr>
                    <w:t>大气扩散</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地表漫流</w:t>
                  </w:r>
                  <w:r>
                    <w:rPr>
                      <w:rFonts w:hint="default" w:ascii="Times New Roman" w:hAnsi="Times New Roman" w:eastAsia="宋体" w:cs="Times New Roman"/>
                      <w:color w:val="auto"/>
                      <w:sz w:val="21"/>
                      <w:szCs w:val="21"/>
                      <w:highlight w:val="none"/>
                      <w:lang w:eastAsia="zh-CN"/>
                    </w:rPr>
                    <w:t>和</w:t>
                  </w:r>
                  <w:r>
                    <w:rPr>
                      <w:rFonts w:hint="default" w:ascii="Times New Roman" w:hAnsi="Times New Roman" w:eastAsia="宋体" w:cs="Times New Roman"/>
                      <w:color w:val="auto"/>
                      <w:sz w:val="21"/>
                      <w:szCs w:val="21"/>
                      <w:highlight w:val="none"/>
                    </w:rPr>
                    <w:t>地面入渗</w:t>
                  </w:r>
                </w:p>
              </w:tc>
            </w:tr>
            <w:tr w14:paraId="27F0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pct"/>
                  <w:noWrap w:val="0"/>
                  <w:vAlign w:val="center"/>
                </w:tcPr>
                <w:p w14:paraId="11FDF4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废液压油</w:t>
                  </w:r>
                </w:p>
              </w:tc>
              <w:tc>
                <w:tcPr>
                  <w:tcW w:w="412" w:type="pct"/>
                  <w:vMerge w:val="continue"/>
                  <w:noWrap w:val="0"/>
                  <w:vAlign w:val="center"/>
                </w:tcPr>
                <w:p w14:paraId="64F2D0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p>
              </w:tc>
              <w:tc>
                <w:tcPr>
                  <w:tcW w:w="543" w:type="pct"/>
                  <w:vMerge w:val="continue"/>
                  <w:noWrap w:val="0"/>
                  <w:vAlign w:val="center"/>
                </w:tcPr>
                <w:p w14:paraId="6FB75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p>
              </w:tc>
              <w:tc>
                <w:tcPr>
                  <w:tcW w:w="428" w:type="pct"/>
                  <w:noWrap w:val="0"/>
                  <w:vAlign w:val="center"/>
                </w:tcPr>
                <w:p w14:paraId="5A0F56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桶装</w:t>
                  </w:r>
                </w:p>
              </w:tc>
              <w:tc>
                <w:tcPr>
                  <w:tcW w:w="481" w:type="pct"/>
                  <w:noWrap w:val="0"/>
                  <w:vAlign w:val="center"/>
                </w:tcPr>
                <w:p w14:paraId="635673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21"/>
                      <w:szCs w:val="21"/>
                      <w:highlight w:val="none"/>
                      <w:vertAlign w:val="baseline"/>
                      <w:lang w:val="en-US" w:bidi="zh-CN"/>
                    </w:rPr>
                  </w:pPr>
                  <w:r>
                    <w:rPr>
                      <w:rFonts w:hint="eastAsia" w:ascii="Times New Roman" w:hAnsi="Times New Roman" w:eastAsia="宋体" w:cs="Times New Roman"/>
                      <w:bCs/>
                      <w:color w:val="auto"/>
                      <w:sz w:val="21"/>
                      <w:szCs w:val="21"/>
                      <w:highlight w:val="none"/>
                      <w:vertAlign w:val="baseline"/>
                      <w:lang w:val="en-US" w:bidi="zh-CN"/>
                    </w:rPr>
                    <w:t>1</w:t>
                  </w:r>
                </w:p>
              </w:tc>
              <w:tc>
                <w:tcPr>
                  <w:tcW w:w="528" w:type="pct"/>
                  <w:noWrap w:val="0"/>
                  <w:vAlign w:val="center"/>
                </w:tcPr>
                <w:p w14:paraId="7240D3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2500</w:t>
                  </w:r>
                </w:p>
              </w:tc>
              <w:tc>
                <w:tcPr>
                  <w:tcW w:w="948" w:type="pct"/>
                  <w:vMerge w:val="continue"/>
                  <w:noWrap w:val="0"/>
                  <w:vAlign w:val="center"/>
                </w:tcPr>
                <w:p w14:paraId="665E8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872" w:type="pct"/>
                  <w:vMerge w:val="continue"/>
                  <w:noWrap w:val="0"/>
                  <w:vAlign w:val="center"/>
                </w:tcPr>
                <w:p w14:paraId="7F2419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4907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pct"/>
                  <w:noWrap w:val="0"/>
                  <w:vAlign w:val="center"/>
                </w:tcPr>
                <w:p w14:paraId="16E9CC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废润滑油</w:t>
                  </w:r>
                </w:p>
              </w:tc>
              <w:tc>
                <w:tcPr>
                  <w:tcW w:w="412" w:type="pct"/>
                  <w:vMerge w:val="continue"/>
                  <w:noWrap w:val="0"/>
                  <w:vAlign w:val="center"/>
                </w:tcPr>
                <w:p w14:paraId="2EDD3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43" w:type="pct"/>
                  <w:vMerge w:val="continue"/>
                  <w:noWrap w:val="0"/>
                  <w:vAlign w:val="center"/>
                </w:tcPr>
                <w:p w14:paraId="5B62A9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28" w:type="pct"/>
                  <w:noWrap w:val="0"/>
                  <w:vAlign w:val="center"/>
                </w:tcPr>
                <w:p w14:paraId="173EA3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桶装</w:t>
                  </w:r>
                </w:p>
              </w:tc>
              <w:tc>
                <w:tcPr>
                  <w:tcW w:w="481" w:type="pct"/>
                  <w:noWrap w:val="0"/>
                  <w:vAlign w:val="center"/>
                </w:tcPr>
                <w:p w14:paraId="217D2B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kern w:val="2"/>
                      <w:sz w:val="21"/>
                      <w:szCs w:val="21"/>
                      <w:highlight w:val="none"/>
                      <w:vertAlign w:val="baseline"/>
                      <w:lang w:val="en-US" w:eastAsia="zh-CN" w:bidi="zh-CN"/>
                    </w:rPr>
                  </w:pPr>
                  <w:r>
                    <w:rPr>
                      <w:rFonts w:hint="eastAsia" w:ascii="Times New Roman" w:hAnsi="Times New Roman" w:eastAsia="宋体" w:cs="Times New Roman"/>
                      <w:bCs/>
                      <w:color w:val="auto"/>
                      <w:kern w:val="2"/>
                      <w:sz w:val="21"/>
                      <w:szCs w:val="21"/>
                      <w:highlight w:val="none"/>
                      <w:vertAlign w:val="baseline"/>
                      <w:lang w:val="en-US" w:eastAsia="zh-CN" w:bidi="zh-CN"/>
                    </w:rPr>
                    <w:t>1</w:t>
                  </w:r>
                </w:p>
              </w:tc>
              <w:tc>
                <w:tcPr>
                  <w:tcW w:w="528" w:type="pct"/>
                  <w:noWrap w:val="0"/>
                  <w:vAlign w:val="center"/>
                </w:tcPr>
                <w:p w14:paraId="21FAF9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2500</w:t>
                  </w:r>
                </w:p>
              </w:tc>
              <w:tc>
                <w:tcPr>
                  <w:tcW w:w="948" w:type="pct"/>
                  <w:vMerge w:val="continue"/>
                  <w:noWrap w:val="0"/>
                  <w:vAlign w:val="center"/>
                </w:tcPr>
                <w:p w14:paraId="3A689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rPr>
                  </w:pPr>
                </w:p>
              </w:tc>
              <w:tc>
                <w:tcPr>
                  <w:tcW w:w="872" w:type="pct"/>
                  <w:vMerge w:val="continue"/>
                  <w:noWrap w:val="0"/>
                  <w:vAlign w:val="center"/>
                </w:tcPr>
                <w:p w14:paraId="42EAD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rPr>
                  </w:pPr>
                </w:p>
              </w:tc>
            </w:tr>
            <w:tr w14:paraId="7BE2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5" w:type="pct"/>
                  <w:noWrap w:val="0"/>
                  <w:vAlign w:val="center"/>
                </w:tcPr>
                <w:p w14:paraId="190C8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天然气</w:t>
                  </w:r>
                </w:p>
              </w:tc>
              <w:tc>
                <w:tcPr>
                  <w:tcW w:w="412" w:type="pct"/>
                  <w:vMerge w:val="continue"/>
                  <w:noWrap w:val="0"/>
                  <w:vAlign w:val="center"/>
                </w:tcPr>
                <w:p w14:paraId="6B40F4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p>
              </w:tc>
              <w:tc>
                <w:tcPr>
                  <w:tcW w:w="543" w:type="pct"/>
                  <w:noWrap w:val="0"/>
                  <w:vAlign w:val="center"/>
                </w:tcPr>
                <w:p w14:paraId="42C19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管道</w:t>
                  </w:r>
                </w:p>
              </w:tc>
              <w:tc>
                <w:tcPr>
                  <w:tcW w:w="428" w:type="pct"/>
                  <w:noWrap w:val="0"/>
                  <w:vAlign w:val="center"/>
                </w:tcPr>
                <w:p w14:paraId="463FB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管道</w:t>
                  </w:r>
                </w:p>
              </w:tc>
              <w:tc>
                <w:tcPr>
                  <w:tcW w:w="481" w:type="pct"/>
                  <w:noWrap w:val="0"/>
                  <w:vAlign w:val="center"/>
                </w:tcPr>
                <w:p w14:paraId="3B50E3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Cs/>
                      <w:color w:val="auto"/>
                      <w:sz w:val="21"/>
                      <w:szCs w:val="21"/>
                      <w:highlight w:val="none"/>
                      <w:vertAlign w:val="baseline"/>
                      <w:lang w:val="en-US" w:bidi="zh-CN"/>
                    </w:rPr>
                  </w:pPr>
                  <w:r>
                    <w:rPr>
                      <w:rFonts w:hint="eastAsia" w:ascii="Times New Roman" w:hAnsi="Times New Roman" w:eastAsia="宋体" w:cs="Times New Roman"/>
                      <w:bCs/>
                      <w:color w:val="auto"/>
                      <w:sz w:val="21"/>
                      <w:szCs w:val="21"/>
                      <w:highlight w:val="none"/>
                      <w:vertAlign w:val="baseline"/>
                      <w:lang w:val="en-US" w:bidi="zh-CN"/>
                    </w:rPr>
                    <w:t>0.03</w:t>
                  </w:r>
                </w:p>
              </w:tc>
              <w:tc>
                <w:tcPr>
                  <w:tcW w:w="528" w:type="pct"/>
                  <w:noWrap w:val="0"/>
                  <w:vAlign w:val="center"/>
                </w:tcPr>
                <w:p w14:paraId="79A409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w:t>
                  </w:r>
                </w:p>
              </w:tc>
              <w:tc>
                <w:tcPr>
                  <w:tcW w:w="948" w:type="pct"/>
                  <w:vMerge w:val="continue"/>
                  <w:noWrap w:val="0"/>
                  <w:vAlign w:val="center"/>
                </w:tcPr>
                <w:p w14:paraId="3CF191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rPr>
                  </w:pPr>
                </w:p>
              </w:tc>
              <w:tc>
                <w:tcPr>
                  <w:tcW w:w="872" w:type="pct"/>
                  <w:vMerge w:val="continue"/>
                  <w:noWrap w:val="0"/>
                  <w:vAlign w:val="center"/>
                </w:tcPr>
                <w:p w14:paraId="63815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rPr>
                  </w:pPr>
                </w:p>
              </w:tc>
            </w:tr>
          </w:tbl>
          <w:p w14:paraId="7F8F6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rPr>
              <w:t>环境风险潜势初判</w:t>
            </w:r>
          </w:p>
          <w:p w14:paraId="7C23B2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jc w:val="both"/>
              <w:textAlignment w:val="auto"/>
              <w:rPr>
                <w:rFonts w:hint="default" w:ascii="Times New Roman" w:hAnsi="Times New Roman" w:eastAsia="宋体" w:cs="Times New Roman"/>
                <w:color w:val="auto"/>
                <w:kern w:val="2"/>
                <w:sz w:val="24"/>
                <w:szCs w:val="24"/>
                <w:highlight w:val="none"/>
                <w:lang w:val="zh-CN" w:eastAsia="zh-CN" w:bidi="ar-SA"/>
              </w:rPr>
            </w:pPr>
            <w:r>
              <w:rPr>
                <w:rFonts w:hint="default" w:ascii="Times New Roman" w:hAnsi="Times New Roman" w:eastAsia="宋体" w:cs="Times New Roman"/>
                <w:color w:val="auto"/>
                <w:sz w:val="24"/>
                <w:szCs w:val="24"/>
                <w:highlight w:val="none"/>
                <w:lang w:val="en-US" w:eastAsia="zh-CN"/>
              </w:rPr>
              <w:t>根据《建设项目环境风险评价技术导则》（HJ 169-2018）附录B、附录C的有关规定，</w:t>
            </w:r>
            <w:r>
              <w:rPr>
                <w:rFonts w:hint="default" w:ascii="Times New Roman" w:hAnsi="Times New Roman" w:eastAsia="宋体" w:cs="Times New Roman"/>
                <w:color w:val="auto"/>
                <w:kern w:val="2"/>
                <w:sz w:val="24"/>
                <w:szCs w:val="24"/>
                <w:highlight w:val="none"/>
                <w:lang w:val="zh-CN" w:eastAsia="zh-CN" w:bidi="ar-SA"/>
              </w:rPr>
              <w:t>当存在多种危险物质时，按下式计算物质总量与其临界量比值（Q）：</w:t>
            </w:r>
          </w:p>
          <w:p w14:paraId="0C162A65">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object>
                <v:shape id="_x0000_i1031" o:spt="75" type="#_x0000_t75" style="height:30.7pt;width:99.2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31" DrawAspect="Content" ObjectID="_1468075731" r:id="rId34">
                  <o:LockedField>false</o:LockedField>
                </o:OLEObject>
              </w:object>
            </w:r>
          </w:p>
          <w:p w14:paraId="17717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式中：</w:t>
            </w:r>
            <w:r>
              <w:rPr>
                <w:rFonts w:hint="default" w:ascii="Times New Roman" w:hAnsi="Times New Roman" w:eastAsia="宋体" w:cs="Times New Roman"/>
                <w:color w:val="auto"/>
                <w:kern w:val="2"/>
                <w:sz w:val="24"/>
                <w:szCs w:val="24"/>
                <w:highlight w:val="none"/>
                <w:lang w:val="en-US" w:eastAsia="zh-CN" w:bidi="ar-SA"/>
              </w:rPr>
              <w:object>
                <v:shape id="_x0000_i1032" o:spt="75" type="#_x0000_t75" style="height:17pt;width:12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32" DrawAspect="Content" ObjectID="_1468075732" r:id="rId36">
                  <o:LockedField>false</o:LockedField>
                </o:OLEObject>
              </w:objec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object>
                <v:shape id="_x0000_i1033" o:spt="75" type="#_x0000_t75" style="height:17pt;width:13.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3" DrawAspect="Content" ObjectID="_1468075733" r:id="rId38">
                  <o:LockedField>false</o:LockedField>
                </o:OLEObject>
              </w:objec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object>
                <v:shape id="_x0000_i1034" o:spt="75" type="#_x0000_t75" style="height:17pt;width:13.2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4" DrawAspect="Content" ObjectID="_1468075734" r:id="rId40">
                  <o:LockedField>false</o:LockedField>
                </o:OLEObject>
              </w:object>
            </w:r>
            <w:r>
              <w:rPr>
                <w:rFonts w:hint="default" w:ascii="Times New Roman" w:hAnsi="Times New Roman" w:eastAsia="宋体" w:cs="Times New Roman"/>
                <w:color w:val="auto"/>
                <w:kern w:val="2"/>
                <w:sz w:val="24"/>
                <w:szCs w:val="24"/>
                <w:highlight w:val="none"/>
                <w:lang w:val="en-US" w:eastAsia="zh-CN" w:bidi="ar-SA"/>
              </w:rPr>
              <w:t>——每种危险物质的最大存在总量，t；</w:t>
            </w:r>
          </w:p>
          <w:p w14:paraId="1604B2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1200" w:firstLineChars="5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object>
                <v:shape id="_x0000_i1035" o:spt="75" type="#_x0000_t75" style="height:17pt;width:13.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5" DrawAspect="Content" ObjectID="_1468075735" r:id="rId42">
                  <o:LockedField>false</o:LockedField>
                </o:OLEObject>
              </w:objec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object>
                <v:shape id="_x0000_i1036" o:spt="75" type="#_x0000_t75" style="height:17pt;width:16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6" DrawAspect="Content" ObjectID="_1468075736" r:id="rId44">
                  <o:LockedField>false</o:LockedField>
                </o:OLEObject>
              </w:objec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object>
                <v:shape id="_x0000_i1037" o:spt="75" type="#_x0000_t75" style="height:17pt;width:15.1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7" DrawAspect="Content" ObjectID="_1468075737" r:id="rId46">
                  <o:LockedField>false</o:LockedField>
                </o:OLEObject>
              </w:object>
            </w:r>
            <w:r>
              <w:rPr>
                <w:rFonts w:hint="default" w:ascii="Times New Roman" w:hAnsi="Times New Roman" w:eastAsia="宋体" w:cs="Times New Roman"/>
                <w:color w:val="auto"/>
                <w:kern w:val="2"/>
                <w:sz w:val="24"/>
                <w:szCs w:val="24"/>
                <w:highlight w:val="none"/>
                <w:lang w:val="en-US" w:eastAsia="zh-CN" w:bidi="ar-SA"/>
              </w:rPr>
              <w:t>——每种危险物质的临界量，t；</w:t>
            </w:r>
          </w:p>
          <w:p w14:paraId="667DCE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kern w:val="2"/>
                <w:sz w:val="24"/>
                <w:szCs w:val="24"/>
                <w:highlight w:val="none"/>
                <w:lang w:val="en-US" w:eastAsia="zh-CN" w:bidi="ar-SA"/>
              </w:rPr>
              <w:t>本项目Q=</w:t>
            </w:r>
            <w:r>
              <w:rPr>
                <w:rFonts w:hint="eastAsia" w:ascii="Times New Roman" w:hAnsi="Times New Roman" w:eastAsia="宋体" w:cs="Times New Roman"/>
                <w:color w:val="auto"/>
                <w:kern w:val="2"/>
                <w:sz w:val="24"/>
                <w:szCs w:val="24"/>
                <w:highlight w:val="none"/>
                <w:lang w:val="en-US" w:eastAsia="zh-CN" w:bidi="ar-SA"/>
              </w:rPr>
              <w:t>0.005</w:t>
            </w:r>
            <w:r>
              <w:rPr>
                <w:rFonts w:hint="default" w:ascii="Times New Roman" w:hAnsi="Times New Roman" w:eastAsia="宋体" w:cs="Times New Roman"/>
                <w:color w:val="auto"/>
                <w:kern w:val="2"/>
                <w:sz w:val="24"/>
                <w:szCs w:val="24"/>
                <w:highlight w:val="none"/>
                <w:lang w:val="en-US" w:eastAsia="zh-CN" w:bidi="ar-SA"/>
              </w:rPr>
              <w:t>&lt;1，</w:t>
            </w:r>
            <w:r>
              <w:rPr>
                <w:rFonts w:hint="default" w:ascii="Times New Roman" w:hAnsi="Times New Roman" w:cs="Times New Roman"/>
                <w:color w:val="auto"/>
                <w:sz w:val="24"/>
                <w:highlight w:val="none"/>
              </w:rPr>
              <w:t>因此，判定本项目环境风险潜势为Ⅰ，根据评价等级划分依据，环境风险潜势为</w:t>
            </w:r>
            <w:r>
              <w:rPr>
                <w:rFonts w:hint="eastAsia" w:ascii="宋体" w:hAnsi="宋体" w:eastAsia="宋体" w:cs="宋体"/>
                <w:color w:val="auto"/>
                <w:sz w:val="24"/>
                <w:highlight w:val="none"/>
              </w:rPr>
              <w:t>Ⅰ</w:t>
            </w:r>
            <w:r>
              <w:rPr>
                <w:rFonts w:hint="default" w:ascii="Times New Roman" w:hAnsi="Times New Roman" w:cs="Times New Roman"/>
                <w:color w:val="auto"/>
                <w:sz w:val="24"/>
                <w:highlight w:val="none"/>
              </w:rPr>
              <w:t>，不再分析行业及生产工艺（M）和环境敏感程度（E），因此本项目评价工作等级为简单分析。</w:t>
            </w:r>
          </w:p>
          <w:p w14:paraId="433E5C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（2）风险事故影响分析</w:t>
            </w:r>
          </w:p>
          <w:p w14:paraId="7083F3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①危险废物油类物质泄漏</w:t>
            </w:r>
          </w:p>
          <w:p w14:paraId="02DA79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厂区危废贮存库内存放有</w:t>
            </w:r>
            <w:r>
              <w:rPr>
                <w:rFonts w:hint="eastAsia" w:ascii="Times New Roman" w:hAnsi="Times New Roman" w:eastAsia="宋体" w:cs="Times New Roman"/>
                <w:color w:val="auto"/>
                <w:sz w:val="24"/>
                <w:szCs w:val="24"/>
                <w:highlight w:val="none"/>
                <w:lang w:val="en-US" w:eastAsia="zh-CN"/>
              </w:rPr>
              <w:t>废矿物油</w:t>
            </w:r>
            <w:r>
              <w:rPr>
                <w:rFonts w:hint="eastAsia" w:cs="Times New Roman"/>
                <w:color w:val="auto"/>
                <w:sz w:val="24"/>
                <w:szCs w:val="24"/>
                <w:highlight w:val="none"/>
                <w:lang w:val="en-US" w:eastAsia="zh-CN"/>
              </w:rPr>
              <w:t>、废液压油、废润滑油，</w:t>
            </w:r>
            <w:r>
              <w:rPr>
                <w:rFonts w:hint="eastAsia" w:cs="Times New Roman"/>
                <w:b w:val="0"/>
                <w:bCs/>
                <w:color w:val="auto"/>
                <w:sz w:val="24"/>
                <w:szCs w:val="24"/>
                <w:highlight w:val="none"/>
                <w:lang w:val="en-US" w:eastAsia="zh-CN"/>
              </w:rPr>
              <w:t>油类物质</w:t>
            </w:r>
            <w:r>
              <w:rPr>
                <w:rFonts w:hint="default" w:ascii="Times New Roman" w:hAnsi="Times New Roman" w:eastAsia="宋体" w:cs="Times New Roman"/>
                <w:b w:val="0"/>
                <w:bCs/>
                <w:color w:val="auto"/>
                <w:sz w:val="24"/>
                <w:szCs w:val="24"/>
                <w:highlight w:val="none"/>
                <w:lang w:val="en-US" w:eastAsia="zh-CN"/>
              </w:rPr>
              <w:t>在</w:t>
            </w:r>
            <w:r>
              <w:rPr>
                <w:rFonts w:hint="eastAsia" w:ascii="Times New Roman" w:hAnsi="Times New Roman" w:eastAsia="宋体" w:cs="Times New Roman"/>
                <w:b w:val="0"/>
                <w:bCs/>
                <w:color w:val="auto"/>
                <w:sz w:val="24"/>
                <w:szCs w:val="24"/>
                <w:highlight w:val="none"/>
                <w:lang w:val="en-US" w:eastAsia="zh-CN"/>
              </w:rPr>
              <w:t>暂存</w:t>
            </w:r>
            <w:r>
              <w:rPr>
                <w:rFonts w:hint="default" w:ascii="Times New Roman" w:hAnsi="Times New Roman" w:eastAsia="宋体" w:cs="Times New Roman"/>
                <w:b w:val="0"/>
                <w:bCs/>
                <w:color w:val="auto"/>
                <w:sz w:val="24"/>
                <w:szCs w:val="24"/>
                <w:highlight w:val="none"/>
                <w:lang w:val="en-US" w:eastAsia="zh-CN"/>
              </w:rPr>
              <w:t>过程中会因包装桶破裂或操作不当引起泄漏，可能导致项目区域地下水、地表水、土壤等被污染</w:t>
            </w:r>
            <w:r>
              <w:rPr>
                <w:rFonts w:hint="eastAsia" w:cs="Times New Roman"/>
                <w:b w:val="0"/>
                <w:bCs/>
                <w:color w:val="auto"/>
                <w:sz w:val="24"/>
                <w:szCs w:val="24"/>
                <w:highlight w:val="none"/>
                <w:lang w:val="en-US" w:eastAsia="zh-CN"/>
              </w:rPr>
              <w:t>。若发生油类物质泄漏，</w:t>
            </w:r>
            <w:r>
              <w:rPr>
                <w:rFonts w:hint="eastAsia" w:ascii="Times New Roman" w:hAnsi="Times New Roman" w:eastAsia="宋体" w:cs="Times New Roman"/>
                <w:b w:val="0"/>
                <w:bCs/>
                <w:color w:val="auto"/>
                <w:sz w:val="24"/>
                <w:szCs w:val="24"/>
                <w:highlight w:val="none"/>
                <w:lang w:val="en-US" w:eastAsia="zh-CN"/>
              </w:rPr>
              <w:t>第一发现人应立刻报告危废贮存库负责人；危废贮存库负责人组织人员将泄漏包装桶内的剩余物料转移到空桶内，组织人员迅速将危废贮存库下风向人员及车辆疏散至事故区域的上风向安全点，同时打开危废贮存库大门，加强通风，稀释挥发物质浓度，对危废贮存库进行隔离，设置警戒线，严格限制人员出入；若少量泄漏时，用砂土、吸油毡或活性炭等材料进行覆盖处理；若大量泄漏时，在危废贮存库门口内侧、事故源四周及低地势处分别采用沙袋围堵，用泡沫或其它覆盖物覆盖外泄物料，在其表面形成覆盖层，抑制挥发，将泄漏的废矿物油</w:t>
            </w:r>
            <w:r>
              <w:rPr>
                <w:rFonts w:hint="eastAsia" w:cs="Times New Roman"/>
                <w:b w:val="0"/>
                <w:bCs/>
                <w:color w:val="auto"/>
                <w:sz w:val="24"/>
                <w:szCs w:val="24"/>
                <w:highlight w:val="none"/>
                <w:lang w:val="en-US" w:eastAsia="zh-CN"/>
              </w:rPr>
              <w:t>等油类物质</w:t>
            </w:r>
            <w:r>
              <w:rPr>
                <w:rFonts w:hint="eastAsia" w:ascii="Times New Roman" w:hAnsi="Times New Roman" w:eastAsia="宋体" w:cs="Times New Roman"/>
                <w:b w:val="0"/>
                <w:bCs/>
                <w:color w:val="auto"/>
                <w:sz w:val="24"/>
                <w:szCs w:val="24"/>
                <w:highlight w:val="none"/>
                <w:lang w:val="en-US" w:eastAsia="zh-CN"/>
              </w:rPr>
              <w:t>通过泵和管道泵至空桶中，并投加吸油毡、活性炭等材料进行吸附处理，收集的吸附材料属于危险废物，交由资质单位进行处置；提示禁止周围出现明火或火花，防止发生火灾爆炸造成次生危害。</w:t>
            </w:r>
          </w:p>
          <w:p w14:paraId="3DF352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②火灾、爆炸引发的次生环境污染事故</w:t>
            </w:r>
          </w:p>
          <w:p w14:paraId="59F265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若发生</w:t>
            </w:r>
            <w:r>
              <w:rPr>
                <w:rFonts w:hint="eastAsia" w:cs="Times New Roman"/>
                <w:b w:val="0"/>
                <w:bCs/>
                <w:color w:val="auto"/>
                <w:sz w:val="24"/>
                <w:szCs w:val="24"/>
                <w:highlight w:val="none"/>
                <w:lang w:val="en-US" w:eastAsia="zh-CN"/>
              </w:rPr>
              <w:t>灾、爆炸引发的次生环境污染</w:t>
            </w:r>
            <w:r>
              <w:rPr>
                <w:rFonts w:hint="eastAsia" w:ascii="Times New Roman" w:hAnsi="Times New Roman" w:eastAsia="宋体" w:cs="Times New Roman"/>
                <w:color w:val="auto"/>
                <w:sz w:val="24"/>
                <w:highlight w:val="none"/>
                <w:lang w:val="en-US" w:eastAsia="zh-CN"/>
              </w:rPr>
              <w:t>立即切断事故区域有毒有害物料（天然气、油类物质等）供应阀门、非防爆电源，转移或隔离周边易燃易爆及危险物质，防止二次泄漏或爆炸。</w:t>
            </w:r>
          </w:p>
          <w:p w14:paraId="6A0FC5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可燃物质在有高温起火条件或有爆炸引发起火条件下均易发生原料的燃烧现象，而且通常由于堆放密集，大面积燃烧而引起火灾事故。发生火灾时，其燃烧火焰高，火势蔓延迅速，直接对火源周围的人员、设备、建筑物构成极大的威胁。</w:t>
            </w:r>
          </w:p>
          <w:p w14:paraId="69086E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引发的次生环境污染事故如下：发生火灾对环境的污染影响主要来自物料燃烧释放的大量有害气体。火灾所产生烟雾的主要成分为CO</w:t>
            </w:r>
            <w:r>
              <w:rPr>
                <w:rFonts w:hint="eastAsia" w:ascii="Times New Roman" w:hAnsi="Times New Roman" w:eastAsia="宋体" w:cs="Times New Roman"/>
                <w:color w:val="auto"/>
                <w:sz w:val="24"/>
                <w:highlight w:val="none"/>
                <w:vertAlign w:val="subscript"/>
                <w:lang w:val="en-US" w:eastAsia="zh-CN"/>
              </w:rPr>
              <w:t>2</w:t>
            </w:r>
            <w:r>
              <w:rPr>
                <w:rFonts w:hint="eastAsia" w:ascii="Times New Roman" w:hAnsi="Times New Roman" w:eastAsia="宋体" w:cs="Times New Roman"/>
                <w:color w:val="auto"/>
                <w:sz w:val="24"/>
                <w:highlight w:val="none"/>
                <w:lang w:val="en-US" w:eastAsia="zh-CN"/>
              </w:rPr>
              <w:t>和水蒸气，这两种物质约占所有烟雾的90%~95%；另外还有少量乙烯、二噁英、CO、碳氢化合物、微粒物质等以及特征污染物—硫化物，约占5%~10%，对环境和人体健康产生较大危害是CO、烟尘、硫化物等有害物质。CO产生量相对较大，危害也较大，CO的浓度过高或持续时间过长都会使人窒息或死亡。一般情况下，火场附近的CO的浓度较高（浓度可达0.02%），而距火场30m处，CO的浓度逐渐降低（0.001%）。因此，近距离靠近火场会有造成CO中毒的危险。</w:t>
            </w:r>
          </w:p>
          <w:p w14:paraId="2F4931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火灾发生时有害气体在短时间内会造成周围敏感点环境空气质量一定程度的恶化。爆炸会引起火灾、热量扩散、有毒气体扩散，导致人体皮肤灼伤、窒息、中毒、死亡等伤害。故火灾或爆炸事件可引发一系列次生环境污染事件。</w:t>
            </w:r>
          </w:p>
          <w:p w14:paraId="04C8BB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③消防废水外排</w:t>
            </w:r>
          </w:p>
          <w:p w14:paraId="643AAC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若发生消防废水外排，事故源负责人立即组织人员在事故源门口内侧、事故源四周及地势较低处分别采用沙袋围堵，并投加吸油毡、活性炭等材料进行吸附降解处理，将处理后的废水通过泵和管道泵至吨桶内，然后运至当地污水处理厂进行处理；收集的吸附材料均属于危险废物，交由资质单位进行处置。</w:t>
            </w:r>
          </w:p>
          <w:p w14:paraId="5FA4EA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④天然气泄漏</w:t>
            </w:r>
          </w:p>
          <w:p w14:paraId="5C7AAB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若发生天然气泄漏，</w:t>
            </w:r>
            <w:r>
              <w:rPr>
                <w:rFonts w:hint="eastAsia" w:ascii="Times New Roman" w:hAnsi="Times New Roman" w:eastAsia="宋体" w:cs="Times New Roman"/>
                <w:b w:val="0"/>
                <w:bCs/>
                <w:color w:val="auto"/>
                <w:sz w:val="24"/>
                <w:szCs w:val="24"/>
                <w:highlight w:val="none"/>
                <w:lang w:val="en-US" w:eastAsia="zh-CN"/>
              </w:rPr>
              <w:t>第一发现人应立刻报告车间负责人，车间负责人组织人员</w:t>
            </w:r>
            <w:r>
              <w:rPr>
                <w:rFonts w:hint="eastAsia" w:cs="Times New Roman"/>
                <w:b w:val="0"/>
                <w:bCs/>
                <w:color w:val="auto"/>
                <w:sz w:val="24"/>
                <w:szCs w:val="24"/>
                <w:highlight w:val="none"/>
                <w:lang w:val="en-US" w:eastAsia="zh-CN"/>
              </w:rPr>
              <w:t>配合抢险抢修组人员关闭进气阀，并配合抢险抢修组进行排查事件发生部位、原因。治安保卫组在现场周边范围内设立50m警戒线，并设立警戒岗和放出流动哨，同时保证道路的畅通，迅速将周边人员及车辆疏散至事故区域的上风向安全地带。当管件阀门等附件处天然气少量泄漏时，应对泄漏点采取措施进行隔离和抢修。关闭进气阀，切断物料输送、电源，相关岗位停车，确保雨水排口处于关闭状态，严禁就地动火检修。若不能切断气源，则不允许熄灭泄漏处的火焰，喷水冷却容器，用泡沫或干粉灭火器进行灭火。</w:t>
            </w:r>
          </w:p>
          <w:p w14:paraId="2EE8DF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b w:val="0"/>
                <w:bCs/>
                <w:color w:val="auto"/>
                <w:sz w:val="24"/>
                <w:szCs w:val="24"/>
                <w:highlight w:val="none"/>
              </w:rPr>
            </w:pPr>
            <w:r>
              <w:rPr>
                <w:rFonts w:hint="eastAsia"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rPr>
              <w:t>环境风险防范措施</w:t>
            </w:r>
          </w:p>
          <w:p w14:paraId="1B721F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本项目废润滑油</w:t>
            </w:r>
            <w:r>
              <w:rPr>
                <w:rFonts w:hint="eastAsia" w:cs="Times New Roman"/>
                <w:color w:val="auto"/>
                <w:spacing w:val="0"/>
                <w:sz w:val="24"/>
                <w:szCs w:val="24"/>
                <w:highlight w:val="none"/>
                <w:lang w:val="en-US" w:eastAsia="zh-CN"/>
              </w:rPr>
              <w:t>、废液压油、天然气等风险物质</w:t>
            </w:r>
            <w:r>
              <w:rPr>
                <w:rFonts w:hint="default" w:ascii="Times New Roman" w:hAnsi="Times New Roman" w:eastAsia="宋体" w:cs="Times New Roman"/>
                <w:color w:val="auto"/>
                <w:spacing w:val="0"/>
                <w:sz w:val="24"/>
                <w:szCs w:val="24"/>
                <w:highlight w:val="none"/>
                <w:lang w:val="en-US" w:eastAsia="zh-CN"/>
              </w:rPr>
              <w:t>可能发生的环境风险类型是</w:t>
            </w:r>
            <w:r>
              <w:rPr>
                <w:rFonts w:hint="eastAsia" w:cs="Times New Roman"/>
                <w:color w:val="auto"/>
                <w:spacing w:val="0"/>
                <w:sz w:val="24"/>
                <w:szCs w:val="24"/>
                <w:highlight w:val="none"/>
                <w:lang w:val="en-US" w:eastAsia="zh-CN"/>
              </w:rPr>
              <w:t>泄漏</w:t>
            </w:r>
            <w:r>
              <w:rPr>
                <w:rFonts w:hint="default" w:ascii="Times New Roman" w:hAnsi="Times New Roman" w:eastAsia="宋体" w:cs="Times New Roman"/>
                <w:color w:val="auto"/>
                <w:spacing w:val="0"/>
                <w:sz w:val="24"/>
                <w:szCs w:val="24"/>
                <w:highlight w:val="none"/>
                <w:lang w:val="en-US" w:eastAsia="zh-CN"/>
              </w:rPr>
              <w:t>、火灾</w:t>
            </w:r>
            <w:r>
              <w:rPr>
                <w:rFonts w:hint="eastAsia" w:cs="Times New Roman"/>
                <w:color w:val="auto"/>
                <w:spacing w:val="0"/>
                <w:sz w:val="24"/>
                <w:szCs w:val="24"/>
                <w:highlight w:val="none"/>
                <w:lang w:val="en-US" w:eastAsia="zh-CN"/>
              </w:rPr>
              <w:t>等事件</w:t>
            </w:r>
            <w:r>
              <w:rPr>
                <w:rFonts w:hint="default" w:ascii="Times New Roman" w:hAnsi="Times New Roman" w:eastAsia="宋体" w:cs="Times New Roman"/>
                <w:color w:val="auto"/>
                <w:spacing w:val="0"/>
                <w:sz w:val="24"/>
                <w:szCs w:val="24"/>
                <w:highlight w:val="none"/>
                <w:lang w:val="en-US" w:eastAsia="zh-CN"/>
              </w:rPr>
              <w:t>，根据项目环境风险类型和生产设施情况，提出以下防治措施：</w:t>
            </w:r>
          </w:p>
          <w:p w14:paraId="1BC1EB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1）</w:t>
            </w:r>
            <w:r>
              <w:rPr>
                <w:rFonts w:hint="default" w:ascii="Times New Roman" w:hAnsi="Times New Roman" w:eastAsia="宋体" w:cs="Times New Roman"/>
                <w:color w:val="auto"/>
                <w:spacing w:val="0"/>
                <w:sz w:val="24"/>
                <w:szCs w:val="24"/>
                <w:highlight w:val="none"/>
                <w:lang w:val="en-US" w:eastAsia="zh-CN"/>
              </w:rPr>
              <w:t>项目运行产生的废润滑油</w:t>
            </w:r>
            <w:r>
              <w:rPr>
                <w:rFonts w:hint="eastAsia" w:cs="Times New Roman"/>
                <w:color w:val="auto"/>
                <w:spacing w:val="0"/>
                <w:sz w:val="24"/>
                <w:szCs w:val="24"/>
                <w:highlight w:val="none"/>
                <w:lang w:val="en-US" w:eastAsia="zh-CN"/>
              </w:rPr>
              <w:t>、废液压油等油类物质</w:t>
            </w:r>
            <w:r>
              <w:rPr>
                <w:rFonts w:hint="default" w:ascii="Times New Roman" w:hAnsi="Times New Roman" w:eastAsia="宋体" w:cs="Times New Roman"/>
                <w:color w:val="auto"/>
                <w:spacing w:val="0"/>
                <w:sz w:val="24"/>
                <w:szCs w:val="24"/>
                <w:highlight w:val="none"/>
                <w:lang w:val="en-US" w:eastAsia="zh-CN"/>
              </w:rPr>
              <w:t>及时进行清理，清理后送往危废贮存</w:t>
            </w:r>
            <w:r>
              <w:rPr>
                <w:rFonts w:hint="eastAsia" w:cs="Times New Roman"/>
                <w:color w:val="auto"/>
                <w:spacing w:val="0"/>
                <w:sz w:val="24"/>
                <w:szCs w:val="24"/>
                <w:highlight w:val="none"/>
                <w:lang w:val="en-US" w:eastAsia="zh-CN"/>
              </w:rPr>
              <w:t>库</w:t>
            </w:r>
            <w:r>
              <w:rPr>
                <w:rFonts w:hint="default" w:ascii="Times New Roman" w:hAnsi="Times New Roman" w:eastAsia="宋体" w:cs="Times New Roman"/>
                <w:color w:val="auto"/>
                <w:spacing w:val="0"/>
                <w:sz w:val="24"/>
                <w:szCs w:val="24"/>
                <w:highlight w:val="none"/>
                <w:lang w:val="en-US" w:eastAsia="zh-CN"/>
              </w:rPr>
              <w:t>。</w:t>
            </w:r>
          </w:p>
          <w:p w14:paraId="187F2D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2）</w:t>
            </w:r>
            <w:r>
              <w:rPr>
                <w:rFonts w:hint="default" w:ascii="Times New Roman" w:hAnsi="Times New Roman" w:eastAsia="宋体" w:cs="Times New Roman"/>
                <w:color w:val="auto"/>
                <w:spacing w:val="0"/>
                <w:sz w:val="24"/>
                <w:szCs w:val="24"/>
                <w:highlight w:val="none"/>
                <w:lang w:val="en-US" w:eastAsia="zh-CN"/>
              </w:rPr>
              <w:t>制定并落实安全责任制、安全管理制度、操作规程、安全技术规程和各种设备维修保养和设备管理制度，加强现场管理。</w:t>
            </w:r>
          </w:p>
          <w:p w14:paraId="2C94EB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3）</w:t>
            </w:r>
            <w:r>
              <w:rPr>
                <w:rFonts w:hint="default" w:ascii="Times New Roman" w:hAnsi="Times New Roman" w:eastAsia="宋体" w:cs="Times New Roman"/>
                <w:color w:val="auto"/>
                <w:spacing w:val="0"/>
                <w:sz w:val="24"/>
                <w:szCs w:val="24"/>
                <w:highlight w:val="none"/>
                <w:lang w:val="en-US" w:eastAsia="zh-CN"/>
              </w:rPr>
              <w:t>建立巡回检查制度，由专人定期巡查，发现问题及时上报并且责令负责部门限期整改到位，复查合格，记录在案。</w:t>
            </w:r>
          </w:p>
          <w:p w14:paraId="21D3E7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4）</w:t>
            </w:r>
            <w:r>
              <w:rPr>
                <w:rFonts w:hint="default" w:ascii="Times New Roman" w:hAnsi="Times New Roman" w:eastAsia="宋体" w:cs="Times New Roman"/>
                <w:color w:val="auto"/>
                <w:spacing w:val="0"/>
                <w:sz w:val="24"/>
                <w:szCs w:val="24"/>
                <w:highlight w:val="none"/>
                <w:lang w:val="en-US" w:eastAsia="zh-CN"/>
              </w:rPr>
              <w:t>建立危险废物进出登记、转运相关制度，原料登记制度，及时监测危险废物和原料走向，危险废物定期交由有资质的单位处理。</w:t>
            </w:r>
          </w:p>
          <w:p w14:paraId="4A7B23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5）</w:t>
            </w:r>
            <w:r>
              <w:rPr>
                <w:rFonts w:hint="default" w:ascii="Times New Roman" w:hAnsi="Times New Roman" w:eastAsia="宋体" w:cs="Times New Roman"/>
                <w:color w:val="auto"/>
                <w:spacing w:val="0"/>
                <w:sz w:val="24"/>
                <w:szCs w:val="24"/>
                <w:highlight w:val="none"/>
                <w:lang w:val="en-US" w:eastAsia="zh-CN"/>
              </w:rPr>
              <w:t>严格按照《建筑设计防火规范》合理布置总图，各生产和辅助装置，消防隔离带及消防通道要求参照消防相关要求建设、布置。消防通道和建筑物耐火等级应满足消防要求，在危险物品存放区设立警告牌。按照《建筑灭火器配置设计规范》</w:t>
            </w:r>
            <w:r>
              <w:rPr>
                <w:rFonts w:hint="eastAsia"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GB50140-2005</w:t>
            </w:r>
            <w:r>
              <w:rPr>
                <w:rFonts w:hint="eastAsia"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规定，应配置相应的灭火器及救灾防毒器其及防护用品。</w:t>
            </w:r>
          </w:p>
          <w:p w14:paraId="1E4865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6）</w:t>
            </w:r>
            <w:r>
              <w:rPr>
                <w:rFonts w:hint="default" w:ascii="Times New Roman" w:hAnsi="Times New Roman" w:eastAsia="宋体" w:cs="Times New Roman"/>
                <w:color w:val="auto"/>
                <w:spacing w:val="0"/>
                <w:sz w:val="24"/>
                <w:szCs w:val="24"/>
                <w:highlight w:val="none"/>
                <w:lang w:val="en-US" w:eastAsia="zh-CN"/>
              </w:rPr>
              <w:t>按照《建设项目环境风险评价技术导则》（HJ169-2018）中的规定并结合国家及地方应急预案法律法规制定企业突发环境事件应急预案，同时到相关管理部门进行备案。</w:t>
            </w:r>
          </w:p>
          <w:p w14:paraId="3DCE6A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spacing w:val="0"/>
                <w:sz w:val="24"/>
                <w:szCs w:val="24"/>
                <w:highlight w:val="none"/>
                <w:lang w:val="en-US" w:eastAsia="zh-CN"/>
              </w:rPr>
            </w:pPr>
            <w:r>
              <w:rPr>
                <w:rFonts w:hint="eastAsia" w:cs="Times New Roman"/>
                <w:color w:val="auto"/>
                <w:spacing w:val="0"/>
                <w:sz w:val="24"/>
                <w:szCs w:val="24"/>
                <w:highlight w:val="none"/>
                <w:lang w:val="en-US" w:eastAsia="zh-CN"/>
              </w:rPr>
              <w:t>7）</w:t>
            </w:r>
            <w:r>
              <w:rPr>
                <w:rFonts w:hint="default" w:ascii="Times New Roman" w:hAnsi="Times New Roman" w:eastAsia="宋体" w:cs="Times New Roman"/>
                <w:color w:val="auto"/>
                <w:spacing w:val="0"/>
                <w:sz w:val="24"/>
                <w:szCs w:val="24"/>
                <w:highlight w:val="none"/>
                <w:lang w:val="en-US" w:eastAsia="zh-CN"/>
              </w:rPr>
              <w:t>加强职工安全意识教育，以应对突发性事故。</w:t>
            </w:r>
          </w:p>
          <w:p w14:paraId="43CA8BC7">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b w:val="0"/>
                <w:bCs/>
                <w:color w:val="auto"/>
                <w:kern w:val="2"/>
                <w:sz w:val="24"/>
                <w:szCs w:val="24"/>
                <w:highlight w:val="none"/>
                <w:lang w:val="en-US" w:eastAsia="zh-CN" w:bidi="ar-SA"/>
              </w:rPr>
            </w:pPr>
            <w:r>
              <w:rPr>
                <w:rFonts w:hint="eastAsia" w:cs="Times New Roman"/>
                <w:b w:val="0"/>
                <w:bCs/>
                <w:color w:val="auto"/>
                <w:sz w:val="24"/>
                <w:szCs w:val="24"/>
                <w:highlight w:val="none"/>
                <w:lang w:val="en-US" w:eastAsia="zh-CN"/>
              </w:rPr>
              <w:t>（4）</w:t>
            </w:r>
            <w:r>
              <w:rPr>
                <w:rFonts w:hint="default" w:ascii="Times New Roman" w:hAnsi="Times New Roman" w:eastAsia="宋体" w:cs="Times New Roman"/>
                <w:b w:val="0"/>
                <w:bCs/>
                <w:color w:val="auto"/>
                <w:kern w:val="2"/>
                <w:sz w:val="24"/>
                <w:szCs w:val="24"/>
                <w:highlight w:val="none"/>
                <w:lang w:val="en-US" w:eastAsia="zh-CN" w:bidi="ar-SA"/>
              </w:rPr>
              <w:t>环境风险评价小结</w:t>
            </w:r>
          </w:p>
          <w:p w14:paraId="366EF0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本次评价通过对项目可能发生的环境风险事故进行定性分析，在采取</w:t>
            </w:r>
            <w:r>
              <w:rPr>
                <w:rFonts w:hint="eastAsia" w:ascii="Times New Roman" w:hAnsi="Times New Roman" w:eastAsia="宋体" w:cs="Times New Roman"/>
                <w:b w:val="0"/>
                <w:bCs w:val="0"/>
                <w:color w:val="auto"/>
                <w:kern w:val="2"/>
                <w:sz w:val="24"/>
                <w:szCs w:val="24"/>
                <w:highlight w:val="none"/>
                <w:lang w:val="en-US" w:eastAsia="zh-CN" w:bidi="ar-SA"/>
              </w:rPr>
              <w:t>应急</w:t>
            </w:r>
            <w:r>
              <w:rPr>
                <w:rFonts w:hint="default" w:ascii="Times New Roman" w:hAnsi="Times New Roman" w:eastAsia="宋体" w:cs="Times New Roman"/>
                <w:b w:val="0"/>
                <w:bCs w:val="0"/>
                <w:color w:val="auto"/>
                <w:kern w:val="2"/>
                <w:sz w:val="24"/>
                <w:szCs w:val="24"/>
                <w:highlight w:val="none"/>
                <w:lang w:val="en-US" w:eastAsia="zh-CN" w:bidi="ar-SA"/>
              </w:rPr>
              <w:t>防范措施、综合管理措施、制定风险应急预案等措施后，可将泄漏、火灾等事故对环境的影响减少到最低和可接受范围，避免使项目本身及周边环境遭受损失。</w:t>
            </w:r>
          </w:p>
          <w:p w14:paraId="5BFB27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leftChars="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bCs w:val="0"/>
                <w:color w:val="auto"/>
                <w:kern w:val="2"/>
                <w:sz w:val="24"/>
                <w:szCs w:val="24"/>
                <w:highlight w:val="none"/>
                <w:lang w:val="en-US" w:eastAsia="zh-CN" w:bidi="ar-SA"/>
              </w:rPr>
              <w:t>因此，在加强对各类风险的管理，做到各项管理措施及要求后，本项目风险处于可接受水平，风险管理措施有效、可靠，从风险角度而言是可行的</w:t>
            </w:r>
            <w:r>
              <w:rPr>
                <w:rFonts w:hint="default" w:ascii="Times New Roman" w:hAnsi="Times New Roman" w:eastAsia="宋体" w:cs="Times New Roman"/>
                <w:color w:val="auto"/>
                <w:sz w:val="24"/>
                <w:szCs w:val="24"/>
                <w:highlight w:val="none"/>
              </w:rPr>
              <w:t>。</w:t>
            </w:r>
          </w:p>
          <w:p w14:paraId="5B56F90F">
            <w:pPr>
              <w:keepNext/>
              <w:keepLines/>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Autospacing="0" w:line="480" w:lineRule="exact"/>
              <w:ind w:left="0" w:leftChars="0" w:right="0" w:rightChars="0" w:firstLine="482" w:firstLineChars="200"/>
              <w:textAlignment w:val="auto"/>
              <w:outlineLvl w:val="9"/>
              <w:rPr>
                <w:rFonts w:hint="default" w:ascii="Times New Roman" w:hAnsi="Times New Roman" w:eastAsia="宋体" w:cs="Times New Roman"/>
                <w:b/>
                <w:bCs/>
                <w:color w:val="auto"/>
                <w:kern w:val="2"/>
                <w:sz w:val="24"/>
                <w:szCs w:val="24"/>
                <w:highlight w:val="none"/>
                <w:lang w:val="en-US" w:eastAsia="zh-CN" w:bidi="ar-SA"/>
              </w:rPr>
            </w:pPr>
            <w:r>
              <w:rPr>
                <w:rFonts w:hint="eastAsia" w:cs="Times New Roman"/>
                <w:b/>
                <w:color w:val="auto"/>
                <w:sz w:val="24"/>
                <w:szCs w:val="24"/>
                <w:highlight w:val="none"/>
                <w:lang w:val="en-US" w:eastAsia="zh-CN"/>
              </w:rPr>
              <w:t>7、</w:t>
            </w:r>
            <w:r>
              <w:rPr>
                <w:rFonts w:hint="eastAsia" w:ascii="Times New Roman" w:hAnsi="Times New Roman" w:eastAsia="宋体" w:cs="Times New Roman"/>
                <w:b/>
                <w:bCs/>
                <w:color w:val="auto"/>
                <w:kern w:val="2"/>
                <w:sz w:val="24"/>
                <w:szCs w:val="24"/>
                <w:highlight w:val="none"/>
                <w:lang w:val="en-US" w:eastAsia="zh-CN" w:bidi="ar-SA"/>
              </w:rPr>
              <w:t>环保投资估算</w:t>
            </w:r>
          </w:p>
          <w:p w14:paraId="36B93D1C">
            <w:pPr>
              <w:keepNext w:val="0"/>
              <w:keepLines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本项目总投资</w:t>
            </w:r>
            <w:r>
              <w:rPr>
                <w:rFonts w:hint="eastAsia" w:cs="Times New Roman"/>
                <w:color w:val="auto"/>
                <w:kern w:val="0"/>
                <w:sz w:val="24"/>
                <w:highlight w:val="none"/>
                <w:lang w:val="en-US" w:eastAsia="zh-CN"/>
              </w:rPr>
              <w:t>85</w:t>
            </w:r>
            <w:r>
              <w:rPr>
                <w:rFonts w:hint="eastAsia" w:ascii="Times New Roman" w:hAnsi="Times New Roman" w:eastAsia="宋体" w:cs="Times New Roman"/>
                <w:color w:val="auto"/>
                <w:kern w:val="0"/>
                <w:sz w:val="24"/>
                <w:highlight w:val="none"/>
                <w:lang w:val="en-US" w:eastAsia="zh-CN"/>
              </w:rPr>
              <w:t>00</w:t>
            </w:r>
            <w:r>
              <w:rPr>
                <w:rFonts w:hint="default" w:ascii="Times New Roman" w:hAnsi="Times New Roman" w:eastAsia="宋体" w:cs="Times New Roman"/>
                <w:color w:val="auto"/>
                <w:kern w:val="0"/>
                <w:sz w:val="24"/>
                <w:highlight w:val="none"/>
              </w:rPr>
              <w:t>万元</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其中，</w:t>
            </w:r>
            <w:r>
              <w:rPr>
                <w:rFonts w:hint="default" w:ascii="Times New Roman" w:hAnsi="Times New Roman" w:eastAsia="宋体" w:cs="Times New Roman"/>
                <w:color w:val="auto"/>
                <w:kern w:val="0"/>
                <w:sz w:val="24"/>
                <w:highlight w:val="none"/>
              </w:rPr>
              <w:t>环保投资约</w:t>
            </w:r>
            <w:r>
              <w:rPr>
                <w:rFonts w:hint="eastAsia" w:cs="Times New Roman"/>
                <w:color w:val="auto"/>
                <w:kern w:val="0"/>
                <w:sz w:val="24"/>
                <w:highlight w:val="none"/>
                <w:lang w:val="en-US" w:eastAsia="zh-CN"/>
              </w:rPr>
              <w:t>85</w:t>
            </w:r>
            <w:r>
              <w:rPr>
                <w:rFonts w:hint="default" w:ascii="Times New Roman" w:hAnsi="Times New Roman" w:eastAsia="宋体" w:cs="Times New Roman"/>
                <w:color w:val="auto"/>
                <w:kern w:val="0"/>
                <w:sz w:val="24"/>
                <w:highlight w:val="none"/>
              </w:rPr>
              <w:t>万元</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占总投资比例为</w:t>
            </w:r>
            <w:r>
              <w:rPr>
                <w:rFonts w:hint="eastAsia" w:cs="Times New Roman"/>
                <w:color w:val="auto"/>
                <w:kern w:val="0"/>
                <w:sz w:val="24"/>
                <w:highlight w:val="none"/>
                <w:lang w:val="en-US" w:eastAsia="zh-CN"/>
              </w:rPr>
              <w:t>1</w:t>
            </w:r>
            <w:r>
              <w:rPr>
                <w:rFonts w:hint="eastAsia" w:ascii="Times New Roman" w:hAnsi="Times New Roman" w:eastAsia="宋体" w:cs="Times New Roman"/>
                <w:color w:val="auto"/>
                <w:kern w:val="0"/>
                <w:sz w:val="24"/>
                <w:highlight w:val="none"/>
                <w:lang w:val="en-US" w:eastAsia="zh-CN"/>
              </w:rPr>
              <w:t>%</w:t>
            </w:r>
            <w:r>
              <w:rPr>
                <w:rFonts w:hint="default" w:ascii="Times New Roman" w:hAnsi="Times New Roman" w:eastAsia="宋体" w:cs="Times New Roman"/>
                <w:color w:val="auto"/>
                <w:kern w:val="0"/>
                <w:sz w:val="24"/>
                <w:highlight w:val="none"/>
              </w:rPr>
              <w:t>。具体见表</w:t>
            </w:r>
            <w:r>
              <w:rPr>
                <w:rFonts w:hint="eastAsia" w:ascii="Times New Roman" w:hAnsi="Times New Roman" w:eastAsia="宋体" w:cs="Times New Roman"/>
                <w:color w:val="auto"/>
                <w:kern w:val="0"/>
                <w:sz w:val="24"/>
                <w:highlight w:val="none"/>
                <w:lang w:val="en-US" w:eastAsia="zh-CN"/>
              </w:rPr>
              <w:t>4</w:t>
            </w:r>
            <w:r>
              <w:rPr>
                <w:rFonts w:hint="eastAsia" w:cs="Times New Roman"/>
                <w:color w:val="auto"/>
                <w:kern w:val="0"/>
                <w:sz w:val="24"/>
                <w:highlight w:val="none"/>
                <w:lang w:val="en-US" w:eastAsia="zh-CN"/>
              </w:rPr>
              <w:t>-21</w:t>
            </w:r>
            <w:r>
              <w:rPr>
                <w:rFonts w:hint="default" w:ascii="Times New Roman" w:hAnsi="Times New Roman" w:eastAsia="宋体" w:cs="Times New Roman"/>
                <w:color w:val="auto"/>
                <w:kern w:val="0"/>
                <w:sz w:val="24"/>
                <w:highlight w:val="none"/>
              </w:rPr>
              <w:t>。</w:t>
            </w:r>
          </w:p>
          <w:p w14:paraId="78DE5E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表4</w:t>
            </w:r>
            <w:r>
              <w:rPr>
                <w:rFonts w:hint="eastAsia" w:cs="Times New Roman"/>
                <w:b/>
                <w:bCs/>
                <w:color w:val="auto"/>
                <w:kern w:val="2"/>
                <w:sz w:val="21"/>
                <w:szCs w:val="21"/>
                <w:highlight w:val="none"/>
                <w:lang w:val="en-US" w:eastAsia="zh-CN" w:bidi="ar-SA"/>
              </w:rPr>
              <w:t>-21</w:t>
            </w:r>
            <w:r>
              <w:rPr>
                <w:rFonts w:hint="eastAsia" w:ascii="Times New Roman" w:hAnsi="Times New Roman" w:eastAsia="宋体" w:cs="Times New Roman"/>
                <w:b/>
                <w:bCs/>
                <w:color w:val="auto"/>
                <w:kern w:val="2"/>
                <w:sz w:val="21"/>
                <w:szCs w:val="21"/>
                <w:highlight w:val="none"/>
                <w:lang w:val="en-US" w:eastAsia="zh-CN" w:bidi="ar-SA"/>
              </w:rPr>
              <w:t xml:space="preserve">  环保投资估算一览表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778"/>
              <w:gridCol w:w="5337"/>
              <w:gridCol w:w="1375"/>
            </w:tblGrid>
            <w:tr w14:paraId="7115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tcBorders>
                    <w:tl2br w:val="nil"/>
                    <w:tr2bl w:val="nil"/>
                  </w:tcBorders>
                  <w:vAlign w:val="center"/>
                </w:tcPr>
                <w:p w14:paraId="72E03A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类型</w:t>
                  </w:r>
                </w:p>
              </w:tc>
              <w:tc>
                <w:tcPr>
                  <w:tcW w:w="972" w:type="pct"/>
                  <w:tcBorders>
                    <w:tl2br w:val="nil"/>
                    <w:tr2bl w:val="nil"/>
                  </w:tcBorders>
                  <w:vAlign w:val="center"/>
                </w:tcPr>
                <w:p w14:paraId="2148AF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污染源</w:t>
                  </w:r>
                </w:p>
              </w:tc>
              <w:tc>
                <w:tcPr>
                  <w:tcW w:w="2918" w:type="pct"/>
                  <w:tcBorders>
                    <w:tl2br w:val="nil"/>
                    <w:tr2bl w:val="nil"/>
                  </w:tcBorders>
                  <w:vAlign w:val="center"/>
                </w:tcPr>
                <w:p w14:paraId="4C4AC8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环保设施</w:t>
                  </w:r>
                </w:p>
              </w:tc>
              <w:tc>
                <w:tcPr>
                  <w:tcW w:w="752" w:type="pct"/>
                  <w:tcBorders>
                    <w:tl2br w:val="nil"/>
                    <w:tr2bl w:val="nil"/>
                  </w:tcBorders>
                  <w:vAlign w:val="center"/>
                </w:tcPr>
                <w:p w14:paraId="0CEAB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投资（万元）</w:t>
                  </w:r>
                </w:p>
              </w:tc>
            </w:tr>
            <w:tr w14:paraId="5DC3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restart"/>
                  <w:tcBorders>
                    <w:tl2br w:val="nil"/>
                    <w:tr2bl w:val="nil"/>
                  </w:tcBorders>
                  <w:vAlign w:val="center"/>
                </w:tcPr>
                <w:p w14:paraId="7D6BF4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废气</w:t>
                  </w:r>
                </w:p>
              </w:tc>
              <w:tc>
                <w:tcPr>
                  <w:tcW w:w="972" w:type="pct"/>
                  <w:tcBorders>
                    <w:tl2br w:val="nil"/>
                    <w:tr2bl w:val="nil"/>
                  </w:tcBorders>
                  <w:vAlign w:val="center"/>
                </w:tcPr>
                <w:p w14:paraId="291214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eastAsia" w:ascii="Times New Roman" w:hAnsi="Times New Roman" w:eastAsia="宋体" w:cs="Times New Roman"/>
                      <w:b w:val="0"/>
                      <w:bCs/>
                      <w:color w:val="auto"/>
                      <w:spacing w:val="0"/>
                      <w:kern w:val="28"/>
                      <w:sz w:val="21"/>
                      <w:szCs w:val="21"/>
                      <w:highlight w:val="none"/>
                      <w:lang w:val="en-US" w:eastAsia="zh-CN" w:bidi="ar-SA"/>
                    </w:rPr>
                    <w:t>道路</w:t>
                  </w:r>
                  <w:r>
                    <w:rPr>
                      <w:rFonts w:hint="eastAsia" w:ascii="Times New Roman" w:hAnsi="Times New Roman" w:cs="Times New Roman"/>
                      <w:b w:val="0"/>
                      <w:bCs/>
                      <w:color w:val="auto"/>
                      <w:spacing w:val="0"/>
                      <w:kern w:val="28"/>
                      <w:sz w:val="21"/>
                      <w:szCs w:val="21"/>
                      <w:highlight w:val="none"/>
                      <w:lang w:val="en-US" w:eastAsia="zh-CN" w:bidi="ar-SA"/>
                    </w:rPr>
                    <w:t>运输</w:t>
                  </w:r>
                  <w:r>
                    <w:rPr>
                      <w:rFonts w:hint="eastAsia" w:cs="Times New Roman"/>
                      <w:color w:val="auto"/>
                      <w:spacing w:val="0"/>
                      <w:kern w:val="2"/>
                      <w:sz w:val="21"/>
                      <w:szCs w:val="21"/>
                      <w:highlight w:val="none"/>
                      <w:vertAlign w:val="baseline"/>
                      <w:lang w:val="en-US" w:eastAsia="zh-CN" w:bidi="ar-SA"/>
                    </w:rPr>
                    <w:t>废气</w:t>
                  </w:r>
                </w:p>
              </w:tc>
              <w:tc>
                <w:tcPr>
                  <w:tcW w:w="2918" w:type="pct"/>
                  <w:tcBorders>
                    <w:tl2br w:val="nil"/>
                    <w:tr2bl w:val="nil"/>
                  </w:tcBorders>
                  <w:vAlign w:val="center"/>
                </w:tcPr>
                <w:p w14:paraId="24B6E2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eastAsia" w:ascii="Times New Roman" w:hAnsi="Times New Roman" w:eastAsia="宋体" w:cs="Times New Roman"/>
                      <w:color w:val="auto"/>
                      <w:spacing w:val="0"/>
                      <w:kern w:val="2"/>
                      <w:sz w:val="21"/>
                      <w:szCs w:val="21"/>
                      <w:highlight w:val="none"/>
                      <w:lang w:val="en-US" w:eastAsia="zh-CN" w:bidi="ar-SA"/>
                    </w:rPr>
                    <w:t>厂区运输道路全部硬化，对道路定期洒水，并对物料运输车辆采取加盖篷布等封闭措施，限制车速</w:t>
                  </w:r>
                </w:p>
              </w:tc>
              <w:tc>
                <w:tcPr>
                  <w:tcW w:w="752" w:type="pct"/>
                  <w:tcBorders>
                    <w:tl2br w:val="nil"/>
                    <w:tr2bl w:val="nil"/>
                  </w:tcBorders>
                  <w:vAlign w:val="center"/>
                </w:tcPr>
                <w:p w14:paraId="7F7D30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8</w:t>
                  </w:r>
                </w:p>
              </w:tc>
            </w:tr>
            <w:tr w14:paraId="24D4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5D928F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75A309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pacing w:val="0"/>
                      <w:kern w:val="28"/>
                      <w:sz w:val="21"/>
                      <w:szCs w:val="21"/>
                      <w:highlight w:val="none"/>
                      <w:lang w:val="en-US" w:eastAsia="zh-CN" w:bidi="ar-SA"/>
                    </w:rPr>
                  </w:pPr>
                  <w:r>
                    <w:rPr>
                      <w:rFonts w:hint="eastAsia"/>
                      <w:bCs/>
                      <w:iCs/>
                      <w:color w:val="auto"/>
                      <w:sz w:val="21"/>
                      <w:szCs w:val="21"/>
                      <w:highlight w:val="none"/>
                      <w:lang w:val="en-US" w:eastAsia="zh-CN"/>
                    </w:rPr>
                    <w:t>上料废气</w:t>
                  </w:r>
                </w:p>
              </w:tc>
              <w:tc>
                <w:tcPr>
                  <w:tcW w:w="2918" w:type="pct"/>
                  <w:tcBorders>
                    <w:tl2br w:val="nil"/>
                    <w:tr2bl w:val="nil"/>
                  </w:tcBorders>
                  <w:vAlign w:val="center"/>
                </w:tcPr>
                <w:p w14:paraId="3D3DBD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kern w:val="2"/>
                      <w:sz w:val="21"/>
                      <w:szCs w:val="21"/>
                      <w:highlight w:val="none"/>
                      <w:lang w:val="en-US" w:eastAsia="zh-CN" w:bidi="ar-SA"/>
                    </w:rPr>
                    <w:t>每个料仓上方设置1个集气罩（共3个），上料废气经集气罩收集后引入布袋除尘器（TA001）处理后，由1根20m高排气筒（DA008）排放</w:t>
                  </w:r>
                </w:p>
              </w:tc>
              <w:tc>
                <w:tcPr>
                  <w:tcW w:w="752" w:type="pct"/>
                  <w:tcBorders>
                    <w:tl2br w:val="nil"/>
                    <w:tr2bl w:val="nil"/>
                  </w:tcBorders>
                  <w:vAlign w:val="center"/>
                </w:tcPr>
                <w:p w14:paraId="2D90DA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12</w:t>
                  </w:r>
                </w:p>
              </w:tc>
            </w:tr>
            <w:tr w14:paraId="068F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379C35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751172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eastAsia"/>
                      <w:bCs/>
                      <w:color w:val="auto"/>
                      <w:sz w:val="21"/>
                      <w:szCs w:val="21"/>
                      <w:highlight w:val="none"/>
                      <w:lang w:val="en-US" w:eastAsia="zh-CN"/>
                    </w:rPr>
                    <w:t>回转窑</w:t>
                  </w:r>
                  <w:r>
                    <w:rPr>
                      <w:rFonts w:hint="default"/>
                      <w:bCs/>
                      <w:color w:val="auto"/>
                      <w:sz w:val="21"/>
                      <w:szCs w:val="21"/>
                      <w:highlight w:val="none"/>
                    </w:rPr>
                    <w:t>烟气</w:t>
                  </w:r>
                </w:p>
              </w:tc>
              <w:tc>
                <w:tcPr>
                  <w:tcW w:w="2918" w:type="pct"/>
                  <w:tcBorders>
                    <w:tl2br w:val="nil"/>
                    <w:tr2bl w:val="nil"/>
                  </w:tcBorders>
                  <w:shd w:val="clear" w:color="auto" w:fill="auto"/>
                  <w:vAlign w:val="center"/>
                </w:tcPr>
                <w:p w14:paraId="2D7290BC">
                  <w:pPr>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回转窑</w:t>
                  </w:r>
                  <w:r>
                    <w:rPr>
                      <w:rFonts w:hint="eastAsia" w:ascii="Times New Roman" w:hAnsi="Times New Roman" w:eastAsia="宋体" w:cs="Times New Roman"/>
                      <w:b w:val="0"/>
                      <w:bCs/>
                      <w:color w:val="auto"/>
                      <w:sz w:val="21"/>
                      <w:szCs w:val="21"/>
                      <w:highlight w:val="none"/>
                      <w:lang w:val="en-US" w:eastAsia="zh-CN"/>
                    </w:rPr>
                    <w:t>设置低氮燃烧器，</w:t>
                  </w:r>
                  <w:r>
                    <w:rPr>
                      <w:rFonts w:hint="eastAsia" w:cs="Times New Roman"/>
                      <w:b w:val="0"/>
                      <w:bCs/>
                      <w:color w:val="auto"/>
                      <w:sz w:val="21"/>
                      <w:szCs w:val="21"/>
                      <w:highlight w:val="none"/>
                      <w:lang w:val="en-US" w:eastAsia="zh-CN"/>
                    </w:rPr>
                    <w:t>加热产生的</w:t>
                  </w:r>
                  <w:r>
                    <w:rPr>
                      <w:rFonts w:hint="eastAsia" w:ascii="Times New Roman" w:hAnsi="Times New Roman" w:eastAsia="宋体" w:cs="Times New Roman"/>
                      <w:b w:val="0"/>
                      <w:bCs/>
                      <w:color w:val="auto"/>
                      <w:sz w:val="21"/>
                      <w:szCs w:val="21"/>
                      <w:highlight w:val="none"/>
                      <w:lang w:val="en-US" w:eastAsia="zh-CN"/>
                    </w:rPr>
                    <w:t>烟气采用1台</w:t>
                  </w:r>
                  <w:r>
                    <w:rPr>
                      <w:rFonts w:hint="eastAsia" w:cs="Times New Roman"/>
                      <w:b w:val="0"/>
                      <w:bCs/>
                      <w:color w:val="auto"/>
                      <w:sz w:val="21"/>
                      <w:szCs w:val="21"/>
                      <w:highlight w:val="none"/>
                      <w:lang w:val="en-US" w:eastAsia="zh-CN"/>
                    </w:rPr>
                    <w:t>旋风除尘器+1台脉冲式</w:t>
                  </w:r>
                  <w:r>
                    <w:rPr>
                      <w:rFonts w:hint="eastAsia" w:ascii="Times New Roman" w:hAnsi="Times New Roman" w:eastAsia="宋体" w:cs="Times New Roman"/>
                      <w:b w:val="0"/>
                      <w:bCs/>
                      <w:color w:val="auto"/>
                      <w:sz w:val="21"/>
                      <w:szCs w:val="21"/>
                      <w:highlight w:val="none"/>
                      <w:lang w:val="en-US" w:eastAsia="zh-CN"/>
                    </w:rPr>
                    <w:t>布袋除尘器</w:t>
                  </w:r>
                  <w:r>
                    <w:rPr>
                      <w:rFonts w:hint="eastAsia" w:cs="Times New Roman"/>
                      <w:b w:val="0"/>
                      <w:bCs/>
                      <w:color w:val="auto"/>
                      <w:sz w:val="21"/>
                      <w:szCs w:val="21"/>
                      <w:highlight w:val="none"/>
                      <w:lang w:val="en-US" w:eastAsia="zh-CN"/>
                    </w:rPr>
                    <w:t>（TA002）</w:t>
                  </w:r>
                  <w:r>
                    <w:rPr>
                      <w:rFonts w:hint="eastAsia" w:ascii="Times New Roman" w:hAnsi="Times New Roman" w:eastAsia="宋体" w:cs="Times New Roman"/>
                      <w:b w:val="0"/>
                      <w:bCs/>
                      <w:color w:val="auto"/>
                      <w:sz w:val="21"/>
                      <w:szCs w:val="21"/>
                      <w:highlight w:val="none"/>
                      <w:lang w:val="en-US" w:eastAsia="zh-CN"/>
                    </w:rPr>
                    <w:t>处理后经20m高排气筒（DA00</w:t>
                  </w:r>
                  <w:r>
                    <w:rPr>
                      <w:rFonts w:hint="eastAsia" w:cs="Times New Roman"/>
                      <w:b w:val="0"/>
                      <w:bCs/>
                      <w:color w:val="auto"/>
                      <w:sz w:val="21"/>
                      <w:szCs w:val="21"/>
                      <w:highlight w:val="none"/>
                      <w:lang w:val="en-US" w:eastAsia="zh-CN"/>
                    </w:rPr>
                    <w:t>9</w:t>
                  </w:r>
                  <w:r>
                    <w:rPr>
                      <w:rFonts w:hint="eastAsia" w:ascii="Times New Roman" w:hAnsi="Times New Roman" w:eastAsia="宋体" w:cs="Times New Roman"/>
                      <w:b w:val="0"/>
                      <w:bCs/>
                      <w:color w:val="auto"/>
                      <w:sz w:val="21"/>
                      <w:szCs w:val="21"/>
                      <w:highlight w:val="none"/>
                      <w:lang w:val="en-US" w:eastAsia="zh-CN"/>
                    </w:rPr>
                    <w:t>）排放</w:t>
                  </w:r>
                </w:p>
              </w:tc>
              <w:tc>
                <w:tcPr>
                  <w:tcW w:w="752" w:type="pct"/>
                  <w:tcBorders>
                    <w:tl2br w:val="nil"/>
                    <w:tr2bl w:val="nil"/>
                  </w:tcBorders>
                  <w:vAlign w:val="center"/>
                </w:tcPr>
                <w:p w14:paraId="0CA548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35</w:t>
                  </w:r>
                </w:p>
              </w:tc>
            </w:tr>
            <w:tr w14:paraId="2295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318735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6E07B717">
                  <w:pPr>
                    <w:keepNext w:val="0"/>
                    <w:keepLines w:val="0"/>
                    <w:suppressLineNumbers w:val="0"/>
                    <w:spacing w:before="0" w:beforeAutospacing="0" w:after="0" w:afterAutospacing="0"/>
                    <w:ind w:left="0" w:leftChars="0" w:right="0" w:rightChars="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热压成型废气</w:t>
                  </w:r>
                </w:p>
              </w:tc>
              <w:tc>
                <w:tcPr>
                  <w:tcW w:w="2918" w:type="pct"/>
                  <w:tcBorders>
                    <w:tl2br w:val="nil"/>
                    <w:tr2bl w:val="nil"/>
                  </w:tcBorders>
                  <w:shd w:val="clear" w:color="auto" w:fill="auto"/>
                  <w:vAlign w:val="center"/>
                </w:tcPr>
                <w:p w14:paraId="148E46B1">
                  <w:pPr>
                    <w:keepNext w:val="0"/>
                    <w:keepLines w:val="0"/>
                    <w:suppressLineNumbers w:val="0"/>
                    <w:spacing w:before="0" w:beforeAutospacing="0" w:after="0" w:afterAutospacing="0"/>
                    <w:ind w:left="0" w:leftChars="0" w:right="0" w:rightChars="0"/>
                    <w:jc w:val="both"/>
                    <w:rPr>
                      <w:rFonts w:hint="default"/>
                      <w:color w:val="auto"/>
                      <w:sz w:val="21"/>
                      <w:szCs w:val="21"/>
                      <w:highlight w:val="none"/>
                    </w:rPr>
                  </w:pPr>
                  <w:r>
                    <w:rPr>
                      <w:rFonts w:hint="eastAsia" w:cs="Times New Roman"/>
                      <w:b w:val="0"/>
                      <w:bCs/>
                      <w:color w:val="auto"/>
                      <w:sz w:val="21"/>
                      <w:szCs w:val="21"/>
                      <w:highlight w:val="none"/>
                      <w:lang w:val="en-US" w:eastAsia="zh-CN"/>
                    </w:rPr>
                    <w:t>每台热压成型机上方分别设置1个集气罩（共2个），对辊成型机上方设置集气管道，废气经收集引入布袋除尘器（TA003）处理后，由1根20m高排气筒（DA010）排放；</w:t>
                  </w:r>
                </w:p>
              </w:tc>
              <w:tc>
                <w:tcPr>
                  <w:tcW w:w="752" w:type="pct"/>
                  <w:tcBorders>
                    <w:tl2br w:val="nil"/>
                    <w:tr2bl w:val="nil"/>
                  </w:tcBorders>
                  <w:vAlign w:val="center"/>
                </w:tcPr>
                <w:p w14:paraId="63F6D4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10</w:t>
                  </w:r>
                </w:p>
              </w:tc>
            </w:tr>
            <w:tr w14:paraId="6009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704A21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5092434D">
                  <w:pPr>
                    <w:keepNext w:val="0"/>
                    <w:keepLines w:val="0"/>
                    <w:suppressLineNumbers w:val="0"/>
                    <w:spacing w:before="0" w:beforeAutospacing="0" w:after="0" w:afterAutospacing="0"/>
                    <w:ind w:left="0" w:leftChars="0" w:right="0" w:rightChars="0"/>
                    <w:jc w:val="center"/>
                    <w:rPr>
                      <w:rFonts w:hint="default"/>
                      <w:bCs/>
                      <w:color w:val="auto"/>
                      <w:sz w:val="21"/>
                      <w:szCs w:val="21"/>
                      <w:highlight w:val="none"/>
                      <w:lang w:val="en-US"/>
                    </w:rPr>
                  </w:pPr>
                  <w:r>
                    <w:rPr>
                      <w:rFonts w:hint="eastAsia"/>
                      <w:bCs/>
                      <w:color w:val="auto"/>
                      <w:sz w:val="21"/>
                      <w:szCs w:val="21"/>
                      <w:highlight w:val="none"/>
                      <w:lang w:val="en-US" w:eastAsia="zh-CN"/>
                    </w:rPr>
                    <w:t>出料废气</w:t>
                  </w:r>
                </w:p>
              </w:tc>
              <w:tc>
                <w:tcPr>
                  <w:tcW w:w="2918" w:type="pct"/>
                  <w:tcBorders>
                    <w:tl2br w:val="nil"/>
                    <w:tr2bl w:val="nil"/>
                  </w:tcBorders>
                  <w:shd w:val="clear" w:color="auto" w:fill="auto"/>
                  <w:vAlign w:val="center"/>
                </w:tcPr>
                <w:p w14:paraId="387EF7F9">
                  <w:pPr>
                    <w:keepNext w:val="0"/>
                    <w:keepLines w:val="0"/>
                    <w:suppressLineNumbers w:val="0"/>
                    <w:spacing w:before="0" w:beforeAutospacing="0" w:after="0" w:afterAutospacing="0"/>
                    <w:ind w:left="0" w:leftChars="0" w:right="0" w:rightChars="0"/>
                    <w:jc w:val="both"/>
                    <w:rPr>
                      <w:rFonts w:hint="default"/>
                      <w:color w:val="auto"/>
                      <w:sz w:val="21"/>
                      <w:szCs w:val="21"/>
                      <w:highlight w:val="none"/>
                    </w:rPr>
                  </w:pPr>
                  <w:r>
                    <w:rPr>
                      <w:rFonts w:hint="eastAsia" w:cs="Times New Roman"/>
                      <w:b w:val="0"/>
                      <w:bCs/>
                      <w:color w:val="auto"/>
                      <w:sz w:val="21"/>
                      <w:szCs w:val="21"/>
                      <w:highlight w:val="none"/>
                      <w:lang w:val="en-US" w:eastAsia="zh-CN"/>
                    </w:rPr>
                    <w:t>成品出料池上方各设置1个集气罩（共2个），废气经收集后引入1台布袋除尘器（TA004）处理后，由1根20m高排气筒（DA011）排放</w:t>
                  </w:r>
                </w:p>
              </w:tc>
              <w:tc>
                <w:tcPr>
                  <w:tcW w:w="752" w:type="pct"/>
                  <w:tcBorders>
                    <w:tl2br w:val="nil"/>
                    <w:tr2bl w:val="nil"/>
                  </w:tcBorders>
                  <w:vAlign w:val="center"/>
                </w:tcPr>
                <w:p w14:paraId="11E94D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13</w:t>
                  </w:r>
                </w:p>
              </w:tc>
            </w:tr>
            <w:tr w14:paraId="5A81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restart"/>
                  <w:tcBorders>
                    <w:tl2br w:val="nil"/>
                    <w:tr2bl w:val="nil"/>
                  </w:tcBorders>
                  <w:vAlign w:val="center"/>
                </w:tcPr>
                <w:p w14:paraId="41C1F1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废水</w:t>
                  </w:r>
                </w:p>
              </w:tc>
              <w:tc>
                <w:tcPr>
                  <w:tcW w:w="972" w:type="pct"/>
                  <w:tcBorders>
                    <w:tl2br w:val="nil"/>
                    <w:tr2bl w:val="nil"/>
                  </w:tcBorders>
                  <w:vAlign w:val="center"/>
                </w:tcPr>
                <w:p w14:paraId="481F25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生活污水</w:t>
                  </w:r>
                </w:p>
              </w:tc>
              <w:tc>
                <w:tcPr>
                  <w:tcW w:w="2918" w:type="pct"/>
                  <w:tcBorders>
                    <w:tl2br w:val="nil"/>
                    <w:tr2bl w:val="nil"/>
                  </w:tcBorders>
                  <w:vAlign w:val="center"/>
                </w:tcPr>
                <w:p w14:paraId="0B24A6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default"/>
                      <w:color w:val="auto"/>
                      <w:szCs w:val="21"/>
                      <w:highlight w:val="none"/>
                    </w:rPr>
                    <w:t>生活污水排入园区污水管网，进入</w:t>
                  </w:r>
                  <w:r>
                    <w:rPr>
                      <w:rFonts w:hint="eastAsia"/>
                      <w:color w:val="auto"/>
                      <w:szCs w:val="21"/>
                      <w:highlight w:val="none"/>
                      <w:lang w:val="en-US" w:eastAsia="zh-CN"/>
                    </w:rPr>
                    <w:t>屯留区</w:t>
                  </w:r>
                  <w:r>
                    <w:rPr>
                      <w:rFonts w:hint="default"/>
                      <w:color w:val="auto"/>
                      <w:szCs w:val="21"/>
                      <w:highlight w:val="none"/>
                    </w:rPr>
                    <w:t>污水处理厂</w:t>
                  </w:r>
                </w:p>
              </w:tc>
              <w:tc>
                <w:tcPr>
                  <w:tcW w:w="752" w:type="pct"/>
                  <w:tcBorders>
                    <w:tl2br w:val="nil"/>
                    <w:tr2bl w:val="nil"/>
                  </w:tcBorders>
                  <w:vAlign w:val="center"/>
                </w:tcPr>
                <w:p w14:paraId="345B83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34BC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5A26E3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1CF139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生产废水</w:t>
                  </w:r>
                </w:p>
              </w:tc>
              <w:tc>
                <w:tcPr>
                  <w:tcW w:w="2918" w:type="pct"/>
                  <w:tcBorders>
                    <w:tl2br w:val="nil"/>
                    <w:tr2bl w:val="nil"/>
                  </w:tcBorders>
                  <w:vAlign w:val="center"/>
                </w:tcPr>
                <w:p w14:paraId="76A8D0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color w:val="auto"/>
                      <w:kern w:val="0"/>
                      <w:sz w:val="21"/>
                      <w:szCs w:val="21"/>
                      <w:highlight w:val="none"/>
                      <w:lang w:val="en-US" w:eastAsia="zh-CN"/>
                    </w:rPr>
                    <w:t>循环冷却排污水</w:t>
                  </w:r>
                  <w:r>
                    <w:rPr>
                      <w:rFonts w:hint="default"/>
                      <w:color w:val="auto"/>
                      <w:kern w:val="0"/>
                      <w:sz w:val="21"/>
                      <w:szCs w:val="21"/>
                      <w:highlight w:val="none"/>
                    </w:rPr>
                    <w:t>经园区污水管网排入</w:t>
                  </w:r>
                  <w:r>
                    <w:rPr>
                      <w:rFonts w:hint="eastAsia"/>
                      <w:color w:val="auto"/>
                      <w:szCs w:val="21"/>
                      <w:highlight w:val="none"/>
                      <w:lang w:val="en-US" w:eastAsia="zh-CN"/>
                    </w:rPr>
                    <w:t>屯留区</w:t>
                  </w:r>
                  <w:r>
                    <w:rPr>
                      <w:rFonts w:hint="default"/>
                      <w:color w:val="auto"/>
                      <w:kern w:val="0"/>
                      <w:sz w:val="21"/>
                      <w:szCs w:val="21"/>
                      <w:highlight w:val="none"/>
                    </w:rPr>
                    <w:t>污水处理厂</w:t>
                  </w:r>
                </w:p>
              </w:tc>
              <w:tc>
                <w:tcPr>
                  <w:tcW w:w="752" w:type="pct"/>
                  <w:tcBorders>
                    <w:tl2br w:val="nil"/>
                    <w:tr2bl w:val="nil"/>
                  </w:tcBorders>
                  <w:vAlign w:val="center"/>
                </w:tcPr>
                <w:p w14:paraId="4E741F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61F4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3F981E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342A3F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初期雨水</w:t>
                  </w:r>
                </w:p>
              </w:tc>
              <w:tc>
                <w:tcPr>
                  <w:tcW w:w="2918" w:type="pct"/>
                  <w:tcBorders>
                    <w:tl2br w:val="nil"/>
                    <w:tr2bl w:val="nil"/>
                  </w:tcBorders>
                  <w:vAlign w:val="center"/>
                </w:tcPr>
                <w:p w14:paraId="63675194">
                  <w:pPr>
                    <w:pStyle w:val="7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rPr>
                    <w:t>现有厂区东南角设置1座初期雨水收集池，容积为300m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，用于收集厂区前15min的初期雨水，后期雨水排入园区雨水管网</w:t>
                  </w:r>
                </w:p>
              </w:tc>
              <w:tc>
                <w:tcPr>
                  <w:tcW w:w="752" w:type="pct"/>
                  <w:tcBorders>
                    <w:tl2br w:val="nil"/>
                    <w:tr2bl w:val="nil"/>
                  </w:tcBorders>
                  <w:vAlign w:val="center"/>
                </w:tcPr>
                <w:p w14:paraId="34539E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27C1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restart"/>
                  <w:tcBorders>
                    <w:tl2br w:val="nil"/>
                    <w:tr2bl w:val="nil"/>
                  </w:tcBorders>
                  <w:vAlign w:val="center"/>
                </w:tcPr>
                <w:p w14:paraId="7687CC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固废</w:t>
                  </w:r>
                </w:p>
              </w:tc>
              <w:tc>
                <w:tcPr>
                  <w:tcW w:w="972" w:type="pct"/>
                  <w:tcBorders>
                    <w:tl2br w:val="nil"/>
                    <w:tr2bl w:val="nil"/>
                  </w:tcBorders>
                  <w:vAlign w:val="center"/>
                </w:tcPr>
                <w:p w14:paraId="369CF9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生活垃圾</w:t>
                  </w:r>
                </w:p>
              </w:tc>
              <w:tc>
                <w:tcPr>
                  <w:tcW w:w="2918" w:type="pct"/>
                  <w:tcBorders>
                    <w:tl2br w:val="nil"/>
                    <w:tr2bl w:val="nil"/>
                  </w:tcBorders>
                  <w:vAlign w:val="center"/>
                </w:tcPr>
                <w:p w14:paraId="08B462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厂内设置垃圾桶，定期送至当地环卫部门指定地点</w:t>
                  </w:r>
                </w:p>
              </w:tc>
              <w:tc>
                <w:tcPr>
                  <w:tcW w:w="752" w:type="pct"/>
                  <w:tcBorders>
                    <w:tl2br w:val="nil"/>
                    <w:tr2bl w:val="nil"/>
                  </w:tcBorders>
                  <w:vAlign w:val="center"/>
                </w:tcPr>
                <w:p w14:paraId="07E0E8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5F83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2A90A9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259276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除尘灰</w:t>
                  </w:r>
                </w:p>
              </w:tc>
              <w:tc>
                <w:tcPr>
                  <w:tcW w:w="2918" w:type="pct"/>
                  <w:tcBorders>
                    <w:tl2br w:val="nil"/>
                    <w:tr2bl w:val="nil"/>
                  </w:tcBorders>
                  <w:vAlign w:val="center"/>
                </w:tcPr>
                <w:p w14:paraId="765D35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default"/>
                      <w:color w:val="auto"/>
                      <w:kern w:val="0"/>
                      <w:highlight w:val="none"/>
                    </w:rPr>
                    <w:t>暂存在生产车间内，</w:t>
                  </w:r>
                  <w:r>
                    <w:rPr>
                      <w:rFonts w:hint="eastAsia"/>
                      <w:color w:val="auto"/>
                      <w:kern w:val="0"/>
                      <w:highlight w:val="none"/>
                      <w:lang w:val="en-US" w:eastAsia="zh-CN"/>
                    </w:rPr>
                    <w:t>收集后外售</w:t>
                  </w:r>
                  <w:r>
                    <w:rPr>
                      <w:rFonts w:hint="default"/>
                      <w:color w:val="auto"/>
                      <w:kern w:val="0"/>
                      <w:highlight w:val="none"/>
                    </w:rPr>
                    <w:t>品收购站</w:t>
                  </w:r>
                </w:p>
              </w:tc>
              <w:tc>
                <w:tcPr>
                  <w:tcW w:w="752" w:type="pct"/>
                  <w:tcBorders>
                    <w:tl2br w:val="nil"/>
                    <w:tr2bl w:val="nil"/>
                  </w:tcBorders>
                  <w:vAlign w:val="center"/>
                </w:tcPr>
                <w:p w14:paraId="556592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61CC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7B5D38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4E6402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废布袋</w:t>
                  </w:r>
                </w:p>
              </w:tc>
              <w:tc>
                <w:tcPr>
                  <w:tcW w:w="2918" w:type="pct"/>
                  <w:tcBorders>
                    <w:tl2br w:val="nil"/>
                    <w:tr2bl w:val="nil"/>
                  </w:tcBorders>
                  <w:vAlign w:val="center"/>
                </w:tcPr>
                <w:p w14:paraId="0213CB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eastAsia="宋体"/>
                      <w:color w:val="auto"/>
                      <w:kern w:val="0"/>
                      <w:highlight w:val="none"/>
                      <w:lang w:val="en-US" w:eastAsia="zh-CN"/>
                    </w:rPr>
                  </w:pPr>
                  <w:r>
                    <w:rPr>
                      <w:rFonts w:hint="eastAsia"/>
                      <w:color w:val="auto"/>
                      <w:kern w:val="0"/>
                      <w:highlight w:val="none"/>
                      <w:lang w:val="en-US" w:eastAsia="zh-CN"/>
                    </w:rPr>
                    <w:t>每2年更换一次，由厂家回收处理</w:t>
                  </w:r>
                </w:p>
              </w:tc>
              <w:tc>
                <w:tcPr>
                  <w:tcW w:w="752" w:type="pct"/>
                  <w:tcBorders>
                    <w:tl2br w:val="nil"/>
                    <w:tr2bl w:val="nil"/>
                  </w:tcBorders>
                  <w:vAlign w:val="center"/>
                </w:tcPr>
                <w:p w14:paraId="1219F7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r>
            <w:tr w14:paraId="16FA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40386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2C9654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pacing w:val="0"/>
                      <w:sz w:val="21"/>
                      <w:szCs w:val="21"/>
                      <w:highlight w:val="none"/>
                      <w:lang w:val="en-US" w:eastAsia="zh-CN"/>
                    </w:rPr>
                    <w:t>废边角料</w:t>
                  </w:r>
                </w:p>
              </w:tc>
              <w:tc>
                <w:tcPr>
                  <w:tcW w:w="2918" w:type="pct"/>
                  <w:tcBorders>
                    <w:tl2br w:val="nil"/>
                    <w:tr2bl w:val="nil"/>
                  </w:tcBorders>
                  <w:vAlign w:val="center"/>
                </w:tcPr>
                <w:p w14:paraId="317A66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default"/>
                      <w:color w:val="auto"/>
                      <w:kern w:val="0"/>
                      <w:highlight w:val="none"/>
                    </w:rPr>
                    <w:t>暂存在生产车间内，</w:t>
                  </w:r>
                  <w:r>
                    <w:rPr>
                      <w:rFonts w:hint="eastAsia"/>
                      <w:color w:val="auto"/>
                      <w:kern w:val="0"/>
                      <w:highlight w:val="none"/>
                      <w:lang w:val="en-US" w:eastAsia="zh-CN"/>
                    </w:rPr>
                    <w:t>收集后外售</w:t>
                  </w:r>
                  <w:r>
                    <w:rPr>
                      <w:rFonts w:hint="default"/>
                      <w:color w:val="auto"/>
                      <w:kern w:val="0"/>
                      <w:highlight w:val="none"/>
                    </w:rPr>
                    <w:t>品收购站</w:t>
                  </w:r>
                </w:p>
              </w:tc>
              <w:tc>
                <w:tcPr>
                  <w:tcW w:w="752" w:type="pct"/>
                  <w:tcBorders>
                    <w:tl2br w:val="nil"/>
                    <w:tr2bl w:val="nil"/>
                  </w:tcBorders>
                  <w:vAlign w:val="center"/>
                </w:tcPr>
                <w:p w14:paraId="4F9B2B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6D3B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vMerge w:val="continue"/>
                  <w:tcBorders>
                    <w:tl2br w:val="nil"/>
                    <w:tr2bl w:val="nil"/>
                  </w:tcBorders>
                  <w:vAlign w:val="center"/>
                </w:tcPr>
                <w:p w14:paraId="5E047C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p>
              </w:tc>
              <w:tc>
                <w:tcPr>
                  <w:tcW w:w="972" w:type="pct"/>
                  <w:tcBorders>
                    <w:tl2br w:val="nil"/>
                    <w:tr2bl w:val="nil"/>
                  </w:tcBorders>
                  <w:vAlign w:val="center"/>
                </w:tcPr>
                <w:p w14:paraId="19342C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废矿物油</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pacing w:val="0"/>
                      <w:kern w:val="2"/>
                      <w:sz w:val="21"/>
                      <w:szCs w:val="21"/>
                      <w:highlight w:val="none"/>
                      <w:lang w:val="en-US" w:eastAsia="zh-CN" w:bidi="ar-SA"/>
                    </w:rPr>
                    <w:t>废液压油、废润滑油</w:t>
                  </w:r>
                  <w:r>
                    <w:rPr>
                      <w:rFonts w:hint="eastAsia" w:ascii="Times New Roman" w:hAnsi="Times New Roman" w:eastAsia="宋体" w:cs="Times New Roman"/>
                      <w:color w:val="auto"/>
                      <w:sz w:val="21"/>
                      <w:szCs w:val="21"/>
                      <w:highlight w:val="none"/>
                      <w:lang w:val="en-US" w:eastAsia="zh-CN"/>
                    </w:rPr>
                    <w:t>废油桶</w:t>
                  </w:r>
                </w:p>
              </w:tc>
              <w:tc>
                <w:tcPr>
                  <w:tcW w:w="2918" w:type="pct"/>
                  <w:tcBorders>
                    <w:tl2br w:val="nil"/>
                    <w:tr2bl w:val="nil"/>
                  </w:tcBorders>
                  <w:vAlign w:val="center"/>
                </w:tcPr>
                <w:p w14:paraId="1D1B82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依托厂区内现有</w:t>
                  </w:r>
                  <w:r>
                    <w:rPr>
                      <w:rFonts w:hint="eastAsia" w:cs="Times New Roman"/>
                      <w:color w:val="auto"/>
                      <w:spacing w:val="0"/>
                      <w:sz w:val="21"/>
                      <w:szCs w:val="21"/>
                      <w:highlight w:val="none"/>
                      <w:vertAlign w:val="baseline"/>
                      <w:lang w:val="en-US" w:eastAsia="zh-CN"/>
                    </w:rPr>
                    <w:t>危废贮存库，</w:t>
                  </w:r>
                  <w:r>
                    <w:rPr>
                      <w:rFonts w:hint="default" w:ascii="Times New Roman" w:hAnsi="Times New Roman" w:eastAsia="宋体" w:cs="Times New Roman"/>
                      <w:color w:val="auto"/>
                      <w:sz w:val="21"/>
                      <w:szCs w:val="21"/>
                      <w:highlight w:val="none"/>
                      <w:lang w:val="en-US" w:eastAsia="zh-CN"/>
                    </w:rPr>
                    <w:t>废矿物油</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pacing w:val="0"/>
                      <w:kern w:val="2"/>
                      <w:sz w:val="21"/>
                      <w:szCs w:val="21"/>
                      <w:highlight w:val="none"/>
                      <w:lang w:val="en-US" w:eastAsia="zh-CN" w:bidi="ar-SA"/>
                    </w:rPr>
                    <w:t>废液压油、废润滑油</w:t>
                  </w:r>
                  <w:r>
                    <w:rPr>
                      <w:rFonts w:hint="eastAsia" w:ascii="Times New Roman" w:hAnsi="Times New Roman" w:eastAsia="宋体" w:cs="Times New Roman"/>
                      <w:color w:val="auto"/>
                      <w:sz w:val="21"/>
                      <w:szCs w:val="21"/>
                      <w:highlight w:val="none"/>
                      <w:lang w:val="en-US" w:eastAsia="zh-CN"/>
                    </w:rPr>
                    <w:t>废油桶</w:t>
                  </w:r>
                  <w:r>
                    <w:rPr>
                      <w:rFonts w:hint="eastAsia" w:cs="Times New Roman"/>
                      <w:color w:val="auto"/>
                      <w:spacing w:val="0"/>
                      <w:sz w:val="21"/>
                      <w:szCs w:val="21"/>
                      <w:highlight w:val="none"/>
                      <w:vertAlign w:val="baseline"/>
                      <w:lang w:val="en-US" w:eastAsia="zh-CN"/>
                    </w:rPr>
                    <w:t>分区</w:t>
                  </w:r>
                  <w:r>
                    <w:rPr>
                      <w:rFonts w:hint="default" w:ascii="Times New Roman" w:hAnsi="Times New Roman" w:eastAsia="宋体" w:cs="Times New Roman"/>
                      <w:color w:val="auto"/>
                      <w:spacing w:val="0"/>
                      <w:sz w:val="21"/>
                      <w:szCs w:val="21"/>
                      <w:highlight w:val="none"/>
                      <w:lang w:val="en-US" w:eastAsia="zh-CN"/>
                    </w:rPr>
                    <w:t>暂存于</w:t>
                  </w:r>
                  <w:r>
                    <w:rPr>
                      <w:rFonts w:hint="eastAsia" w:cs="Times New Roman"/>
                      <w:color w:val="auto"/>
                      <w:spacing w:val="0"/>
                      <w:sz w:val="21"/>
                      <w:szCs w:val="21"/>
                      <w:highlight w:val="none"/>
                      <w:lang w:val="en-US" w:eastAsia="zh-CN"/>
                    </w:rPr>
                    <w:t>危废贮存库</w:t>
                  </w:r>
                  <w:r>
                    <w:rPr>
                      <w:rFonts w:hint="default"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定期委托有资质单位处置</w:t>
                  </w:r>
                </w:p>
              </w:tc>
              <w:tc>
                <w:tcPr>
                  <w:tcW w:w="752" w:type="pct"/>
                  <w:tcBorders>
                    <w:tl2br w:val="nil"/>
                    <w:tr2bl w:val="nil"/>
                  </w:tcBorders>
                  <w:vAlign w:val="center"/>
                </w:tcPr>
                <w:p w14:paraId="2C6FD1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3A88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57" w:type="pct"/>
                  <w:tcBorders>
                    <w:tl2br w:val="nil"/>
                    <w:tr2bl w:val="nil"/>
                  </w:tcBorders>
                  <w:vAlign w:val="center"/>
                </w:tcPr>
                <w:p w14:paraId="390C50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噪声</w:t>
                  </w:r>
                </w:p>
              </w:tc>
              <w:tc>
                <w:tcPr>
                  <w:tcW w:w="972" w:type="pct"/>
                  <w:tcBorders>
                    <w:tl2br w:val="nil"/>
                    <w:tr2bl w:val="nil"/>
                  </w:tcBorders>
                  <w:vAlign w:val="center"/>
                </w:tcPr>
                <w:p w14:paraId="74A339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生产设备</w:t>
                  </w:r>
                </w:p>
              </w:tc>
              <w:tc>
                <w:tcPr>
                  <w:tcW w:w="2918" w:type="pct"/>
                  <w:tcBorders>
                    <w:tl2br w:val="nil"/>
                    <w:tr2bl w:val="nil"/>
                  </w:tcBorders>
                  <w:vAlign w:val="center"/>
                </w:tcPr>
                <w:p w14:paraId="3A3D55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rPr>
                    <w:t>选用低噪声设备，高噪音设备做基础减振、柔性连接，厂房隔声等，保持设备运行良好；车辆限速行驶，减少鸣笛</w:t>
                  </w:r>
                </w:p>
              </w:tc>
              <w:tc>
                <w:tcPr>
                  <w:tcW w:w="752" w:type="pct"/>
                  <w:tcBorders>
                    <w:tl2br w:val="nil"/>
                    <w:tr2bl w:val="nil"/>
                  </w:tcBorders>
                  <w:vAlign w:val="center"/>
                </w:tcPr>
                <w:p w14:paraId="534149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r>
            <w:tr w14:paraId="7A0A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247" w:type="pct"/>
                  <w:gridSpan w:val="3"/>
                  <w:tcBorders>
                    <w:tl2br w:val="nil"/>
                    <w:tr2bl w:val="nil"/>
                  </w:tcBorders>
                  <w:vAlign w:val="center"/>
                </w:tcPr>
                <w:p w14:paraId="09744D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合计</w:t>
                  </w:r>
                </w:p>
              </w:tc>
              <w:tc>
                <w:tcPr>
                  <w:tcW w:w="752" w:type="pct"/>
                  <w:tcBorders>
                    <w:tl2br w:val="nil"/>
                    <w:tr2bl w:val="nil"/>
                  </w:tcBorders>
                  <w:vAlign w:val="center"/>
                </w:tcPr>
                <w:p w14:paraId="7EED14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85</w:t>
                  </w:r>
                </w:p>
              </w:tc>
            </w:tr>
          </w:tbl>
          <w:p w14:paraId="1A2B9700">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6ED4AD79">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5FF0103C">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594F79B1">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2A0B3495">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47A521A9">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3DC33D57">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701091A2">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41A3D2BF">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571E5094">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17E25678">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2EEC31C5">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p w14:paraId="2277E815">
            <w:pPr>
              <w:keepNext w:val="0"/>
              <w:keepLines w:val="0"/>
              <w:suppressLineNumbers w:val="0"/>
              <w:adjustRightInd w:val="0"/>
              <w:snapToGrid w:val="0"/>
              <w:spacing w:before="0" w:beforeAutospacing="0" w:after="0" w:afterAutospacing="0" w:line="480" w:lineRule="exact"/>
              <w:ind w:left="0" w:right="0" w:firstLine="420" w:firstLineChars="200"/>
              <w:rPr>
                <w:rFonts w:hint="default"/>
                <w:color w:val="auto"/>
                <w:highlight w:val="none"/>
                <w:lang w:val="en-US" w:eastAsia="zh-CN"/>
              </w:rPr>
            </w:pPr>
          </w:p>
        </w:tc>
      </w:tr>
    </w:tbl>
    <w:p w14:paraId="2529E9FA">
      <w:pPr>
        <w:adjustRightInd w:val="0"/>
        <w:snapToGrid w:val="0"/>
        <w:spacing w:line="360" w:lineRule="auto"/>
        <w:rPr>
          <w:rFonts w:hint="default" w:ascii="Times New Roman" w:hAnsi="Times New Roman" w:cs="Times New Roman"/>
          <w:b/>
          <w:color w:val="FF0000"/>
          <w:kern w:val="0"/>
          <w:sz w:val="28"/>
          <w:szCs w:val="28"/>
          <w:highlight w:val="none"/>
        </w:rPr>
        <w:sectPr>
          <w:headerReference r:id="rId7" w:type="default"/>
          <w:pgSz w:w="11907" w:h="16840"/>
          <w:pgMar w:top="1440" w:right="1080" w:bottom="1440" w:left="1080" w:header="851" w:footer="850" w:gutter="0"/>
          <w:pgBorders>
            <w:top w:val="none" w:sz="0" w:space="0"/>
            <w:left w:val="none" w:sz="0" w:space="0"/>
            <w:bottom w:val="none" w:sz="0" w:space="0"/>
            <w:right w:val="none" w:sz="0" w:space="0"/>
          </w:pgBorders>
          <w:pgNumType w:fmt="decimal"/>
          <w:cols w:space="720" w:num="1"/>
          <w:docGrid w:linePitch="312" w:charSpace="0"/>
        </w:sectPr>
      </w:pPr>
    </w:p>
    <w:p w14:paraId="728280F0">
      <w:pPr>
        <w:pStyle w:val="27"/>
        <w:jc w:val="center"/>
        <w:outlineLvl w:val="0"/>
        <w:rPr>
          <w:rFonts w:hint="default" w:ascii="Times New Roman" w:hAnsi="Times New Roman" w:eastAsia="黑体" w:cs="Times New Roman"/>
          <w:snapToGrid w:val="0"/>
          <w:color w:val="000000" w:themeColor="text1"/>
          <w:sz w:val="30"/>
          <w:szCs w:val="30"/>
          <w:highlight w:val="none"/>
          <w:lang w:val="en-US" w:eastAsia="zh-CN"/>
          <w14:textFill>
            <w14:solidFill>
              <w14:schemeClr w14:val="tx1"/>
            </w14:solidFill>
          </w14:textFill>
        </w:rPr>
      </w:pPr>
      <w:bookmarkStart w:id="16" w:name="_Toc2591"/>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五、</w:t>
      </w:r>
      <w:bookmarkStart w:id="17" w:name="_Hlk54167917"/>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环境保护措施监督检查清单</w:t>
      </w:r>
      <w:bookmarkEnd w:id="16"/>
      <w:bookmarkEnd w:id="17"/>
    </w:p>
    <w:tbl>
      <w:tblPr>
        <w:tblStyle w:val="31"/>
        <w:tblW w:w="494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1349"/>
        <w:gridCol w:w="1097"/>
        <w:gridCol w:w="3576"/>
        <w:gridCol w:w="2788"/>
      </w:tblGrid>
      <w:tr w14:paraId="4AD92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tcBorders>
              <w:tl2br w:val="single" w:color="auto" w:sz="4" w:space="0"/>
            </w:tcBorders>
          </w:tcPr>
          <w:p w14:paraId="6D6D8F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211" w:firstLineChars="100"/>
              <w:jc w:val="both"/>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内容</w:t>
            </w:r>
          </w:p>
          <w:p w14:paraId="42FEE3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default" w:ascii="Times New Roman" w:hAnsi="Times New Roman" w:cs="Times New Roman"/>
                <w:b/>
                <w:bCs/>
                <w:color w:val="auto"/>
                <w:szCs w:val="21"/>
                <w:highlight w:val="none"/>
              </w:rPr>
            </w:pPr>
          </w:p>
          <w:p w14:paraId="5DD67C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要素</w:t>
            </w:r>
          </w:p>
        </w:tc>
        <w:tc>
          <w:tcPr>
            <w:tcW w:w="685" w:type="pct"/>
            <w:vAlign w:val="center"/>
          </w:tcPr>
          <w:p w14:paraId="7736C2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排放口</w:t>
            </w:r>
            <w:r>
              <w:rPr>
                <w:rFonts w:hint="default" w:ascii="Times New Roman" w:hAnsi="Times New Roman" w:cs="Times New Roman"/>
                <w:b/>
                <w:bCs/>
                <w:color w:val="auto"/>
                <w:szCs w:val="21"/>
                <w:highlight w:val="none"/>
                <w:lang w:eastAsia="zh-CN"/>
              </w:rPr>
              <w:t>（</w:t>
            </w:r>
            <w:r>
              <w:rPr>
                <w:rFonts w:hint="default" w:ascii="Times New Roman" w:hAnsi="Times New Roman" w:cs="Times New Roman"/>
                <w:b/>
                <w:bCs/>
                <w:color w:val="auto"/>
                <w:szCs w:val="21"/>
                <w:highlight w:val="none"/>
              </w:rPr>
              <w:t>编号、名称</w:t>
            </w:r>
            <w:r>
              <w:rPr>
                <w:rFonts w:hint="default" w:ascii="Times New Roman" w:hAnsi="Times New Roman" w:cs="Times New Roman"/>
                <w:b/>
                <w:bCs/>
                <w:color w:val="auto"/>
                <w:szCs w:val="21"/>
                <w:highlight w:val="none"/>
                <w:lang w:eastAsia="zh-CN"/>
              </w:rPr>
              <w:t>）</w:t>
            </w:r>
            <w:r>
              <w:rPr>
                <w:rFonts w:hint="default" w:ascii="Times New Roman" w:hAnsi="Times New Roman" w:cs="Times New Roman"/>
                <w:b/>
                <w:bCs/>
                <w:color w:val="auto"/>
                <w:szCs w:val="21"/>
                <w:highlight w:val="none"/>
              </w:rPr>
              <w:t>/污染源</w:t>
            </w:r>
          </w:p>
        </w:tc>
        <w:tc>
          <w:tcPr>
            <w:tcW w:w="557" w:type="pct"/>
            <w:vAlign w:val="center"/>
          </w:tcPr>
          <w:p w14:paraId="0707FA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污染物</w:t>
            </w:r>
          </w:p>
          <w:p w14:paraId="22D224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项目</w:t>
            </w:r>
          </w:p>
        </w:tc>
        <w:tc>
          <w:tcPr>
            <w:tcW w:w="1815" w:type="pct"/>
            <w:vAlign w:val="center"/>
          </w:tcPr>
          <w:p w14:paraId="6120B4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rPr>
              <w:t>环境保护措施</w:t>
            </w:r>
          </w:p>
        </w:tc>
        <w:tc>
          <w:tcPr>
            <w:tcW w:w="1413" w:type="pct"/>
            <w:vAlign w:val="center"/>
          </w:tcPr>
          <w:p w14:paraId="2F60DB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5345B0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restart"/>
            <w:vAlign w:val="center"/>
          </w:tcPr>
          <w:p w14:paraId="1203A0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大气</w:t>
            </w:r>
          </w:p>
          <w:p w14:paraId="75E24E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w:t>
            </w:r>
          </w:p>
        </w:tc>
        <w:tc>
          <w:tcPr>
            <w:tcW w:w="685" w:type="pct"/>
            <w:vAlign w:val="center"/>
          </w:tcPr>
          <w:p w14:paraId="44DDCF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eastAsia" w:ascii="Times New Roman" w:hAnsi="Times New Roman" w:eastAsia="宋体" w:cs="Times New Roman"/>
                <w:b w:val="0"/>
                <w:bCs/>
                <w:color w:val="auto"/>
                <w:spacing w:val="0"/>
                <w:kern w:val="28"/>
                <w:sz w:val="21"/>
                <w:szCs w:val="21"/>
                <w:highlight w:val="none"/>
                <w:lang w:val="en-US" w:eastAsia="zh-CN" w:bidi="ar-SA"/>
              </w:rPr>
              <w:t>道路</w:t>
            </w:r>
            <w:r>
              <w:rPr>
                <w:rFonts w:hint="eastAsia" w:ascii="Times New Roman" w:hAnsi="Times New Roman" w:cs="Times New Roman"/>
                <w:b w:val="0"/>
                <w:bCs/>
                <w:color w:val="auto"/>
                <w:spacing w:val="0"/>
                <w:kern w:val="28"/>
                <w:sz w:val="21"/>
                <w:szCs w:val="21"/>
                <w:highlight w:val="none"/>
                <w:lang w:val="en-US" w:eastAsia="zh-CN" w:bidi="ar-SA"/>
              </w:rPr>
              <w:t>运输</w:t>
            </w:r>
          </w:p>
        </w:tc>
        <w:tc>
          <w:tcPr>
            <w:tcW w:w="557" w:type="pct"/>
            <w:vAlign w:val="center"/>
          </w:tcPr>
          <w:p w14:paraId="3A48352B">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spacing w:val="0"/>
                <w:kern w:val="2"/>
                <w:sz w:val="21"/>
                <w:szCs w:val="21"/>
                <w:highlight w:val="none"/>
                <w:vertAlign w:val="baseline"/>
                <w:lang w:val="en-US" w:eastAsia="zh-CN" w:bidi="ar-SA"/>
              </w:rPr>
            </w:pPr>
            <w:r>
              <w:rPr>
                <w:rFonts w:hint="eastAsia"/>
                <w:color w:val="auto"/>
                <w:sz w:val="21"/>
                <w:szCs w:val="21"/>
                <w:highlight w:val="none"/>
                <w:lang w:val="en-US" w:eastAsia="zh-CN"/>
              </w:rPr>
              <w:t>颗粒物</w:t>
            </w:r>
          </w:p>
        </w:tc>
        <w:tc>
          <w:tcPr>
            <w:tcW w:w="1815" w:type="pct"/>
            <w:shd w:val="clear" w:color="auto" w:fill="auto"/>
            <w:vAlign w:val="center"/>
          </w:tcPr>
          <w:p w14:paraId="09CB9C7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leftChars="0" w:right="0" w:rightChars="0"/>
              <w:jc w:val="both"/>
              <w:textAlignment w:val="auto"/>
              <w:rPr>
                <w:rFonts w:hint="default" w:ascii="Times New Roman" w:hAnsi="Times New Roman" w:eastAsia="宋体" w:cs="Times New Roman"/>
                <w:color w:val="auto"/>
                <w:spacing w:val="0"/>
                <w:kern w:val="2"/>
                <w:sz w:val="21"/>
                <w:szCs w:val="21"/>
                <w:highlight w:val="none"/>
                <w:vertAlign w:val="baseline"/>
                <w:lang w:val="en-US" w:eastAsia="zh-CN" w:bidi="ar-SA"/>
              </w:rPr>
            </w:pPr>
            <w:r>
              <w:rPr>
                <w:rFonts w:hint="default"/>
                <w:bCs/>
                <w:color w:val="auto"/>
                <w:szCs w:val="21"/>
                <w:highlight w:val="none"/>
              </w:rPr>
              <w:t>采用厢式车运输或加盖篷布、限速行驶，定期对道路进行抑尘洒水</w:t>
            </w:r>
          </w:p>
        </w:tc>
        <w:tc>
          <w:tcPr>
            <w:tcW w:w="1413" w:type="pct"/>
            <w:vAlign w:val="center"/>
          </w:tcPr>
          <w:p w14:paraId="625EBF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both"/>
              <w:textAlignment w:val="auto"/>
              <w:rPr>
                <w:rFonts w:hint="default" w:ascii="Times New Roman" w:hAnsi="Times New Roman" w:eastAsia="宋体" w:cs="Times New Roman"/>
                <w:b w:val="0"/>
                <w:bCs/>
                <w:color w:val="auto"/>
                <w:kern w:val="28"/>
                <w:sz w:val="21"/>
                <w:szCs w:val="21"/>
                <w:highlight w:val="none"/>
                <w:lang w:val="en-US" w:eastAsia="zh-CN" w:bidi="ar-SA"/>
              </w:rPr>
            </w:pPr>
            <w:r>
              <w:rPr>
                <w:rFonts w:hint="default" w:ascii="Times New Roman" w:hAnsi="Times New Roman" w:eastAsia="宋体" w:cs="Times New Roman"/>
                <w:b w:val="0"/>
                <w:bCs/>
                <w:color w:val="auto"/>
                <w:kern w:val="28"/>
                <w:sz w:val="21"/>
                <w:szCs w:val="21"/>
                <w:highlight w:val="none"/>
                <w:lang w:val="en-US" w:eastAsia="zh-CN" w:bidi="ar-SA"/>
              </w:rPr>
              <w:t>《长治市人民政府办公室关于印发长治市大气和水污染物排放管控要求的通知》（长政办规〔2023〕1号）</w:t>
            </w:r>
          </w:p>
        </w:tc>
      </w:tr>
      <w:tr w14:paraId="5C6E0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continue"/>
            <w:vAlign w:val="center"/>
          </w:tcPr>
          <w:p w14:paraId="404213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p>
        </w:tc>
        <w:tc>
          <w:tcPr>
            <w:tcW w:w="685" w:type="pct"/>
            <w:vAlign w:val="center"/>
          </w:tcPr>
          <w:p w14:paraId="1836AA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bCs/>
                <w:iCs/>
                <w:color w:val="auto"/>
                <w:sz w:val="21"/>
                <w:szCs w:val="21"/>
                <w:lang w:val="en-US" w:eastAsia="zh-CN"/>
              </w:rPr>
              <w:t>上料</w:t>
            </w:r>
          </w:p>
        </w:tc>
        <w:tc>
          <w:tcPr>
            <w:tcW w:w="557" w:type="pct"/>
            <w:vAlign w:val="center"/>
          </w:tcPr>
          <w:p w14:paraId="6FFEDC01">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leftChars="0" w:right="0" w:right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颗粒物</w:t>
            </w:r>
          </w:p>
        </w:tc>
        <w:tc>
          <w:tcPr>
            <w:tcW w:w="1815" w:type="pct"/>
            <w:shd w:val="clear" w:color="auto" w:fill="auto"/>
            <w:vAlign w:val="center"/>
          </w:tcPr>
          <w:p w14:paraId="0E823E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both"/>
              <w:textAlignment w:val="auto"/>
              <w:rPr>
                <w:rFonts w:hint="default"/>
                <w:bCs/>
                <w:color w:val="auto"/>
                <w:szCs w:val="21"/>
                <w:highlight w:val="none"/>
              </w:rPr>
            </w:pPr>
            <w:r>
              <w:rPr>
                <w:rFonts w:hint="eastAsia" w:ascii="Times New Roman" w:hAnsi="Times New Roman" w:eastAsia="宋体" w:cs="Times New Roman"/>
                <w:color w:val="auto"/>
                <w:spacing w:val="0"/>
                <w:kern w:val="2"/>
                <w:sz w:val="21"/>
                <w:szCs w:val="21"/>
                <w:highlight w:val="none"/>
                <w:lang w:val="en-US" w:eastAsia="zh-CN" w:bidi="ar-SA"/>
              </w:rPr>
              <w:t>每个料仓上方设置1个集气罩（共3个），上料废气经集气罩收集后引入布袋除尘器（TA001）处理后，由1根20m高排气筒（DA008）排放</w:t>
            </w:r>
          </w:p>
        </w:tc>
        <w:tc>
          <w:tcPr>
            <w:tcW w:w="1413" w:type="pct"/>
            <w:vAlign w:val="center"/>
          </w:tcPr>
          <w:p w14:paraId="39DF34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both"/>
              <w:textAlignment w:val="auto"/>
              <w:rPr>
                <w:rFonts w:hint="default" w:ascii="Times New Roman" w:hAnsi="Times New Roman" w:eastAsia="宋体" w:cs="Times New Roman"/>
                <w:b w:val="0"/>
                <w:bCs/>
                <w:color w:val="auto"/>
                <w:kern w:val="28"/>
                <w:sz w:val="21"/>
                <w:szCs w:val="21"/>
                <w:highlight w:val="none"/>
                <w:lang w:val="en-US" w:eastAsia="zh-CN" w:bidi="ar-SA"/>
              </w:rPr>
            </w:pPr>
            <w:r>
              <w:rPr>
                <w:rFonts w:hint="default" w:ascii="Times New Roman" w:hAnsi="Times New Roman" w:eastAsia="宋体" w:cs="Times New Roman"/>
                <w:b w:val="0"/>
                <w:bCs/>
                <w:color w:val="auto"/>
                <w:kern w:val="28"/>
                <w:sz w:val="21"/>
                <w:szCs w:val="21"/>
                <w:highlight w:val="none"/>
                <w:lang w:val="en-US" w:eastAsia="zh-CN" w:bidi="ar-SA"/>
              </w:rPr>
              <w:t>《钢铁工业大气污染物排放标准》（DB14/2249-2020）</w:t>
            </w:r>
          </w:p>
        </w:tc>
      </w:tr>
      <w:tr w14:paraId="39DAA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continue"/>
            <w:vAlign w:val="center"/>
          </w:tcPr>
          <w:p w14:paraId="3E20FF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p>
        </w:tc>
        <w:tc>
          <w:tcPr>
            <w:tcW w:w="685" w:type="pct"/>
            <w:vAlign w:val="center"/>
          </w:tcPr>
          <w:p w14:paraId="23A4807E">
            <w:pPr>
              <w:keepNext w:val="0"/>
              <w:keepLines w:val="0"/>
              <w:suppressLineNumbers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回转窑</w:t>
            </w:r>
          </w:p>
        </w:tc>
        <w:tc>
          <w:tcPr>
            <w:tcW w:w="557" w:type="pct"/>
            <w:vAlign w:val="center"/>
          </w:tcPr>
          <w:p w14:paraId="7F821DC7">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leftChars="0" w:right="0" w:right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颗粒物、SO</w:t>
            </w:r>
            <w:r>
              <w:rPr>
                <w:rFonts w:hint="eastAsia"/>
                <w:color w:val="auto"/>
                <w:sz w:val="21"/>
                <w:szCs w:val="21"/>
                <w:highlight w:val="none"/>
                <w:vertAlign w:val="subscript"/>
                <w:lang w:val="en-US" w:eastAsia="zh-CN"/>
              </w:rPr>
              <w:t>2</w:t>
            </w:r>
            <w:r>
              <w:rPr>
                <w:rFonts w:hint="eastAsia"/>
                <w:color w:val="auto"/>
                <w:sz w:val="21"/>
                <w:szCs w:val="21"/>
                <w:highlight w:val="none"/>
                <w:lang w:val="en-US" w:eastAsia="zh-CN"/>
              </w:rPr>
              <w:t>、NOx</w:t>
            </w:r>
          </w:p>
        </w:tc>
        <w:tc>
          <w:tcPr>
            <w:tcW w:w="1815" w:type="pct"/>
            <w:shd w:val="clear" w:color="auto" w:fill="auto"/>
            <w:vAlign w:val="center"/>
          </w:tcPr>
          <w:p w14:paraId="41688B6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leftChars="0" w:right="0" w:rightChars="0"/>
              <w:jc w:val="both"/>
              <w:textAlignment w:val="auto"/>
              <w:rPr>
                <w:rFonts w:hint="default"/>
                <w:bCs/>
                <w:color w:val="auto"/>
                <w:szCs w:val="21"/>
                <w:highlight w:val="none"/>
              </w:rPr>
            </w:pPr>
            <w:r>
              <w:rPr>
                <w:rFonts w:hint="eastAsia" w:cs="Times New Roman"/>
                <w:b w:val="0"/>
                <w:bCs/>
                <w:color w:val="auto"/>
                <w:sz w:val="21"/>
                <w:szCs w:val="21"/>
                <w:highlight w:val="none"/>
                <w:lang w:val="en-US" w:eastAsia="zh-CN"/>
              </w:rPr>
              <w:t>回转窑</w:t>
            </w:r>
            <w:r>
              <w:rPr>
                <w:rFonts w:hint="eastAsia" w:ascii="Times New Roman" w:hAnsi="Times New Roman" w:eastAsia="宋体" w:cs="Times New Roman"/>
                <w:b w:val="0"/>
                <w:bCs/>
                <w:color w:val="auto"/>
                <w:sz w:val="21"/>
                <w:szCs w:val="21"/>
                <w:highlight w:val="none"/>
                <w:lang w:val="en-US" w:eastAsia="zh-CN"/>
              </w:rPr>
              <w:t>设置低氮燃烧器，</w:t>
            </w:r>
            <w:r>
              <w:rPr>
                <w:rFonts w:hint="eastAsia" w:cs="Times New Roman"/>
                <w:b w:val="0"/>
                <w:bCs/>
                <w:color w:val="auto"/>
                <w:sz w:val="21"/>
                <w:szCs w:val="21"/>
                <w:highlight w:val="none"/>
                <w:lang w:val="en-US" w:eastAsia="zh-CN"/>
              </w:rPr>
              <w:t>加热产生的</w:t>
            </w:r>
            <w:r>
              <w:rPr>
                <w:rFonts w:hint="eastAsia" w:ascii="Times New Roman" w:hAnsi="Times New Roman" w:eastAsia="宋体" w:cs="Times New Roman"/>
                <w:b w:val="0"/>
                <w:bCs/>
                <w:color w:val="auto"/>
                <w:sz w:val="21"/>
                <w:szCs w:val="21"/>
                <w:highlight w:val="none"/>
                <w:lang w:val="en-US" w:eastAsia="zh-CN"/>
              </w:rPr>
              <w:t>烟气采用1台</w:t>
            </w:r>
            <w:r>
              <w:rPr>
                <w:rFonts w:hint="eastAsia" w:cs="Times New Roman"/>
                <w:b w:val="0"/>
                <w:bCs/>
                <w:color w:val="auto"/>
                <w:sz w:val="21"/>
                <w:szCs w:val="21"/>
                <w:highlight w:val="none"/>
                <w:lang w:val="en-US" w:eastAsia="zh-CN"/>
              </w:rPr>
              <w:t>旋风除尘器+1台脉冲式</w:t>
            </w:r>
            <w:r>
              <w:rPr>
                <w:rFonts w:hint="eastAsia" w:ascii="Times New Roman" w:hAnsi="Times New Roman" w:eastAsia="宋体" w:cs="Times New Roman"/>
                <w:b w:val="0"/>
                <w:bCs/>
                <w:color w:val="auto"/>
                <w:sz w:val="21"/>
                <w:szCs w:val="21"/>
                <w:highlight w:val="none"/>
                <w:lang w:val="en-US" w:eastAsia="zh-CN"/>
              </w:rPr>
              <w:t>布袋除尘器</w:t>
            </w:r>
            <w:r>
              <w:rPr>
                <w:rFonts w:hint="eastAsia" w:cs="Times New Roman"/>
                <w:b w:val="0"/>
                <w:bCs/>
                <w:color w:val="auto"/>
                <w:sz w:val="21"/>
                <w:szCs w:val="21"/>
                <w:highlight w:val="none"/>
                <w:lang w:val="en-US" w:eastAsia="zh-CN"/>
              </w:rPr>
              <w:t>（TA002）</w:t>
            </w:r>
            <w:r>
              <w:rPr>
                <w:rFonts w:hint="eastAsia" w:ascii="Times New Roman" w:hAnsi="Times New Roman" w:eastAsia="宋体" w:cs="Times New Roman"/>
                <w:b w:val="0"/>
                <w:bCs/>
                <w:color w:val="auto"/>
                <w:sz w:val="21"/>
                <w:szCs w:val="21"/>
                <w:highlight w:val="none"/>
                <w:lang w:val="en-US" w:eastAsia="zh-CN"/>
              </w:rPr>
              <w:t>处理后经20m高排气筒（DA00</w:t>
            </w:r>
            <w:r>
              <w:rPr>
                <w:rFonts w:hint="eastAsia" w:cs="Times New Roman"/>
                <w:b w:val="0"/>
                <w:bCs/>
                <w:color w:val="auto"/>
                <w:sz w:val="21"/>
                <w:szCs w:val="21"/>
                <w:highlight w:val="none"/>
                <w:lang w:val="en-US" w:eastAsia="zh-CN"/>
              </w:rPr>
              <w:t>9</w:t>
            </w:r>
            <w:r>
              <w:rPr>
                <w:rFonts w:hint="eastAsia" w:ascii="Times New Roman" w:hAnsi="Times New Roman" w:eastAsia="宋体" w:cs="Times New Roman"/>
                <w:b w:val="0"/>
                <w:bCs/>
                <w:color w:val="auto"/>
                <w:sz w:val="21"/>
                <w:szCs w:val="21"/>
                <w:highlight w:val="none"/>
                <w:lang w:val="en-US" w:eastAsia="zh-CN"/>
              </w:rPr>
              <w:t>）排放</w:t>
            </w:r>
          </w:p>
        </w:tc>
        <w:tc>
          <w:tcPr>
            <w:tcW w:w="1413" w:type="pct"/>
            <w:vAlign w:val="center"/>
          </w:tcPr>
          <w:p w14:paraId="7951E3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both"/>
              <w:textAlignment w:val="auto"/>
              <w:rPr>
                <w:rFonts w:hint="default" w:ascii="Times New Roman" w:hAnsi="Times New Roman" w:eastAsia="宋体" w:cs="Times New Roman"/>
                <w:b w:val="0"/>
                <w:bCs/>
                <w:color w:val="auto"/>
                <w:kern w:val="28"/>
                <w:sz w:val="21"/>
                <w:szCs w:val="21"/>
                <w:highlight w:val="none"/>
                <w:lang w:val="en-US" w:eastAsia="zh-CN" w:bidi="ar-SA"/>
              </w:rPr>
            </w:pPr>
            <w:r>
              <w:rPr>
                <w:rFonts w:hint="default" w:ascii="Times New Roman" w:hAnsi="Times New Roman" w:eastAsia="宋体" w:cs="Times New Roman"/>
                <w:b w:val="0"/>
                <w:bCs/>
                <w:color w:val="auto"/>
                <w:kern w:val="28"/>
                <w:sz w:val="21"/>
                <w:szCs w:val="21"/>
                <w:highlight w:val="none"/>
                <w:lang w:val="en-US" w:eastAsia="zh-CN" w:bidi="ar-SA"/>
              </w:rPr>
              <w:t>《长治市人民政府办公室关于印发长治市大气和水污染物排放管控要求的通知》（长政办规〔2023〕1号）</w:t>
            </w:r>
          </w:p>
        </w:tc>
      </w:tr>
      <w:tr w14:paraId="02675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continue"/>
            <w:vAlign w:val="center"/>
          </w:tcPr>
          <w:p w14:paraId="1E7ABE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p>
        </w:tc>
        <w:tc>
          <w:tcPr>
            <w:tcW w:w="685" w:type="pct"/>
            <w:vAlign w:val="center"/>
          </w:tcPr>
          <w:p w14:paraId="5595B2AF">
            <w:pPr>
              <w:keepNext w:val="0"/>
              <w:keepLines w:val="0"/>
              <w:suppressLineNumbers w:val="0"/>
              <w:spacing w:before="0" w:beforeAutospacing="0" w:after="0" w:afterAutospacing="0"/>
              <w:ind w:left="0" w:leftChars="0" w:right="0" w:rightChars="0"/>
              <w:jc w:val="center"/>
              <w:rPr>
                <w:rFonts w:hint="eastAsia" w:cs="Times New Roman"/>
                <w:color w:val="auto"/>
                <w:kern w:val="2"/>
                <w:sz w:val="21"/>
                <w:szCs w:val="21"/>
                <w:highlight w:val="none"/>
                <w:lang w:val="en-US" w:eastAsia="zh-CN" w:bidi="ar-SA"/>
              </w:rPr>
            </w:pPr>
            <w:r>
              <w:rPr>
                <w:rFonts w:hint="eastAsia"/>
                <w:bCs/>
                <w:color w:val="auto"/>
                <w:sz w:val="21"/>
                <w:szCs w:val="21"/>
                <w:highlight w:val="none"/>
                <w:lang w:val="en-US" w:eastAsia="zh-CN"/>
              </w:rPr>
              <w:t>热压成型</w:t>
            </w:r>
          </w:p>
        </w:tc>
        <w:tc>
          <w:tcPr>
            <w:tcW w:w="557" w:type="pct"/>
            <w:vAlign w:val="center"/>
          </w:tcPr>
          <w:p w14:paraId="52F384AD">
            <w:pPr>
              <w:keepNext w:val="0"/>
              <w:keepLines w:val="0"/>
              <w:pageBreakBefore w:val="0"/>
              <w:widowControl w:val="0"/>
              <w:suppressLineNumbers w:val="0"/>
              <w:kinsoku/>
              <w:wordWrap/>
              <w:overflowPunct/>
              <w:topLinePunct w:val="0"/>
              <w:autoSpaceDE/>
              <w:autoSpaceDN/>
              <w:bidi w:val="0"/>
              <w:spacing w:before="0" w:beforeAutospacing="0" w:after="0" w:afterAutospacing="0" w:line="280" w:lineRule="exact"/>
              <w:ind w:left="0" w:leftChars="0" w:right="0" w:right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颗粒物</w:t>
            </w:r>
          </w:p>
        </w:tc>
        <w:tc>
          <w:tcPr>
            <w:tcW w:w="1815" w:type="pct"/>
            <w:shd w:val="clear" w:color="auto" w:fill="auto"/>
            <w:vAlign w:val="center"/>
          </w:tcPr>
          <w:p w14:paraId="6DAC688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leftChars="0" w:right="0" w:rightChars="0"/>
              <w:jc w:val="both"/>
              <w:textAlignment w:val="auto"/>
              <w:rPr>
                <w:rFonts w:hint="default"/>
                <w:bCs/>
                <w:color w:val="auto"/>
                <w:szCs w:val="21"/>
                <w:highlight w:val="none"/>
              </w:rPr>
            </w:pPr>
            <w:r>
              <w:rPr>
                <w:rFonts w:hint="eastAsia" w:cs="Times New Roman"/>
                <w:b w:val="0"/>
                <w:bCs/>
                <w:color w:val="auto"/>
                <w:sz w:val="21"/>
                <w:szCs w:val="21"/>
                <w:highlight w:val="none"/>
                <w:lang w:val="en-US" w:eastAsia="zh-CN"/>
              </w:rPr>
              <w:t>每台热压成型机上方分别设置1个集气罩（共2个），对辊成型机上方设置集气管道，废气经收集引入布袋除尘器（TA003）处理后，由1根20m高排气筒（DA010）排放</w:t>
            </w:r>
          </w:p>
        </w:tc>
        <w:tc>
          <w:tcPr>
            <w:tcW w:w="1413" w:type="pct"/>
            <w:vAlign w:val="center"/>
          </w:tcPr>
          <w:p w14:paraId="37DDD7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both"/>
              <w:textAlignment w:val="auto"/>
              <w:rPr>
                <w:rFonts w:hint="default" w:ascii="Times New Roman" w:hAnsi="Times New Roman" w:eastAsia="宋体" w:cs="Times New Roman"/>
                <w:b w:val="0"/>
                <w:bCs/>
                <w:color w:val="auto"/>
                <w:kern w:val="28"/>
                <w:sz w:val="21"/>
                <w:szCs w:val="21"/>
                <w:highlight w:val="none"/>
                <w:lang w:val="en-US" w:eastAsia="zh-CN" w:bidi="ar-SA"/>
              </w:rPr>
            </w:pPr>
            <w:r>
              <w:rPr>
                <w:rFonts w:hint="default" w:ascii="Times New Roman" w:hAnsi="Times New Roman" w:eastAsia="宋体" w:cs="Times New Roman"/>
                <w:b w:val="0"/>
                <w:bCs/>
                <w:color w:val="auto"/>
                <w:kern w:val="28"/>
                <w:sz w:val="21"/>
                <w:szCs w:val="21"/>
                <w:highlight w:val="none"/>
                <w:lang w:val="en-US" w:eastAsia="zh-CN" w:bidi="ar-SA"/>
              </w:rPr>
              <w:t>《钢铁工业大气污染物排放标准》（DB14/2249-2020）</w:t>
            </w:r>
          </w:p>
        </w:tc>
      </w:tr>
      <w:tr w14:paraId="5862E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continue"/>
            <w:vAlign w:val="center"/>
          </w:tcPr>
          <w:p w14:paraId="004C26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p>
        </w:tc>
        <w:tc>
          <w:tcPr>
            <w:tcW w:w="685" w:type="pct"/>
            <w:vAlign w:val="center"/>
          </w:tcPr>
          <w:p w14:paraId="09FC1B0B">
            <w:pPr>
              <w:keepNext w:val="0"/>
              <w:keepLines w:val="0"/>
              <w:suppressLineNumbers w:val="0"/>
              <w:spacing w:before="0" w:beforeAutospacing="0" w:after="0" w:afterAutospacing="0"/>
              <w:ind w:left="0" w:leftChars="0" w:right="0" w:rightChars="0"/>
              <w:jc w:val="center"/>
              <w:rPr>
                <w:rFonts w:hint="eastAsia" w:cs="Times New Roman"/>
                <w:color w:val="auto"/>
                <w:spacing w:val="0"/>
                <w:kern w:val="2"/>
                <w:sz w:val="21"/>
                <w:szCs w:val="21"/>
                <w:highlight w:val="none"/>
                <w:vertAlign w:val="baseline"/>
                <w:lang w:val="en-US" w:eastAsia="zh-CN" w:bidi="ar-SA"/>
              </w:rPr>
            </w:pPr>
            <w:r>
              <w:rPr>
                <w:rFonts w:hint="eastAsia"/>
                <w:bCs/>
                <w:color w:val="auto"/>
                <w:sz w:val="21"/>
                <w:szCs w:val="21"/>
                <w:lang w:val="en-US" w:eastAsia="zh-CN"/>
              </w:rPr>
              <w:t>出料</w:t>
            </w:r>
          </w:p>
        </w:tc>
        <w:tc>
          <w:tcPr>
            <w:tcW w:w="557" w:type="pct"/>
            <w:vAlign w:val="center"/>
          </w:tcPr>
          <w:p w14:paraId="282356D9">
            <w:pPr>
              <w:keepNext w:val="0"/>
              <w:keepLines w:val="0"/>
              <w:suppressLineNumbers w:val="0"/>
              <w:spacing w:before="0" w:beforeAutospacing="0" w:after="0" w:afterAutospacing="0"/>
              <w:ind w:left="0" w:leftChars="0" w:right="0" w:rightChars="0"/>
              <w:jc w:val="center"/>
              <w:rPr>
                <w:rFonts w:hint="default" w:cs="Times New Roman"/>
                <w:color w:val="auto"/>
                <w:spacing w:val="0"/>
                <w:kern w:val="2"/>
                <w:sz w:val="21"/>
                <w:szCs w:val="21"/>
                <w:highlight w:val="none"/>
                <w:vertAlign w:val="baseline"/>
                <w:lang w:val="en-US" w:eastAsia="zh-CN" w:bidi="ar-SA"/>
              </w:rPr>
            </w:pPr>
            <w:r>
              <w:rPr>
                <w:rFonts w:hint="eastAsia"/>
                <w:color w:val="auto"/>
                <w:sz w:val="21"/>
                <w:szCs w:val="21"/>
                <w:highlight w:val="none"/>
                <w:lang w:val="en-US" w:eastAsia="zh-CN"/>
              </w:rPr>
              <w:t>颗粒物</w:t>
            </w:r>
          </w:p>
        </w:tc>
        <w:tc>
          <w:tcPr>
            <w:tcW w:w="1815" w:type="pct"/>
            <w:shd w:val="clear" w:color="auto" w:fill="auto"/>
            <w:vAlign w:val="center"/>
          </w:tcPr>
          <w:p w14:paraId="171A991F">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exact"/>
              <w:ind w:left="0" w:leftChars="0" w:right="0" w:rightChars="0"/>
              <w:jc w:val="both"/>
              <w:textAlignment w:val="auto"/>
              <w:rPr>
                <w:rFonts w:hint="default"/>
                <w:color w:val="auto"/>
                <w:szCs w:val="21"/>
                <w:highlight w:val="none"/>
              </w:rPr>
            </w:pPr>
            <w:r>
              <w:rPr>
                <w:rFonts w:hint="eastAsia" w:cs="Times New Roman"/>
                <w:b w:val="0"/>
                <w:bCs/>
                <w:color w:val="auto"/>
                <w:sz w:val="21"/>
                <w:szCs w:val="21"/>
                <w:highlight w:val="none"/>
                <w:lang w:val="en-US" w:eastAsia="zh-CN"/>
              </w:rPr>
              <w:t>成品出料池上方各设置1个集气罩（共2个），废气经收集后引入1台布袋除尘器（TA004）处理后，由1根20m高排气筒（DA011）排放</w:t>
            </w:r>
          </w:p>
        </w:tc>
        <w:tc>
          <w:tcPr>
            <w:tcW w:w="1413" w:type="pct"/>
            <w:vAlign w:val="center"/>
          </w:tcPr>
          <w:p w14:paraId="5A7AE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jc w:val="both"/>
              <w:textAlignment w:val="auto"/>
              <w:rPr>
                <w:rFonts w:hint="default" w:ascii="Times New Roman" w:hAnsi="Times New Roman" w:eastAsia="宋体" w:cs="Times New Roman"/>
                <w:b w:val="0"/>
                <w:bCs/>
                <w:color w:val="auto"/>
                <w:kern w:val="28"/>
                <w:sz w:val="21"/>
                <w:szCs w:val="21"/>
                <w:highlight w:val="none"/>
                <w:lang w:val="en-US" w:eastAsia="zh-CN" w:bidi="ar-SA"/>
              </w:rPr>
            </w:pPr>
            <w:r>
              <w:rPr>
                <w:rFonts w:hint="default" w:ascii="Times New Roman" w:hAnsi="Times New Roman" w:eastAsia="宋体" w:cs="Times New Roman"/>
                <w:b w:val="0"/>
                <w:bCs/>
                <w:color w:val="auto"/>
                <w:kern w:val="28"/>
                <w:sz w:val="21"/>
                <w:szCs w:val="21"/>
                <w:highlight w:val="none"/>
                <w:lang w:val="en-US" w:eastAsia="zh-CN" w:bidi="ar-SA"/>
              </w:rPr>
              <w:t>《钢铁工业大气污染物排放标准》（DB14/2249-2020）</w:t>
            </w:r>
          </w:p>
        </w:tc>
      </w:tr>
      <w:tr w14:paraId="1D8D54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restart"/>
            <w:vAlign w:val="center"/>
          </w:tcPr>
          <w:p w14:paraId="387B4A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地表水</w:t>
            </w:r>
          </w:p>
          <w:p w14:paraId="069109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w:t>
            </w:r>
          </w:p>
        </w:tc>
        <w:tc>
          <w:tcPr>
            <w:tcW w:w="685" w:type="pct"/>
            <w:vAlign w:val="center"/>
          </w:tcPr>
          <w:p w14:paraId="6BD677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生活污水</w:t>
            </w:r>
          </w:p>
        </w:tc>
        <w:tc>
          <w:tcPr>
            <w:tcW w:w="557" w:type="pct"/>
            <w:vAlign w:val="center"/>
          </w:tcPr>
          <w:p w14:paraId="3CC3F1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hAnsi="宋体"/>
                <w:color w:val="auto"/>
                <w:szCs w:val="21"/>
              </w:rPr>
              <w:t>COD、BOD</w:t>
            </w:r>
            <w:r>
              <w:rPr>
                <w:rFonts w:hint="default" w:hAnsi="宋体"/>
                <w:color w:val="auto"/>
                <w:szCs w:val="21"/>
                <w:vertAlign w:val="subscript"/>
              </w:rPr>
              <w:t>5</w:t>
            </w:r>
            <w:r>
              <w:rPr>
                <w:rFonts w:hint="eastAsia" w:hAnsi="宋体"/>
                <w:color w:val="auto"/>
                <w:szCs w:val="21"/>
                <w:lang w:val="en-US" w:eastAsia="zh-CN"/>
              </w:rPr>
              <w:t>等</w:t>
            </w:r>
          </w:p>
        </w:tc>
        <w:tc>
          <w:tcPr>
            <w:tcW w:w="1815" w:type="pct"/>
            <w:vAlign w:val="center"/>
          </w:tcPr>
          <w:p w14:paraId="6BF85317">
            <w:pPr>
              <w:pStyle w:val="7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both"/>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生活污水</w:t>
            </w:r>
            <w:r>
              <w:rPr>
                <w:rFonts w:hint="default" w:ascii="Times New Roman" w:hAnsi="Times New Roman" w:eastAsia="宋体" w:cs="Times New Roman"/>
                <w:color w:val="auto"/>
                <w:spacing w:val="0"/>
                <w:kern w:val="2"/>
                <w:sz w:val="21"/>
                <w:szCs w:val="21"/>
                <w:highlight w:val="none"/>
                <w:lang w:val="en-US" w:eastAsia="zh-CN" w:bidi="ar-SA"/>
              </w:rPr>
              <w:t>经园区污水管网排入屯留</w:t>
            </w:r>
            <w:r>
              <w:rPr>
                <w:rFonts w:hint="eastAsia" w:cs="Times New Roman"/>
                <w:color w:val="auto"/>
                <w:spacing w:val="0"/>
                <w:kern w:val="2"/>
                <w:sz w:val="21"/>
                <w:szCs w:val="21"/>
                <w:highlight w:val="none"/>
                <w:lang w:val="en-US" w:eastAsia="zh-CN" w:bidi="ar-SA"/>
              </w:rPr>
              <w:t>区</w:t>
            </w:r>
            <w:r>
              <w:rPr>
                <w:rFonts w:hint="default" w:ascii="Times New Roman" w:hAnsi="Times New Roman" w:eastAsia="宋体" w:cs="Times New Roman"/>
                <w:color w:val="auto"/>
                <w:spacing w:val="0"/>
                <w:kern w:val="2"/>
                <w:sz w:val="21"/>
                <w:szCs w:val="21"/>
                <w:highlight w:val="none"/>
                <w:lang w:val="en-US" w:eastAsia="zh-CN" w:bidi="ar-SA"/>
              </w:rPr>
              <w:t>污水处理厂</w:t>
            </w:r>
          </w:p>
        </w:tc>
        <w:tc>
          <w:tcPr>
            <w:tcW w:w="1413" w:type="pct"/>
            <w:vAlign w:val="center"/>
          </w:tcPr>
          <w:p w14:paraId="0AEB80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5B3F32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continue"/>
            <w:vAlign w:val="center"/>
          </w:tcPr>
          <w:p w14:paraId="52C2EE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p>
        </w:tc>
        <w:tc>
          <w:tcPr>
            <w:tcW w:w="685" w:type="pct"/>
            <w:vAlign w:val="center"/>
          </w:tcPr>
          <w:p w14:paraId="3D401A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生产废水</w:t>
            </w:r>
          </w:p>
        </w:tc>
        <w:tc>
          <w:tcPr>
            <w:tcW w:w="557" w:type="pct"/>
            <w:vAlign w:val="center"/>
          </w:tcPr>
          <w:p w14:paraId="4EDFAA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SS</w:t>
            </w:r>
          </w:p>
        </w:tc>
        <w:tc>
          <w:tcPr>
            <w:tcW w:w="1815" w:type="pct"/>
            <w:vAlign w:val="center"/>
          </w:tcPr>
          <w:p w14:paraId="564F6679">
            <w:pPr>
              <w:pStyle w:val="7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rightChars="0" w:firstLine="0" w:firstLineChars="0"/>
              <w:jc w:val="both"/>
              <w:textAlignment w:val="auto"/>
              <w:rPr>
                <w:rFonts w:hint="default" w:ascii="Times New Roman" w:hAnsi="Times New Roman" w:cs="Times New Roman"/>
                <w:color w:val="auto"/>
                <w:spacing w:val="0"/>
                <w:sz w:val="21"/>
                <w:szCs w:val="21"/>
                <w:highlight w:val="none"/>
              </w:rPr>
            </w:pPr>
            <w:r>
              <w:rPr>
                <w:rFonts w:hint="default" w:ascii="Times New Roman" w:hAnsi="Times New Roman" w:eastAsia="宋体" w:cs="Times New Roman"/>
                <w:color w:val="auto"/>
                <w:spacing w:val="0"/>
                <w:kern w:val="2"/>
                <w:sz w:val="21"/>
                <w:szCs w:val="21"/>
                <w:highlight w:val="none"/>
                <w:lang w:val="en-US" w:eastAsia="zh-CN" w:bidi="ar-SA"/>
              </w:rPr>
              <w:t>循环系统排污水经园区污水管网排入屯留</w:t>
            </w:r>
            <w:r>
              <w:rPr>
                <w:rFonts w:hint="eastAsia" w:cs="Times New Roman"/>
                <w:color w:val="auto"/>
                <w:spacing w:val="0"/>
                <w:kern w:val="2"/>
                <w:sz w:val="21"/>
                <w:szCs w:val="21"/>
                <w:highlight w:val="none"/>
                <w:lang w:val="en-US" w:eastAsia="zh-CN" w:bidi="ar-SA"/>
              </w:rPr>
              <w:t>区</w:t>
            </w:r>
            <w:r>
              <w:rPr>
                <w:rFonts w:hint="default" w:ascii="Times New Roman" w:hAnsi="Times New Roman" w:eastAsia="宋体" w:cs="Times New Roman"/>
                <w:color w:val="auto"/>
                <w:spacing w:val="0"/>
                <w:kern w:val="2"/>
                <w:sz w:val="21"/>
                <w:szCs w:val="21"/>
                <w:highlight w:val="none"/>
                <w:lang w:val="en-US" w:eastAsia="zh-CN" w:bidi="ar-SA"/>
              </w:rPr>
              <w:t>污水处理厂</w:t>
            </w:r>
          </w:p>
        </w:tc>
        <w:tc>
          <w:tcPr>
            <w:tcW w:w="1413" w:type="pct"/>
            <w:vAlign w:val="center"/>
          </w:tcPr>
          <w:p w14:paraId="6A5AE7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w:t>
            </w:r>
          </w:p>
        </w:tc>
      </w:tr>
      <w:tr w14:paraId="7694E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Merge w:val="continue"/>
            <w:vAlign w:val="center"/>
          </w:tcPr>
          <w:p w14:paraId="3798D2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p>
        </w:tc>
        <w:tc>
          <w:tcPr>
            <w:tcW w:w="685" w:type="pct"/>
            <w:vAlign w:val="center"/>
          </w:tcPr>
          <w:p w14:paraId="51C975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eastAsia" w:cs="Times New Roman"/>
                <w:color w:val="auto"/>
                <w:szCs w:val="21"/>
                <w:highlight w:val="none"/>
                <w:lang w:val="en-US" w:eastAsia="zh-CN"/>
              </w:rPr>
              <w:t>初期雨水</w:t>
            </w:r>
          </w:p>
        </w:tc>
        <w:tc>
          <w:tcPr>
            <w:tcW w:w="557" w:type="pct"/>
            <w:vAlign w:val="center"/>
          </w:tcPr>
          <w:p w14:paraId="57EF25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SS</w:t>
            </w:r>
          </w:p>
        </w:tc>
        <w:tc>
          <w:tcPr>
            <w:tcW w:w="1815" w:type="pct"/>
            <w:vAlign w:val="center"/>
          </w:tcPr>
          <w:p w14:paraId="54CFE6E1">
            <w:pPr>
              <w:pStyle w:val="7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firstLineChars="0"/>
              <w:jc w:val="both"/>
              <w:textAlignment w:val="auto"/>
              <w:rPr>
                <w:rFonts w:hint="default" w:ascii="Times New Roman" w:hAnsi="Times New Roman"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sz w:val="21"/>
                <w:szCs w:val="21"/>
                <w:highlight w:val="none"/>
              </w:rPr>
              <w:t>现有厂区东南角设置1座初期雨水收集池，容积为300m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，用于收集厂区前15min的初期雨水，后期雨水排入园区雨水管网</w:t>
            </w:r>
          </w:p>
        </w:tc>
        <w:tc>
          <w:tcPr>
            <w:tcW w:w="1413" w:type="pct"/>
            <w:vAlign w:val="center"/>
          </w:tcPr>
          <w:p w14:paraId="79D5D7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03AD7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Align w:val="center"/>
          </w:tcPr>
          <w:p w14:paraId="27DA9B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声环境</w:t>
            </w:r>
          </w:p>
        </w:tc>
        <w:tc>
          <w:tcPr>
            <w:tcW w:w="685" w:type="pct"/>
            <w:vAlign w:val="center"/>
          </w:tcPr>
          <w:p w14:paraId="3914D4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生产设备</w:t>
            </w:r>
          </w:p>
        </w:tc>
        <w:tc>
          <w:tcPr>
            <w:tcW w:w="557" w:type="pct"/>
            <w:vAlign w:val="center"/>
          </w:tcPr>
          <w:p w14:paraId="566E54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噪声</w:t>
            </w:r>
          </w:p>
        </w:tc>
        <w:tc>
          <w:tcPr>
            <w:tcW w:w="1815" w:type="pct"/>
            <w:vAlign w:val="center"/>
          </w:tcPr>
          <w:p w14:paraId="7AB7AA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both"/>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选用低噪声设备，高噪音设备做基础减振、柔性连接，厂房隔声等，保持设备运行良好；车辆限速行驶，减少鸣笛</w:t>
            </w:r>
          </w:p>
        </w:tc>
        <w:tc>
          <w:tcPr>
            <w:tcW w:w="1413" w:type="pct"/>
            <w:vAlign w:val="center"/>
          </w:tcPr>
          <w:p w14:paraId="252D43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r>
              <w:rPr>
                <w:rFonts w:hint="default" w:ascii="Times New Roman" w:hAnsi="Times New Roman" w:cs="Times New Roman"/>
                <w:color w:val="auto"/>
                <w:kern w:val="2"/>
                <w:sz w:val="21"/>
                <w:szCs w:val="21"/>
                <w:highlight w:val="none"/>
                <w:lang w:val="en-US" w:eastAsia="zh-CN" w:bidi="ar-SA"/>
              </w:rPr>
              <w:fldChar w:fldCharType="begin"/>
            </w:r>
            <w:r>
              <w:rPr>
                <w:rFonts w:hint="default" w:ascii="Times New Roman" w:hAnsi="Times New Roman" w:cs="Times New Roman"/>
                <w:color w:val="auto"/>
                <w:kern w:val="2"/>
                <w:sz w:val="21"/>
                <w:szCs w:val="21"/>
                <w:highlight w:val="none"/>
                <w:lang w:val="en-US" w:eastAsia="zh-CN" w:bidi="ar-SA"/>
              </w:rPr>
              <w:instrText xml:space="preserve"> HYPERLINK "http://www.mep.gov.cn/info/bgw/bgg/200809/W020081017399508921576.pdf" \t "_self" </w:instrText>
            </w:r>
            <w:r>
              <w:rPr>
                <w:rFonts w:hint="default" w:ascii="Times New Roman" w:hAnsi="Times New Roman" w:cs="Times New Roman"/>
                <w:color w:val="auto"/>
                <w:kern w:val="2"/>
                <w:sz w:val="21"/>
                <w:szCs w:val="21"/>
                <w:highlight w:val="none"/>
                <w:lang w:val="en-US" w:eastAsia="zh-CN" w:bidi="ar-SA"/>
              </w:rPr>
              <w:fldChar w:fldCharType="separate"/>
            </w:r>
            <w:r>
              <w:rPr>
                <w:rFonts w:hint="default" w:ascii="Times New Roman" w:hAnsi="Times New Roman" w:cs="Times New Roman"/>
                <w:color w:val="auto"/>
                <w:kern w:val="2"/>
                <w:sz w:val="21"/>
                <w:szCs w:val="21"/>
                <w:highlight w:val="none"/>
                <w:lang w:val="en-US" w:eastAsia="zh-CN" w:bidi="ar-SA"/>
              </w:rPr>
              <w:t>工业企业厂界环境噪声</w:t>
            </w:r>
            <w:r>
              <w:rPr>
                <w:rFonts w:hint="default" w:ascii="Times New Roman" w:hAnsi="Times New Roman" w:cs="Times New Roman"/>
                <w:color w:val="auto"/>
                <w:kern w:val="2"/>
                <w:sz w:val="21"/>
                <w:szCs w:val="21"/>
                <w:highlight w:val="none"/>
                <w:lang w:val="en-US" w:eastAsia="zh-CN" w:bidi="ar-SA"/>
              </w:rPr>
              <w:fldChar w:fldCharType="end"/>
            </w:r>
            <w:r>
              <w:rPr>
                <w:rFonts w:hint="default" w:ascii="Times New Roman" w:hAnsi="Times New Roman" w:cs="Times New Roman"/>
                <w:color w:val="auto"/>
                <w:kern w:val="2"/>
                <w:sz w:val="21"/>
                <w:szCs w:val="21"/>
                <w:highlight w:val="none"/>
                <w:lang w:val="en-US" w:eastAsia="zh-CN" w:bidi="ar-SA"/>
              </w:rPr>
              <w:t>排放标准》（GB12348-2008）</w:t>
            </w:r>
            <w:r>
              <w:rPr>
                <w:rFonts w:hint="eastAsia" w:cs="Times New Roman"/>
                <w:color w:val="auto"/>
                <w:kern w:val="2"/>
                <w:sz w:val="21"/>
                <w:szCs w:val="21"/>
                <w:highlight w:val="none"/>
                <w:lang w:val="en-US" w:eastAsia="zh-CN" w:bidi="ar-SA"/>
              </w:rPr>
              <w:t>中2类标准</w:t>
            </w:r>
          </w:p>
        </w:tc>
      </w:tr>
      <w:tr w14:paraId="32FEF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Align w:val="center"/>
          </w:tcPr>
          <w:p w14:paraId="1DCD54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固体</w:t>
            </w:r>
          </w:p>
          <w:p w14:paraId="4D4BE3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废物</w:t>
            </w:r>
          </w:p>
        </w:tc>
        <w:tc>
          <w:tcPr>
            <w:tcW w:w="4472" w:type="pct"/>
            <w:gridSpan w:val="4"/>
            <w:vAlign w:val="center"/>
          </w:tcPr>
          <w:p w14:paraId="35B80D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20" w:firstLineChars="200"/>
              <w:jc w:val="both"/>
              <w:textAlignment w:val="auto"/>
              <w:rPr>
                <w:rFonts w:hint="eastAsia" w:cs="Times New Roman"/>
                <w:color w:val="auto"/>
                <w:spacing w:val="0"/>
                <w:kern w:val="2"/>
                <w:sz w:val="21"/>
                <w:szCs w:val="21"/>
                <w:highlight w:val="none"/>
                <w:lang w:val="en-US" w:eastAsia="zh-CN" w:bidi="ar-SA"/>
              </w:rPr>
            </w:pPr>
            <w:r>
              <w:rPr>
                <w:rFonts w:hint="eastAsia" w:cs="Times New Roman"/>
                <w:color w:val="auto"/>
                <w:kern w:val="2"/>
                <w:sz w:val="21"/>
                <w:szCs w:val="21"/>
                <w:highlight w:val="none"/>
                <w:lang w:val="en-US" w:eastAsia="zh-CN" w:bidi="ar-SA"/>
              </w:rPr>
              <w:t>生活垃圾：</w:t>
            </w:r>
            <w:r>
              <w:rPr>
                <w:rFonts w:hint="eastAsia" w:cs="Times New Roman"/>
                <w:color w:val="auto"/>
                <w:spacing w:val="0"/>
                <w:kern w:val="2"/>
                <w:sz w:val="21"/>
                <w:szCs w:val="21"/>
                <w:highlight w:val="none"/>
                <w:lang w:val="en-US" w:eastAsia="zh-CN" w:bidi="ar-SA"/>
              </w:rPr>
              <w:t>厂内设置垃圾桶，定期送至当地环卫部门指定地点。</w:t>
            </w:r>
          </w:p>
          <w:p w14:paraId="086716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一般工业固体废物：除尘器收集的除尘灰</w:t>
            </w:r>
            <w:r>
              <w:rPr>
                <w:rFonts w:hint="eastAsia" w:cs="Times New Roman"/>
                <w:color w:val="auto"/>
                <w:kern w:val="2"/>
                <w:sz w:val="21"/>
                <w:szCs w:val="21"/>
                <w:highlight w:val="none"/>
                <w:lang w:val="en-US" w:eastAsia="zh-CN" w:bidi="ar-SA"/>
              </w:rPr>
              <w:t>外售废品收购站；废布袋每2年更换一次，由厂家回收处理；废边角料外售废品收购站</w:t>
            </w:r>
            <w:r>
              <w:rPr>
                <w:rFonts w:hint="eastAsia" w:ascii="Times New Roman" w:hAnsi="Times New Roman" w:eastAsia="宋体" w:cs="Times New Roman"/>
                <w:color w:val="auto"/>
                <w:kern w:val="2"/>
                <w:sz w:val="21"/>
                <w:szCs w:val="21"/>
                <w:highlight w:val="none"/>
                <w:lang w:val="en-US" w:eastAsia="zh-CN" w:bidi="ar-SA"/>
              </w:rPr>
              <w:t>。</w:t>
            </w:r>
          </w:p>
          <w:p w14:paraId="045D5A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危险废物：</w:t>
            </w:r>
            <w:r>
              <w:rPr>
                <w:rFonts w:hint="eastAsia" w:cs="Times New Roman"/>
                <w:color w:val="auto"/>
                <w:spacing w:val="0"/>
                <w:sz w:val="21"/>
                <w:szCs w:val="21"/>
                <w:highlight w:val="none"/>
                <w:lang w:val="en-US" w:eastAsia="zh-CN"/>
              </w:rPr>
              <w:t>依托厂区内现有</w:t>
            </w:r>
            <w:r>
              <w:rPr>
                <w:rFonts w:hint="eastAsia" w:cs="Times New Roman"/>
                <w:color w:val="auto"/>
                <w:spacing w:val="0"/>
                <w:sz w:val="21"/>
                <w:szCs w:val="21"/>
                <w:highlight w:val="none"/>
                <w:vertAlign w:val="baseline"/>
                <w:lang w:val="en-US" w:eastAsia="zh-CN"/>
              </w:rPr>
              <w:t>危废贮存库，废矿物油、废液压油、废润滑油、废油桶分区</w:t>
            </w:r>
            <w:r>
              <w:rPr>
                <w:rFonts w:hint="default" w:ascii="Times New Roman" w:hAnsi="Times New Roman" w:eastAsia="宋体" w:cs="Times New Roman"/>
                <w:color w:val="auto"/>
                <w:spacing w:val="0"/>
                <w:sz w:val="21"/>
                <w:szCs w:val="21"/>
                <w:highlight w:val="none"/>
                <w:lang w:val="en-US" w:eastAsia="zh-CN"/>
              </w:rPr>
              <w:t>暂存于</w:t>
            </w:r>
            <w:r>
              <w:rPr>
                <w:rFonts w:hint="eastAsia" w:cs="Times New Roman"/>
                <w:color w:val="auto"/>
                <w:spacing w:val="0"/>
                <w:sz w:val="21"/>
                <w:szCs w:val="21"/>
                <w:highlight w:val="none"/>
                <w:lang w:val="en-US" w:eastAsia="zh-CN"/>
              </w:rPr>
              <w:t>危废贮存库内</w:t>
            </w:r>
            <w:r>
              <w:rPr>
                <w:rFonts w:hint="default"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定期委托有资质单位处置</w:t>
            </w:r>
            <w:r>
              <w:rPr>
                <w:rFonts w:hint="eastAsia" w:ascii="Times New Roman" w:hAnsi="Times New Roman" w:eastAsia="宋体" w:cs="Times New Roman"/>
                <w:color w:val="auto"/>
                <w:kern w:val="2"/>
                <w:sz w:val="21"/>
                <w:szCs w:val="21"/>
                <w:highlight w:val="none"/>
                <w:lang w:val="en-US" w:eastAsia="zh-CN" w:bidi="ar-SA"/>
              </w:rPr>
              <w:t>。</w:t>
            </w:r>
          </w:p>
        </w:tc>
      </w:tr>
      <w:tr w14:paraId="1FDAA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Align w:val="center"/>
          </w:tcPr>
          <w:p w14:paraId="0010CE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土壤及地下水污染防治措施</w:t>
            </w:r>
          </w:p>
        </w:tc>
        <w:tc>
          <w:tcPr>
            <w:tcW w:w="4472" w:type="pct"/>
            <w:gridSpan w:val="4"/>
            <w:vAlign w:val="center"/>
          </w:tcPr>
          <w:p w14:paraId="26E953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20" w:firstLineChars="20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kern w:val="2"/>
                <w:sz w:val="21"/>
                <w:szCs w:val="21"/>
                <w:highlight w:val="none"/>
                <w:lang w:val="en-US" w:eastAsia="zh-CN" w:bidi="ar-SA"/>
              </w:rPr>
              <w:t>加强设备运行维护管理，减少跑冒滴漏事故</w:t>
            </w:r>
            <w:r>
              <w:rPr>
                <w:rFonts w:hint="eastAsia" w:cs="Times New Roman"/>
                <w:color w:val="auto"/>
                <w:kern w:val="2"/>
                <w:sz w:val="21"/>
                <w:szCs w:val="21"/>
                <w:highlight w:val="none"/>
                <w:lang w:val="en-US" w:eastAsia="zh-CN" w:bidi="ar-SA"/>
              </w:rPr>
              <w:t>发生</w:t>
            </w:r>
            <w:r>
              <w:rPr>
                <w:rFonts w:hint="eastAsia" w:ascii="Times New Roman" w:hAnsi="Times New Roman" w:eastAsia="宋体" w:cs="Times New Roman"/>
                <w:color w:val="auto"/>
                <w:kern w:val="2"/>
                <w:sz w:val="21"/>
                <w:szCs w:val="21"/>
                <w:highlight w:val="none"/>
                <w:lang w:val="en-US" w:eastAsia="zh-CN" w:bidi="ar-SA"/>
              </w:rPr>
              <w:t>；</w:t>
            </w:r>
          </w:p>
          <w:p w14:paraId="7CE647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20" w:firstLineChars="20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加强污染防治措施运行管理，保证污染物达标排放；</w:t>
            </w:r>
          </w:p>
          <w:p w14:paraId="30FE20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eastAsia" w:eastAsia="宋体"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加强厂区内危废贮存</w:t>
            </w:r>
            <w:r>
              <w:rPr>
                <w:rFonts w:hint="eastAsia" w:cs="Times New Roman"/>
                <w:color w:val="auto"/>
                <w:kern w:val="2"/>
                <w:sz w:val="21"/>
                <w:szCs w:val="21"/>
                <w:highlight w:val="none"/>
                <w:lang w:val="en-US" w:eastAsia="zh-CN" w:bidi="ar-SA"/>
              </w:rPr>
              <w:t>库</w:t>
            </w:r>
            <w:r>
              <w:rPr>
                <w:rFonts w:hint="eastAsia" w:ascii="Times New Roman" w:hAnsi="Times New Roman" w:eastAsia="宋体" w:cs="Times New Roman"/>
                <w:color w:val="auto"/>
                <w:kern w:val="2"/>
                <w:sz w:val="21"/>
                <w:szCs w:val="21"/>
                <w:highlight w:val="none"/>
                <w:lang w:val="en-US" w:eastAsia="zh-CN" w:bidi="ar-SA"/>
              </w:rPr>
              <w:t>等构筑物的防渗措施，</w:t>
            </w:r>
            <w:r>
              <w:rPr>
                <w:rFonts w:hint="default" w:ascii="Times New Roman" w:hAnsi="Times New Roman" w:eastAsia="宋体" w:cs="Times New Roman"/>
                <w:color w:val="auto"/>
                <w:kern w:val="2"/>
                <w:sz w:val="21"/>
                <w:szCs w:val="21"/>
                <w:highlight w:val="none"/>
                <w:lang w:val="en-US" w:eastAsia="zh-CN" w:bidi="ar-SA"/>
              </w:rPr>
              <w:t>本次评价将项目区划分为重点防渗区、一般防渗区</w:t>
            </w:r>
            <w:r>
              <w:rPr>
                <w:rFonts w:hint="eastAsia" w:ascii="Times New Roman" w:hAnsi="Times New Roman" w:eastAsia="宋体" w:cs="Times New Roman"/>
                <w:color w:val="auto"/>
                <w:kern w:val="2"/>
                <w:sz w:val="21"/>
                <w:szCs w:val="21"/>
                <w:highlight w:val="none"/>
                <w:lang w:val="en-US" w:eastAsia="zh-CN" w:bidi="ar-SA"/>
              </w:rPr>
              <w:t>和简单防渗区</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危废贮存</w:t>
            </w:r>
            <w:r>
              <w:rPr>
                <w:rFonts w:hint="eastAsia" w:cs="Times New Roman"/>
                <w:color w:val="auto"/>
                <w:kern w:val="2"/>
                <w:sz w:val="21"/>
                <w:szCs w:val="21"/>
                <w:highlight w:val="none"/>
                <w:lang w:val="en-US" w:eastAsia="zh-CN" w:bidi="ar-SA"/>
              </w:rPr>
              <w:t>库</w:t>
            </w:r>
            <w:r>
              <w:rPr>
                <w:rFonts w:hint="default" w:ascii="Times New Roman" w:hAnsi="Times New Roman" w:eastAsia="宋体" w:cs="Times New Roman"/>
                <w:color w:val="auto"/>
                <w:kern w:val="2"/>
                <w:sz w:val="21"/>
                <w:szCs w:val="21"/>
                <w:highlight w:val="none"/>
                <w:lang w:val="en-US" w:eastAsia="zh-CN" w:bidi="ar-SA"/>
              </w:rPr>
              <w:t>为重点防渗区，1#厂房、2#厂房、3#厂房、报废汽车、报废新能源汽车堆场、初期雨水收集池为一般防渗区</w:t>
            </w:r>
            <w:r>
              <w:rPr>
                <w:rFonts w:hint="eastAsia" w:ascii="Times New Roman" w:hAnsi="Times New Roman" w:eastAsia="宋体" w:cs="Times New Roman"/>
                <w:color w:val="auto"/>
                <w:kern w:val="2"/>
                <w:sz w:val="21"/>
                <w:szCs w:val="21"/>
                <w:highlight w:val="none"/>
                <w:lang w:val="en-US" w:eastAsia="zh-CN" w:bidi="ar-SA"/>
              </w:rPr>
              <w:t>，</w:t>
            </w:r>
            <w:r>
              <w:rPr>
                <w:rFonts w:hint="eastAsia" w:cs="Times New Roman"/>
                <w:color w:val="auto"/>
                <w:kern w:val="2"/>
                <w:sz w:val="21"/>
                <w:szCs w:val="21"/>
                <w:highlight w:val="none"/>
                <w:lang w:val="en-US" w:eastAsia="zh-CN" w:bidi="ar-SA"/>
              </w:rPr>
              <w:t>办公区、厂区道路</w:t>
            </w:r>
            <w:r>
              <w:rPr>
                <w:rFonts w:hint="eastAsia" w:ascii="Times New Roman" w:hAnsi="Times New Roman" w:eastAsia="宋体" w:cs="Times New Roman"/>
                <w:color w:val="auto"/>
                <w:kern w:val="2"/>
                <w:sz w:val="21"/>
                <w:szCs w:val="21"/>
                <w:highlight w:val="none"/>
                <w:lang w:val="en-US" w:eastAsia="zh-CN" w:bidi="ar-SA"/>
              </w:rPr>
              <w:t>为简单防渗区。</w:t>
            </w:r>
          </w:p>
        </w:tc>
      </w:tr>
      <w:tr w14:paraId="0352A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Align w:val="center"/>
          </w:tcPr>
          <w:p w14:paraId="436775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生态保护措施</w:t>
            </w:r>
          </w:p>
        </w:tc>
        <w:tc>
          <w:tcPr>
            <w:tcW w:w="4472" w:type="pct"/>
            <w:gridSpan w:val="4"/>
            <w:vAlign w:val="center"/>
          </w:tcPr>
          <w:p w14:paraId="3006A0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20" w:firstLine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1.</w:t>
            </w:r>
            <w:r>
              <w:rPr>
                <w:rFonts w:hint="default" w:ascii="Times New Roman" w:hAnsi="Times New Roman" w:eastAsia="宋体" w:cs="Times New Roman"/>
                <w:color w:val="auto"/>
                <w:kern w:val="2"/>
                <w:sz w:val="21"/>
                <w:szCs w:val="21"/>
                <w:highlight w:val="none"/>
                <w:lang w:val="en-US" w:eastAsia="zh-CN" w:bidi="ar-SA"/>
              </w:rPr>
              <w:t>加强污染防治措施运行管理，保证污染物达标排放；</w:t>
            </w:r>
          </w:p>
          <w:p w14:paraId="4B85DC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20" w:firstLineChars="200"/>
              <w:jc w:val="both"/>
              <w:textAlignment w:val="auto"/>
              <w:rPr>
                <w:rFonts w:hint="eastAsia" w:ascii="Times New Roman" w:hAnsi="Times New Roman" w:eastAsia="宋体" w:cs="Times New Roman"/>
                <w:color w:val="auto"/>
                <w:szCs w:val="21"/>
                <w:highlight w:val="none"/>
                <w:lang w:eastAsia="zh-CN"/>
              </w:rPr>
            </w:pPr>
            <w:r>
              <w:rPr>
                <w:rFonts w:hint="eastAsia" w:eastAsia="宋体" w:cs="Times New Roman"/>
                <w:color w:val="auto"/>
                <w:kern w:val="2"/>
                <w:sz w:val="21"/>
                <w:szCs w:val="21"/>
                <w:highlight w:val="none"/>
                <w:lang w:val="en-US" w:eastAsia="zh-CN" w:bidi="ar-SA"/>
              </w:rPr>
              <w:t>2.</w:t>
            </w:r>
            <w:r>
              <w:rPr>
                <w:rFonts w:hint="default" w:ascii="Times New Roman" w:hAnsi="Times New Roman" w:eastAsia="宋体" w:cs="Times New Roman"/>
                <w:color w:val="auto"/>
                <w:kern w:val="2"/>
                <w:sz w:val="21"/>
                <w:szCs w:val="21"/>
                <w:highlight w:val="none"/>
                <w:lang w:val="en-US" w:eastAsia="zh-CN" w:bidi="ar-SA"/>
              </w:rPr>
              <w:t>加强厂区硬化、绿化措施</w:t>
            </w:r>
            <w:r>
              <w:rPr>
                <w:rFonts w:hint="eastAsia" w:eastAsia="宋体" w:cs="Times New Roman"/>
                <w:color w:val="auto"/>
                <w:kern w:val="2"/>
                <w:sz w:val="21"/>
                <w:szCs w:val="21"/>
                <w:highlight w:val="none"/>
                <w:lang w:val="en-US" w:eastAsia="zh-CN" w:bidi="ar-SA"/>
              </w:rPr>
              <w:t>。</w:t>
            </w:r>
          </w:p>
        </w:tc>
      </w:tr>
      <w:tr w14:paraId="40367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Align w:val="center"/>
          </w:tcPr>
          <w:p w14:paraId="40B1A0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环境风险</w:t>
            </w:r>
          </w:p>
          <w:p w14:paraId="19FA60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防范措施</w:t>
            </w:r>
          </w:p>
        </w:tc>
        <w:tc>
          <w:tcPr>
            <w:tcW w:w="4472" w:type="pct"/>
            <w:gridSpan w:val="4"/>
            <w:vAlign w:val="center"/>
          </w:tcPr>
          <w:p w14:paraId="4CF6C7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r>
              <w:rPr>
                <w:rFonts w:hint="default" w:ascii="Times New Roman" w:hAnsi="Times New Roman" w:eastAsia="宋体" w:cs="Times New Roman"/>
                <w:color w:val="auto"/>
                <w:szCs w:val="21"/>
                <w:highlight w:val="none"/>
                <w:lang w:val="en-US" w:eastAsia="zh-CN"/>
              </w:rPr>
              <w:t>应安排专人管理，进行定期巡检，及时发现安全隐患，并采取相应的安全措施；</w:t>
            </w:r>
          </w:p>
          <w:p w14:paraId="6939C1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r>
              <w:rPr>
                <w:rFonts w:hint="default" w:ascii="Times New Roman" w:hAnsi="Times New Roman" w:eastAsia="宋体" w:cs="Times New Roman"/>
                <w:color w:val="auto"/>
                <w:szCs w:val="21"/>
                <w:highlight w:val="none"/>
                <w:lang w:val="en-US" w:eastAsia="zh-CN"/>
              </w:rPr>
              <w:t>在全厂内设置移动灭火器，用于防范初起火灾，对职工进行安全和消防教育，</w:t>
            </w:r>
            <w:r>
              <w:rPr>
                <w:rFonts w:hint="eastAsia" w:cs="Times New Roman"/>
                <w:color w:val="auto"/>
                <w:szCs w:val="21"/>
                <w:highlight w:val="none"/>
                <w:lang w:val="en-US" w:eastAsia="zh-CN"/>
              </w:rPr>
              <w:t>增强</w:t>
            </w:r>
            <w:r>
              <w:rPr>
                <w:rFonts w:hint="default" w:ascii="Times New Roman" w:hAnsi="Times New Roman" w:eastAsia="宋体" w:cs="Times New Roman"/>
                <w:color w:val="auto"/>
                <w:szCs w:val="21"/>
                <w:highlight w:val="none"/>
                <w:lang w:val="en-US" w:eastAsia="zh-CN"/>
              </w:rPr>
              <w:t>火灾防范意识；</w:t>
            </w:r>
          </w:p>
          <w:p w14:paraId="3F819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r>
              <w:rPr>
                <w:rFonts w:hint="default" w:ascii="Times New Roman" w:hAnsi="Times New Roman" w:eastAsia="宋体" w:cs="Times New Roman"/>
                <w:color w:val="auto"/>
                <w:szCs w:val="21"/>
                <w:highlight w:val="none"/>
                <w:lang w:val="en-US" w:eastAsia="zh-CN"/>
              </w:rPr>
              <w:t>完善事故发生时的应急措施；</w:t>
            </w:r>
          </w:p>
          <w:p w14:paraId="2F11A3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20" w:firstLineChars="200"/>
              <w:jc w:val="both"/>
              <w:textAlignment w:val="auto"/>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4.</w:t>
            </w:r>
            <w:r>
              <w:rPr>
                <w:rFonts w:hint="default" w:ascii="Times New Roman" w:hAnsi="Times New Roman" w:eastAsia="宋体" w:cs="Times New Roman"/>
                <w:color w:val="auto"/>
                <w:szCs w:val="21"/>
                <w:highlight w:val="none"/>
                <w:lang w:val="en-US" w:eastAsia="zh-CN"/>
              </w:rPr>
              <w:t>制定严格有效的环境风险应急预案。</w:t>
            </w:r>
          </w:p>
        </w:tc>
      </w:tr>
      <w:tr w14:paraId="22B0E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7" w:type="pct"/>
            <w:vAlign w:val="center"/>
          </w:tcPr>
          <w:p w14:paraId="4360E3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其他环境</w:t>
            </w:r>
          </w:p>
          <w:p w14:paraId="419EE7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0"/>
              <w:jc w:val="center"/>
              <w:textAlignment w:val="auto"/>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管理要求</w:t>
            </w:r>
          </w:p>
        </w:tc>
        <w:tc>
          <w:tcPr>
            <w:tcW w:w="4472" w:type="pct"/>
            <w:gridSpan w:val="4"/>
            <w:vAlign w:val="center"/>
          </w:tcPr>
          <w:p w14:paraId="16CEB1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2" w:firstLineChars="200"/>
              <w:jc w:val="both"/>
              <w:textAlignment w:val="auto"/>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1</w:t>
            </w:r>
            <w:r>
              <w:rPr>
                <w:rFonts w:hint="eastAsia" w:cs="Times New Roman"/>
                <w:b/>
                <w:bCs/>
                <w:color w:val="auto"/>
                <w:szCs w:val="21"/>
                <w:highlight w:val="none"/>
                <w:lang w:val="en-US" w:eastAsia="zh-CN"/>
              </w:rPr>
              <w:t>、</w:t>
            </w:r>
            <w:r>
              <w:rPr>
                <w:rFonts w:hint="default" w:ascii="Times New Roman" w:hAnsi="Times New Roman" w:eastAsia="宋体" w:cs="Times New Roman"/>
                <w:b/>
                <w:bCs/>
                <w:color w:val="auto"/>
                <w:szCs w:val="21"/>
                <w:highlight w:val="none"/>
                <w:lang w:val="en-US" w:eastAsia="zh-CN"/>
              </w:rPr>
              <w:t>环境管理计划</w:t>
            </w:r>
          </w:p>
          <w:p w14:paraId="7E19C3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本工程环境管理工作计划见表5-1。</w:t>
            </w:r>
          </w:p>
          <w:p w14:paraId="61D6FFB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表5-1</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环境管理工作计划表</w:t>
            </w:r>
          </w:p>
          <w:tbl>
            <w:tblPr>
              <w:tblStyle w:val="31"/>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7166"/>
            </w:tblGrid>
            <w:tr w14:paraId="49FE5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1" w:type="pct"/>
                  <w:tcBorders>
                    <w:tl2br w:val="nil"/>
                    <w:tr2bl w:val="nil"/>
                  </w:tcBorders>
                  <w:noWrap w:val="0"/>
                  <w:vAlign w:val="center"/>
                </w:tcPr>
                <w:p w14:paraId="345A8FB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阶段</w:t>
                  </w:r>
                </w:p>
              </w:tc>
              <w:tc>
                <w:tcPr>
                  <w:tcW w:w="4178" w:type="pct"/>
                  <w:tcBorders>
                    <w:tl2br w:val="nil"/>
                    <w:tr2bl w:val="nil"/>
                  </w:tcBorders>
                  <w:noWrap w:val="0"/>
                  <w:vAlign w:val="center"/>
                </w:tcPr>
                <w:p w14:paraId="42B8CA0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环境管理工作主要内容</w:t>
                  </w:r>
                </w:p>
              </w:tc>
            </w:tr>
            <w:tr w14:paraId="22D0D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1" w:type="pct"/>
                  <w:tcBorders>
                    <w:tl2br w:val="nil"/>
                    <w:tr2bl w:val="nil"/>
                  </w:tcBorders>
                  <w:noWrap w:val="0"/>
                  <w:vAlign w:val="center"/>
                </w:tcPr>
                <w:p w14:paraId="075FA85A">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环境管理</w:t>
                  </w:r>
                </w:p>
                <w:p w14:paraId="55A5C19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机构的职能</w:t>
                  </w:r>
                </w:p>
              </w:tc>
              <w:tc>
                <w:tcPr>
                  <w:tcW w:w="4178" w:type="pct"/>
                  <w:tcBorders>
                    <w:tl2br w:val="nil"/>
                    <w:tr2bl w:val="nil"/>
                  </w:tcBorders>
                  <w:noWrap w:val="0"/>
                  <w:vAlign w:val="center"/>
                </w:tcPr>
                <w:p w14:paraId="72B2A136">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根据国家建</w:t>
                  </w:r>
                  <w:r>
                    <w:rPr>
                      <w:rFonts w:hint="eastAsia" w:ascii="Times New Roman" w:hAnsi="Times New Roman" w:cs="Times New Roman"/>
                      <w:b w:val="0"/>
                      <w:bCs w:val="0"/>
                      <w:color w:val="auto"/>
                      <w:sz w:val="21"/>
                      <w:szCs w:val="21"/>
                      <w:lang w:eastAsia="zh-CN"/>
                    </w:rPr>
                    <w:t>设项</w:t>
                  </w:r>
                  <w:r>
                    <w:rPr>
                      <w:rFonts w:hint="default" w:ascii="Times New Roman" w:hAnsi="Times New Roman" w:cs="Times New Roman"/>
                      <w:b w:val="0"/>
                      <w:bCs w:val="0"/>
                      <w:color w:val="auto"/>
                      <w:sz w:val="21"/>
                      <w:szCs w:val="21"/>
                    </w:rPr>
                    <w:t>目环境管理规定，认真落实各项环保手续，完成各级环保主管部门对企业提出的环境要求，对企业内部各项管理计划的执行及完成情况进行监督，确保环境管理工作真正发挥作用。</w:t>
                  </w:r>
                </w:p>
              </w:tc>
            </w:tr>
            <w:tr w14:paraId="7E07B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1" w:type="pct"/>
                  <w:tcBorders>
                    <w:tl2br w:val="nil"/>
                    <w:tr2bl w:val="nil"/>
                  </w:tcBorders>
                  <w:noWrap w:val="0"/>
                  <w:vAlign w:val="center"/>
                </w:tcPr>
                <w:p w14:paraId="64404D7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建设期</w:t>
                  </w:r>
                </w:p>
              </w:tc>
              <w:tc>
                <w:tcPr>
                  <w:tcW w:w="4178" w:type="pct"/>
                  <w:tcBorders>
                    <w:tl2br w:val="nil"/>
                    <w:tr2bl w:val="nil"/>
                  </w:tcBorders>
                  <w:noWrap w:val="0"/>
                  <w:vAlign w:val="center"/>
                </w:tcPr>
                <w:p w14:paraId="1FBA4B57">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1、合理选址，减少用地。</w:t>
                  </w:r>
                </w:p>
                <w:p w14:paraId="67E63A4C">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2、施工便道定期洒水。</w:t>
                  </w:r>
                </w:p>
                <w:p w14:paraId="2CF8AA0D">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3、临时用地恢复绿化。</w:t>
                  </w:r>
                </w:p>
                <w:p w14:paraId="58C6100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cs="Times New Roman"/>
                      <w:b w:val="0"/>
                      <w:bCs w:val="0"/>
                      <w:color w:val="auto"/>
                      <w:sz w:val="21"/>
                      <w:szCs w:val="21"/>
                    </w:rPr>
                    <w:t>4、路基防护与加固</w:t>
                  </w:r>
                  <w:r>
                    <w:rPr>
                      <w:rFonts w:hint="eastAsia" w:ascii="Times New Roman" w:hAnsi="Times New Roman" w:cs="Times New Roman"/>
                      <w:b w:val="0"/>
                      <w:bCs w:val="0"/>
                      <w:color w:val="auto"/>
                      <w:sz w:val="21"/>
                      <w:szCs w:val="21"/>
                      <w:lang w:eastAsia="zh-CN"/>
                    </w:rPr>
                    <w:t>。</w:t>
                  </w:r>
                </w:p>
                <w:p w14:paraId="57C63AD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5、夜间严禁进行打桩等噪声大的施工作业。</w:t>
                  </w:r>
                </w:p>
                <w:p w14:paraId="7099A142">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6、施工营地加强环境管理。</w:t>
                  </w:r>
                </w:p>
              </w:tc>
            </w:tr>
            <w:tr w14:paraId="76A7F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1" w:type="pct"/>
                  <w:tcBorders>
                    <w:tl2br w:val="nil"/>
                    <w:tr2bl w:val="nil"/>
                  </w:tcBorders>
                  <w:noWrap w:val="0"/>
                  <w:vAlign w:val="center"/>
                </w:tcPr>
                <w:p w14:paraId="1591195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调试期</w:t>
                  </w:r>
                </w:p>
              </w:tc>
              <w:tc>
                <w:tcPr>
                  <w:tcW w:w="4178" w:type="pct"/>
                  <w:tcBorders>
                    <w:tl2br w:val="nil"/>
                    <w:tr2bl w:val="nil"/>
                  </w:tcBorders>
                  <w:noWrap w:val="0"/>
                  <w:vAlign w:val="center"/>
                </w:tcPr>
                <w:p w14:paraId="729DF2E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1、申领排污许可证。</w:t>
                  </w:r>
                </w:p>
                <w:p w14:paraId="27AB1B4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2、对噪声防治效果进行检测。</w:t>
                  </w:r>
                </w:p>
                <w:p w14:paraId="02364BA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3、对</w:t>
                  </w:r>
                  <w:r>
                    <w:rPr>
                      <w:rFonts w:hint="eastAsia" w:ascii="Times New Roman" w:hAnsi="Times New Roman" w:cs="Times New Roman"/>
                      <w:b w:val="0"/>
                      <w:bCs w:val="0"/>
                      <w:color w:val="auto"/>
                      <w:sz w:val="21"/>
                      <w:szCs w:val="21"/>
                      <w:lang w:eastAsia="zh-CN"/>
                    </w:rPr>
                    <w:t>各项</w:t>
                  </w:r>
                  <w:r>
                    <w:rPr>
                      <w:rFonts w:hint="default" w:ascii="Times New Roman" w:hAnsi="Times New Roman" w:cs="Times New Roman"/>
                      <w:b w:val="0"/>
                      <w:bCs w:val="0"/>
                      <w:color w:val="auto"/>
                      <w:sz w:val="21"/>
                      <w:szCs w:val="21"/>
                    </w:rPr>
                    <w:t>设施不定期进行检查。</w:t>
                  </w:r>
                </w:p>
                <w:p w14:paraId="763B628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4、记录各项环保设施的试运行状况，针对出现问题提出完善意见。</w:t>
                  </w:r>
                </w:p>
                <w:p w14:paraId="3BBA030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5、总结试运行期的生产经验，健全前期制定各项管理制度。</w:t>
                  </w:r>
                </w:p>
                <w:p w14:paraId="6A16699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6、生产装置生产三个月内，进行环保设施的竣工验收。</w:t>
                  </w:r>
                </w:p>
              </w:tc>
            </w:tr>
            <w:tr w14:paraId="0443A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1" w:type="pct"/>
                  <w:tcBorders>
                    <w:tl2br w:val="nil"/>
                    <w:tr2bl w:val="nil"/>
                  </w:tcBorders>
                  <w:noWrap w:val="0"/>
                  <w:vAlign w:val="center"/>
                </w:tcPr>
                <w:p w14:paraId="712B152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生产运行期</w:t>
                  </w:r>
                </w:p>
              </w:tc>
              <w:tc>
                <w:tcPr>
                  <w:tcW w:w="4178" w:type="pct"/>
                  <w:tcBorders>
                    <w:tl2br w:val="nil"/>
                    <w:tr2bl w:val="nil"/>
                  </w:tcBorders>
                  <w:noWrap w:val="0"/>
                  <w:vAlign w:val="center"/>
                </w:tcPr>
                <w:p w14:paraId="727A1BD2">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1、严格执行各项生产及环境管理制度，保证生产的正常进行。</w:t>
                  </w:r>
                </w:p>
                <w:p w14:paraId="21E14606">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2、设立环保设施运行卡，对环保设施定期进行检查维护，做到勤查、勤记、勤养护。</w:t>
                  </w:r>
                </w:p>
                <w:p w14:paraId="6CDA0863">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3、按照监测计划组织厂内的污染源监测，对不达标装置立即寻找原因，及时处理。</w:t>
                  </w:r>
                </w:p>
                <w:p w14:paraId="3274ED9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4、不断加强技术培训，组织企业技术交流，提高操作水平，保持操作工人队伍稳定。</w:t>
                  </w:r>
                </w:p>
                <w:p w14:paraId="63733301">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5、建立环境管理台账制度，应真实记录基本信息、产污设施运行管理信息、污染防治设施运行管理信息、监测记录信息及其他环境管理信息等；按照电子台账和纸质台账两种记录形式同步管理。</w:t>
                  </w:r>
                </w:p>
              </w:tc>
            </w:tr>
          </w:tbl>
          <w:p w14:paraId="371A0A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2" w:firstLineChars="200"/>
              <w:jc w:val="both"/>
              <w:textAlignment w:val="auto"/>
              <w:rPr>
                <w:rFonts w:hint="default" w:ascii="Times New Roman" w:hAnsi="Times New Roman" w:eastAsia="宋体" w:cs="Times New Roman"/>
                <w:b/>
                <w:bCs/>
                <w:color w:val="auto"/>
                <w:szCs w:val="21"/>
                <w:highlight w:val="none"/>
                <w:lang w:val="en-US" w:eastAsia="zh-CN"/>
              </w:rPr>
            </w:pPr>
            <w:bookmarkStart w:id="18" w:name="_Toc15842"/>
          </w:p>
          <w:p w14:paraId="245C1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2" w:firstLineChars="200"/>
              <w:jc w:val="both"/>
              <w:textAlignment w:val="auto"/>
              <w:rPr>
                <w:rFonts w:hint="default" w:ascii="Times New Roman" w:hAnsi="Times New Roman" w:eastAsia="宋体" w:cs="Times New Roman"/>
                <w:b/>
                <w:bCs/>
                <w:color w:val="auto"/>
                <w:szCs w:val="21"/>
                <w:highlight w:val="none"/>
                <w:lang w:val="en-US" w:eastAsia="zh-CN"/>
              </w:rPr>
            </w:pPr>
          </w:p>
          <w:p w14:paraId="21A272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2" w:firstLineChars="200"/>
              <w:jc w:val="both"/>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2</w:t>
            </w:r>
            <w:r>
              <w:rPr>
                <w:rFonts w:hint="eastAsia" w:cs="Times New Roman"/>
                <w:b/>
                <w:bCs/>
                <w:color w:val="auto"/>
                <w:szCs w:val="21"/>
                <w:highlight w:val="none"/>
                <w:lang w:val="en-US" w:eastAsia="zh-CN"/>
              </w:rPr>
              <w:t>、</w:t>
            </w:r>
            <w:r>
              <w:rPr>
                <w:rFonts w:hint="default" w:ascii="Times New Roman" w:hAnsi="Times New Roman" w:eastAsia="宋体" w:cs="Times New Roman"/>
                <w:b/>
                <w:bCs/>
                <w:color w:val="auto"/>
                <w:szCs w:val="21"/>
                <w:highlight w:val="none"/>
                <w:lang w:val="en-US" w:eastAsia="zh-CN"/>
              </w:rPr>
              <w:t>排污口规范化设置</w:t>
            </w:r>
            <w:bookmarkEnd w:id="18"/>
          </w:p>
          <w:p w14:paraId="7CE05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项目需要按照要求设立排污口。本项目排污口均为一般排放口，依照生产线编号以及生产工艺顺序进行编号。废气、废水排放口应进行规范化设计，具备采样、监测条件，排放口附近</w:t>
            </w:r>
            <w:r>
              <w:rPr>
                <w:rFonts w:hint="eastAsia" w:cs="Times New Roman"/>
                <w:color w:val="auto"/>
                <w:szCs w:val="21"/>
                <w:highlight w:val="none"/>
                <w:lang w:val="en-US" w:eastAsia="zh-CN"/>
              </w:rPr>
              <w:t>竖立</w:t>
            </w:r>
            <w:r>
              <w:rPr>
                <w:rFonts w:hint="default" w:ascii="Times New Roman" w:hAnsi="Times New Roman" w:eastAsia="宋体" w:cs="Times New Roman"/>
                <w:color w:val="auto"/>
                <w:szCs w:val="21"/>
                <w:highlight w:val="none"/>
                <w:lang w:val="en-US" w:eastAsia="zh-CN"/>
              </w:rPr>
              <w:t>环保图形标志牌。排污口应符合“一明显、二合理、三便于”的要求，即环保标志明显，排污口设置合理，排污去向合理，便于采集样品，便于监测计量，便于公众监督管理。</w:t>
            </w:r>
          </w:p>
          <w:p w14:paraId="00269B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按照国家环境保护总局制定的《（环境保护图形标志）实施细则（试行）》（环监[1996]463号）的规定，在各排污口</w:t>
            </w:r>
            <w:r>
              <w:rPr>
                <w:rFonts w:hint="eastAsia" w:cs="Times New Roman"/>
                <w:color w:val="auto"/>
                <w:szCs w:val="21"/>
                <w:highlight w:val="none"/>
                <w:lang w:val="en-US" w:eastAsia="zh-CN"/>
              </w:rPr>
              <w:t>竖立相应</w:t>
            </w:r>
            <w:r>
              <w:rPr>
                <w:rFonts w:hint="default" w:ascii="Times New Roman" w:hAnsi="Times New Roman" w:eastAsia="宋体" w:cs="Times New Roman"/>
                <w:color w:val="auto"/>
                <w:szCs w:val="21"/>
                <w:highlight w:val="none"/>
                <w:lang w:val="en-US" w:eastAsia="zh-CN"/>
              </w:rPr>
              <w:t>的环境保护图形标志牌，具体要求见表5-2。</w:t>
            </w:r>
          </w:p>
          <w:p w14:paraId="174945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表</w:t>
            </w:r>
            <w:r>
              <w:rPr>
                <w:rFonts w:hint="default" w:ascii="Times New Roman" w:hAnsi="Times New Roman" w:eastAsia="宋体" w:cs="Times New Roman"/>
                <w:b/>
                <w:bCs/>
                <w:color w:val="auto"/>
                <w:szCs w:val="21"/>
              </w:rPr>
              <w:t>5-2</w:t>
            </w:r>
            <w:r>
              <w:rPr>
                <w:rFonts w:hint="eastAsia" w:ascii="Times New Roman" w:hAnsi="Times New Roman" w:eastAsia="宋体" w:cs="Times New Roman"/>
                <w:b/>
                <w:bCs/>
                <w:color w:val="auto"/>
                <w:szCs w:val="21"/>
                <w:lang w:val="en-US" w:eastAsia="zh-CN"/>
              </w:rPr>
              <w:t xml:space="preserve">  </w:t>
            </w:r>
            <w:r>
              <w:rPr>
                <w:rFonts w:hint="eastAsia" w:ascii="Times New Roman" w:hAnsi="Times New Roman" w:eastAsia="宋体" w:cs="Times New Roman"/>
                <w:b/>
                <w:bCs/>
                <w:color w:val="auto"/>
                <w:szCs w:val="21"/>
              </w:rPr>
              <w:t>环境保护图形标志</w:t>
            </w:r>
          </w:p>
          <w:tbl>
            <w:tblPr>
              <w:tblStyle w:val="31"/>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44"/>
              <w:gridCol w:w="2648"/>
              <w:gridCol w:w="1820"/>
              <w:gridCol w:w="2359"/>
            </w:tblGrid>
            <w:tr w14:paraId="738E6E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48" w:hRule="atLeast"/>
                <w:jc w:val="center"/>
              </w:trPr>
              <w:tc>
                <w:tcPr>
                  <w:tcW w:w="1017" w:type="pct"/>
                  <w:tcBorders>
                    <w:tl2br w:val="nil"/>
                    <w:tr2bl w:val="nil"/>
                  </w:tcBorders>
                  <w:noWrap w:val="0"/>
                  <w:vAlign w:val="center"/>
                </w:tcPr>
                <w:p w14:paraId="1873CFDC">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"http://www.biaozhi.net/enews/UploadFiles/smallImg/783.gif"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drawing>
                      <wp:inline distT="0" distB="0" distL="114300" distR="114300">
                        <wp:extent cx="914400" cy="914400"/>
                        <wp:effectExtent l="0" t="0" r="0" b="0"/>
                        <wp:docPr id="190" name="图片 9"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9" descr="点击看大图及详细资料"/>
                                <pic:cNvPicPr>
                                  <a:picLocks noChangeAspect="1"/>
                                </pic:cNvPicPr>
                              </pic:nvPicPr>
                              <pic:blipFill>
                                <a:blip r:embed="rId48"/>
                                <a:stretch>
                                  <a:fillRect/>
                                </a:stretch>
                              </pic:blipFill>
                              <pic:spPr>
                                <a:xfrm>
                                  <a:off x="0" y="0"/>
                                  <a:ext cx="914400" cy="914400"/>
                                </a:xfrm>
                                <a:prstGeom prst="rect">
                                  <a:avLst/>
                                </a:prstGeom>
                                <a:noFill/>
                                <a:ln>
                                  <a:noFill/>
                                </a:ln>
                              </pic:spPr>
                            </pic:pic>
                          </a:graphicData>
                        </a:graphic>
                      </wp:inline>
                    </w:drawing>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HYPERLINK "http://www.biaozhi.net/eNews/news/200602/0029_0000000905.shtml" \t "_blank"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"http://www.biaozhi.net/enews/UploadFiles/smallImg/781.gif"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p>
              </w:tc>
              <w:tc>
                <w:tcPr>
                  <w:tcW w:w="1544" w:type="pct"/>
                  <w:tcBorders>
                    <w:tl2br w:val="nil"/>
                    <w:tr2bl w:val="nil"/>
                  </w:tcBorders>
                  <w:noWrap w:val="0"/>
                  <w:vAlign w:val="center"/>
                </w:tcPr>
                <w:p w14:paraId="3FAC72D3">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简介：废气排放口</w:t>
                  </w:r>
                </w:p>
                <w:p w14:paraId="36947276">
                  <w:pPr>
                    <w:keepNext w:val="0"/>
                    <w:keepLines w:val="0"/>
                    <w:suppressLineNumbers w:val="0"/>
                    <w:spacing w:before="0" w:beforeAutospacing="0" w:after="0" w:afterAutospacing="0"/>
                    <w:ind w:left="0" w:right="0"/>
                    <w:rPr>
                      <w:rFonts w:hint="eastAsia" w:ascii="Times New Roman" w:hAnsi="Times New Roman" w:eastAsia="宋体" w:cs="Times New Roman"/>
                      <w:b w:val="0"/>
                      <w:bCs w:val="0"/>
                      <w:color w:val="auto"/>
                      <w:szCs w:val="21"/>
                      <w:lang w:eastAsia="zh-CN"/>
                    </w:rPr>
                  </w:pPr>
                  <w:r>
                    <w:rPr>
                      <w:rFonts w:hint="default" w:ascii="Times New Roman" w:hAnsi="Times New Roman" w:cs="Times New Roman"/>
                      <w:b w:val="0"/>
                      <w:bCs w:val="0"/>
                      <w:color w:val="auto"/>
                      <w:szCs w:val="21"/>
                    </w:rPr>
                    <w:t>提示图形符号</w:t>
                  </w:r>
                </w:p>
                <w:p w14:paraId="21634927">
                  <w:pPr>
                    <w:keepNext w:val="0"/>
                    <w:keepLines w:val="0"/>
                    <w:suppressLineNumbers w:val="0"/>
                    <w:spacing w:before="0" w:beforeAutospacing="0" w:after="0" w:afterAutospacing="0"/>
                    <w:ind w:left="0" w:right="0"/>
                    <w:rPr>
                      <w:rFonts w:hint="eastAsia" w:ascii="Times New Roman" w:hAnsi="Times New Roman" w:eastAsia="宋体" w:cs="Times New Roman"/>
                      <w:b w:val="0"/>
                      <w:bCs w:val="0"/>
                      <w:color w:val="auto"/>
                      <w:szCs w:val="21"/>
                      <w:lang w:eastAsia="zh-CN"/>
                    </w:rPr>
                  </w:pPr>
                  <w:r>
                    <w:rPr>
                      <w:rFonts w:hint="default" w:ascii="Times New Roman" w:hAnsi="Times New Roman" w:cs="Times New Roman"/>
                      <w:b w:val="0"/>
                      <w:bCs w:val="0"/>
                      <w:color w:val="auto"/>
                      <w:szCs w:val="21"/>
                    </w:rPr>
                    <w:t>废气排放口</w:t>
                  </w:r>
                </w:p>
                <w:p w14:paraId="07EB73C7">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表示废气向大气环境排放</w:t>
                  </w:r>
                </w:p>
              </w:tc>
              <w:tc>
                <w:tcPr>
                  <w:tcW w:w="1061" w:type="pct"/>
                  <w:tcBorders>
                    <w:tl2br w:val="nil"/>
                    <w:tr2bl w:val="nil"/>
                  </w:tcBorders>
                  <w:noWrap w:val="0"/>
                  <w:vAlign w:val="center"/>
                </w:tcPr>
                <w:p w14:paraId="29F1D13F">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HYPERLINK "http://www.biaozhi.net/eNews/news/200602/0029_0000000909.shtml" \t "_blank"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"http://www.biaozhi.net/enews/UploadFiles/smallImg/785.gif"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drawing>
                      <wp:inline distT="0" distB="0" distL="114300" distR="114300">
                        <wp:extent cx="914400" cy="914400"/>
                        <wp:effectExtent l="0" t="0" r="0" b="0"/>
                        <wp:docPr id="192" name="图片 10"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0" descr="点击看大图及详细资料"/>
                                <pic:cNvPicPr>
                                  <a:picLocks noChangeAspect="1"/>
                                </pic:cNvPicPr>
                              </pic:nvPicPr>
                              <pic:blipFill>
                                <a:blip r:embed="rId49"/>
                                <a:stretch>
                                  <a:fillRect/>
                                </a:stretch>
                              </pic:blipFill>
                              <pic:spPr>
                                <a:xfrm>
                                  <a:off x="0" y="0"/>
                                  <a:ext cx="914400" cy="914400"/>
                                </a:xfrm>
                                <a:prstGeom prst="rect">
                                  <a:avLst/>
                                </a:prstGeom>
                                <a:noFill/>
                                <a:ln>
                                  <a:noFill/>
                                </a:ln>
                              </pic:spPr>
                            </pic:pic>
                          </a:graphicData>
                        </a:graphic>
                      </wp:inline>
                    </w:drawing>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r>
                    <w:rPr>
                      <w:rFonts w:hint="default" w:ascii="Times New Roman" w:hAnsi="Times New Roman" w:cs="Times New Roman"/>
                      <w:b w:val="0"/>
                      <w:bCs w:val="0"/>
                      <w:color w:val="auto"/>
                      <w:szCs w:val="21"/>
                    </w:rPr>
                    <w:fldChar w:fldCharType="end"/>
                  </w:r>
                </w:p>
              </w:tc>
              <w:tc>
                <w:tcPr>
                  <w:tcW w:w="1375" w:type="pct"/>
                  <w:tcBorders>
                    <w:tl2br w:val="nil"/>
                    <w:tr2bl w:val="nil"/>
                  </w:tcBorders>
                  <w:noWrap w:val="0"/>
                  <w:vAlign w:val="center"/>
                </w:tcPr>
                <w:p w14:paraId="5854CDAA">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简介：噪声排放源</w:t>
                  </w:r>
                </w:p>
                <w:p w14:paraId="4DF566FA">
                  <w:pPr>
                    <w:keepNext w:val="0"/>
                    <w:keepLines w:val="0"/>
                    <w:suppressLineNumbers w:val="0"/>
                    <w:spacing w:before="0" w:beforeAutospacing="0" w:after="0" w:afterAutospacing="0"/>
                    <w:ind w:left="0" w:right="0"/>
                    <w:rPr>
                      <w:rFonts w:hint="eastAsia" w:ascii="Times New Roman" w:hAnsi="Times New Roman" w:eastAsia="宋体" w:cs="Times New Roman"/>
                      <w:b w:val="0"/>
                      <w:bCs w:val="0"/>
                      <w:color w:val="auto"/>
                      <w:szCs w:val="21"/>
                      <w:lang w:eastAsia="zh-CN"/>
                    </w:rPr>
                  </w:pPr>
                  <w:r>
                    <w:rPr>
                      <w:rFonts w:hint="default" w:ascii="Times New Roman" w:hAnsi="Times New Roman" w:cs="Times New Roman"/>
                      <w:b w:val="0"/>
                      <w:bCs w:val="0"/>
                      <w:color w:val="auto"/>
                      <w:szCs w:val="21"/>
                    </w:rPr>
                    <w:t>提示图形符号</w:t>
                  </w:r>
                </w:p>
                <w:p w14:paraId="75C36B65">
                  <w:pPr>
                    <w:keepNext w:val="0"/>
                    <w:keepLines w:val="0"/>
                    <w:suppressLineNumbers w:val="0"/>
                    <w:spacing w:before="0" w:beforeAutospacing="0" w:after="0" w:afterAutospacing="0"/>
                    <w:ind w:left="0" w:right="0"/>
                    <w:rPr>
                      <w:rFonts w:hint="eastAsia" w:ascii="Times New Roman" w:hAnsi="Times New Roman" w:eastAsia="宋体" w:cs="Times New Roman"/>
                      <w:b w:val="0"/>
                      <w:bCs w:val="0"/>
                      <w:color w:val="auto"/>
                      <w:szCs w:val="21"/>
                      <w:lang w:eastAsia="zh-CN"/>
                    </w:rPr>
                  </w:pPr>
                  <w:r>
                    <w:rPr>
                      <w:rFonts w:hint="default" w:ascii="Times New Roman" w:hAnsi="Times New Roman" w:cs="Times New Roman"/>
                      <w:b w:val="0"/>
                      <w:bCs w:val="0"/>
                      <w:color w:val="auto"/>
                      <w:szCs w:val="21"/>
                    </w:rPr>
                    <w:t>噪声排放源</w:t>
                  </w:r>
                </w:p>
                <w:p w14:paraId="79655377">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表示噪声向外环境排放</w:t>
                  </w:r>
                </w:p>
              </w:tc>
            </w:tr>
            <w:tr w14:paraId="6F2169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6" w:hRule="atLeast"/>
                <w:jc w:val="center"/>
              </w:trPr>
              <w:tc>
                <w:tcPr>
                  <w:tcW w:w="1017" w:type="pct"/>
                  <w:tcBorders>
                    <w:tl2br w:val="nil"/>
                    <w:tr2bl w:val="nil"/>
                  </w:tcBorders>
                  <w:noWrap w:val="0"/>
                  <w:vAlign w:val="center"/>
                </w:tcPr>
                <w:p w14:paraId="7229C3B9">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fldChar w:fldCharType="begin"/>
                  </w:r>
                  <w:r>
                    <w:rPr>
                      <w:rFonts w:hint="default" w:ascii="Times New Roman" w:hAnsi="Times New Roman" w:cs="Times New Roman"/>
                      <w:b w:val="0"/>
                      <w:bCs w:val="0"/>
                      <w:color w:val="auto"/>
                      <w:szCs w:val="21"/>
                    </w:rPr>
                    <w:instrText xml:space="preserve"> INCLUDEPICTURE  "H:\\环评报告\\Administrator\\AppData\\Roaming\\Tencent\\Users\\1049960459\\TIM\\WinTemp\\RichOle\\%255b2OM$Q~9VA%25603U0OK~8X)9(6.png" \* MERGEFORMATINET </w:instrText>
                  </w:r>
                  <w:r>
                    <w:rPr>
                      <w:rFonts w:hint="default" w:ascii="Times New Roman" w:hAnsi="Times New Roman" w:cs="Times New Roman"/>
                      <w:b w:val="0"/>
                      <w:bCs w:val="0"/>
                      <w:color w:val="auto"/>
                      <w:szCs w:val="21"/>
                    </w:rPr>
                    <w:fldChar w:fldCharType="separate"/>
                  </w:r>
                  <w:r>
                    <w:rPr>
                      <w:rFonts w:hint="default" w:ascii="Times New Roman" w:hAnsi="Times New Roman" w:cs="Times New Roman"/>
                      <w:b w:val="0"/>
                      <w:bCs w:val="0"/>
                      <w:color w:val="auto"/>
                      <w:szCs w:val="21"/>
                    </w:rPr>
                    <w:drawing>
                      <wp:inline distT="0" distB="0" distL="114300" distR="114300">
                        <wp:extent cx="914400" cy="914400"/>
                        <wp:effectExtent l="0" t="0" r="0" b="0"/>
                        <wp:docPr id="191" name="图片 11" descr="[2OM$Q~9VA`3U0OK~8X)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1" descr="[2OM$Q~9VA`3U0OK~8X)9(6"/>
                                <pic:cNvPicPr>
                                  <a:picLocks noChangeAspect="1"/>
                                </pic:cNvPicPr>
                              </pic:nvPicPr>
                              <pic:blipFill>
                                <a:blip r:embed="rId50"/>
                                <a:stretch>
                                  <a:fillRect/>
                                </a:stretch>
                              </pic:blipFill>
                              <pic:spPr>
                                <a:xfrm>
                                  <a:off x="0" y="0"/>
                                  <a:ext cx="914400" cy="914400"/>
                                </a:xfrm>
                                <a:prstGeom prst="rect">
                                  <a:avLst/>
                                </a:prstGeom>
                                <a:noFill/>
                                <a:ln>
                                  <a:noFill/>
                                </a:ln>
                              </pic:spPr>
                            </pic:pic>
                          </a:graphicData>
                        </a:graphic>
                      </wp:inline>
                    </w:drawing>
                  </w:r>
                  <w:r>
                    <w:rPr>
                      <w:rFonts w:hint="default" w:ascii="Times New Roman" w:hAnsi="Times New Roman" w:cs="Times New Roman"/>
                      <w:b w:val="0"/>
                      <w:bCs w:val="0"/>
                      <w:color w:val="auto"/>
                      <w:szCs w:val="21"/>
                    </w:rPr>
                    <w:fldChar w:fldCharType="end"/>
                  </w:r>
                </w:p>
              </w:tc>
              <w:tc>
                <w:tcPr>
                  <w:tcW w:w="1544" w:type="pct"/>
                  <w:tcBorders>
                    <w:tl2br w:val="nil"/>
                    <w:tr2bl w:val="nil"/>
                  </w:tcBorders>
                  <w:noWrap w:val="0"/>
                  <w:vAlign w:val="center"/>
                </w:tcPr>
                <w:p w14:paraId="7B2BF707">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简介：一般固体废弃物</w:t>
                  </w:r>
                </w:p>
                <w:p w14:paraId="1A585AD8">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提示图形符号</w:t>
                  </w:r>
                </w:p>
                <w:p w14:paraId="3DB66468">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b w:val="0"/>
                      <w:bCs w:val="0"/>
                      <w:color w:val="auto"/>
                      <w:szCs w:val="21"/>
                    </w:rPr>
                    <w:t>表示一般固体废弃物贮存、处置场</w:t>
                  </w:r>
                </w:p>
              </w:tc>
              <w:tc>
                <w:tcPr>
                  <w:tcW w:w="1061" w:type="pct"/>
                  <w:tcBorders>
                    <w:tl2br w:val="nil"/>
                    <w:tr2bl w:val="nil"/>
                  </w:tcBorders>
                  <w:noWrap w:val="0"/>
                  <w:vAlign w:val="center"/>
                </w:tcPr>
                <w:p w14:paraId="3EEF511A">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color w:val="auto"/>
                      <w:szCs w:val="20"/>
                    </w:rPr>
                    <w:drawing>
                      <wp:inline distT="0" distB="0" distL="114300" distR="114300">
                        <wp:extent cx="914400" cy="914400"/>
                        <wp:effectExtent l="0" t="0" r="0" b="0"/>
                        <wp:docPr id="188" name="图片 8" descr="W020230515591222963411"/>
                        <wp:cNvGraphicFramePr/>
                        <a:graphic xmlns:a="http://schemas.openxmlformats.org/drawingml/2006/main">
                          <a:graphicData uri="http://schemas.openxmlformats.org/drawingml/2006/picture">
                            <pic:pic xmlns:pic="http://schemas.openxmlformats.org/drawingml/2006/picture">
                              <pic:nvPicPr>
                                <pic:cNvPr id="188" name="图片 8" descr="W020230515591222963411"/>
                                <pic:cNvPicPr/>
                              </pic:nvPicPr>
                              <pic:blipFill>
                                <a:blip r:embed="rId51"/>
                                <a:srcRect b="46810"/>
                                <a:stretch>
                                  <a:fillRect/>
                                </a:stretch>
                              </pic:blipFill>
                              <pic:spPr>
                                <a:xfrm>
                                  <a:off x="0" y="0"/>
                                  <a:ext cx="914400" cy="914400"/>
                                </a:xfrm>
                                <a:prstGeom prst="rect">
                                  <a:avLst/>
                                </a:prstGeom>
                                <a:noFill/>
                                <a:ln>
                                  <a:noFill/>
                                </a:ln>
                              </pic:spPr>
                            </pic:pic>
                          </a:graphicData>
                        </a:graphic>
                      </wp:inline>
                    </w:drawing>
                  </w:r>
                </w:p>
              </w:tc>
              <w:tc>
                <w:tcPr>
                  <w:tcW w:w="1375" w:type="pct"/>
                  <w:tcBorders>
                    <w:tl2br w:val="nil"/>
                    <w:tr2bl w:val="nil"/>
                  </w:tcBorders>
                  <w:noWrap w:val="0"/>
                  <w:vAlign w:val="center"/>
                </w:tcPr>
                <w:p w14:paraId="1BBBA412">
                  <w:pPr>
                    <w:keepNext w:val="0"/>
                    <w:keepLines w:val="0"/>
                    <w:suppressLineNumbers w:val="0"/>
                    <w:spacing w:before="0" w:beforeAutospacing="0" w:after="0" w:afterAutospacing="0"/>
                    <w:ind w:left="0" w:right="0"/>
                    <w:rPr>
                      <w:rFonts w:hint="eastAsia" w:cs="Times New Roman"/>
                      <w:b w:val="0"/>
                      <w:bCs w:val="0"/>
                      <w:color w:val="auto"/>
                      <w:szCs w:val="21"/>
                      <w:lang w:val="en-US" w:eastAsia="zh-CN"/>
                    </w:rPr>
                  </w:pPr>
                  <w:r>
                    <w:rPr>
                      <w:rFonts w:hint="eastAsia" w:cs="Times New Roman"/>
                      <w:b w:val="0"/>
                      <w:bCs w:val="0"/>
                      <w:color w:val="auto"/>
                      <w:szCs w:val="21"/>
                      <w:lang w:val="en-US" w:eastAsia="zh-CN"/>
                    </w:rPr>
                    <w:t>简介：危险废物</w:t>
                  </w:r>
                </w:p>
                <w:p w14:paraId="23C89A42">
                  <w:pPr>
                    <w:pStyle w:val="17"/>
                    <w:keepNext w:val="0"/>
                    <w:keepLines w:val="0"/>
                    <w:suppressLineNumbers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警告图形</w:t>
                  </w:r>
                </w:p>
                <w:p w14:paraId="2540A4DA">
                  <w:pPr>
                    <w:keepNext w:val="0"/>
                    <w:keepLines w:val="0"/>
                    <w:suppressLineNumbers w:val="0"/>
                    <w:spacing w:before="0" w:beforeAutospacing="0" w:after="0" w:afterAutospacing="0"/>
                    <w:ind w:left="0" w:right="0"/>
                    <w:rPr>
                      <w:rFonts w:hint="default" w:ascii="Times New Roman" w:hAnsi="Times New Roman" w:cs="Times New Roman"/>
                      <w:b w:val="0"/>
                      <w:bCs w:val="0"/>
                      <w:color w:val="auto"/>
                      <w:szCs w:val="21"/>
                    </w:rPr>
                  </w:pPr>
                  <w:r>
                    <w:rPr>
                      <w:rFonts w:hint="default" w:ascii="Times New Roman" w:hAnsi="Times New Roman" w:cs="Times New Roman"/>
                      <w:color w:val="auto"/>
                      <w:sz w:val="21"/>
                      <w:szCs w:val="21"/>
                    </w:rPr>
                    <w:t>表示危险废物贮存、处置场</w:t>
                  </w:r>
                </w:p>
              </w:tc>
            </w:tr>
          </w:tbl>
          <w:p w14:paraId="180F0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jc w:val="both"/>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3</w:t>
            </w:r>
            <w:r>
              <w:rPr>
                <w:rFonts w:hint="eastAsia" w:cs="Times New Roman"/>
                <w:b/>
                <w:bCs/>
                <w:color w:val="auto"/>
                <w:szCs w:val="21"/>
                <w:highlight w:val="none"/>
                <w:lang w:val="en-US" w:eastAsia="zh-CN"/>
              </w:rPr>
              <w:t>、</w:t>
            </w:r>
            <w:r>
              <w:rPr>
                <w:rFonts w:hint="default" w:ascii="Times New Roman" w:hAnsi="Times New Roman" w:eastAsia="宋体" w:cs="Times New Roman"/>
                <w:b/>
                <w:bCs/>
                <w:color w:val="auto"/>
                <w:szCs w:val="21"/>
                <w:highlight w:val="none"/>
                <w:lang w:val="en-US" w:eastAsia="zh-CN"/>
              </w:rPr>
              <w:t>管理监测信息公开</w:t>
            </w:r>
          </w:p>
          <w:p w14:paraId="773173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根据《企业环境信息依法披露管理办法》，企业应当按照准则编制年度环境信息依法披露报告和临时环境信息依法披露报告，并上传至企业环境信息依法披露系统，主要公开内容如下：</w:t>
            </w:r>
          </w:p>
          <w:p w14:paraId="5DAD17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（一）企业基本信息，包括企业生产和生态环境保护等方面的基础信息；</w:t>
            </w:r>
          </w:p>
          <w:p w14:paraId="7F63BF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（二）企业环境管理信息，包括生态环境行政许可、环境保护税、环境污染责任保险、环保信用评价等方面的信息；</w:t>
            </w:r>
          </w:p>
          <w:p w14:paraId="185C06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（三）污染物产生、治理与排放信息，包括污染防治设施，污染物排放，有毒有害物质排放，工业固体废物和危险废物产生、贮存、流向、利用、处置，自行监测等方面的信息；</w:t>
            </w:r>
          </w:p>
          <w:p w14:paraId="182023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（四）碳排放信息，包括排放量、排放设施等方面的信息；</w:t>
            </w:r>
          </w:p>
          <w:p w14:paraId="126C7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（五）生态环境应急信息，包括突发环境事件应急预案、重污染天气应急响应等方面的信息；</w:t>
            </w:r>
          </w:p>
          <w:p w14:paraId="1909E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（六）生态环境违法信息；</w:t>
            </w:r>
          </w:p>
          <w:p w14:paraId="51331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（七）本年度临时环境信息依法披露情况；</w:t>
            </w:r>
          </w:p>
          <w:p w14:paraId="2801B9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（八）法律法规规定的其他环境信息</w:t>
            </w:r>
            <w:r>
              <w:rPr>
                <w:rFonts w:hint="default" w:ascii="Times New Roman" w:hAnsi="Times New Roman" w:eastAsia="宋体" w:cs="Times New Roman"/>
                <w:color w:val="auto"/>
                <w:szCs w:val="21"/>
                <w:highlight w:val="none"/>
                <w:lang w:val="en-US" w:eastAsia="zh-CN"/>
              </w:rPr>
              <w:t>。</w:t>
            </w:r>
          </w:p>
          <w:p w14:paraId="334DF8DE">
            <w:pPr>
              <w:keepNext w:val="0"/>
              <w:keepLines w:val="0"/>
              <w:pageBreakBefore w:val="0"/>
              <w:widowControl w:val="0"/>
              <w:suppressLineNumbers w:val="0"/>
              <w:tabs>
                <w:tab w:val="left" w:pos="901"/>
              </w:tabs>
              <w:kinsoku/>
              <w:wordWrap/>
              <w:overflowPunct/>
              <w:topLinePunct w:val="0"/>
              <w:autoSpaceDE/>
              <w:autoSpaceDN/>
              <w:bidi w:val="0"/>
              <w:adjustRightInd w:val="0"/>
              <w:snapToGrid w:val="0"/>
              <w:spacing w:before="0" w:beforeAutospacing="0" w:after="0" w:afterAutospacing="0" w:line="320" w:lineRule="exact"/>
              <w:ind w:left="0" w:right="0"/>
              <w:jc w:val="both"/>
              <w:textAlignment w:val="auto"/>
              <w:rPr>
                <w:rFonts w:hint="eastAsia" w:cs="Times New Roman"/>
                <w:color w:val="auto"/>
                <w:szCs w:val="21"/>
                <w:highlight w:val="none"/>
                <w:lang w:val="en-US" w:eastAsia="zh-CN"/>
              </w:rPr>
            </w:pPr>
          </w:p>
          <w:p w14:paraId="4F3D14AF">
            <w:pPr>
              <w:keepNext w:val="0"/>
              <w:keepLines w:val="0"/>
              <w:pageBreakBefore w:val="0"/>
              <w:widowControl w:val="0"/>
              <w:suppressLineNumbers w:val="0"/>
              <w:tabs>
                <w:tab w:val="left" w:pos="901"/>
              </w:tabs>
              <w:kinsoku/>
              <w:wordWrap/>
              <w:overflowPunct/>
              <w:topLinePunct w:val="0"/>
              <w:autoSpaceDE/>
              <w:autoSpaceDN/>
              <w:bidi w:val="0"/>
              <w:adjustRightInd w:val="0"/>
              <w:snapToGrid w:val="0"/>
              <w:spacing w:before="0" w:beforeAutospacing="0" w:after="0" w:afterAutospacing="0" w:line="320" w:lineRule="exact"/>
              <w:ind w:left="0" w:right="0"/>
              <w:jc w:val="both"/>
              <w:textAlignment w:val="auto"/>
              <w:rPr>
                <w:rFonts w:hint="eastAsia" w:cs="Times New Roman"/>
                <w:color w:val="auto"/>
                <w:szCs w:val="21"/>
                <w:highlight w:val="none"/>
                <w:lang w:val="en-US" w:eastAsia="zh-CN"/>
              </w:rPr>
            </w:pPr>
          </w:p>
          <w:p w14:paraId="2ED75FC3">
            <w:pPr>
              <w:keepNext w:val="0"/>
              <w:keepLines w:val="0"/>
              <w:pageBreakBefore w:val="0"/>
              <w:widowControl w:val="0"/>
              <w:suppressLineNumbers w:val="0"/>
              <w:tabs>
                <w:tab w:val="left" w:pos="901"/>
              </w:tabs>
              <w:kinsoku/>
              <w:wordWrap/>
              <w:overflowPunct/>
              <w:topLinePunct w:val="0"/>
              <w:autoSpaceDE/>
              <w:autoSpaceDN/>
              <w:bidi w:val="0"/>
              <w:adjustRightInd w:val="0"/>
              <w:snapToGrid w:val="0"/>
              <w:spacing w:before="0" w:beforeAutospacing="0" w:after="0" w:afterAutospacing="0" w:line="320" w:lineRule="exact"/>
              <w:ind w:left="0" w:right="0"/>
              <w:jc w:val="both"/>
              <w:textAlignment w:val="auto"/>
              <w:rPr>
                <w:rFonts w:hint="eastAsia" w:cs="Times New Roman"/>
                <w:color w:val="auto"/>
                <w:szCs w:val="21"/>
                <w:highlight w:val="none"/>
                <w:lang w:val="en-US" w:eastAsia="zh-CN"/>
              </w:rPr>
            </w:pPr>
          </w:p>
          <w:p w14:paraId="200222B3">
            <w:pPr>
              <w:pStyle w:val="6"/>
              <w:pageBreakBefore w:val="0"/>
              <w:suppressLineNumbers w:val="0"/>
              <w:kinsoku/>
              <w:wordWrap/>
              <w:overflowPunct/>
              <w:topLinePunct w:val="0"/>
              <w:autoSpaceDE/>
              <w:autoSpaceDN/>
              <w:bidi w:val="0"/>
              <w:spacing w:before="0" w:beforeLines="0" w:beforeAutospacing="0" w:after="0" w:afterAutospacing="0" w:line="320" w:lineRule="exact"/>
              <w:ind w:left="0" w:right="0"/>
              <w:textAlignment w:val="auto"/>
              <w:rPr>
                <w:rFonts w:hint="eastAsia"/>
                <w:color w:val="auto"/>
                <w:lang w:val="en-US" w:eastAsia="zh-CN"/>
              </w:rPr>
            </w:pPr>
          </w:p>
          <w:p w14:paraId="671216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both"/>
              <w:textAlignment w:val="auto"/>
              <w:rPr>
                <w:rFonts w:hint="default" w:ascii="Times New Roman" w:hAnsi="Times New Roman" w:eastAsia="宋体" w:cs="Times New Roman"/>
                <w:color w:val="auto"/>
                <w:szCs w:val="21"/>
                <w:highlight w:val="none"/>
                <w:lang w:val="en-US" w:eastAsia="zh-CN"/>
              </w:rPr>
            </w:pPr>
          </w:p>
          <w:p w14:paraId="22950B5F">
            <w:pPr>
              <w:pStyle w:val="21"/>
              <w:keepNext w:val="0"/>
              <w:keepLines w:val="0"/>
              <w:suppressLineNumbers w:val="0"/>
              <w:spacing w:before="0" w:beforeAutospacing="0" w:after="0" w:afterAutospacing="0"/>
              <w:ind w:left="0" w:right="0"/>
              <w:rPr>
                <w:rFonts w:hint="default"/>
                <w:color w:val="auto"/>
                <w:lang w:val="en-US" w:eastAsia="zh-CN"/>
              </w:rPr>
            </w:pPr>
          </w:p>
        </w:tc>
      </w:tr>
    </w:tbl>
    <w:p w14:paraId="13BA294A">
      <w:pPr>
        <w:pStyle w:val="27"/>
        <w:jc w:val="center"/>
        <w:outlineLvl w:val="0"/>
        <w:rPr>
          <w:rFonts w:hint="default" w:ascii="Times New Roman" w:hAnsi="Times New Roman" w:eastAsia="黑体" w:cs="Times New Roman"/>
          <w:snapToGrid w:val="0"/>
          <w:color w:val="FF0000"/>
          <w:sz w:val="30"/>
          <w:szCs w:val="30"/>
          <w:highlight w:val="none"/>
        </w:rPr>
      </w:pPr>
      <w:r>
        <w:rPr>
          <w:rFonts w:hint="default" w:ascii="Times New Roman" w:hAnsi="Times New Roman" w:cs="Times New Roman"/>
          <w:snapToGrid w:val="0"/>
          <w:color w:val="FF0000"/>
          <w:highlight w:val="none"/>
        </w:rPr>
        <w:br w:type="page"/>
      </w:r>
      <w:bookmarkStart w:id="19" w:name="_Toc4819"/>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六、结论</w:t>
      </w:r>
      <w:bookmarkEnd w:id="19"/>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4836E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34" w:hRule="atLeast"/>
          <w:jc w:val="center"/>
        </w:trPr>
        <w:tc>
          <w:tcPr>
            <w:tcW w:w="5000" w:type="pct"/>
            <w:vAlign w:val="center"/>
          </w:tcPr>
          <w:p w14:paraId="77CD5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Times New Roman" w:hAnsi="Times New Roman" w:cs="Times New Roman"/>
                <w:color w:val="FF0000"/>
                <w:sz w:val="24"/>
                <w:highlight w:val="none"/>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从环境保护角度</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分析</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项目的建设是可行的。</w:t>
            </w:r>
          </w:p>
        </w:tc>
      </w:tr>
    </w:tbl>
    <w:p w14:paraId="27D599FC">
      <w:pPr>
        <w:rPr>
          <w:rFonts w:hint="default" w:ascii="Times New Roman" w:hAnsi="Times New Roman" w:cs="Times New Roman"/>
          <w:color w:val="FF0000"/>
          <w:highlight w:val="none"/>
        </w:rPr>
      </w:pPr>
    </w:p>
    <w:p w14:paraId="1D525568">
      <w:pPr>
        <w:rPr>
          <w:rFonts w:hint="default" w:ascii="Times New Roman" w:hAnsi="Times New Roman" w:cs="Times New Roman"/>
          <w:color w:val="FF0000"/>
          <w:highlight w:val="none"/>
        </w:rPr>
        <w:sectPr>
          <w:pgSz w:w="11906" w:h="16838"/>
          <w:pgMar w:top="1440" w:right="1080" w:bottom="1440" w:left="1080" w:header="851" w:footer="850" w:gutter="0"/>
          <w:pgBorders>
            <w:top w:val="none" w:sz="0" w:space="0"/>
            <w:left w:val="none" w:sz="0" w:space="0"/>
            <w:bottom w:val="none" w:sz="0" w:space="0"/>
            <w:right w:val="none" w:sz="0" w:space="0"/>
          </w:pgBorders>
          <w:pgNumType w:fmt="decimal"/>
          <w:cols w:space="720" w:num="1"/>
          <w:docGrid w:linePitch="312" w:charSpace="0"/>
        </w:sectPr>
      </w:pPr>
    </w:p>
    <w:p w14:paraId="530BD4FE">
      <w:pPr>
        <w:pStyle w:val="27"/>
        <w:keepNext w:val="0"/>
        <w:keepLines w:val="0"/>
        <w:pageBreakBefore w:val="0"/>
        <w:widowControl/>
        <w:kinsoku/>
        <w:wordWrap/>
        <w:overflowPunct/>
        <w:topLinePunct w:val="0"/>
        <w:autoSpaceDE/>
        <w:autoSpaceDN/>
        <w:bidi w:val="0"/>
        <w:adjustRightInd w:val="0"/>
        <w:snapToGrid w:val="0"/>
        <w:spacing w:before="0" w:beforeAutospacing="0" w:after="0" w:afterAutospacing="0" w:line="480" w:lineRule="auto"/>
        <w:textAlignment w:val="auto"/>
        <w:outlineLvl w:val="0"/>
        <w:rPr>
          <w:rFonts w:hint="default" w:ascii="Times New Roman" w:hAnsi="Times New Roman" w:eastAsia="黑体" w:cs="Times New Roman"/>
          <w:snapToGrid w:val="0"/>
          <w:color w:val="000000" w:themeColor="text1"/>
          <w:sz w:val="32"/>
          <w:szCs w:val="32"/>
          <w:highlight w:val="none"/>
          <w14:textFill>
            <w14:solidFill>
              <w14:schemeClr w14:val="tx1"/>
            </w14:solidFill>
          </w14:textFill>
        </w:rPr>
      </w:pPr>
      <w:bookmarkStart w:id="20" w:name="_Toc28200"/>
      <w:r>
        <w:rPr>
          <w:rFonts w:hint="default" w:ascii="Times New Roman" w:hAnsi="Times New Roman" w:eastAsia="黑体" w:cs="Times New Roman"/>
          <w:snapToGrid w:val="0"/>
          <w:color w:val="000000" w:themeColor="text1"/>
          <w:sz w:val="32"/>
          <w:szCs w:val="32"/>
          <w:highlight w:val="none"/>
          <w14:textFill>
            <w14:solidFill>
              <w14:schemeClr w14:val="tx1"/>
            </w14:solidFill>
          </w14:textFill>
        </w:rPr>
        <w:t>附表</w:t>
      </w:r>
      <w:bookmarkEnd w:id="20"/>
    </w:p>
    <w:p w14:paraId="17712056">
      <w:pPr>
        <w:pStyle w:val="2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Times New Roman" w:hAnsi="Times New Roman" w:eastAsia="方正小标宋_GBK" w:cs="Times New Roman"/>
          <w:snapToGrid w:val="0"/>
          <w:color w:val="000000" w:themeColor="text1"/>
          <w:sz w:val="40"/>
          <w:szCs w:val="40"/>
          <w:highlight w:val="none"/>
          <w14:textFill>
            <w14:solidFill>
              <w14:schemeClr w14:val="tx1"/>
            </w14:solidFill>
          </w14:textFill>
        </w:rPr>
      </w:pPr>
      <w:bookmarkStart w:id="21" w:name="_Toc14665"/>
      <w:r>
        <w:rPr>
          <w:rFonts w:hint="default" w:ascii="Times New Roman" w:hAnsi="Times New Roman" w:eastAsia="方正小标宋_GBK" w:cs="Times New Roman"/>
          <w:snapToGrid w:val="0"/>
          <w:color w:val="000000" w:themeColor="text1"/>
          <w:sz w:val="40"/>
          <w:szCs w:val="40"/>
          <w:highlight w:val="none"/>
          <w14:textFill>
            <w14:solidFill>
              <w14:schemeClr w14:val="tx1"/>
            </w14:solidFill>
          </w14:textFill>
        </w:rPr>
        <w:t>建设项目污染物排放量汇总表</w:t>
      </w:r>
      <w:bookmarkEnd w:id="21"/>
    </w:p>
    <w:tbl>
      <w:tblPr>
        <w:tblStyle w:val="31"/>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688"/>
        <w:gridCol w:w="1864"/>
        <w:gridCol w:w="1428"/>
        <w:gridCol w:w="1883"/>
        <w:gridCol w:w="1713"/>
        <w:gridCol w:w="2000"/>
        <w:gridCol w:w="1821"/>
        <w:gridCol w:w="1490"/>
      </w:tblGrid>
      <w:tr w14:paraId="7033C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503" w:type="pct"/>
            <w:tcBorders>
              <w:tl2br w:val="single" w:color="auto" w:sz="4" w:space="0"/>
            </w:tcBorders>
            <w:tcMar>
              <w:left w:w="28" w:type="dxa"/>
              <w:right w:w="28" w:type="dxa"/>
            </w:tcMar>
            <w:vAlign w:val="center"/>
          </w:tcPr>
          <w:p w14:paraId="028B9B12">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right"/>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项目</w:t>
            </w:r>
          </w:p>
          <w:p w14:paraId="32B1CA0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198" w:firstLineChars="100"/>
              <w:jc w:val="left"/>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分类</w:t>
            </w:r>
          </w:p>
        </w:tc>
        <w:tc>
          <w:tcPr>
            <w:tcW w:w="546" w:type="pct"/>
            <w:tcMar>
              <w:left w:w="28" w:type="dxa"/>
              <w:right w:w="28" w:type="dxa"/>
            </w:tcMar>
            <w:vAlign w:val="center"/>
          </w:tcPr>
          <w:p w14:paraId="2A936CA3">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污染物名称</w:t>
            </w:r>
          </w:p>
        </w:tc>
        <w:tc>
          <w:tcPr>
            <w:tcW w:w="603" w:type="pct"/>
            <w:tcMar>
              <w:left w:w="28" w:type="dxa"/>
              <w:right w:w="28" w:type="dxa"/>
            </w:tcMar>
            <w:vAlign w:val="center"/>
          </w:tcPr>
          <w:p w14:paraId="66FBD3F2">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现有工程</w:t>
            </w:r>
          </w:p>
          <w:p w14:paraId="6FB505E5">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排放量（固体废物产生量）</w:t>
            </w:r>
            <w:r>
              <w:rPr>
                <w:rFonts w:hint="eastAsia" w:ascii="黑体" w:hAnsi="黑体" w:eastAsia="黑体" w:cs="黑体"/>
                <w:b w:val="0"/>
                <w:bCs w:val="0"/>
                <w:snapToGrid w:val="0"/>
                <w:color w:val="auto"/>
                <w:spacing w:val="-6"/>
                <w:kern w:val="21"/>
                <w:szCs w:val="21"/>
                <w:highlight w:val="none"/>
              </w:rPr>
              <w:fldChar w:fldCharType="begin"/>
            </w:r>
            <w:r>
              <w:rPr>
                <w:rFonts w:hint="eastAsia" w:ascii="黑体" w:hAnsi="黑体" w:eastAsia="黑体" w:cs="黑体"/>
                <w:b w:val="0"/>
                <w:bCs w:val="0"/>
                <w:snapToGrid w:val="0"/>
                <w:color w:val="auto"/>
                <w:spacing w:val="-6"/>
                <w:kern w:val="21"/>
                <w:szCs w:val="21"/>
                <w:highlight w:val="none"/>
              </w:rPr>
              <w:instrText xml:space="preserve"> = 1 \* GB3 \* MERGEFORMAT </w:instrText>
            </w:r>
            <w:r>
              <w:rPr>
                <w:rFonts w:hint="eastAsia" w:ascii="黑体" w:hAnsi="黑体" w:eastAsia="黑体" w:cs="黑体"/>
                <w:b w:val="0"/>
                <w:bCs w:val="0"/>
                <w:snapToGrid w:val="0"/>
                <w:color w:val="auto"/>
                <w:spacing w:val="-6"/>
                <w:kern w:val="21"/>
                <w:szCs w:val="21"/>
                <w:highlight w:val="none"/>
              </w:rPr>
              <w:fldChar w:fldCharType="separate"/>
            </w:r>
            <w:r>
              <w:rPr>
                <w:rFonts w:hint="eastAsia" w:ascii="黑体" w:hAnsi="黑体" w:eastAsia="黑体" w:cs="黑体"/>
                <w:b w:val="0"/>
                <w:bCs w:val="0"/>
                <w:color w:val="auto"/>
                <w:kern w:val="2"/>
                <w:szCs w:val="21"/>
                <w:highlight w:val="none"/>
              </w:rPr>
              <w:t>①</w:t>
            </w:r>
            <w:r>
              <w:rPr>
                <w:rFonts w:hint="eastAsia" w:ascii="黑体" w:hAnsi="黑体" w:eastAsia="黑体" w:cs="黑体"/>
                <w:b w:val="0"/>
                <w:bCs w:val="0"/>
                <w:snapToGrid w:val="0"/>
                <w:color w:val="auto"/>
                <w:spacing w:val="-6"/>
                <w:kern w:val="21"/>
                <w:szCs w:val="21"/>
                <w:highlight w:val="none"/>
              </w:rPr>
              <w:fldChar w:fldCharType="end"/>
            </w:r>
          </w:p>
        </w:tc>
        <w:tc>
          <w:tcPr>
            <w:tcW w:w="462" w:type="pct"/>
            <w:tcMar>
              <w:left w:w="28" w:type="dxa"/>
              <w:right w:w="28" w:type="dxa"/>
            </w:tcMar>
            <w:vAlign w:val="center"/>
          </w:tcPr>
          <w:p w14:paraId="25079F55">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现有工程</w:t>
            </w:r>
          </w:p>
          <w:p w14:paraId="37633A5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许可排放量</w:t>
            </w:r>
          </w:p>
          <w:p w14:paraId="2D7F8A74">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fldChar w:fldCharType="begin"/>
            </w:r>
            <w:r>
              <w:rPr>
                <w:rFonts w:hint="eastAsia" w:ascii="黑体" w:hAnsi="黑体" w:eastAsia="黑体" w:cs="黑体"/>
                <w:b w:val="0"/>
                <w:bCs w:val="0"/>
                <w:snapToGrid w:val="0"/>
                <w:color w:val="auto"/>
                <w:spacing w:val="-6"/>
                <w:kern w:val="21"/>
                <w:szCs w:val="21"/>
                <w:highlight w:val="none"/>
              </w:rPr>
              <w:instrText xml:space="preserve"> = 2 \* GB3 \* MERGEFORMAT </w:instrText>
            </w:r>
            <w:r>
              <w:rPr>
                <w:rFonts w:hint="eastAsia" w:ascii="黑体" w:hAnsi="黑体" w:eastAsia="黑体" w:cs="黑体"/>
                <w:b w:val="0"/>
                <w:bCs w:val="0"/>
                <w:snapToGrid w:val="0"/>
                <w:color w:val="auto"/>
                <w:spacing w:val="-6"/>
                <w:kern w:val="21"/>
                <w:szCs w:val="21"/>
                <w:highlight w:val="none"/>
              </w:rPr>
              <w:fldChar w:fldCharType="separate"/>
            </w:r>
            <w:r>
              <w:rPr>
                <w:rFonts w:hint="eastAsia" w:ascii="黑体" w:hAnsi="黑体" w:eastAsia="黑体" w:cs="黑体"/>
                <w:b w:val="0"/>
                <w:bCs w:val="0"/>
                <w:snapToGrid w:val="0"/>
                <w:color w:val="auto"/>
                <w:spacing w:val="-6"/>
                <w:kern w:val="21"/>
                <w:szCs w:val="21"/>
                <w:highlight w:val="none"/>
              </w:rPr>
              <w:t>②</w:t>
            </w:r>
            <w:r>
              <w:rPr>
                <w:rFonts w:hint="eastAsia" w:ascii="黑体" w:hAnsi="黑体" w:eastAsia="黑体" w:cs="黑体"/>
                <w:b w:val="0"/>
                <w:bCs w:val="0"/>
                <w:snapToGrid w:val="0"/>
                <w:color w:val="auto"/>
                <w:spacing w:val="-6"/>
                <w:kern w:val="21"/>
                <w:szCs w:val="21"/>
                <w:highlight w:val="none"/>
              </w:rPr>
              <w:fldChar w:fldCharType="end"/>
            </w:r>
          </w:p>
        </w:tc>
        <w:tc>
          <w:tcPr>
            <w:tcW w:w="609" w:type="pct"/>
            <w:tcMar>
              <w:left w:w="28" w:type="dxa"/>
              <w:right w:w="28" w:type="dxa"/>
            </w:tcMar>
            <w:vAlign w:val="center"/>
          </w:tcPr>
          <w:p w14:paraId="291A0BF9">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在建工程</w:t>
            </w:r>
          </w:p>
          <w:p w14:paraId="2BC0CB7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排放量（固体废物产生量）</w:t>
            </w:r>
            <w:r>
              <w:rPr>
                <w:rFonts w:hint="eastAsia" w:ascii="黑体" w:hAnsi="黑体" w:eastAsia="黑体" w:cs="黑体"/>
                <w:b w:val="0"/>
                <w:bCs w:val="0"/>
                <w:snapToGrid w:val="0"/>
                <w:color w:val="auto"/>
                <w:spacing w:val="-6"/>
                <w:kern w:val="21"/>
                <w:szCs w:val="21"/>
                <w:highlight w:val="none"/>
              </w:rPr>
              <w:fldChar w:fldCharType="begin"/>
            </w:r>
            <w:r>
              <w:rPr>
                <w:rFonts w:hint="eastAsia" w:ascii="黑体" w:hAnsi="黑体" w:eastAsia="黑体" w:cs="黑体"/>
                <w:b w:val="0"/>
                <w:bCs w:val="0"/>
                <w:snapToGrid w:val="0"/>
                <w:color w:val="auto"/>
                <w:spacing w:val="-6"/>
                <w:kern w:val="21"/>
                <w:szCs w:val="21"/>
                <w:highlight w:val="none"/>
              </w:rPr>
              <w:instrText xml:space="preserve"> = 3 \* GB3 \* MERGEFORMAT </w:instrText>
            </w:r>
            <w:r>
              <w:rPr>
                <w:rFonts w:hint="eastAsia" w:ascii="黑体" w:hAnsi="黑体" w:eastAsia="黑体" w:cs="黑体"/>
                <w:b w:val="0"/>
                <w:bCs w:val="0"/>
                <w:snapToGrid w:val="0"/>
                <w:color w:val="auto"/>
                <w:spacing w:val="-6"/>
                <w:kern w:val="21"/>
                <w:szCs w:val="21"/>
                <w:highlight w:val="none"/>
              </w:rPr>
              <w:fldChar w:fldCharType="separate"/>
            </w:r>
            <w:r>
              <w:rPr>
                <w:rFonts w:hint="eastAsia" w:ascii="黑体" w:hAnsi="黑体" w:eastAsia="黑体" w:cs="黑体"/>
                <w:b w:val="0"/>
                <w:bCs w:val="0"/>
                <w:color w:val="auto"/>
                <w:kern w:val="2"/>
                <w:szCs w:val="21"/>
                <w:highlight w:val="none"/>
              </w:rPr>
              <w:t>③</w:t>
            </w:r>
            <w:r>
              <w:rPr>
                <w:rFonts w:hint="eastAsia" w:ascii="黑体" w:hAnsi="黑体" w:eastAsia="黑体" w:cs="黑体"/>
                <w:b w:val="0"/>
                <w:bCs w:val="0"/>
                <w:snapToGrid w:val="0"/>
                <w:color w:val="auto"/>
                <w:spacing w:val="-6"/>
                <w:kern w:val="21"/>
                <w:szCs w:val="21"/>
                <w:highlight w:val="none"/>
              </w:rPr>
              <w:fldChar w:fldCharType="end"/>
            </w:r>
          </w:p>
        </w:tc>
        <w:tc>
          <w:tcPr>
            <w:tcW w:w="554" w:type="pct"/>
            <w:tcMar>
              <w:left w:w="28" w:type="dxa"/>
              <w:right w:w="28" w:type="dxa"/>
            </w:tcMar>
            <w:vAlign w:val="center"/>
          </w:tcPr>
          <w:p w14:paraId="7DFF9657">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本项目</w:t>
            </w:r>
          </w:p>
          <w:p w14:paraId="1DA5193D">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排放量（固体废物产生量）</w:t>
            </w:r>
            <w:r>
              <w:rPr>
                <w:rFonts w:hint="eastAsia" w:ascii="黑体" w:hAnsi="黑体" w:eastAsia="黑体" w:cs="黑体"/>
                <w:b w:val="0"/>
                <w:bCs w:val="0"/>
                <w:snapToGrid w:val="0"/>
                <w:color w:val="auto"/>
                <w:spacing w:val="-6"/>
                <w:kern w:val="21"/>
                <w:szCs w:val="21"/>
                <w:highlight w:val="none"/>
              </w:rPr>
              <w:fldChar w:fldCharType="begin"/>
            </w:r>
            <w:r>
              <w:rPr>
                <w:rFonts w:hint="eastAsia" w:ascii="黑体" w:hAnsi="黑体" w:eastAsia="黑体" w:cs="黑体"/>
                <w:b w:val="0"/>
                <w:bCs w:val="0"/>
                <w:snapToGrid w:val="0"/>
                <w:color w:val="auto"/>
                <w:spacing w:val="-6"/>
                <w:kern w:val="21"/>
                <w:szCs w:val="21"/>
                <w:highlight w:val="none"/>
              </w:rPr>
              <w:instrText xml:space="preserve"> = 4 \* GB3 \* MERGEFORMAT </w:instrText>
            </w:r>
            <w:r>
              <w:rPr>
                <w:rFonts w:hint="eastAsia" w:ascii="黑体" w:hAnsi="黑体" w:eastAsia="黑体" w:cs="黑体"/>
                <w:b w:val="0"/>
                <w:bCs w:val="0"/>
                <w:snapToGrid w:val="0"/>
                <w:color w:val="auto"/>
                <w:spacing w:val="-6"/>
                <w:kern w:val="21"/>
                <w:szCs w:val="21"/>
                <w:highlight w:val="none"/>
              </w:rPr>
              <w:fldChar w:fldCharType="separate"/>
            </w:r>
            <w:r>
              <w:rPr>
                <w:rFonts w:hint="eastAsia" w:ascii="黑体" w:hAnsi="黑体" w:eastAsia="黑体" w:cs="黑体"/>
                <w:b w:val="0"/>
                <w:bCs w:val="0"/>
                <w:color w:val="auto"/>
                <w:kern w:val="2"/>
                <w:szCs w:val="21"/>
                <w:highlight w:val="none"/>
              </w:rPr>
              <w:t>④</w:t>
            </w:r>
            <w:r>
              <w:rPr>
                <w:rFonts w:hint="eastAsia" w:ascii="黑体" w:hAnsi="黑体" w:eastAsia="黑体" w:cs="黑体"/>
                <w:b w:val="0"/>
                <w:bCs w:val="0"/>
                <w:snapToGrid w:val="0"/>
                <w:color w:val="auto"/>
                <w:spacing w:val="-6"/>
                <w:kern w:val="21"/>
                <w:szCs w:val="21"/>
                <w:highlight w:val="none"/>
              </w:rPr>
              <w:fldChar w:fldCharType="end"/>
            </w:r>
          </w:p>
        </w:tc>
        <w:tc>
          <w:tcPr>
            <w:tcW w:w="647" w:type="pct"/>
            <w:tcMar>
              <w:left w:w="28" w:type="dxa"/>
              <w:right w:w="28" w:type="dxa"/>
            </w:tcMar>
            <w:vAlign w:val="center"/>
          </w:tcPr>
          <w:p w14:paraId="71AEC7C5">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16"/>
                <w:kern w:val="21"/>
                <w:szCs w:val="21"/>
                <w:highlight w:val="none"/>
              </w:rPr>
            </w:pPr>
            <w:r>
              <w:rPr>
                <w:rFonts w:hint="eastAsia" w:ascii="黑体" w:hAnsi="黑体" w:eastAsia="黑体" w:cs="黑体"/>
                <w:b w:val="0"/>
                <w:bCs w:val="0"/>
                <w:snapToGrid w:val="0"/>
                <w:color w:val="auto"/>
                <w:spacing w:val="-16"/>
                <w:kern w:val="21"/>
                <w:szCs w:val="21"/>
                <w:highlight w:val="none"/>
              </w:rPr>
              <w:t>以新带老削减量</w:t>
            </w:r>
          </w:p>
          <w:p w14:paraId="7F4751E4">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16"/>
                <w:kern w:val="21"/>
                <w:szCs w:val="21"/>
                <w:highlight w:val="none"/>
              </w:rPr>
            </w:pPr>
            <w:r>
              <w:rPr>
                <w:rFonts w:hint="eastAsia" w:ascii="黑体" w:hAnsi="黑体" w:eastAsia="黑体" w:cs="黑体"/>
                <w:b w:val="0"/>
                <w:bCs w:val="0"/>
                <w:snapToGrid w:val="0"/>
                <w:color w:val="auto"/>
                <w:spacing w:val="-16"/>
                <w:kern w:val="21"/>
                <w:szCs w:val="21"/>
                <w:highlight w:val="none"/>
              </w:rPr>
              <w:t>（新建项目不填）</w:t>
            </w:r>
            <w:r>
              <w:rPr>
                <w:rFonts w:hint="eastAsia" w:ascii="黑体" w:hAnsi="黑体" w:eastAsia="黑体" w:cs="黑体"/>
                <w:b w:val="0"/>
                <w:bCs w:val="0"/>
                <w:snapToGrid w:val="0"/>
                <w:color w:val="auto"/>
                <w:spacing w:val="-16"/>
                <w:kern w:val="21"/>
                <w:szCs w:val="21"/>
                <w:highlight w:val="none"/>
              </w:rPr>
              <w:fldChar w:fldCharType="begin"/>
            </w:r>
            <w:r>
              <w:rPr>
                <w:rFonts w:hint="eastAsia" w:ascii="黑体" w:hAnsi="黑体" w:eastAsia="黑体" w:cs="黑体"/>
                <w:b w:val="0"/>
                <w:bCs w:val="0"/>
                <w:snapToGrid w:val="0"/>
                <w:color w:val="auto"/>
                <w:spacing w:val="-16"/>
                <w:kern w:val="21"/>
                <w:szCs w:val="21"/>
                <w:highlight w:val="none"/>
              </w:rPr>
              <w:instrText xml:space="preserve"> = 5 \* GB3 \* MERGEFORMAT </w:instrText>
            </w:r>
            <w:r>
              <w:rPr>
                <w:rFonts w:hint="eastAsia" w:ascii="黑体" w:hAnsi="黑体" w:eastAsia="黑体" w:cs="黑体"/>
                <w:b w:val="0"/>
                <w:bCs w:val="0"/>
                <w:snapToGrid w:val="0"/>
                <w:color w:val="auto"/>
                <w:spacing w:val="-16"/>
                <w:kern w:val="21"/>
                <w:szCs w:val="21"/>
                <w:highlight w:val="none"/>
              </w:rPr>
              <w:fldChar w:fldCharType="separate"/>
            </w:r>
            <w:r>
              <w:rPr>
                <w:rFonts w:hint="eastAsia" w:ascii="黑体" w:hAnsi="黑体" w:eastAsia="黑体" w:cs="黑体"/>
                <w:b w:val="0"/>
                <w:bCs w:val="0"/>
                <w:color w:val="auto"/>
                <w:kern w:val="2"/>
                <w:szCs w:val="21"/>
                <w:highlight w:val="none"/>
              </w:rPr>
              <w:t>⑤</w:t>
            </w:r>
            <w:r>
              <w:rPr>
                <w:rFonts w:hint="eastAsia" w:ascii="黑体" w:hAnsi="黑体" w:eastAsia="黑体" w:cs="黑体"/>
                <w:b w:val="0"/>
                <w:bCs w:val="0"/>
                <w:snapToGrid w:val="0"/>
                <w:color w:val="auto"/>
                <w:spacing w:val="-16"/>
                <w:kern w:val="21"/>
                <w:szCs w:val="21"/>
                <w:highlight w:val="none"/>
              </w:rPr>
              <w:fldChar w:fldCharType="end"/>
            </w:r>
          </w:p>
        </w:tc>
        <w:tc>
          <w:tcPr>
            <w:tcW w:w="589" w:type="pct"/>
            <w:tcMar>
              <w:left w:w="28" w:type="dxa"/>
              <w:right w:w="28" w:type="dxa"/>
            </w:tcMar>
            <w:vAlign w:val="center"/>
          </w:tcPr>
          <w:p w14:paraId="37950AE1">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16"/>
                <w:kern w:val="21"/>
                <w:szCs w:val="21"/>
                <w:highlight w:val="none"/>
              </w:rPr>
            </w:pPr>
            <w:r>
              <w:rPr>
                <w:rFonts w:hint="eastAsia" w:ascii="黑体" w:hAnsi="黑体" w:eastAsia="黑体" w:cs="黑体"/>
                <w:b w:val="0"/>
                <w:bCs w:val="0"/>
                <w:snapToGrid w:val="0"/>
                <w:color w:val="auto"/>
                <w:spacing w:val="-16"/>
                <w:kern w:val="21"/>
                <w:szCs w:val="21"/>
                <w:highlight w:val="none"/>
              </w:rPr>
              <w:t>本项目建成后全厂排放量（固体废物产生量）</w:t>
            </w:r>
            <w:r>
              <w:rPr>
                <w:rFonts w:hint="eastAsia" w:ascii="黑体" w:hAnsi="黑体" w:eastAsia="黑体" w:cs="黑体"/>
                <w:b w:val="0"/>
                <w:bCs w:val="0"/>
                <w:snapToGrid w:val="0"/>
                <w:color w:val="auto"/>
                <w:spacing w:val="-16"/>
                <w:kern w:val="21"/>
                <w:szCs w:val="21"/>
                <w:highlight w:val="none"/>
              </w:rPr>
              <w:fldChar w:fldCharType="begin"/>
            </w:r>
            <w:r>
              <w:rPr>
                <w:rFonts w:hint="eastAsia" w:ascii="黑体" w:hAnsi="黑体" w:eastAsia="黑体" w:cs="黑体"/>
                <w:b w:val="0"/>
                <w:bCs w:val="0"/>
                <w:snapToGrid w:val="0"/>
                <w:color w:val="auto"/>
                <w:spacing w:val="-16"/>
                <w:kern w:val="21"/>
                <w:szCs w:val="21"/>
                <w:highlight w:val="none"/>
              </w:rPr>
              <w:instrText xml:space="preserve"> = 6 \* GB3 \* MERGEFORMAT </w:instrText>
            </w:r>
            <w:r>
              <w:rPr>
                <w:rFonts w:hint="eastAsia" w:ascii="黑体" w:hAnsi="黑体" w:eastAsia="黑体" w:cs="黑体"/>
                <w:b w:val="0"/>
                <w:bCs w:val="0"/>
                <w:snapToGrid w:val="0"/>
                <w:color w:val="auto"/>
                <w:spacing w:val="-16"/>
                <w:kern w:val="21"/>
                <w:szCs w:val="21"/>
                <w:highlight w:val="none"/>
              </w:rPr>
              <w:fldChar w:fldCharType="separate"/>
            </w:r>
            <w:r>
              <w:rPr>
                <w:rFonts w:hint="eastAsia" w:ascii="黑体" w:hAnsi="黑体" w:eastAsia="黑体" w:cs="黑体"/>
                <w:b w:val="0"/>
                <w:bCs w:val="0"/>
                <w:color w:val="auto"/>
                <w:kern w:val="2"/>
                <w:szCs w:val="21"/>
                <w:highlight w:val="none"/>
              </w:rPr>
              <w:t>⑥</w:t>
            </w:r>
            <w:r>
              <w:rPr>
                <w:rFonts w:hint="eastAsia" w:ascii="黑体" w:hAnsi="黑体" w:eastAsia="黑体" w:cs="黑体"/>
                <w:b w:val="0"/>
                <w:bCs w:val="0"/>
                <w:snapToGrid w:val="0"/>
                <w:color w:val="auto"/>
                <w:spacing w:val="-16"/>
                <w:kern w:val="21"/>
                <w:szCs w:val="21"/>
                <w:highlight w:val="none"/>
              </w:rPr>
              <w:fldChar w:fldCharType="end"/>
            </w:r>
          </w:p>
        </w:tc>
        <w:tc>
          <w:tcPr>
            <w:tcW w:w="482" w:type="pct"/>
            <w:tcMar>
              <w:left w:w="28" w:type="dxa"/>
              <w:right w:w="28" w:type="dxa"/>
            </w:tcMar>
            <w:vAlign w:val="center"/>
          </w:tcPr>
          <w:p w14:paraId="053E7734">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t>变化量</w:t>
            </w:r>
          </w:p>
          <w:p w14:paraId="379AD5D0">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黑体" w:hAnsi="黑体" w:eastAsia="黑体" w:cs="黑体"/>
                <w:b w:val="0"/>
                <w:bCs w:val="0"/>
                <w:snapToGrid w:val="0"/>
                <w:color w:val="auto"/>
                <w:spacing w:val="-6"/>
                <w:kern w:val="21"/>
                <w:szCs w:val="21"/>
                <w:highlight w:val="none"/>
              </w:rPr>
            </w:pPr>
            <w:r>
              <w:rPr>
                <w:rFonts w:hint="eastAsia" w:ascii="黑体" w:hAnsi="黑体" w:eastAsia="黑体" w:cs="黑体"/>
                <w:b w:val="0"/>
                <w:bCs w:val="0"/>
                <w:snapToGrid w:val="0"/>
                <w:color w:val="auto"/>
                <w:spacing w:val="-6"/>
                <w:kern w:val="21"/>
                <w:szCs w:val="21"/>
                <w:highlight w:val="none"/>
              </w:rPr>
              <w:fldChar w:fldCharType="begin"/>
            </w:r>
            <w:r>
              <w:rPr>
                <w:rFonts w:hint="eastAsia" w:ascii="黑体" w:hAnsi="黑体" w:eastAsia="黑体" w:cs="黑体"/>
                <w:b w:val="0"/>
                <w:bCs w:val="0"/>
                <w:snapToGrid w:val="0"/>
                <w:color w:val="auto"/>
                <w:spacing w:val="-6"/>
                <w:kern w:val="21"/>
                <w:szCs w:val="21"/>
                <w:highlight w:val="none"/>
              </w:rPr>
              <w:instrText xml:space="preserve"> = 7 \* GB3 \* MERGEFORMAT </w:instrText>
            </w:r>
            <w:r>
              <w:rPr>
                <w:rFonts w:hint="eastAsia" w:ascii="黑体" w:hAnsi="黑体" w:eastAsia="黑体" w:cs="黑体"/>
                <w:b w:val="0"/>
                <w:bCs w:val="0"/>
                <w:snapToGrid w:val="0"/>
                <w:color w:val="auto"/>
                <w:spacing w:val="-6"/>
                <w:kern w:val="21"/>
                <w:szCs w:val="21"/>
                <w:highlight w:val="none"/>
              </w:rPr>
              <w:fldChar w:fldCharType="separate"/>
            </w:r>
            <w:r>
              <w:rPr>
                <w:rFonts w:hint="eastAsia" w:ascii="黑体" w:hAnsi="黑体" w:eastAsia="黑体" w:cs="黑体"/>
                <w:b w:val="0"/>
                <w:bCs w:val="0"/>
                <w:color w:val="auto"/>
                <w:kern w:val="2"/>
                <w:szCs w:val="21"/>
                <w:highlight w:val="none"/>
              </w:rPr>
              <w:t>⑦</w:t>
            </w:r>
            <w:r>
              <w:rPr>
                <w:rFonts w:hint="eastAsia" w:ascii="黑体" w:hAnsi="黑体" w:eastAsia="黑体" w:cs="黑体"/>
                <w:b w:val="0"/>
                <w:bCs w:val="0"/>
                <w:snapToGrid w:val="0"/>
                <w:color w:val="auto"/>
                <w:spacing w:val="-6"/>
                <w:kern w:val="21"/>
                <w:szCs w:val="21"/>
                <w:highlight w:val="none"/>
              </w:rPr>
              <w:fldChar w:fldCharType="end"/>
            </w:r>
          </w:p>
        </w:tc>
      </w:tr>
      <w:tr w14:paraId="7C23F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restart"/>
            <w:vAlign w:val="center"/>
          </w:tcPr>
          <w:p w14:paraId="07D66644">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r>
              <w:rPr>
                <w:rFonts w:hint="default" w:ascii="Times New Roman" w:hAnsi="Times New Roman" w:eastAsia="宋体" w:cs="Times New Roman"/>
                <w:b w:val="0"/>
                <w:bCs w:val="0"/>
                <w:snapToGrid w:val="0"/>
                <w:color w:val="auto"/>
                <w:kern w:val="21"/>
                <w:szCs w:val="21"/>
                <w:highlight w:val="none"/>
              </w:rPr>
              <w:t>废气</w:t>
            </w:r>
          </w:p>
        </w:tc>
        <w:tc>
          <w:tcPr>
            <w:tcW w:w="546" w:type="pct"/>
            <w:vAlign w:val="center"/>
          </w:tcPr>
          <w:p w14:paraId="5F1E1A75">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粉尘</w:t>
            </w:r>
          </w:p>
        </w:tc>
        <w:tc>
          <w:tcPr>
            <w:tcW w:w="603" w:type="pct"/>
            <w:vAlign w:val="center"/>
          </w:tcPr>
          <w:p w14:paraId="2BB7BA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color w:val="auto"/>
                <w:spacing w:val="0"/>
                <w:kern w:val="2"/>
                <w:sz w:val="21"/>
                <w:szCs w:val="21"/>
                <w:highlight w:val="none"/>
                <w:vertAlign w:val="baseline"/>
                <w:lang w:val="en-US" w:eastAsia="zh-CN" w:bidi="ar-SA"/>
              </w:rPr>
              <w:t>0.026</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62" w:type="pct"/>
            <w:vAlign w:val="center"/>
          </w:tcPr>
          <w:p w14:paraId="3F41EB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color w:val="auto"/>
                <w:spacing w:val="0"/>
                <w:kern w:val="2"/>
                <w:sz w:val="21"/>
                <w:szCs w:val="21"/>
                <w:highlight w:val="none"/>
                <w:vertAlign w:val="baseline"/>
                <w:lang w:val="en-US" w:eastAsia="zh-CN" w:bidi="ar-SA"/>
              </w:rPr>
              <w:t>2.58</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609" w:type="pct"/>
            <w:vAlign w:val="center"/>
          </w:tcPr>
          <w:p w14:paraId="7ECFAD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olor w:val="auto"/>
                <w:kern w:val="0"/>
                <w:szCs w:val="21"/>
                <w:highlight w:val="none"/>
                <w:lang w:val="en-US" w:eastAsia="zh-CN" w:bidi="ar"/>
              </w:rPr>
              <w:t>0</w:t>
            </w:r>
          </w:p>
        </w:tc>
        <w:tc>
          <w:tcPr>
            <w:tcW w:w="554" w:type="pct"/>
            <w:vAlign w:val="center"/>
          </w:tcPr>
          <w:p w14:paraId="7379A1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olor w:val="auto"/>
                <w:kern w:val="0"/>
                <w:szCs w:val="21"/>
                <w:highlight w:val="none"/>
                <w:lang w:val="en-US" w:eastAsia="zh-CN" w:bidi="ar"/>
              </w:rPr>
              <w:t>6.183</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647" w:type="pct"/>
            <w:vAlign w:val="center"/>
          </w:tcPr>
          <w:p w14:paraId="613FD9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val="0"/>
                <w:snapToGrid w:val="0"/>
                <w:color w:val="auto"/>
                <w:kern w:val="21"/>
                <w:szCs w:val="21"/>
                <w:highlight w:val="none"/>
                <w:lang w:val="en-US" w:eastAsia="zh-CN"/>
              </w:rPr>
              <w:t>0</w:t>
            </w:r>
          </w:p>
        </w:tc>
        <w:tc>
          <w:tcPr>
            <w:tcW w:w="589" w:type="pct"/>
            <w:vAlign w:val="center"/>
          </w:tcPr>
          <w:p w14:paraId="6C7956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olor w:val="auto"/>
                <w:kern w:val="0"/>
                <w:szCs w:val="21"/>
                <w:highlight w:val="none"/>
                <w:lang w:val="en-US" w:eastAsia="zh-CN" w:bidi="ar"/>
              </w:rPr>
              <w:t>6.209</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82" w:type="pct"/>
            <w:vAlign w:val="center"/>
          </w:tcPr>
          <w:p w14:paraId="77911B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color w:val="auto"/>
                <w:kern w:val="0"/>
                <w:szCs w:val="21"/>
                <w:highlight w:val="none"/>
                <w:lang w:val="en-US" w:eastAsia="zh-CN" w:bidi="ar"/>
              </w:rPr>
              <w:t>6.183</w:t>
            </w:r>
            <w:r>
              <w:rPr>
                <w:rFonts w:hint="default" w:ascii="Times New Roman" w:hAnsi="Times New Roman" w:eastAsia="宋体" w:cs="Times New Roman"/>
                <w:b w:val="0"/>
                <w:bCs w:val="0"/>
                <w:snapToGrid w:val="0"/>
                <w:color w:val="auto"/>
                <w:kern w:val="21"/>
                <w:szCs w:val="21"/>
                <w:highlight w:val="none"/>
                <w:lang w:val="en-US" w:eastAsia="zh-CN"/>
              </w:rPr>
              <w:t>t/a</w:t>
            </w:r>
          </w:p>
        </w:tc>
      </w:tr>
      <w:tr w14:paraId="785609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369444A7">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5BE6922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cs="Times New Roman"/>
                <w:b w:val="0"/>
                <w:bCs w:val="0"/>
                <w:snapToGrid w:val="0"/>
                <w:color w:val="auto"/>
                <w:kern w:val="21"/>
                <w:szCs w:val="21"/>
                <w:highlight w:val="none"/>
                <w:lang w:val="en-US" w:eastAsia="zh-CN"/>
              </w:rPr>
              <w:t>SO</w:t>
            </w:r>
            <w:r>
              <w:rPr>
                <w:rFonts w:hint="eastAsia" w:ascii="Times New Roman" w:cs="Times New Roman"/>
                <w:b w:val="0"/>
                <w:bCs w:val="0"/>
                <w:snapToGrid w:val="0"/>
                <w:color w:val="auto"/>
                <w:kern w:val="21"/>
                <w:szCs w:val="21"/>
                <w:highlight w:val="none"/>
                <w:vertAlign w:val="subscript"/>
                <w:lang w:val="en-US" w:eastAsia="zh-CN"/>
              </w:rPr>
              <w:t>2</w:t>
            </w:r>
          </w:p>
        </w:tc>
        <w:tc>
          <w:tcPr>
            <w:tcW w:w="603" w:type="pct"/>
            <w:vAlign w:val="center"/>
          </w:tcPr>
          <w:p w14:paraId="5AB8DE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olor w:val="auto"/>
                <w:kern w:val="0"/>
                <w:szCs w:val="21"/>
                <w:highlight w:val="none"/>
                <w:lang w:val="en-US" w:eastAsia="zh-CN" w:bidi="ar"/>
              </w:rPr>
              <w:t>0</w:t>
            </w:r>
          </w:p>
        </w:tc>
        <w:tc>
          <w:tcPr>
            <w:tcW w:w="462" w:type="pct"/>
            <w:vAlign w:val="center"/>
          </w:tcPr>
          <w:p w14:paraId="1862AC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olor w:val="auto"/>
                <w:kern w:val="0"/>
                <w:szCs w:val="21"/>
                <w:highlight w:val="none"/>
                <w:lang w:val="en-US" w:eastAsia="zh-CN" w:bidi="ar"/>
              </w:rPr>
              <w:t>0</w:t>
            </w:r>
          </w:p>
        </w:tc>
        <w:tc>
          <w:tcPr>
            <w:tcW w:w="609" w:type="pct"/>
            <w:vAlign w:val="center"/>
          </w:tcPr>
          <w:p w14:paraId="231E77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olor w:val="auto"/>
                <w:kern w:val="0"/>
                <w:szCs w:val="21"/>
                <w:highlight w:val="none"/>
                <w:lang w:val="en-US" w:eastAsia="zh-CN" w:bidi="ar"/>
              </w:rPr>
              <w:t>0</w:t>
            </w:r>
          </w:p>
        </w:tc>
        <w:tc>
          <w:tcPr>
            <w:tcW w:w="554" w:type="pct"/>
            <w:vAlign w:val="center"/>
          </w:tcPr>
          <w:p w14:paraId="68F9C8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cs="Times New Roman"/>
                <w:color w:val="auto"/>
                <w:kern w:val="0"/>
                <w:szCs w:val="21"/>
                <w:highlight w:val="none"/>
                <w:lang w:val="en-US" w:eastAsia="zh-CN" w:bidi="ar"/>
              </w:rPr>
            </w:pPr>
            <w:r>
              <w:rPr>
                <w:rFonts w:hint="eastAsia"/>
                <w:color w:val="auto"/>
                <w:sz w:val="21"/>
                <w:szCs w:val="21"/>
                <w:highlight w:val="none"/>
                <w:vertAlign w:val="baseline"/>
                <w:lang w:val="en-US" w:eastAsia="zh-CN"/>
              </w:rPr>
              <w:t>0.131</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647" w:type="pct"/>
            <w:vAlign w:val="center"/>
          </w:tcPr>
          <w:p w14:paraId="41AE40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2F8586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color w:val="auto"/>
                <w:kern w:val="0"/>
                <w:szCs w:val="21"/>
                <w:highlight w:val="none"/>
                <w:lang w:val="en-US" w:eastAsia="zh-CN" w:bidi="ar"/>
              </w:rPr>
            </w:pPr>
            <w:r>
              <w:rPr>
                <w:rFonts w:hint="eastAsia"/>
                <w:color w:val="auto"/>
                <w:sz w:val="21"/>
                <w:szCs w:val="21"/>
                <w:highlight w:val="none"/>
                <w:vertAlign w:val="baseline"/>
                <w:lang w:val="en-US" w:eastAsia="zh-CN"/>
              </w:rPr>
              <w:t>0.131</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82" w:type="pct"/>
            <w:vAlign w:val="center"/>
          </w:tcPr>
          <w:p w14:paraId="47A2A2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color w:val="auto"/>
                <w:sz w:val="21"/>
                <w:szCs w:val="21"/>
                <w:highlight w:val="none"/>
                <w:vertAlign w:val="baseline"/>
                <w:lang w:val="en-US" w:eastAsia="zh-CN"/>
              </w:rPr>
              <w:t>0.131</w:t>
            </w:r>
            <w:r>
              <w:rPr>
                <w:rFonts w:hint="default" w:ascii="Times New Roman" w:hAnsi="Times New Roman" w:eastAsia="宋体" w:cs="Times New Roman"/>
                <w:b w:val="0"/>
                <w:bCs w:val="0"/>
                <w:snapToGrid w:val="0"/>
                <w:color w:val="auto"/>
                <w:kern w:val="21"/>
                <w:szCs w:val="21"/>
                <w:highlight w:val="none"/>
                <w:lang w:val="en-US" w:eastAsia="zh-CN"/>
              </w:rPr>
              <w:t>t/a</w:t>
            </w:r>
          </w:p>
        </w:tc>
      </w:tr>
      <w:tr w14:paraId="5486D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50621AF6">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0E53FD9F">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cs="Times New Roman"/>
                <w:b w:val="0"/>
                <w:bCs w:val="0"/>
                <w:snapToGrid w:val="0"/>
                <w:color w:val="auto"/>
                <w:kern w:val="21"/>
                <w:szCs w:val="21"/>
                <w:highlight w:val="none"/>
                <w:lang w:val="en-US" w:eastAsia="zh-CN"/>
              </w:rPr>
              <w:t>NOx</w:t>
            </w:r>
          </w:p>
        </w:tc>
        <w:tc>
          <w:tcPr>
            <w:tcW w:w="603" w:type="pct"/>
            <w:vAlign w:val="center"/>
          </w:tcPr>
          <w:p w14:paraId="42F25B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olor w:val="auto"/>
                <w:kern w:val="0"/>
                <w:szCs w:val="21"/>
                <w:highlight w:val="none"/>
                <w:lang w:val="en-US" w:eastAsia="zh-CN" w:bidi="ar"/>
              </w:rPr>
              <w:t>0</w:t>
            </w:r>
          </w:p>
        </w:tc>
        <w:tc>
          <w:tcPr>
            <w:tcW w:w="462" w:type="pct"/>
            <w:vAlign w:val="center"/>
          </w:tcPr>
          <w:p w14:paraId="2CDD3E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olor w:val="auto"/>
                <w:kern w:val="0"/>
                <w:szCs w:val="21"/>
                <w:highlight w:val="none"/>
                <w:lang w:val="en-US" w:eastAsia="zh-CN" w:bidi="ar"/>
              </w:rPr>
              <w:t>0</w:t>
            </w:r>
          </w:p>
        </w:tc>
        <w:tc>
          <w:tcPr>
            <w:tcW w:w="609" w:type="pct"/>
            <w:vAlign w:val="center"/>
          </w:tcPr>
          <w:p w14:paraId="4F5B20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olor w:val="auto"/>
                <w:kern w:val="0"/>
                <w:szCs w:val="21"/>
                <w:highlight w:val="none"/>
                <w:lang w:val="en-US" w:eastAsia="zh-CN" w:bidi="ar"/>
              </w:rPr>
              <w:t>0</w:t>
            </w:r>
          </w:p>
        </w:tc>
        <w:tc>
          <w:tcPr>
            <w:tcW w:w="554" w:type="pct"/>
            <w:vAlign w:val="center"/>
          </w:tcPr>
          <w:p w14:paraId="6B8683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cs="Times New Roman"/>
                <w:color w:val="auto"/>
                <w:kern w:val="0"/>
                <w:szCs w:val="21"/>
                <w:highlight w:val="none"/>
                <w:lang w:val="en-US" w:eastAsia="zh-CN" w:bidi="ar"/>
              </w:rPr>
            </w:pPr>
            <w:r>
              <w:rPr>
                <w:rFonts w:hint="eastAsia"/>
                <w:color w:val="auto"/>
                <w:sz w:val="21"/>
                <w:szCs w:val="21"/>
                <w:highlight w:val="none"/>
                <w:vertAlign w:val="baseline"/>
                <w:lang w:val="en-US" w:eastAsia="zh-CN"/>
              </w:rPr>
              <w:t>3.06</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647" w:type="pct"/>
            <w:vAlign w:val="center"/>
          </w:tcPr>
          <w:p w14:paraId="70A5D0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375974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color w:val="auto"/>
                <w:kern w:val="0"/>
                <w:szCs w:val="21"/>
                <w:highlight w:val="none"/>
                <w:lang w:val="en-US" w:eastAsia="zh-CN" w:bidi="ar"/>
              </w:rPr>
            </w:pPr>
            <w:r>
              <w:rPr>
                <w:rFonts w:hint="eastAsia"/>
                <w:color w:val="auto"/>
                <w:sz w:val="21"/>
                <w:szCs w:val="21"/>
                <w:highlight w:val="none"/>
                <w:vertAlign w:val="baseline"/>
                <w:lang w:val="en-US" w:eastAsia="zh-CN"/>
              </w:rPr>
              <w:t>3.06</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82" w:type="pct"/>
            <w:vAlign w:val="center"/>
          </w:tcPr>
          <w:p w14:paraId="4E8E82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color w:val="auto"/>
                <w:sz w:val="21"/>
                <w:szCs w:val="21"/>
                <w:highlight w:val="none"/>
                <w:vertAlign w:val="baseline"/>
                <w:lang w:val="en-US" w:eastAsia="zh-CN"/>
              </w:rPr>
              <w:t>3.06</w:t>
            </w:r>
            <w:r>
              <w:rPr>
                <w:rFonts w:hint="default" w:ascii="Times New Roman" w:hAnsi="Times New Roman" w:eastAsia="宋体" w:cs="Times New Roman"/>
                <w:b w:val="0"/>
                <w:bCs w:val="0"/>
                <w:snapToGrid w:val="0"/>
                <w:color w:val="auto"/>
                <w:kern w:val="21"/>
                <w:szCs w:val="21"/>
                <w:highlight w:val="none"/>
                <w:lang w:val="en-US" w:eastAsia="zh-CN"/>
              </w:rPr>
              <w:t>t/a</w:t>
            </w:r>
          </w:p>
        </w:tc>
      </w:tr>
      <w:tr w14:paraId="73EC89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restart"/>
            <w:vAlign w:val="center"/>
          </w:tcPr>
          <w:p w14:paraId="5E23508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r>
              <w:rPr>
                <w:rFonts w:hint="default" w:ascii="Times New Roman" w:hAnsi="Times New Roman" w:eastAsia="宋体" w:cs="Times New Roman"/>
                <w:b w:val="0"/>
                <w:bCs w:val="0"/>
                <w:snapToGrid w:val="0"/>
                <w:color w:val="auto"/>
                <w:kern w:val="21"/>
                <w:szCs w:val="21"/>
                <w:highlight w:val="none"/>
              </w:rPr>
              <w:t>废水</w:t>
            </w:r>
          </w:p>
        </w:tc>
        <w:tc>
          <w:tcPr>
            <w:tcW w:w="546" w:type="pct"/>
            <w:vAlign w:val="center"/>
          </w:tcPr>
          <w:p w14:paraId="64CB5C2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COD</w:t>
            </w:r>
          </w:p>
        </w:tc>
        <w:tc>
          <w:tcPr>
            <w:tcW w:w="603" w:type="pct"/>
            <w:vAlign w:val="center"/>
          </w:tcPr>
          <w:p w14:paraId="561A51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462" w:type="pct"/>
            <w:vAlign w:val="center"/>
          </w:tcPr>
          <w:p w14:paraId="7ED8B3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609" w:type="pct"/>
            <w:vAlign w:val="center"/>
          </w:tcPr>
          <w:p w14:paraId="7EB0F6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554" w:type="pct"/>
            <w:vAlign w:val="center"/>
          </w:tcPr>
          <w:p w14:paraId="1C4A8C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647" w:type="pct"/>
            <w:vAlign w:val="center"/>
          </w:tcPr>
          <w:p w14:paraId="57C13A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589" w:type="pct"/>
            <w:vAlign w:val="center"/>
          </w:tcPr>
          <w:p w14:paraId="2D8BA5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482" w:type="pct"/>
            <w:vAlign w:val="center"/>
          </w:tcPr>
          <w:p w14:paraId="2F7375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r>
      <w:tr w14:paraId="5DBC3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0FD1FE57">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3751F5D2">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氨氮</w:t>
            </w:r>
          </w:p>
        </w:tc>
        <w:tc>
          <w:tcPr>
            <w:tcW w:w="603" w:type="pct"/>
            <w:vAlign w:val="center"/>
          </w:tcPr>
          <w:p w14:paraId="56A9EA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462" w:type="pct"/>
            <w:vAlign w:val="center"/>
          </w:tcPr>
          <w:p w14:paraId="7CB65E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609" w:type="pct"/>
            <w:vAlign w:val="center"/>
          </w:tcPr>
          <w:p w14:paraId="39A400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554" w:type="pct"/>
            <w:vAlign w:val="center"/>
          </w:tcPr>
          <w:p w14:paraId="52B9FA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647" w:type="pct"/>
            <w:vAlign w:val="center"/>
          </w:tcPr>
          <w:p w14:paraId="4D8894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589" w:type="pct"/>
            <w:vAlign w:val="center"/>
          </w:tcPr>
          <w:p w14:paraId="07783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c>
          <w:tcPr>
            <w:tcW w:w="482" w:type="pct"/>
            <w:vAlign w:val="center"/>
          </w:tcPr>
          <w:p w14:paraId="0EB0C9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Cs w:val="21"/>
                <w:highlight w:val="none"/>
                <w:lang w:val="en-US" w:eastAsia="zh-CN"/>
              </w:rPr>
              <w:t>//</w:t>
            </w:r>
          </w:p>
        </w:tc>
      </w:tr>
      <w:tr w14:paraId="7D89C2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restart"/>
            <w:vAlign w:val="center"/>
          </w:tcPr>
          <w:p w14:paraId="7B514F64">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r>
              <w:rPr>
                <w:rFonts w:hint="default" w:ascii="Times New Roman" w:hAnsi="Times New Roman" w:eastAsia="宋体" w:cs="Times New Roman"/>
                <w:b w:val="0"/>
                <w:bCs w:val="0"/>
                <w:snapToGrid w:val="0"/>
                <w:color w:val="auto"/>
                <w:kern w:val="21"/>
                <w:szCs w:val="21"/>
                <w:highlight w:val="none"/>
              </w:rPr>
              <w:t>一般工业</w:t>
            </w:r>
          </w:p>
          <w:p w14:paraId="0B56CECE">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r>
              <w:rPr>
                <w:rFonts w:hint="default" w:ascii="Times New Roman" w:hAnsi="Times New Roman" w:eastAsia="宋体" w:cs="Times New Roman"/>
                <w:b w:val="0"/>
                <w:bCs w:val="0"/>
                <w:snapToGrid w:val="0"/>
                <w:color w:val="auto"/>
                <w:kern w:val="21"/>
                <w:szCs w:val="21"/>
                <w:highlight w:val="none"/>
              </w:rPr>
              <w:t>固体废物</w:t>
            </w:r>
          </w:p>
        </w:tc>
        <w:tc>
          <w:tcPr>
            <w:tcW w:w="546" w:type="pct"/>
            <w:vAlign w:val="center"/>
          </w:tcPr>
          <w:p w14:paraId="2C103633">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除尘灰</w:t>
            </w:r>
          </w:p>
        </w:tc>
        <w:tc>
          <w:tcPr>
            <w:tcW w:w="603" w:type="pct"/>
            <w:vAlign w:val="center"/>
          </w:tcPr>
          <w:p w14:paraId="451F23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514.017</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62" w:type="pct"/>
            <w:vAlign w:val="center"/>
          </w:tcPr>
          <w:p w14:paraId="406859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rPr>
            </w:pPr>
            <w:r>
              <w:rPr>
                <w:rFonts w:hint="eastAsia" w:cs="Times New Roman"/>
                <w:b w:val="0"/>
                <w:bCs w:val="0"/>
                <w:snapToGrid w:val="0"/>
                <w:color w:val="auto"/>
                <w:kern w:val="21"/>
                <w:szCs w:val="21"/>
                <w:highlight w:val="none"/>
                <w:lang w:val="en-US" w:eastAsia="zh-CN"/>
              </w:rPr>
              <w:t>0</w:t>
            </w:r>
          </w:p>
        </w:tc>
        <w:tc>
          <w:tcPr>
            <w:tcW w:w="609" w:type="pct"/>
            <w:vAlign w:val="center"/>
          </w:tcPr>
          <w:p w14:paraId="426B60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val="0"/>
                <w:snapToGrid w:val="0"/>
                <w:color w:val="auto"/>
                <w:kern w:val="21"/>
                <w:szCs w:val="21"/>
                <w:highlight w:val="none"/>
                <w:lang w:val="en-US" w:eastAsia="zh-CN"/>
              </w:rPr>
              <w:t>0</w:t>
            </w:r>
          </w:p>
        </w:tc>
        <w:tc>
          <w:tcPr>
            <w:tcW w:w="554" w:type="pct"/>
            <w:vAlign w:val="center"/>
          </w:tcPr>
          <w:p w14:paraId="2356A7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color w:val="auto"/>
                <w:sz w:val="21"/>
                <w:szCs w:val="21"/>
                <w:highlight w:val="none"/>
                <w:lang w:val="en-US" w:eastAsia="zh-CN"/>
              </w:rPr>
              <w:t>75.81</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647" w:type="pct"/>
            <w:vAlign w:val="center"/>
          </w:tcPr>
          <w:p w14:paraId="28E3D4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rPr>
            </w:pPr>
            <w:r>
              <w:rPr>
                <w:rFonts w:hint="eastAsia" w:cs="Times New Roman"/>
                <w:b w:val="0"/>
                <w:bCs w:val="0"/>
                <w:snapToGrid w:val="0"/>
                <w:color w:val="auto"/>
                <w:kern w:val="21"/>
                <w:szCs w:val="21"/>
                <w:highlight w:val="none"/>
                <w:lang w:val="en-US" w:eastAsia="zh-CN"/>
              </w:rPr>
              <w:t>0</w:t>
            </w:r>
          </w:p>
        </w:tc>
        <w:tc>
          <w:tcPr>
            <w:tcW w:w="589" w:type="pct"/>
            <w:vAlign w:val="center"/>
          </w:tcPr>
          <w:p w14:paraId="178BF6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color w:val="auto"/>
                <w:sz w:val="21"/>
                <w:szCs w:val="21"/>
                <w:highlight w:val="none"/>
                <w:lang w:val="en-US" w:eastAsia="zh-CN"/>
              </w:rPr>
              <w:t>589.827</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82" w:type="pct"/>
            <w:vAlign w:val="center"/>
          </w:tcPr>
          <w:p w14:paraId="06CE95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cs="Times New Roman"/>
                <w:color w:val="auto"/>
                <w:sz w:val="21"/>
                <w:szCs w:val="21"/>
                <w:highlight w:val="none"/>
                <w:lang w:val="en-US" w:eastAsia="zh-CN"/>
              </w:rPr>
              <w:t>75.81</w:t>
            </w:r>
            <w:r>
              <w:rPr>
                <w:rFonts w:hint="default" w:ascii="Times New Roman" w:hAnsi="Times New Roman" w:eastAsia="宋体" w:cs="Times New Roman"/>
                <w:b w:val="0"/>
                <w:bCs w:val="0"/>
                <w:snapToGrid w:val="0"/>
                <w:color w:val="auto"/>
                <w:kern w:val="21"/>
                <w:szCs w:val="21"/>
                <w:highlight w:val="none"/>
                <w:lang w:val="en-US" w:eastAsia="zh-CN"/>
              </w:rPr>
              <w:t>t/a</w:t>
            </w:r>
          </w:p>
        </w:tc>
      </w:tr>
      <w:tr w14:paraId="72485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45E61B62">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74466E17">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ascii="Times New Roman" w:cs="Times New Roman"/>
                <w:b w:val="0"/>
                <w:bCs w:val="0"/>
                <w:snapToGrid w:val="0"/>
                <w:color w:val="auto"/>
                <w:kern w:val="21"/>
                <w:sz w:val="21"/>
                <w:szCs w:val="21"/>
                <w:highlight w:val="none"/>
                <w:lang w:val="en-US" w:eastAsia="zh-CN" w:bidi="ar-SA"/>
              </w:rPr>
              <w:t>废边角料</w:t>
            </w:r>
          </w:p>
        </w:tc>
        <w:tc>
          <w:tcPr>
            <w:tcW w:w="603" w:type="pct"/>
            <w:vAlign w:val="center"/>
          </w:tcPr>
          <w:p w14:paraId="150656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462" w:type="pct"/>
            <w:vAlign w:val="center"/>
          </w:tcPr>
          <w:p w14:paraId="08B390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09" w:type="pct"/>
            <w:vAlign w:val="center"/>
          </w:tcPr>
          <w:p w14:paraId="1AAFF8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54" w:type="pct"/>
            <w:vAlign w:val="center"/>
          </w:tcPr>
          <w:p w14:paraId="5CC70B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b w:val="0"/>
                <w:bCs w:val="0"/>
                <w:color w:val="auto"/>
                <w:spacing w:val="0"/>
                <w:kern w:val="2"/>
                <w:sz w:val="21"/>
                <w:szCs w:val="21"/>
                <w:highlight w:val="none"/>
                <w:vertAlign w:val="baseline"/>
                <w:lang w:val="en-US" w:eastAsia="zh-CN" w:bidi="ar-SA"/>
              </w:rPr>
              <w:t>2924.19</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647" w:type="pct"/>
            <w:vAlign w:val="center"/>
          </w:tcPr>
          <w:p w14:paraId="585575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34309E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color w:val="auto"/>
                <w:sz w:val="21"/>
                <w:szCs w:val="21"/>
                <w:highlight w:val="none"/>
                <w:lang w:val="en-US" w:eastAsia="zh-CN"/>
              </w:rPr>
            </w:pPr>
            <w:r>
              <w:rPr>
                <w:rFonts w:hint="eastAsia" w:cs="Times New Roman"/>
                <w:b w:val="0"/>
                <w:bCs w:val="0"/>
                <w:color w:val="auto"/>
                <w:spacing w:val="0"/>
                <w:kern w:val="2"/>
                <w:sz w:val="21"/>
                <w:szCs w:val="21"/>
                <w:highlight w:val="none"/>
                <w:vertAlign w:val="baseline"/>
                <w:lang w:val="en-US" w:eastAsia="zh-CN" w:bidi="ar-SA"/>
              </w:rPr>
              <w:t>2924.19</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482" w:type="pct"/>
            <w:vAlign w:val="center"/>
          </w:tcPr>
          <w:p w14:paraId="3F899F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cs="Times New Roman"/>
                <w:b w:val="0"/>
                <w:bCs w:val="0"/>
                <w:color w:val="auto"/>
                <w:spacing w:val="0"/>
                <w:kern w:val="2"/>
                <w:sz w:val="21"/>
                <w:szCs w:val="21"/>
                <w:highlight w:val="none"/>
                <w:vertAlign w:val="baseline"/>
                <w:lang w:val="en-US" w:eastAsia="zh-CN" w:bidi="ar-SA"/>
              </w:rPr>
              <w:t>2924.19</w:t>
            </w:r>
            <w:r>
              <w:rPr>
                <w:rFonts w:hint="default" w:ascii="Times New Roman" w:hAnsi="Times New Roman" w:eastAsia="宋体" w:cs="Times New Roman"/>
                <w:b w:val="0"/>
                <w:bCs w:val="0"/>
                <w:snapToGrid w:val="0"/>
                <w:color w:val="auto"/>
                <w:kern w:val="21"/>
                <w:szCs w:val="21"/>
                <w:highlight w:val="none"/>
                <w:lang w:val="en-US" w:eastAsia="zh-CN"/>
              </w:rPr>
              <w:t>t/a</w:t>
            </w:r>
          </w:p>
        </w:tc>
      </w:tr>
      <w:tr w14:paraId="45035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7EF6A90B">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525832E6">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imes New Roman" w:cs="Times New Roman"/>
                <w:b w:val="0"/>
                <w:bCs w:val="0"/>
                <w:snapToGrid w:val="0"/>
                <w:color w:val="auto"/>
                <w:kern w:val="21"/>
                <w:sz w:val="21"/>
                <w:szCs w:val="21"/>
                <w:highlight w:val="none"/>
                <w:lang w:val="en-US" w:eastAsia="zh-CN" w:bidi="ar-SA"/>
              </w:rPr>
            </w:pPr>
            <w:r>
              <w:rPr>
                <w:rFonts w:hint="eastAsia" w:ascii="Times New Roman" w:cs="Times New Roman"/>
                <w:b w:val="0"/>
                <w:bCs w:val="0"/>
                <w:snapToGrid w:val="0"/>
                <w:color w:val="auto"/>
                <w:kern w:val="21"/>
                <w:sz w:val="21"/>
                <w:szCs w:val="21"/>
                <w:highlight w:val="none"/>
                <w:lang w:val="en-US" w:eastAsia="zh-CN" w:bidi="ar-SA"/>
              </w:rPr>
              <w:t>渣土等非金属夹杂物</w:t>
            </w:r>
          </w:p>
        </w:tc>
        <w:tc>
          <w:tcPr>
            <w:tcW w:w="603" w:type="pct"/>
            <w:vAlign w:val="center"/>
          </w:tcPr>
          <w:p w14:paraId="3646CF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20t/a</w:t>
            </w:r>
          </w:p>
        </w:tc>
        <w:tc>
          <w:tcPr>
            <w:tcW w:w="462" w:type="pct"/>
            <w:vAlign w:val="center"/>
          </w:tcPr>
          <w:p w14:paraId="372C87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09" w:type="pct"/>
            <w:vAlign w:val="center"/>
          </w:tcPr>
          <w:p w14:paraId="7542FB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54" w:type="pct"/>
            <w:vAlign w:val="center"/>
          </w:tcPr>
          <w:p w14:paraId="2147EC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47" w:type="pct"/>
            <w:vAlign w:val="center"/>
          </w:tcPr>
          <w:p w14:paraId="5C11AC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0AC617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20t/a</w:t>
            </w:r>
          </w:p>
        </w:tc>
        <w:tc>
          <w:tcPr>
            <w:tcW w:w="482" w:type="pct"/>
            <w:vAlign w:val="center"/>
          </w:tcPr>
          <w:p w14:paraId="3A638C93">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cs="Times New Roman"/>
                <w:b w:val="0"/>
                <w:bCs w:val="0"/>
                <w:snapToGrid w:val="0"/>
                <w:color w:val="auto"/>
                <w:kern w:val="21"/>
                <w:szCs w:val="21"/>
                <w:highlight w:val="none"/>
                <w:lang w:val="en-US" w:eastAsia="zh-CN"/>
              </w:rPr>
              <w:t>0</w:t>
            </w:r>
          </w:p>
        </w:tc>
      </w:tr>
      <w:tr w14:paraId="766B5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3282BDBA">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27A21CC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imes New Roman" w:cs="Times New Roman"/>
                <w:b w:val="0"/>
                <w:bCs w:val="0"/>
                <w:snapToGrid w:val="0"/>
                <w:color w:val="auto"/>
                <w:kern w:val="21"/>
                <w:sz w:val="21"/>
                <w:szCs w:val="21"/>
                <w:highlight w:val="none"/>
                <w:lang w:val="en-US" w:eastAsia="zh-CN" w:bidi="ar-SA"/>
              </w:rPr>
            </w:pPr>
            <w:r>
              <w:rPr>
                <w:rFonts w:hint="eastAsia" w:ascii="Times New Roman" w:cs="Times New Roman"/>
                <w:b w:val="0"/>
                <w:bCs w:val="0"/>
                <w:snapToGrid w:val="0"/>
                <w:color w:val="auto"/>
                <w:kern w:val="21"/>
                <w:sz w:val="21"/>
                <w:szCs w:val="21"/>
                <w:highlight w:val="none"/>
                <w:lang w:val="en-US" w:eastAsia="zh-CN" w:bidi="ar-SA"/>
              </w:rPr>
              <w:t>有色金属和塑料等杂质</w:t>
            </w:r>
          </w:p>
        </w:tc>
        <w:tc>
          <w:tcPr>
            <w:tcW w:w="603" w:type="pct"/>
            <w:vAlign w:val="center"/>
          </w:tcPr>
          <w:p w14:paraId="461855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200t/a</w:t>
            </w:r>
          </w:p>
        </w:tc>
        <w:tc>
          <w:tcPr>
            <w:tcW w:w="462" w:type="pct"/>
            <w:vAlign w:val="center"/>
          </w:tcPr>
          <w:p w14:paraId="157701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09" w:type="pct"/>
            <w:vAlign w:val="center"/>
          </w:tcPr>
          <w:p w14:paraId="31FB37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54" w:type="pct"/>
            <w:vAlign w:val="center"/>
          </w:tcPr>
          <w:p w14:paraId="27D320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47" w:type="pct"/>
            <w:vAlign w:val="center"/>
          </w:tcPr>
          <w:p w14:paraId="724F40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4E763D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200t/a</w:t>
            </w:r>
          </w:p>
        </w:tc>
        <w:tc>
          <w:tcPr>
            <w:tcW w:w="482" w:type="pct"/>
            <w:vAlign w:val="center"/>
          </w:tcPr>
          <w:p w14:paraId="4A4D94F4">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cs="Times New Roman"/>
                <w:b w:val="0"/>
                <w:bCs w:val="0"/>
                <w:snapToGrid w:val="0"/>
                <w:color w:val="auto"/>
                <w:kern w:val="21"/>
                <w:szCs w:val="21"/>
                <w:highlight w:val="none"/>
                <w:lang w:val="en-US" w:eastAsia="zh-CN"/>
              </w:rPr>
              <w:t>0</w:t>
            </w:r>
          </w:p>
        </w:tc>
      </w:tr>
      <w:tr w14:paraId="69EF3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restart"/>
            <w:vAlign w:val="center"/>
          </w:tcPr>
          <w:p w14:paraId="14051077">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r>
              <w:rPr>
                <w:rFonts w:hint="default" w:ascii="Times New Roman" w:hAnsi="Times New Roman" w:eastAsia="宋体" w:cs="Times New Roman"/>
                <w:b w:val="0"/>
                <w:bCs w:val="0"/>
                <w:snapToGrid w:val="0"/>
                <w:color w:val="auto"/>
                <w:kern w:val="21"/>
                <w:szCs w:val="21"/>
                <w:highlight w:val="none"/>
              </w:rPr>
              <w:t>危险废物</w:t>
            </w:r>
          </w:p>
        </w:tc>
        <w:tc>
          <w:tcPr>
            <w:tcW w:w="546" w:type="pct"/>
            <w:vAlign w:val="center"/>
          </w:tcPr>
          <w:p w14:paraId="05F5F969">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default" w:ascii="Times New Roman" w:hAnsi="Times New Roman" w:eastAsia="宋体" w:cs="Times New Roman"/>
                <w:b w:val="0"/>
                <w:bCs w:val="0"/>
                <w:snapToGrid w:val="0"/>
                <w:color w:val="auto"/>
                <w:kern w:val="21"/>
                <w:szCs w:val="21"/>
                <w:highlight w:val="none"/>
                <w:lang w:val="en-US" w:eastAsia="zh-CN"/>
              </w:rPr>
              <w:t>废矿物油</w:t>
            </w:r>
          </w:p>
        </w:tc>
        <w:tc>
          <w:tcPr>
            <w:tcW w:w="603" w:type="pct"/>
            <w:vAlign w:val="center"/>
          </w:tcPr>
          <w:p w14:paraId="790B53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val="0"/>
                <w:snapToGrid w:val="0"/>
                <w:color w:val="auto"/>
                <w:kern w:val="21"/>
                <w:szCs w:val="21"/>
                <w:highlight w:val="none"/>
                <w:lang w:val="en-US" w:eastAsia="zh-CN"/>
              </w:rPr>
              <w:t>0.5t/a</w:t>
            </w:r>
          </w:p>
        </w:tc>
        <w:tc>
          <w:tcPr>
            <w:tcW w:w="462" w:type="pct"/>
            <w:vAlign w:val="center"/>
          </w:tcPr>
          <w:p w14:paraId="64CE44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rPr>
            </w:pPr>
            <w:r>
              <w:rPr>
                <w:rFonts w:hint="eastAsia" w:cs="Times New Roman"/>
                <w:b w:val="0"/>
                <w:bCs w:val="0"/>
                <w:snapToGrid w:val="0"/>
                <w:color w:val="auto"/>
                <w:kern w:val="21"/>
                <w:szCs w:val="21"/>
                <w:highlight w:val="none"/>
                <w:lang w:val="en-US" w:eastAsia="zh-CN"/>
              </w:rPr>
              <w:t>0</w:t>
            </w:r>
          </w:p>
        </w:tc>
        <w:tc>
          <w:tcPr>
            <w:tcW w:w="609" w:type="pct"/>
            <w:vAlign w:val="center"/>
          </w:tcPr>
          <w:p w14:paraId="608F9E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1633" w:type="dxa"/>
            <w:vAlign w:val="center"/>
          </w:tcPr>
          <w:p w14:paraId="63DE1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3</w:t>
            </w:r>
            <w:r>
              <w:rPr>
                <w:rFonts w:hint="eastAsia" w:cs="Times New Roman"/>
                <w:b w:val="0"/>
                <w:bCs w:val="0"/>
                <w:snapToGrid w:val="0"/>
                <w:color w:val="auto"/>
                <w:kern w:val="21"/>
                <w:szCs w:val="21"/>
                <w:highlight w:val="none"/>
                <w:lang w:val="en-US" w:eastAsia="zh-CN"/>
              </w:rPr>
              <w:t>t/a</w:t>
            </w:r>
          </w:p>
        </w:tc>
        <w:tc>
          <w:tcPr>
            <w:tcW w:w="647" w:type="pct"/>
            <w:vAlign w:val="center"/>
          </w:tcPr>
          <w:p w14:paraId="66334B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rPr>
            </w:pPr>
            <w:r>
              <w:rPr>
                <w:rFonts w:hint="eastAsia" w:cs="Times New Roman"/>
                <w:b w:val="0"/>
                <w:bCs w:val="0"/>
                <w:snapToGrid w:val="0"/>
                <w:color w:val="auto"/>
                <w:kern w:val="21"/>
                <w:szCs w:val="21"/>
                <w:highlight w:val="none"/>
                <w:lang w:val="en-US" w:eastAsia="zh-CN"/>
              </w:rPr>
              <w:t>0</w:t>
            </w:r>
          </w:p>
        </w:tc>
        <w:tc>
          <w:tcPr>
            <w:tcW w:w="589" w:type="pct"/>
            <w:vAlign w:val="center"/>
          </w:tcPr>
          <w:p w14:paraId="763074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0.8</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1421" w:type="dxa"/>
            <w:vAlign w:val="center"/>
          </w:tcPr>
          <w:p w14:paraId="01A662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3</w:t>
            </w:r>
            <w:r>
              <w:rPr>
                <w:rFonts w:hint="eastAsia" w:cs="Times New Roman"/>
                <w:b w:val="0"/>
                <w:bCs w:val="0"/>
                <w:snapToGrid w:val="0"/>
                <w:color w:val="auto"/>
                <w:kern w:val="21"/>
                <w:szCs w:val="21"/>
                <w:highlight w:val="none"/>
                <w:lang w:val="en-US" w:eastAsia="zh-CN"/>
              </w:rPr>
              <w:t>t/a</w:t>
            </w:r>
          </w:p>
        </w:tc>
      </w:tr>
      <w:tr w14:paraId="7EF99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3916E7DC">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2729B662">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cs="Times New Roman"/>
                <w:b w:val="0"/>
                <w:bCs w:val="0"/>
                <w:snapToGrid w:val="0"/>
                <w:color w:val="auto"/>
                <w:kern w:val="21"/>
                <w:szCs w:val="21"/>
                <w:highlight w:val="none"/>
                <w:lang w:val="en-US" w:eastAsia="zh-CN"/>
              </w:rPr>
              <w:t>废液压油</w:t>
            </w:r>
          </w:p>
        </w:tc>
        <w:tc>
          <w:tcPr>
            <w:tcW w:w="603" w:type="pct"/>
            <w:vAlign w:val="center"/>
          </w:tcPr>
          <w:p w14:paraId="6CA01B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462" w:type="pct"/>
            <w:vAlign w:val="center"/>
          </w:tcPr>
          <w:p w14:paraId="29875D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09" w:type="pct"/>
            <w:vAlign w:val="center"/>
          </w:tcPr>
          <w:p w14:paraId="2B4A3B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eastAsia" w:cs="Times New Roman"/>
                <w:b w:val="0"/>
                <w:bCs w:val="0"/>
                <w:snapToGrid w:val="0"/>
                <w:color w:val="auto"/>
                <w:kern w:val="21"/>
                <w:szCs w:val="21"/>
                <w:highlight w:val="none"/>
                <w:lang w:val="en-US" w:eastAsia="zh-CN"/>
              </w:rPr>
              <w:t>0</w:t>
            </w:r>
          </w:p>
        </w:tc>
        <w:tc>
          <w:tcPr>
            <w:tcW w:w="1633" w:type="dxa"/>
            <w:vAlign w:val="center"/>
          </w:tcPr>
          <w:p w14:paraId="2EEC2B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r>
              <w:rPr>
                <w:rFonts w:hint="eastAsia" w:cs="Times New Roman"/>
                <w:b w:val="0"/>
                <w:bCs w:val="0"/>
                <w:snapToGrid w:val="0"/>
                <w:color w:val="auto"/>
                <w:kern w:val="21"/>
                <w:szCs w:val="21"/>
                <w:highlight w:val="none"/>
                <w:lang w:val="en-US" w:eastAsia="zh-CN"/>
              </w:rPr>
              <w:t>t/a</w:t>
            </w:r>
          </w:p>
        </w:tc>
        <w:tc>
          <w:tcPr>
            <w:tcW w:w="647" w:type="pct"/>
            <w:vAlign w:val="center"/>
          </w:tcPr>
          <w:p w14:paraId="547496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3148A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0.</w:t>
            </w:r>
            <w:r>
              <w:rPr>
                <w:rFonts w:hint="eastAsia" w:cs="Times New Roman"/>
                <w:b w:val="0"/>
                <w:bCs w:val="0"/>
                <w:color w:val="auto"/>
                <w:kern w:val="2"/>
                <w:sz w:val="21"/>
                <w:szCs w:val="21"/>
                <w:highlight w:val="none"/>
                <w:lang w:val="en-US" w:eastAsia="zh-CN" w:bidi="ar-SA"/>
              </w:rPr>
              <w:t>1</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1421" w:type="dxa"/>
            <w:vAlign w:val="center"/>
          </w:tcPr>
          <w:p w14:paraId="0520A8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 w:val="21"/>
                <w:szCs w:val="21"/>
                <w:highlight w:val="none"/>
                <w:lang w:val="en-US" w:eastAsia="zh-CN" w:bidi="ar-SA"/>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r>
              <w:rPr>
                <w:rFonts w:hint="eastAsia" w:cs="Times New Roman"/>
                <w:b w:val="0"/>
                <w:bCs w:val="0"/>
                <w:snapToGrid w:val="0"/>
                <w:color w:val="auto"/>
                <w:kern w:val="21"/>
                <w:szCs w:val="21"/>
                <w:highlight w:val="none"/>
                <w:lang w:val="en-US" w:eastAsia="zh-CN"/>
              </w:rPr>
              <w:t>t/a</w:t>
            </w:r>
          </w:p>
        </w:tc>
      </w:tr>
      <w:tr w14:paraId="7DE7B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2CD291E5">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7FEFE2D1">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eastAsia" w:ascii="Times New Roman" w:cs="Times New Roman"/>
                <w:b w:val="0"/>
                <w:bCs w:val="0"/>
                <w:snapToGrid w:val="0"/>
                <w:color w:val="auto"/>
                <w:kern w:val="21"/>
                <w:szCs w:val="21"/>
                <w:highlight w:val="none"/>
                <w:lang w:val="en-US" w:eastAsia="zh-CN"/>
              </w:rPr>
              <w:t>废润滑油</w:t>
            </w:r>
          </w:p>
        </w:tc>
        <w:tc>
          <w:tcPr>
            <w:tcW w:w="603" w:type="pct"/>
            <w:vAlign w:val="center"/>
          </w:tcPr>
          <w:p w14:paraId="23E365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462" w:type="pct"/>
            <w:vAlign w:val="center"/>
          </w:tcPr>
          <w:p w14:paraId="113D58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09" w:type="pct"/>
            <w:vAlign w:val="center"/>
          </w:tcPr>
          <w:p w14:paraId="3C12CE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1633" w:type="dxa"/>
            <w:vAlign w:val="center"/>
          </w:tcPr>
          <w:p w14:paraId="6B01A2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r>
              <w:rPr>
                <w:rFonts w:hint="eastAsia" w:cs="Times New Roman"/>
                <w:b w:val="0"/>
                <w:bCs w:val="0"/>
                <w:snapToGrid w:val="0"/>
                <w:color w:val="auto"/>
                <w:kern w:val="21"/>
                <w:szCs w:val="21"/>
                <w:highlight w:val="none"/>
                <w:lang w:val="en-US" w:eastAsia="zh-CN"/>
              </w:rPr>
              <w:t>t/a</w:t>
            </w:r>
          </w:p>
        </w:tc>
        <w:tc>
          <w:tcPr>
            <w:tcW w:w="647" w:type="pct"/>
            <w:vAlign w:val="center"/>
          </w:tcPr>
          <w:p w14:paraId="11ED90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41E263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0.</w:t>
            </w:r>
            <w:r>
              <w:rPr>
                <w:rFonts w:hint="eastAsia" w:cs="Times New Roman"/>
                <w:b w:val="0"/>
                <w:bCs w:val="0"/>
                <w:color w:val="auto"/>
                <w:kern w:val="2"/>
                <w:sz w:val="21"/>
                <w:szCs w:val="21"/>
                <w:highlight w:val="none"/>
                <w:lang w:val="en-US" w:eastAsia="zh-CN" w:bidi="ar-SA"/>
              </w:rPr>
              <w:t>1</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1421" w:type="dxa"/>
            <w:vAlign w:val="center"/>
          </w:tcPr>
          <w:p w14:paraId="2FA8E7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0.</w:t>
            </w:r>
            <w:r>
              <w:rPr>
                <w:rFonts w:hint="eastAsia" w:cs="Times New Roman"/>
                <w:bCs/>
                <w:color w:val="auto"/>
                <w:kern w:val="2"/>
                <w:sz w:val="21"/>
                <w:szCs w:val="21"/>
                <w:highlight w:val="none"/>
                <w:lang w:val="en-US" w:eastAsia="zh-CN" w:bidi="ar-SA"/>
              </w:rPr>
              <w:t>1</w:t>
            </w:r>
            <w:r>
              <w:rPr>
                <w:rFonts w:hint="eastAsia" w:cs="Times New Roman"/>
                <w:b w:val="0"/>
                <w:bCs w:val="0"/>
                <w:snapToGrid w:val="0"/>
                <w:color w:val="auto"/>
                <w:kern w:val="21"/>
                <w:szCs w:val="21"/>
                <w:highlight w:val="none"/>
                <w:lang w:val="en-US" w:eastAsia="zh-CN"/>
              </w:rPr>
              <w:t>t/a</w:t>
            </w:r>
          </w:p>
        </w:tc>
      </w:tr>
      <w:tr w14:paraId="07CBE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3" w:type="pct"/>
            <w:vMerge w:val="continue"/>
            <w:vAlign w:val="center"/>
          </w:tcPr>
          <w:p w14:paraId="3C37C9E7">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val="0"/>
                <w:bCs w:val="0"/>
                <w:snapToGrid w:val="0"/>
                <w:color w:val="auto"/>
                <w:kern w:val="21"/>
                <w:szCs w:val="21"/>
                <w:highlight w:val="none"/>
              </w:rPr>
            </w:pPr>
          </w:p>
        </w:tc>
        <w:tc>
          <w:tcPr>
            <w:tcW w:w="546" w:type="pct"/>
            <w:vAlign w:val="center"/>
          </w:tcPr>
          <w:p w14:paraId="05A06203">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default" w:ascii="Times New Roman" w:hAnsi="Times New Roman" w:eastAsia="宋体" w:cs="Times New Roman"/>
                <w:b w:val="0"/>
                <w:bCs w:val="0"/>
                <w:snapToGrid w:val="0"/>
                <w:color w:val="auto"/>
                <w:kern w:val="21"/>
                <w:szCs w:val="21"/>
                <w:highlight w:val="none"/>
                <w:lang w:val="en-US" w:eastAsia="zh-CN"/>
              </w:rPr>
              <w:t>废油桶</w:t>
            </w:r>
          </w:p>
        </w:tc>
        <w:tc>
          <w:tcPr>
            <w:tcW w:w="603" w:type="pct"/>
            <w:vAlign w:val="center"/>
          </w:tcPr>
          <w:p w14:paraId="6796BF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0.1t/a</w:t>
            </w:r>
          </w:p>
        </w:tc>
        <w:tc>
          <w:tcPr>
            <w:tcW w:w="462" w:type="pct"/>
            <w:vAlign w:val="center"/>
          </w:tcPr>
          <w:p w14:paraId="58F946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609" w:type="pct"/>
            <w:vAlign w:val="center"/>
          </w:tcPr>
          <w:p w14:paraId="4ADD76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1633" w:type="dxa"/>
            <w:vAlign w:val="center"/>
          </w:tcPr>
          <w:p w14:paraId="5BF7C6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eastAsia" w:cs="Times New Roman"/>
                <w:b w:val="0"/>
                <w:bCs w:val="0"/>
                <w:snapToGrid w:val="0"/>
                <w:color w:val="auto"/>
                <w:kern w:val="21"/>
                <w:szCs w:val="21"/>
                <w:highlight w:val="none"/>
                <w:lang w:val="en-US" w:eastAsia="zh-CN"/>
              </w:rPr>
            </w:pPr>
            <w:r>
              <w:rPr>
                <w:rFonts w:hint="eastAsia" w:ascii="Times New Roman" w:hAnsi="Times New Roman" w:eastAsia="宋体" w:cs="Times New Roman"/>
                <w:bCs/>
                <w:color w:val="auto"/>
                <w:kern w:val="2"/>
                <w:sz w:val="21"/>
                <w:szCs w:val="21"/>
                <w:highlight w:val="none"/>
                <w:lang w:val="en-US" w:eastAsia="zh-CN" w:bidi="ar-SA"/>
              </w:rPr>
              <w:t>0.</w:t>
            </w:r>
            <w:r>
              <w:rPr>
                <w:rFonts w:hint="eastAsia" w:eastAsia="宋体" w:cs="Times New Roman"/>
                <w:bCs/>
                <w:color w:val="auto"/>
                <w:kern w:val="2"/>
                <w:sz w:val="21"/>
                <w:szCs w:val="21"/>
                <w:highlight w:val="none"/>
                <w:lang w:val="en-US" w:eastAsia="zh-CN" w:bidi="ar-SA"/>
              </w:rPr>
              <w:t>2</w:t>
            </w:r>
            <w:r>
              <w:rPr>
                <w:rFonts w:hint="eastAsia" w:cs="Times New Roman"/>
                <w:b w:val="0"/>
                <w:bCs w:val="0"/>
                <w:snapToGrid w:val="0"/>
                <w:color w:val="auto"/>
                <w:kern w:val="21"/>
                <w:szCs w:val="21"/>
                <w:highlight w:val="none"/>
                <w:lang w:val="en-US" w:eastAsia="zh-CN"/>
              </w:rPr>
              <w:t>t/a</w:t>
            </w:r>
          </w:p>
        </w:tc>
        <w:tc>
          <w:tcPr>
            <w:tcW w:w="647" w:type="pct"/>
            <w:vAlign w:val="center"/>
          </w:tcPr>
          <w:p w14:paraId="12C679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cs="Times New Roman"/>
                <w:b w:val="0"/>
                <w:bCs w:val="0"/>
                <w:snapToGrid w:val="0"/>
                <w:color w:val="auto"/>
                <w:kern w:val="21"/>
                <w:szCs w:val="21"/>
                <w:highlight w:val="none"/>
                <w:lang w:val="en-US" w:eastAsia="zh-CN"/>
              </w:rPr>
            </w:pPr>
            <w:r>
              <w:rPr>
                <w:rFonts w:hint="eastAsia" w:cs="Times New Roman"/>
                <w:b w:val="0"/>
                <w:bCs w:val="0"/>
                <w:snapToGrid w:val="0"/>
                <w:color w:val="auto"/>
                <w:kern w:val="21"/>
                <w:szCs w:val="21"/>
                <w:highlight w:val="none"/>
                <w:lang w:val="en-US" w:eastAsia="zh-CN"/>
              </w:rPr>
              <w:t>0</w:t>
            </w:r>
          </w:p>
        </w:tc>
        <w:tc>
          <w:tcPr>
            <w:tcW w:w="589" w:type="pct"/>
            <w:vAlign w:val="center"/>
          </w:tcPr>
          <w:p w14:paraId="4B84CC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0.</w:t>
            </w:r>
            <w:r>
              <w:rPr>
                <w:rFonts w:hint="eastAsia" w:cs="Times New Roman"/>
                <w:b w:val="0"/>
                <w:bCs w:val="0"/>
                <w:color w:val="auto"/>
                <w:kern w:val="2"/>
                <w:sz w:val="21"/>
                <w:szCs w:val="21"/>
                <w:highlight w:val="none"/>
                <w:lang w:val="en-US" w:eastAsia="zh-CN" w:bidi="ar-SA"/>
              </w:rPr>
              <w:t>3</w:t>
            </w:r>
            <w:r>
              <w:rPr>
                <w:rFonts w:hint="default" w:ascii="Times New Roman" w:hAnsi="Times New Roman" w:eastAsia="宋体" w:cs="Times New Roman"/>
                <w:b w:val="0"/>
                <w:bCs w:val="0"/>
                <w:snapToGrid w:val="0"/>
                <w:color w:val="auto"/>
                <w:kern w:val="21"/>
                <w:szCs w:val="21"/>
                <w:highlight w:val="none"/>
                <w:lang w:val="en-US" w:eastAsia="zh-CN"/>
              </w:rPr>
              <w:t>t/a</w:t>
            </w:r>
          </w:p>
        </w:tc>
        <w:tc>
          <w:tcPr>
            <w:tcW w:w="1421" w:type="dxa"/>
            <w:vAlign w:val="center"/>
          </w:tcPr>
          <w:p w14:paraId="1E6D1F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b w:val="0"/>
                <w:bCs w:val="0"/>
                <w:snapToGrid w:val="0"/>
                <w:color w:val="auto"/>
                <w:kern w:val="21"/>
                <w:szCs w:val="21"/>
                <w:highlight w:val="none"/>
                <w:lang w:val="en-US" w:eastAsia="zh-CN"/>
              </w:rPr>
            </w:pPr>
            <w:r>
              <w:rPr>
                <w:rFonts w:hint="default" w:ascii="Times New Roman" w:hAnsi="Times New Roman" w:eastAsia="宋体" w:cs="Times New Roman"/>
                <w:b w:val="0"/>
                <w:bCs w:val="0"/>
                <w:snapToGrid w:val="0"/>
                <w:color w:val="auto"/>
                <w:kern w:val="21"/>
                <w:sz w:val="21"/>
                <w:szCs w:val="21"/>
                <w:highlight w:val="none"/>
                <w:lang w:val="en-US" w:eastAsia="zh-CN" w:bidi="ar-SA"/>
              </w:rPr>
              <w:t>+</w:t>
            </w:r>
            <w:r>
              <w:rPr>
                <w:rFonts w:hint="eastAsia" w:ascii="Times New Roman" w:hAnsi="Times New Roman" w:eastAsia="宋体" w:cs="Times New Roman"/>
                <w:bCs/>
                <w:color w:val="auto"/>
                <w:kern w:val="2"/>
                <w:sz w:val="21"/>
                <w:szCs w:val="21"/>
                <w:highlight w:val="none"/>
                <w:lang w:val="en-US" w:eastAsia="zh-CN" w:bidi="ar-SA"/>
              </w:rPr>
              <w:t>0.</w:t>
            </w:r>
            <w:r>
              <w:rPr>
                <w:rFonts w:hint="eastAsia" w:eastAsia="宋体" w:cs="Times New Roman"/>
                <w:bCs/>
                <w:color w:val="auto"/>
                <w:kern w:val="2"/>
                <w:sz w:val="21"/>
                <w:szCs w:val="21"/>
                <w:highlight w:val="none"/>
                <w:lang w:val="en-US" w:eastAsia="zh-CN" w:bidi="ar-SA"/>
              </w:rPr>
              <w:t>2</w:t>
            </w:r>
            <w:r>
              <w:rPr>
                <w:rFonts w:hint="eastAsia" w:cs="Times New Roman"/>
                <w:b w:val="0"/>
                <w:bCs w:val="0"/>
                <w:snapToGrid w:val="0"/>
                <w:color w:val="auto"/>
                <w:kern w:val="21"/>
                <w:szCs w:val="21"/>
                <w:highlight w:val="none"/>
                <w:lang w:val="en-US" w:eastAsia="zh-CN"/>
              </w:rPr>
              <w:t>t/a</w:t>
            </w:r>
          </w:p>
        </w:tc>
      </w:tr>
    </w:tbl>
    <w:p w14:paraId="5953C9B5">
      <w:pPr>
        <w:pStyle w:val="43"/>
        <w:keepNext w:val="0"/>
        <w:keepLines w:val="0"/>
        <w:pageBreakBefore w:val="0"/>
        <w:widowControl w:val="0"/>
        <w:kinsoku/>
        <w:wordWrap/>
        <w:overflowPunct/>
        <w:topLinePunct w:val="0"/>
        <w:autoSpaceDE/>
        <w:autoSpaceDN/>
        <w:bidi w:val="0"/>
        <w:adjustRightInd w:val="0"/>
        <w:snapToGrid w:val="0"/>
        <w:spacing w:before="192" w:beforeLines="80" w:after="24" w:line="260" w:lineRule="auto"/>
        <w:ind w:firstLine="840" w:firstLineChars="400"/>
        <w:jc w:val="left"/>
        <w:textAlignment w:val="auto"/>
        <w:rPr>
          <w:rFonts w:hint="default" w:ascii="Times New Roman" w:hAnsi="Times New Roman" w:cs="Times New Roman"/>
          <w:snapToGrid w:val="0"/>
          <w:color w:val="auto"/>
          <w:spacing w:val="-1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p w14:paraId="31A89959">
      <w:pPr>
        <w:pStyle w:val="41"/>
        <w:rPr>
          <w:rFonts w:hint="default"/>
          <w:color w:val="FF0000"/>
          <w:lang w:val="en-US" w:eastAsia="zh-CN"/>
        </w:rPr>
      </w:pPr>
      <w:bookmarkStart w:id="22" w:name="_GoBack"/>
      <w:bookmarkEnd w:id="22"/>
    </w:p>
    <w:sectPr>
      <w:footerReference r:id="rId8" w:type="default"/>
      <w:pgSz w:w="16838" w:h="11906" w:orient="landscape"/>
      <w:pgMar w:top="720" w:right="720" w:bottom="720" w:left="720" w:header="851" w:footer="0"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938A96-8FF6-4DA0-A9FC-682E22A6F3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A938BFB-B7ED-4863-A5AD-B4C79229AE66}"/>
  </w:font>
  <w:font w:name="仿宋">
    <w:panose1 w:val="02010609060101010101"/>
    <w:charset w:val="86"/>
    <w:family w:val="modern"/>
    <w:pitch w:val="default"/>
    <w:sig w:usb0="800002BF" w:usb1="38CF7CFA" w:usb2="00000016" w:usb3="00000000" w:csb0="00040001" w:csb1="00000000"/>
    <w:embedRegular r:id="rId3" w:fontKey="{EF292368-B2B0-46BE-B8CA-8D2D04B33B00}"/>
  </w:font>
  <w:font w:name="楷体_GB2312">
    <w:altName w:val="楷体"/>
    <w:panose1 w:val="02010609030000010101"/>
    <w:charset w:val="86"/>
    <w:family w:val="modern"/>
    <w:pitch w:val="default"/>
    <w:sig w:usb0="00000000" w:usb1="00000000" w:usb2="00000010" w:usb3="00000000" w:csb0="00040000" w:csb1="00000000"/>
    <w:embedRegular r:id="rId4" w:fontKey="{3C545742-43E5-421A-B1E2-34FA852512C1}"/>
  </w:font>
  <w:font w:name="楷体">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83" w:usb1="288F0000" w:usb2="00000006" w:usb3="00000000" w:csb0="00040001" w:csb1="00000000"/>
    <w:embedRegular r:id="rId5" w:fontKey="{2400F6EA-3BF6-48C1-9C0B-A68424934E92}"/>
  </w:font>
  <w:font w:name="仿宋_GB2312">
    <w:altName w:val="仿宋"/>
    <w:panose1 w:val="02010609030101010101"/>
    <w:charset w:val="00"/>
    <w:family w:val="modern"/>
    <w:pitch w:val="default"/>
    <w:sig w:usb0="00000000" w:usb1="00000000" w:usb2="00000010" w:usb3="00000000" w:csb0="00040000" w:csb1="00000000"/>
    <w:embedRegular r:id="rId6" w:fontKey="{26BB7487-6A46-424A-9905-855ADA974D2E}"/>
  </w:font>
  <w:font w:name="方正小标宋_GBK">
    <w:panose1 w:val="02000000000000000000"/>
    <w:charset w:val="86"/>
    <w:family w:val="script"/>
    <w:pitch w:val="default"/>
    <w:sig w:usb0="A00002BF" w:usb1="38CF7CFA" w:usb2="00082016" w:usb3="00000000" w:csb0="00040001" w:csb1="00000000"/>
    <w:embedRegular r:id="rId7" w:fontKey="{6267F36A-DCE1-475E-A8C0-7058B996A223}"/>
  </w:font>
  <w:font w:name="Times New Roman Regular">
    <w:altName w:val="Times New Roman"/>
    <w:panose1 w:val="02020603050405020304"/>
    <w:charset w:val="00"/>
    <w:family w:val="auto"/>
    <w:pitch w:val="default"/>
    <w:sig w:usb0="00000000" w:usb1="00000000" w:usb2="00000009" w:usb3="00000000" w:csb0="400001FF" w:csb1="FFFF0000"/>
    <w:embedRegular r:id="rId8" w:fontKey="{AE43BD52-0461-4B51-AB37-868DA1AFD3CC}"/>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CBCC3">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AACA9">
    <w:pPr>
      <w:pStyle w:val="21"/>
    </w:pPr>
    <w:r>
      <w:rPr>
        <w:sz w:val="18"/>
      </w:rPr>
      <mc:AlternateContent>
        <mc:Choice Requires="wps">
          <w:drawing>
            <wp:anchor distT="0" distB="0" distL="114300" distR="114300" simplePos="0" relativeHeight="251659264" behindDoc="0" locked="0" layoutInCell="1" allowOverlap="1">
              <wp:simplePos x="0" y="0"/>
              <wp:positionH relativeFrom="margin">
                <wp:posOffset>3034030</wp:posOffset>
              </wp:positionH>
              <wp:positionV relativeFrom="paragraph">
                <wp:posOffset>635</wp:posOffset>
              </wp:positionV>
              <wp:extent cx="16383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6383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DEDADE">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8.9pt;margin-top:0.05pt;height:144pt;width:12.9pt;mso-position-horizontal-relative:margin;z-index:251659264;mso-width-relative:page;mso-height-relative:page;" filled="f" stroked="f" coordsize="21600,21600" o:gfxdata="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UT03TNcAAAAIAQAADwAAAAAAAAABACAAAAAiAAAAZHJzL2Rvd25y&#10;ZXYueG1sUEsBAhQAFAAAAAgAh07iQEtMV8w4AgAAZAQAAA4AAAAAAAAAAQAgAAAAJgEAAGRycy9l&#10;Mm9Eb2MueG1sUEsFBgAAAAAGAAYAWQEAANAFAAAAAA==&#10;">
              <v:fill on="f" focussize="0,0"/>
              <v:stroke on="f" weight="0.5pt"/>
              <v:imagedata o:title=""/>
              <o:lock v:ext="edit" aspectratio="f"/>
              <v:textbox inset="0mm,0mm,0mm,0mm" style="mso-fit-shape-to-text:t;">
                <w:txbxContent>
                  <w:p w14:paraId="34DEDADE">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D90BE">
    <w:pPr>
      <w:pStyle w:val="2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07D90">
    <w:pPr>
      <w:pStyle w:val="22"/>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689F5">
    <w:pPr>
      <w:pStyle w:val="22"/>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B98FC">
    <w:pPr>
      <w:pStyle w:val="22"/>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none"/>
      <w:suff w:val="nothing"/>
      <w:lvlText w:val="第一章"/>
      <w:lvlJc w:val="left"/>
      <w:pPr>
        <w:ind w:left="0" w:firstLine="397"/>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362407EF"/>
    <w:multiLevelType w:val="singleLevel"/>
    <w:tmpl w:val="362407EF"/>
    <w:lvl w:ilvl="0" w:tentative="0">
      <w:start w:val="1"/>
      <w:numFmt w:val="decimal"/>
      <w:pStyle w:val="99"/>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NmMxZjkzMGI3YTBiYWVlOTI3MGZhZmUwMmI5OGIifQ=="/>
  </w:docVars>
  <w:rsids>
    <w:rsidRoot w:val="00000000"/>
    <w:rsid w:val="01B718CD"/>
    <w:rsid w:val="01F1687D"/>
    <w:rsid w:val="02311421"/>
    <w:rsid w:val="03AF41AD"/>
    <w:rsid w:val="03E33071"/>
    <w:rsid w:val="04743DAC"/>
    <w:rsid w:val="05040802"/>
    <w:rsid w:val="051E7CFF"/>
    <w:rsid w:val="05575651"/>
    <w:rsid w:val="057648ED"/>
    <w:rsid w:val="07F87A11"/>
    <w:rsid w:val="08034F89"/>
    <w:rsid w:val="089D6BEC"/>
    <w:rsid w:val="090C058F"/>
    <w:rsid w:val="09777843"/>
    <w:rsid w:val="09B5177D"/>
    <w:rsid w:val="0A4860CC"/>
    <w:rsid w:val="0AAE1479"/>
    <w:rsid w:val="0BB83648"/>
    <w:rsid w:val="0BD702A2"/>
    <w:rsid w:val="0CAE3B61"/>
    <w:rsid w:val="0D2408DB"/>
    <w:rsid w:val="0D2F37B2"/>
    <w:rsid w:val="0D561B58"/>
    <w:rsid w:val="0DD86791"/>
    <w:rsid w:val="0E296DE0"/>
    <w:rsid w:val="0E2D60C2"/>
    <w:rsid w:val="0E5135BC"/>
    <w:rsid w:val="0F257406"/>
    <w:rsid w:val="0F317592"/>
    <w:rsid w:val="0F634F03"/>
    <w:rsid w:val="0F9A2299"/>
    <w:rsid w:val="0FC477AC"/>
    <w:rsid w:val="0FD0391B"/>
    <w:rsid w:val="11986207"/>
    <w:rsid w:val="133B6C14"/>
    <w:rsid w:val="1342453D"/>
    <w:rsid w:val="1410370B"/>
    <w:rsid w:val="14DE059C"/>
    <w:rsid w:val="14EB5267"/>
    <w:rsid w:val="15767345"/>
    <w:rsid w:val="159A0AA1"/>
    <w:rsid w:val="172563FA"/>
    <w:rsid w:val="177D585E"/>
    <w:rsid w:val="17CA2B05"/>
    <w:rsid w:val="193E3F46"/>
    <w:rsid w:val="19B9169A"/>
    <w:rsid w:val="1A1A5B96"/>
    <w:rsid w:val="1A622CDC"/>
    <w:rsid w:val="1A7D7D69"/>
    <w:rsid w:val="1AFA4C19"/>
    <w:rsid w:val="1B0B13D3"/>
    <w:rsid w:val="1BE66C04"/>
    <w:rsid w:val="1BE97299"/>
    <w:rsid w:val="1C647A5F"/>
    <w:rsid w:val="1F7F4EB3"/>
    <w:rsid w:val="1FF44635"/>
    <w:rsid w:val="201D62D9"/>
    <w:rsid w:val="20E760D4"/>
    <w:rsid w:val="214B3336"/>
    <w:rsid w:val="21AB4764"/>
    <w:rsid w:val="21E65C00"/>
    <w:rsid w:val="223A1523"/>
    <w:rsid w:val="229830C9"/>
    <w:rsid w:val="22F028ED"/>
    <w:rsid w:val="22F363AD"/>
    <w:rsid w:val="2377009E"/>
    <w:rsid w:val="238147D6"/>
    <w:rsid w:val="2383602E"/>
    <w:rsid w:val="23B5012E"/>
    <w:rsid w:val="23C30A9D"/>
    <w:rsid w:val="24AA0CAB"/>
    <w:rsid w:val="259617D3"/>
    <w:rsid w:val="2613129A"/>
    <w:rsid w:val="26E917A4"/>
    <w:rsid w:val="270D629D"/>
    <w:rsid w:val="2747656B"/>
    <w:rsid w:val="27662E5B"/>
    <w:rsid w:val="27A961FC"/>
    <w:rsid w:val="29023D18"/>
    <w:rsid w:val="29E91C03"/>
    <w:rsid w:val="2A7A2BDD"/>
    <w:rsid w:val="2B3116E7"/>
    <w:rsid w:val="2BD843F7"/>
    <w:rsid w:val="2BE76916"/>
    <w:rsid w:val="2C4B39A2"/>
    <w:rsid w:val="2E8F0C1E"/>
    <w:rsid w:val="2EA73A95"/>
    <w:rsid w:val="2EE94A66"/>
    <w:rsid w:val="31B444BA"/>
    <w:rsid w:val="32214929"/>
    <w:rsid w:val="33774854"/>
    <w:rsid w:val="33811E5B"/>
    <w:rsid w:val="34857739"/>
    <w:rsid w:val="351F0979"/>
    <w:rsid w:val="361E7DB5"/>
    <w:rsid w:val="36BA6444"/>
    <w:rsid w:val="36E43ABA"/>
    <w:rsid w:val="3721409F"/>
    <w:rsid w:val="383261BE"/>
    <w:rsid w:val="38F022F8"/>
    <w:rsid w:val="39534007"/>
    <w:rsid w:val="3962095F"/>
    <w:rsid w:val="397B3223"/>
    <w:rsid w:val="39D709DE"/>
    <w:rsid w:val="3A6614E1"/>
    <w:rsid w:val="3AC43A86"/>
    <w:rsid w:val="3DFF9FE0"/>
    <w:rsid w:val="3E586BA5"/>
    <w:rsid w:val="3E7149C9"/>
    <w:rsid w:val="3EA76FB1"/>
    <w:rsid w:val="3EC30CE6"/>
    <w:rsid w:val="3EEF4F20"/>
    <w:rsid w:val="3F1B1335"/>
    <w:rsid w:val="3F2874AA"/>
    <w:rsid w:val="412232F6"/>
    <w:rsid w:val="4125620A"/>
    <w:rsid w:val="41B9130B"/>
    <w:rsid w:val="41FA5D70"/>
    <w:rsid w:val="42F557D1"/>
    <w:rsid w:val="4545387C"/>
    <w:rsid w:val="459B6ED9"/>
    <w:rsid w:val="4723347D"/>
    <w:rsid w:val="47872914"/>
    <w:rsid w:val="482C5E80"/>
    <w:rsid w:val="482F2645"/>
    <w:rsid w:val="483E4152"/>
    <w:rsid w:val="48877A3B"/>
    <w:rsid w:val="48EB6D3E"/>
    <w:rsid w:val="492472EC"/>
    <w:rsid w:val="4AE34913"/>
    <w:rsid w:val="4B16372D"/>
    <w:rsid w:val="4B8B339F"/>
    <w:rsid w:val="4C2672DA"/>
    <w:rsid w:val="4D2B0D36"/>
    <w:rsid w:val="4D7440F6"/>
    <w:rsid w:val="4F297689"/>
    <w:rsid w:val="508F2144"/>
    <w:rsid w:val="51456181"/>
    <w:rsid w:val="53210CD0"/>
    <w:rsid w:val="549F6194"/>
    <w:rsid w:val="54F71817"/>
    <w:rsid w:val="55126BC2"/>
    <w:rsid w:val="554E029E"/>
    <w:rsid w:val="55AB0340"/>
    <w:rsid w:val="56E35F4B"/>
    <w:rsid w:val="58A728BF"/>
    <w:rsid w:val="58A8367A"/>
    <w:rsid w:val="58DA5603"/>
    <w:rsid w:val="593B134E"/>
    <w:rsid w:val="599E1484"/>
    <w:rsid w:val="59F01376"/>
    <w:rsid w:val="5A253763"/>
    <w:rsid w:val="5BDE7EE7"/>
    <w:rsid w:val="5BF74308"/>
    <w:rsid w:val="5C227676"/>
    <w:rsid w:val="5C2F7D76"/>
    <w:rsid w:val="5CA21232"/>
    <w:rsid w:val="5DFAC5DD"/>
    <w:rsid w:val="5E8323BE"/>
    <w:rsid w:val="5EF442F3"/>
    <w:rsid w:val="5FCB29E4"/>
    <w:rsid w:val="5FCB4980"/>
    <w:rsid w:val="5FF2E03F"/>
    <w:rsid w:val="60A67CA3"/>
    <w:rsid w:val="60C55B39"/>
    <w:rsid w:val="60CB4864"/>
    <w:rsid w:val="60F9585C"/>
    <w:rsid w:val="61337FE2"/>
    <w:rsid w:val="614575B0"/>
    <w:rsid w:val="61E9736C"/>
    <w:rsid w:val="62EF7EBC"/>
    <w:rsid w:val="63FC52F1"/>
    <w:rsid w:val="64572520"/>
    <w:rsid w:val="65412207"/>
    <w:rsid w:val="6541341B"/>
    <w:rsid w:val="65663FCD"/>
    <w:rsid w:val="6671183D"/>
    <w:rsid w:val="679F4002"/>
    <w:rsid w:val="67B021B0"/>
    <w:rsid w:val="67BA7A02"/>
    <w:rsid w:val="67CA4DF7"/>
    <w:rsid w:val="67DC3DF5"/>
    <w:rsid w:val="68106BCE"/>
    <w:rsid w:val="686D63C6"/>
    <w:rsid w:val="68AC24A2"/>
    <w:rsid w:val="68B81C72"/>
    <w:rsid w:val="6A785DC6"/>
    <w:rsid w:val="6B14261D"/>
    <w:rsid w:val="6C060AF4"/>
    <w:rsid w:val="6C801F74"/>
    <w:rsid w:val="6D006003"/>
    <w:rsid w:val="6D8C1329"/>
    <w:rsid w:val="6E535A3B"/>
    <w:rsid w:val="6EC57550"/>
    <w:rsid w:val="6F0B19E9"/>
    <w:rsid w:val="6F107EF5"/>
    <w:rsid w:val="6F656F72"/>
    <w:rsid w:val="6F6C6545"/>
    <w:rsid w:val="6FAC52C6"/>
    <w:rsid w:val="701D640C"/>
    <w:rsid w:val="70D43896"/>
    <w:rsid w:val="722D7229"/>
    <w:rsid w:val="7264527D"/>
    <w:rsid w:val="72DE16FE"/>
    <w:rsid w:val="730A5199"/>
    <w:rsid w:val="74483F42"/>
    <w:rsid w:val="7491791C"/>
    <w:rsid w:val="74B10C70"/>
    <w:rsid w:val="752F302C"/>
    <w:rsid w:val="75845F24"/>
    <w:rsid w:val="75B268DE"/>
    <w:rsid w:val="76DF5F23"/>
    <w:rsid w:val="772D4E66"/>
    <w:rsid w:val="774C479A"/>
    <w:rsid w:val="778B21F1"/>
    <w:rsid w:val="77CD17FD"/>
    <w:rsid w:val="793331D2"/>
    <w:rsid w:val="79A966E0"/>
    <w:rsid w:val="7AB70034"/>
    <w:rsid w:val="7B1A14D0"/>
    <w:rsid w:val="7B5D5B7A"/>
    <w:rsid w:val="7BA54D76"/>
    <w:rsid w:val="7BC10593"/>
    <w:rsid w:val="7DAB2CE3"/>
    <w:rsid w:val="7DFDBBB8"/>
    <w:rsid w:val="7E6C4E59"/>
    <w:rsid w:val="7F342FDA"/>
    <w:rsid w:val="7F8B072E"/>
    <w:rsid w:val="B1BFC8B8"/>
    <w:rsid w:val="D3F6D791"/>
    <w:rsid w:val="EFADE69A"/>
    <w:rsid w:val="FB7585C3"/>
    <w:rsid w:val="FBFFA5BE"/>
    <w:rsid w:val="FEDC91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uiPriority w:val="0"/>
    <w:pPr>
      <w:keepNext/>
      <w:keepLines/>
      <w:spacing w:before="156" w:beforeLines="50" w:beforeAutospacing="0"/>
      <w:jc w:val="left"/>
      <w:outlineLvl w:val="1"/>
    </w:pPr>
    <w:rPr>
      <w:rFonts w:eastAsia="黑体"/>
      <w:b/>
      <w:sz w:val="32"/>
    </w:rPr>
  </w:style>
  <w:style w:type="paragraph" w:styleId="4">
    <w:name w:val="heading 3"/>
    <w:basedOn w:val="1"/>
    <w:next w:val="5"/>
    <w:qFormat/>
    <w:uiPriority w:val="0"/>
    <w:pPr>
      <w:keepNext/>
      <w:keepLines/>
      <w:spacing w:before="156" w:beforeLines="50" w:beforeAutospacing="0"/>
      <w:jc w:val="left"/>
      <w:outlineLvl w:val="2"/>
    </w:pPr>
    <w:rPr>
      <w:rFonts w:eastAsia="黑体"/>
      <w:b/>
      <w:sz w:val="30"/>
    </w:rPr>
  </w:style>
  <w:style w:type="paragraph" w:styleId="6">
    <w:name w:val="heading 4"/>
    <w:basedOn w:val="1"/>
    <w:next w:val="1"/>
    <w:autoRedefine/>
    <w:qFormat/>
    <w:uiPriority w:val="9"/>
    <w:pPr>
      <w:keepNext/>
      <w:keepLines/>
      <w:widowControl/>
      <w:numPr>
        <w:ilvl w:val="3"/>
        <w:numId w:val="1"/>
      </w:numPr>
      <w:spacing w:before="50" w:beforeLines="50"/>
      <w:outlineLvl w:val="3"/>
    </w:pPr>
    <w:rPr>
      <w:rFonts w:eastAsia="黑体"/>
      <w:bCs/>
      <w:color w:val="000000"/>
      <w:sz w:val="28"/>
      <w:szCs w:val="28"/>
    </w:rPr>
  </w:style>
  <w:style w:type="character" w:default="1" w:styleId="33">
    <w:name w:val="Default Paragraph Font"/>
    <w:autoRedefine/>
    <w:qFormat/>
    <w:uiPriority w:val="0"/>
  </w:style>
  <w:style w:type="table" w:default="1" w:styleId="31">
    <w:name w:val="Normal Table"/>
    <w:autoRedefin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7">
    <w:name w:val="table of authorities"/>
    <w:basedOn w:val="1"/>
    <w:next w:val="1"/>
    <w:qFormat/>
    <w:uiPriority w:val="0"/>
    <w:pPr>
      <w:ind w:left="420" w:leftChars="200"/>
    </w:pPr>
  </w:style>
  <w:style w:type="paragraph" w:styleId="8">
    <w:name w:val="caption"/>
    <w:basedOn w:val="1"/>
    <w:next w:val="1"/>
    <w:autoRedefine/>
    <w:qFormat/>
    <w:uiPriority w:val="35"/>
    <w:pPr>
      <w:spacing w:line="240" w:lineRule="auto"/>
      <w:ind w:firstLine="0" w:firstLineChars="0"/>
      <w:jc w:val="center"/>
    </w:pPr>
    <w:rPr>
      <w:b/>
      <w:sz w:val="21"/>
      <w:szCs w:val="20"/>
    </w:rPr>
  </w:style>
  <w:style w:type="paragraph" w:styleId="9">
    <w:name w:val="annotation text"/>
    <w:basedOn w:val="1"/>
    <w:link w:val="44"/>
    <w:qFormat/>
    <w:uiPriority w:val="0"/>
    <w:pPr>
      <w:jc w:val="left"/>
    </w:pPr>
    <w:rPr>
      <w:kern w:val="0"/>
      <w:sz w:val="24"/>
      <w:szCs w:val="20"/>
    </w:rPr>
  </w:style>
  <w:style w:type="paragraph" w:styleId="10">
    <w:name w:val="Body Text"/>
    <w:basedOn w:val="1"/>
    <w:link w:val="48"/>
    <w:qFormat/>
    <w:uiPriority w:val="0"/>
    <w:pPr>
      <w:widowControl/>
      <w:snapToGrid w:val="0"/>
      <w:spacing w:before="60" w:after="160" w:line="259" w:lineRule="auto"/>
      <w:ind w:right="113"/>
    </w:pPr>
    <w:rPr>
      <w:kern w:val="0"/>
      <w:sz w:val="18"/>
      <w:szCs w:val="20"/>
    </w:rPr>
  </w:style>
  <w:style w:type="paragraph" w:styleId="11">
    <w:name w:val="Body Text Indent"/>
    <w:basedOn w:val="1"/>
    <w:link w:val="49"/>
    <w:qFormat/>
    <w:uiPriority w:val="0"/>
    <w:pPr>
      <w:spacing w:after="120"/>
      <w:ind w:left="420" w:leftChars="200"/>
    </w:pPr>
    <w:rPr>
      <w:kern w:val="0"/>
      <w:sz w:val="24"/>
      <w:szCs w:val="20"/>
    </w:rPr>
  </w:style>
  <w:style w:type="paragraph" w:styleId="12">
    <w:name w:val="Block Text"/>
    <w:basedOn w:val="1"/>
    <w:qFormat/>
    <w:uiPriority w:val="0"/>
    <w:pPr>
      <w:spacing w:after="120"/>
      <w:ind w:left="1440" w:leftChars="700" w:right="1440" w:rightChars="700"/>
    </w:pPr>
  </w:style>
  <w:style w:type="paragraph" w:styleId="13">
    <w:name w:val="Plain Text"/>
    <w:basedOn w:val="1"/>
    <w:next w:val="1"/>
    <w:qFormat/>
    <w:uiPriority w:val="0"/>
    <w:rPr>
      <w:rFonts w:ascii="宋体" w:hAnsi="Courier New"/>
      <w:sz w:val="24"/>
      <w:szCs w:val="20"/>
    </w:rPr>
  </w:style>
  <w:style w:type="paragraph" w:styleId="14">
    <w:name w:val="Date"/>
    <w:basedOn w:val="1"/>
    <w:next w:val="1"/>
    <w:link w:val="50"/>
    <w:qFormat/>
    <w:uiPriority w:val="0"/>
    <w:pPr>
      <w:ind w:left="100" w:leftChars="2500"/>
    </w:pPr>
    <w:rPr>
      <w:kern w:val="0"/>
      <w:sz w:val="24"/>
      <w:szCs w:val="20"/>
    </w:rPr>
  </w:style>
  <w:style w:type="paragraph" w:styleId="15">
    <w:name w:val="Body Text Indent 2"/>
    <w:basedOn w:val="1"/>
    <w:next w:val="16"/>
    <w:autoRedefine/>
    <w:qFormat/>
    <w:uiPriority w:val="0"/>
    <w:pPr>
      <w:spacing w:after="120" w:line="480" w:lineRule="auto"/>
      <w:ind w:left="420" w:leftChars="200"/>
    </w:pPr>
  </w:style>
  <w:style w:type="paragraph" w:styleId="16">
    <w:name w:val="Body Text First Indent 2"/>
    <w:basedOn w:val="11"/>
    <w:next w:val="17"/>
    <w:autoRedefine/>
    <w:qFormat/>
    <w:uiPriority w:val="0"/>
    <w:pPr>
      <w:spacing w:line="360" w:lineRule="auto"/>
      <w:ind w:firstLine="420" w:firstLineChars="200"/>
      <w:jc w:val="left"/>
    </w:pPr>
  </w:style>
  <w:style w:type="paragraph" w:customStyle="1" w:styleId="17">
    <w:name w:val="Default"/>
    <w:basedOn w:val="18"/>
    <w:next w:val="19"/>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19">
    <w:name w:val="Char Char Char Char Char Char1 Char Char Char Char"/>
    <w:basedOn w:val="1"/>
    <w:next w:val="1"/>
    <w:semiHidden/>
    <w:qFormat/>
    <w:uiPriority w:val="0"/>
    <w:pPr>
      <w:spacing w:line="360" w:lineRule="auto"/>
      <w:ind w:firstLine="200" w:firstLineChars="200"/>
    </w:pPr>
    <w:rPr>
      <w:rFonts w:ascii="宋体" w:hAnsi="宋体" w:cs="宋体"/>
      <w:sz w:val="21"/>
      <w:szCs w:val="21"/>
    </w:rPr>
  </w:style>
  <w:style w:type="paragraph" w:styleId="20">
    <w:name w:val="Balloon Text"/>
    <w:basedOn w:val="1"/>
    <w:link w:val="51"/>
    <w:autoRedefine/>
    <w:qFormat/>
    <w:uiPriority w:val="0"/>
    <w:rPr>
      <w:kern w:val="0"/>
      <w:sz w:val="18"/>
      <w:szCs w:val="20"/>
    </w:rPr>
  </w:style>
  <w:style w:type="paragraph" w:styleId="21">
    <w:name w:val="footer"/>
    <w:basedOn w:val="1"/>
    <w:next w:val="1"/>
    <w:link w:val="52"/>
    <w:qFormat/>
    <w:uiPriority w:val="99"/>
    <w:pPr>
      <w:tabs>
        <w:tab w:val="center" w:pos="4153"/>
        <w:tab w:val="right" w:pos="8306"/>
      </w:tabs>
      <w:snapToGrid w:val="0"/>
      <w:jc w:val="left"/>
    </w:pPr>
    <w:rPr>
      <w:kern w:val="0"/>
      <w:sz w:val="18"/>
      <w:szCs w:val="20"/>
    </w:rPr>
  </w:style>
  <w:style w:type="paragraph" w:styleId="22">
    <w:name w:val="header"/>
    <w:basedOn w:val="1"/>
    <w:link w:val="53"/>
    <w:qFormat/>
    <w:uiPriority w:val="0"/>
    <w:pPr>
      <w:pBdr>
        <w:bottom w:val="single" w:color="auto" w:sz="6" w:space="1"/>
      </w:pBdr>
      <w:tabs>
        <w:tab w:val="center" w:pos="4153"/>
        <w:tab w:val="right" w:pos="8306"/>
      </w:tabs>
      <w:snapToGrid w:val="0"/>
      <w:jc w:val="center"/>
    </w:pPr>
    <w:rPr>
      <w:kern w:val="0"/>
      <w:sz w:val="18"/>
      <w:szCs w:val="20"/>
    </w:rPr>
  </w:style>
  <w:style w:type="paragraph" w:styleId="23">
    <w:name w:val="toc 1"/>
    <w:basedOn w:val="1"/>
    <w:next w:val="1"/>
    <w:qFormat/>
    <w:uiPriority w:val="0"/>
  </w:style>
  <w:style w:type="paragraph" w:styleId="24">
    <w:name w:val="Body Text Indent 3"/>
    <w:basedOn w:val="1"/>
    <w:qFormat/>
    <w:uiPriority w:val="0"/>
    <w:pPr>
      <w:spacing w:after="120"/>
      <w:ind w:left="420" w:leftChars="200"/>
    </w:pPr>
    <w:rPr>
      <w:sz w:val="16"/>
      <w:szCs w:val="16"/>
    </w:rPr>
  </w:style>
  <w:style w:type="paragraph" w:styleId="25">
    <w:name w:val="Body Text 2"/>
    <w:basedOn w:val="1"/>
    <w:unhideWhenUsed/>
    <w:qFormat/>
    <w:uiPriority w:val="99"/>
    <w:pPr>
      <w:spacing w:after="120" w:line="480" w:lineRule="auto"/>
    </w:pPr>
  </w:style>
  <w:style w:type="paragraph" w:styleId="2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7">
    <w:name w:val="Normal (Web)"/>
    <w:basedOn w:val="1"/>
    <w:link w:val="54"/>
    <w:qFormat/>
    <w:uiPriority w:val="0"/>
    <w:pPr>
      <w:widowControl/>
      <w:spacing w:before="100" w:beforeAutospacing="1" w:after="100" w:afterAutospacing="1"/>
      <w:jc w:val="left"/>
    </w:pPr>
    <w:rPr>
      <w:rFonts w:ascii="宋体" w:hAnsi="宋体"/>
      <w:kern w:val="0"/>
      <w:sz w:val="24"/>
      <w:szCs w:val="20"/>
    </w:rPr>
  </w:style>
  <w:style w:type="paragraph" w:styleId="28">
    <w:name w:val="annotation subject"/>
    <w:basedOn w:val="9"/>
    <w:next w:val="9"/>
    <w:link w:val="55"/>
    <w:autoRedefine/>
    <w:qFormat/>
    <w:uiPriority w:val="0"/>
    <w:rPr>
      <w:b/>
      <w:sz w:val="24"/>
      <w:szCs w:val="20"/>
    </w:rPr>
  </w:style>
  <w:style w:type="paragraph" w:styleId="29">
    <w:name w:val="Body Text First Indent"/>
    <w:basedOn w:val="1"/>
    <w:next w:val="30"/>
    <w:autoRedefine/>
    <w:qFormat/>
    <w:uiPriority w:val="0"/>
    <w:pPr>
      <w:ind w:firstLine="420" w:firstLineChars="100"/>
    </w:pPr>
    <w:rPr>
      <w:szCs w:val="24"/>
    </w:rPr>
  </w:style>
  <w:style w:type="paragraph" w:customStyle="1" w:styleId="30">
    <w:name w:val="正文文字（首行缩进2字）"/>
    <w:basedOn w:val="1"/>
    <w:autoRedefine/>
    <w:qFormat/>
    <w:uiPriority w:val="0"/>
    <w:pPr>
      <w:spacing w:line="360" w:lineRule="auto"/>
      <w:ind w:firstLine="200" w:firstLineChars="200"/>
    </w:pPr>
    <w:rPr>
      <w:rFonts w:ascii="Arial" w:hAnsi="Arial" w:eastAsia="宋体"/>
      <w:position w:val="-30"/>
      <w:sz w:val="24"/>
    </w:rPr>
  </w:style>
  <w:style w:type="table" w:styleId="32">
    <w:name w:val="Table Grid"/>
    <w:basedOn w:val="31"/>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autoRedefine/>
    <w:qFormat/>
    <w:uiPriority w:val="0"/>
    <w:rPr>
      <w:b/>
      <w:bCs/>
    </w:rPr>
  </w:style>
  <w:style w:type="character" w:styleId="35">
    <w:name w:val="page number"/>
    <w:basedOn w:val="33"/>
    <w:qFormat/>
    <w:uiPriority w:val="0"/>
  </w:style>
  <w:style w:type="character" w:styleId="36">
    <w:name w:val="Hyperlink"/>
    <w:basedOn w:val="33"/>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纯文本1"/>
    <w:basedOn w:val="1"/>
    <w:autoRedefine/>
    <w:qFormat/>
    <w:uiPriority w:val="0"/>
    <w:pPr>
      <w:adjustRightInd w:val="0"/>
    </w:pPr>
    <w:rPr>
      <w:rFonts w:ascii="宋体" w:hAnsi="Courier New"/>
    </w:rPr>
  </w:style>
  <w:style w:type="paragraph" w:customStyle="1" w:styleId="39">
    <w:name w:val="表格文字"/>
    <w:basedOn w:val="40"/>
    <w:next w:val="1"/>
    <w:qFormat/>
    <w:uiPriority w:val="0"/>
    <w:pPr>
      <w:snapToGrid w:val="0"/>
      <w:spacing w:line="240" w:lineRule="auto"/>
      <w:jc w:val="center"/>
    </w:pPr>
    <w:rPr>
      <w:rFonts w:ascii="宋体" w:hAnsi="宋体"/>
      <w:color w:val="000000"/>
      <w:szCs w:val="20"/>
    </w:rPr>
  </w:style>
  <w:style w:type="paragraph" w:customStyle="1" w:styleId="40">
    <w:name w:val="朔电正文"/>
    <w:basedOn w:val="1"/>
    <w:autoRedefine/>
    <w:qFormat/>
    <w:uiPriority w:val="0"/>
    <w:pPr>
      <w:adjustRightInd w:val="0"/>
      <w:snapToGrid w:val="0"/>
      <w:spacing w:beforeLines="25" w:line="440" w:lineRule="exact"/>
      <w:ind w:firstLine="200" w:firstLineChars="200"/>
    </w:pPr>
    <w:rPr>
      <w:color w:val="000000"/>
    </w:rPr>
  </w:style>
  <w:style w:type="paragraph" w:customStyle="1" w:styleId="41">
    <w:name w:val="正文 首行缩进:  2 字符"/>
    <w:basedOn w:val="1"/>
    <w:qFormat/>
    <w:uiPriority w:val="99"/>
    <w:pPr>
      <w:ind w:firstLine="579" w:firstLineChars="200"/>
    </w:pPr>
    <w:rPr>
      <w:rFonts w:cs="宋体"/>
      <w:szCs w:val="20"/>
    </w:rPr>
  </w:style>
  <w:style w:type="character" w:customStyle="1" w:styleId="42">
    <w:name w:val="表格 Char"/>
    <w:link w:val="43"/>
    <w:qFormat/>
    <w:uiPriority w:val="0"/>
    <w:rPr>
      <w:rFonts w:ascii="宋体"/>
      <w:sz w:val="21"/>
    </w:rPr>
  </w:style>
  <w:style w:type="paragraph" w:customStyle="1" w:styleId="43">
    <w:name w:val="表格"/>
    <w:basedOn w:val="1"/>
    <w:next w:val="1"/>
    <w:link w:val="42"/>
    <w:qFormat/>
    <w:uiPriority w:val="0"/>
    <w:pPr>
      <w:adjustRightInd w:val="0"/>
      <w:snapToGrid w:val="0"/>
      <w:spacing w:beforeLines="10" w:afterLines="10" w:line="259" w:lineRule="auto"/>
      <w:jc w:val="center"/>
    </w:pPr>
    <w:rPr>
      <w:rFonts w:ascii="宋体"/>
      <w:kern w:val="0"/>
      <w:szCs w:val="20"/>
    </w:rPr>
  </w:style>
  <w:style w:type="character" w:customStyle="1" w:styleId="44">
    <w:name w:val="批注文字 Char"/>
    <w:link w:val="9"/>
    <w:qFormat/>
    <w:uiPriority w:val="0"/>
    <w:rPr>
      <w:rFonts w:ascii="Times New Roman" w:hAnsi="Times New Roman" w:eastAsia="宋体"/>
      <w:sz w:val="24"/>
    </w:rPr>
  </w:style>
  <w:style w:type="paragraph" w:customStyle="1" w:styleId="45">
    <w:name w:val="Char Char Char Char Char Char Char Char Char Char"/>
    <w:basedOn w:val="1"/>
    <w:autoRedefine/>
    <w:qFormat/>
    <w:uiPriority w:val="0"/>
    <w:pPr>
      <w:adjustRightInd w:val="0"/>
      <w:snapToGrid w:val="0"/>
      <w:spacing w:line="360" w:lineRule="auto"/>
      <w:ind w:firstLine="200" w:firstLineChars="200"/>
    </w:pPr>
    <w:rPr>
      <w:rFonts w:eastAsia="楷体_GB2312"/>
    </w:rPr>
  </w:style>
  <w:style w:type="paragraph" w:customStyle="1" w:styleId="46">
    <w:name w:val="xl27"/>
    <w:basedOn w:val="1"/>
    <w:next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47">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48">
    <w:name w:val="正文文本 Char"/>
    <w:link w:val="10"/>
    <w:autoRedefine/>
    <w:qFormat/>
    <w:uiPriority w:val="0"/>
    <w:rPr>
      <w:sz w:val="18"/>
    </w:rPr>
  </w:style>
  <w:style w:type="character" w:customStyle="1" w:styleId="49">
    <w:name w:val="正文文本缩进 Char"/>
    <w:link w:val="11"/>
    <w:autoRedefine/>
    <w:qFormat/>
    <w:uiPriority w:val="0"/>
    <w:rPr>
      <w:rFonts w:ascii="Times New Roman" w:hAnsi="Times New Roman" w:eastAsia="宋体"/>
      <w:sz w:val="24"/>
    </w:rPr>
  </w:style>
  <w:style w:type="character" w:customStyle="1" w:styleId="50">
    <w:name w:val="日期 Char"/>
    <w:link w:val="14"/>
    <w:autoRedefine/>
    <w:qFormat/>
    <w:uiPriority w:val="0"/>
    <w:rPr>
      <w:rFonts w:ascii="Times New Roman" w:hAnsi="Times New Roman" w:eastAsia="宋体"/>
      <w:sz w:val="24"/>
    </w:rPr>
  </w:style>
  <w:style w:type="character" w:customStyle="1" w:styleId="51">
    <w:name w:val="批注框文本 Char"/>
    <w:link w:val="20"/>
    <w:autoRedefine/>
    <w:qFormat/>
    <w:uiPriority w:val="0"/>
    <w:rPr>
      <w:rFonts w:ascii="Times New Roman" w:hAnsi="Times New Roman" w:eastAsia="宋体"/>
      <w:sz w:val="18"/>
    </w:rPr>
  </w:style>
  <w:style w:type="character" w:customStyle="1" w:styleId="52">
    <w:name w:val="页脚 Char"/>
    <w:link w:val="21"/>
    <w:autoRedefine/>
    <w:qFormat/>
    <w:uiPriority w:val="99"/>
    <w:rPr>
      <w:sz w:val="18"/>
    </w:rPr>
  </w:style>
  <w:style w:type="character" w:customStyle="1" w:styleId="53">
    <w:name w:val="页眉 Char"/>
    <w:link w:val="22"/>
    <w:autoRedefine/>
    <w:qFormat/>
    <w:uiPriority w:val="0"/>
    <w:rPr>
      <w:sz w:val="18"/>
    </w:rPr>
  </w:style>
  <w:style w:type="character" w:customStyle="1" w:styleId="54">
    <w:name w:val="普通(网站) Char"/>
    <w:link w:val="27"/>
    <w:autoRedefine/>
    <w:qFormat/>
    <w:uiPriority w:val="0"/>
    <w:rPr>
      <w:rFonts w:ascii="宋体" w:hAnsi="宋体" w:eastAsia="宋体"/>
      <w:sz w:val="24"/>
    </w:rPr>
  </w:style>
  <w:style w:type="character" w:customStyle="1" w:styleId="55">
    <w:name w:val="批注主题 Char"/>
    <w:link w:val="28"/>
    <w:autoRedefine/>
    <w:qFormat/>
    <w:uiPriority w:val="0"/>
    <w:rPr>
      <w:rFonts w:ascii="Times New Roman" w:hAnsi="Times New Roman" w:eastAsia="宋体"/>
      <w:b/>
      <w:kern w:val="2"/>
      <w:sz w:val="24"/>
    </w:rPr>
  </w:style>
  <w:style w:type="paragraph" w:customStyle="1" w:styleId="56">
    <w:name w:val="Default1"/>
    <w:basedOn w:val="57"/>
    <w:next w:val="1"/>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常用正文样式"/>
    <w:autoRedefine/>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58">
    <w:name w:val="页脚 字符"/>
    <w:basedOn w:val="33"/>
    <w:autoRedefine/>
    <w:qFormat/>
    <w:uiPriority w:val="99"/>
  </w:style>
  <w:style w:type="character" w:customStyle="1" w:styleId="59">
    <w:name w:val="正文文本 字符1"/>
    <w:autoRedefine/>
    <w:qFormat/>
    <w:uiPriority w:val="0"/>
    <w:rPr>
      <w:rFonts w:ascii="Times New Roman" w:hAnsi="Times New Roman" w:eastAsia="宋体"/>
      <w:sz w:val="24"/>
    </w:rPr>
  </w:style>
  <w:style w:type="character" w:customStyle="1" w:styleId="60">
    <w:name w:val="日期 字符"/>
    <w:autoRedefine/>
    <w:qFormat/>
    <w:uiPriority w:val="0"/>
    <w:rPr>
      <w:rFonts w:ascii="Times New Roman" w:hAnsi="Times New Roman" w:eastAsia="宋体"/>
      <w:sz w:val="24"/>
    </w:rPr>
  </w:style>
  <w:style w:type="character" w:customStyle="1" w:styleId="61">
    <w:name w:val="批注文字 字符1"/>
    <w:autoRedefine/>
    <w:qFormat/>
    <w:uiPriority w:val="0"/>
    <w:rPr>
      <w:rFonts w:ascii="Times New Roman" w:hAnsi="Times New Roman" w:eastAsia="宋体"/>
      <w:sz w:val="24"/>
    </w:rPr>
  </w:style>
  <w:style w:type="paragraph" w:customStyle="1" w:styleId="62">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64">
    <w:name w:val="表内容"/>
    <w:basedOn w:val="13"/>
    <w:autoRedefine/>
    <w:qFormat/>
    <w:uiPriority w:val="0"/>
    <w:pPr>
      <w:jc w:val="center"/>
    </w:pPr>
    <w:rPr>
      <w:rFonts w:ascii="Times New Roman" w:hAnsi="Times New Roman"/>
      <w:sz w:val="21"/>
    </w:rPr>
  </w:style>
  <w:style w:type="character" w:customStyle="1" w:styleId="65">
    <w:name w:val="font21"/>
    <w:basedOn w:val="33"/>
    <w:autoRedefine/>
    <w:qFormat/>
    <w:uiPriority w:val="0"/>
    <w:rPr>
      <w:rFonts w:hint="eastAsia" w:ascii="宋体" w:hAnsi="宋体" w:eastAsia="宋体" w:cs="宋体"/>
      <w:b/>
      <w:bCs/>
      <w:color w:val="000000"/>
      <w:sz w:val="18"/>
      <w:szCs w:val="18"/>
      <w:u w:val="none"/>
    </w:rPr>
  </w:style>
  <w:style w:type="character" w:customStyle="1" w:styleId="66">
    <w:name w:val="font41"/>
    <w:basedOn w:val="33"/>
    <w:autoRedefine/>
    <w:qFormat/>
    <w:uiPriority w:val="0"/>
    <w:rPr>
      <w:rFonts w:hint="default" w:ascii="Times New Roman" w:hAnsi="Times New Roman" w:cs="Times New Roman"/>
      <w:b/>
      <w:bCs/>
      <w:color w:val="000000"/>
      <w:sz w:val="18"/>
      <w:szCs w:val="18"/>
      <w:u w:val="none"/>
    </w:rPr>
  </w:style>
  <w:style w:type="paragraph" w:customStyle="1" w:styleId="67">
    <w:name w:val="报告正文"/>
    <w:basedOn w:val="1"/>
    <w:autoRedefine/>
    <w:qFormat/>
    <w:uiPriority w:val="99"/>
    <w:pPr>
      <w:autoSpaceDE w:val="0"/>
      <w:autoSpaceDN w:val="0"/>
      <w:spacing w:line="560" w:lineRule="atLeast"/>
      <w:ind w:firstLine="200" w:firstLineChars="200"/>
    </w:pPr>
    <w:rPr>
      <w:rFonts w:ascii="宋体"/>
      <w:kern w:val="0"/>
      <w:sz w:val="24"/>
    </w:rPr>
  </w:style>
  <w:style w:type="paragraph" w:customStyle="1" w:styleId="68">
    <w:name w:val="李表头常用格式"/>
    <w:basedOn w:val="12"/>
    <w:autoRedefine/>
    <w:qFormat/>
    <w:uiPriority w:val="0"/>
    <w:pPr>
      <w:adjustRightInd/>
      <w:snapToGrid w:val="0"/>
      <w:spacing w:after="0" w:line="320" w:lineRule="exact"/>
      <w:ind w:left="0" w:leftChars="0" w:right="0" w:rightChars="0"/>
      <w:jc w:val="center"/>
      <w:textAlignment w:val="auto"/>
    </w:pPr>
    <w:rPr>
      <w:rFonts w:eastAsia="黑体"/>
      <w:color w:val="000000"/>
      <w:szCs w:val="21"/>
    </w:rPr>
  </w:style>
  <w:style w:type="paragraph" w:customStyle="1" w:styleId="69">
    <w:name w:val="标准正文"/>
    <w:basedOn w:val="1"/>
    <w:autoRedefine/>
    <w:qFormat/>
    <w:uiPriority w:val="0"/>
    <w:pPr>
      <w:spacing w:line="360" w:lineRule="auto"/>
      <w:ind w:firstLine="200" w:firstLineChars="200"/>
      <w:jc w:val="left"/>
    </w:pPr>
    <w:rPr>
      <w:sz w:val="24"/>
      <w:szCs w:val="22"/>
    </w:rPr>
  </w:style>
  <w:style w:type="paragraph" w:customStyle="1" w:styleId="70">
    <w:name w:val="正文1"/>
    <w:basedOn w:val="1"/>
    <w:next w:val="1"/>
    <w:autoRedefine/>
    <w:qFormat/>
    <w:uiPriority w:val="0"/>
    <w:pPr>
      <w:tabs>
        <w:tab w:val="left" w:pos="1455"/>
      </w:tabs>
      <w:spacing w:line="480" w:lineRule="exact"/>
      <w:ind w:firstLine="480" w:firstLineChars="200"/>
    </w:pPr>
    <w:rPr>
      <w:sz w:val="24"/>
      <w:szCs w:val="24"/>
    </w:rPr>
  </w:style>
  <w:style w:type="paragraph" w:customStyle="1" w:styleId="71">
    <w:name w:val="表中"/>
    <w:basedOn w:val="1"/>
    <w:autoRedefine/>
    <w:qFormat/>
    <w:uiPriority w:val="0"/>
    <w:pPr>
      <w:adjustRightInd/>
      <w:spacing w:line="360" w:lineRule="exact"/>
      <w:jc w:val="center"/>
      <w:textAlignment w:val="auto"/>
    </w:pPr>
    <w:rPr>
      <w:szCs w:val="21"/>
      <w:lang w:val="de-DE"/>
    </w:rPr>
  </w:style>
  <w:style w:type="paragraph" w:customStyle="1" w:styleId="72">
    <w:name w:val="环评正文"/>
    <w:autoRedefine/>
    <w:qFormat/>
    <w:uiPriority w:val="0"/>
    <w:pPr>
      <w:adjustRightInd w:val="0"/>
      <w:snapToGrid w:val="0"/>
      <w:spacing w:line="480" w:lineRule="exact"/>
      <w:ind w:firstLine="200" w:firstLineChars="200"/>
    </w:pPr>
    <w:rPr>
      <w:rFonts w:ascii="Times New Roman" w:hAnsi="Times New Roman" w:eastAsia="宋体" w:cs="Times New Roman"/>
      <w:sz w:val="24"/>
      <w:lang w:val="en-US" w:eastAsia="zh-CN" w:bidi="ar-SA"/>
    </w:rPr>
  </w:style>
  <w:style w:type="paragraph" w:customStyle="1" w:styleId="73">
    <w:name w:val="表格新格式"/>
    <w:basedOn w:val="1"/>
    <w:autoRedefine/>
    <w:qFormat/>
    <w:uiPriority w:val="0"/>
    <w:pPr>
      <w:adjustRightInd/>
      <w:spacing w:line="280" w:lineRule="exact"/>
      <w:jc w:val="center"/>
      <w:textAlignment w:val="auto"/>
    </w:pPr>
    <w:rPr>
      <w:color w:val="000000"/>
      <w:szCs w:val="21"/>
    </w:rPr>
  </w:style>
  <w:style w:type="paragraph" w:customStyle="1" w:styleId="74">
    <w:name w:val="表头样式"/>
    <w:basedOn w:val="1"/>
    <w:autoRedefine/>
    <w:qFormat/>
    <w:uiPriority w:val="0"/>
    <w:pPr>
      <w:snapToGrid w:val="0"/>
      <w:spacing w:line="420" w:lineRule="auto"/>
      <w:ind w:firstLine="480" w:firstLineChars="200"/>
      <w:jc w:val="left"/>
    </w:pPr>
    <w:rPr>
      <w:color w:val="FF0000"/>
      <w:sz w:val="24"/>
      <w:u w:val="single"/>
    </w:rPr>
  </w:style>
  <w:style w:type="paragraph" w:customStyle="1" w:styleId="75">
    <w:name w:val="Table Paragraph"/>
    <w:basedOn w:val="1"/>
    <w:autoRedefine/>
    <w:qFormat/>
    <w:uiPriority w:val="99"/>
  </w:style>
  <w:style w:type="paragraph" w:customStyle="1" w:styleId="76">
    <w:name w:val="正文 1"/>
    <w:basedOn w:val="1"/>
    <w:autoRedefine/>
    <w:qFormat/>
    <w:uiPriority w:val="0"/>
    <w:pPr>
      <w:spacing w:line="480" w:lineRule="exact"/>
      <w:ind w:firstLine="567"/>
    </w:pPr>
    <w:rPr>
      <w:sz w:val="28"/>
    </w:rPr>
  </w:style>
  <w:style w:type="paragraph" w:customStyle="1" w:styleId="77">
    <w:name w:val="表格-zjr"/>
    <w:basedOn w:val="1"/>
    <w:autoRedefine/>
    <w:qFormat/>
    <w:uiPriority w:val="0"/>
    <w:pPr>
      <w:spacing w:line="240" w:lineRule="auto"/>
      <w:ind w:firstLine="0" w:firstLineChars="0"/>
      <w:jc w:val="center"/>
    </w:pPr>
    <w:rPr>
      <w:rFonts w:ascii="Times New Roman" w:hAnsi="Times New Roman" w:eastAsia="宋体" w:cs="Times New Roman"/>
      <w:sz w:val="21"/>
    </w:rPr>
  </w:style>
  <w:style w:type="paragraph" w:customStyle="1" w:styleId="78">
    <w:name w:val="表格标题1"/>
    <w:basedOn w:val="1"/>
    <w:autoRedefine/>
    <w:qFormat/>
    <w:uiPriority w:val="99"/>
    <w:pPr>
      <w:adjustRightInd w:val="0"/>
      <w:snapToGrid w:val="0"/>
      <w:spacing w:line="440" w:lineRule="exact"/>
      <w:jc w:val="center"/>
    </w:pPr>
    <w:rPr>
      <w:rFonts w:ascii="宋体" w:hAnsi="宋体"/>
      <w:b/>
    </w:rPr>
  </w:style>
  <w:style w:type="paragraph" w:customStyle="1" w:styleId="79">
    <w:name w:val="表格-小四"/>
    <w:basedOn w:val="1"/>
    <w:autoRedefine/>
    <w:qFormat/>
    <w:uiPriority w:val="0"/>
    <w:pPr>
      <w:spacing w:line="300" w:lineRule="auto"/>
      <w:ind w:firstLine="0" w:firstLineChars="0"/>
      <w:jc w:val="center"/>
    </w:pPr>
    <w:rPr>
      <w:rFonts w:ascii="Times New Roman" w:hAnsi="Times New Roman" w:eastAsia="宋体" w:cs="宋体"/>
      <w:sz w:val="24"/>
    </w:rPr>
  </w:style>
  <w:style w:type="paragraph" w:customStyle="1" w:styleId="80">
    <w:name w:val="5表标题"/>
    <w:autoRedefine/>
    <w:qFormat/>
    <w:uiPriority w:val="0"/>
    <w:pPr>
      <w:jc w:val="center"/>
    </w:pPr>
    <w:rPr>
      <w:rFonts w:ascii="Times New Roman" w:hAnsi="Times New Roman" w:eastAsia="宋体" w:cs="宋体"/>
      <w:b/>
      <w:bCs/>
      <w:kern w:val="2"/>
      <w:sz w:val="21"/>
      <w:lang w:val="en-US" w:eastAsia="zh-CN" w:bidi="ar-SA"/>
    </w:rPr>
  </w:style>
  <w:style w:type="paragraph" w:customStyle="1" w:styleId="81">
    <w:name w:val="zlf表格文字"/>
    <w:autoRedefine/>
    <w:qFormat/>
    <w:uiPriority w:val="0"/>
    <w:pPr>
      <w:spacing w:line="276" w:lineRule="auto"/>
      <w:jc w:val="center"/>
    </w:pPr>
    <w:rPr>
      <w:rFonts w:ascii="Times New Roman" w:hAnsi="Times New Roman" w:eastAsia="宋体" w:cs="Times New Roman"/>
      <w:kern w:val="2"/>
      <w:sz w:val="21"/>
      <w:szCs w:val="24"/>
      <w:lang w:val="en-US" w:eastAsia="zh-CN" w:bidi="ar-SA"/>
    </w:rPr>
  </w:style>
  <w:style w:type="paragraph" w:customStyle="1" w:styleId="82">
    <w:name w:val="li 表头文字"/>
    <w:autoRedefine/>
    <w:qFormat/>
    <w:uiPriority w:val="0"/>
    <w:pPr>
      <w:spacing w:line="460" w:lineRule="exact"/>
      <w:jc w:val="center"/>
    </w:pPr>
    <w:rPr>
      <w:rFonts w:ascii="Times New Roman" w:hAnsi="Times New Roman" w:eastAsia="宋体" w:cs="Times New Roman"/>
      <w:b/>
      <w:spacing w:val="4"/>
      <w:kern w:val="2"/>
      <w:sz w:val="21"/>
      <w:szCs w:val="21"/>
      <w:lang w:val="en-US" w:eastAsia="zh-CN" w:bidi="ar-SA"/>
    </w:rPr>
  </w:style>
  <w:style w:type="character" w:customStyle="1" w:styleId="83">
    <w:name w:val="表内文字"/>
    <w:autoRedefine/>
    <w:qFormat/>
    <w:uiPriority w:val="0"/>
    <w:rPr>
      <w:rFonts w:ascii="Times New Roman" w:hAnsi="Times New Roman" w:eastAsia="仿宋_GB2312"/>
      <w:sz w:val="24"/>
      <w:szCs w:val="24"/>
    </w:rPr>
  </w:style>
  <w:style w:type="paragraph" w:customStyle="1" w:styleId="84">
    <w:name w:val="a正文排版格式"/>
    <w:basedOn w:val="85"/>
    <w:autoRedefine/>
    <w:qFormat/>
    <w:uiPriority w:val="99"/>
    <w:pPr>
      <w:spacing w:line="500" w:lineRule="exact"/>
      <w:ind w:firstLine="420"/>
    </w:pPr>
    <w:rPr>
      <w:rFonts w:eastAsia="仿宋_GB2312"/>
      <w:kern w:val="0"/>
      <w:sz w:val="28"/>
    </w:rPr>
  </w:style>
  <w:style w:type="paragraph" w:customStyle="1" w:styleId="85">
    <w:name w:val="正文 New New"/>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86">
    <w:name w:val="z正文"/>
    <w:basedOn w:val="1"/>
    <w:autoRedefine/>
    <w:qFormat/>
    <w:uiPriority w:val="0"/>
    <w:rPr>
      <w:rFonts w:cs="宋体"/>
      <w:kern w:val="0"/>
      <w:szCs w:val="20"/>
    </w:rPr>
  </w:style>
  <w:style w:type="table" w:customStyle="1" w:styleId="87">
    <w:name w:val="Table Normal"/>
    <w:autoRedefine/>
    <w:qFormat/>
    <w:uiPriority w:val="0"/>
    <w:tblPr>
      <w:tblCellMar>
        <w:top w:w="0" w:type="dxa"/>
        <w:left w:w="0" w:type="dxa"/>
        <w:bottom w:w="0" w:type="dxa"/>
        <w:right w:w="0" w:type="dxa"/>
      </w:tblCellMar>
    </w:tblPr>
  </w:style>
  <w:style w:type="paragraph" w:customStyle="1" w:styleId="88">
    <w:name w:val="正文_4"/>
    <w:autoRedefine/>
    <w:qFormat/>
    <w:uiPriority w:val="0"/>
    <w:pPr>
      <w:widowControl w:val="0"/>
      <w:jc w:val="both"/>
    </w:pPr>
    <w:rPr>
      <w:rFonts w:ascii="Calibri" w:hAnsi="Calibri" w:eastAsia="宋体" w:cs="Times New Roman"/>
      <w:kern w:val="2"/>
      <w:sz w:val="21"/>
      <w:lang w:val="en-US" w:eastAsia="zh-CN" w:bidi="ar-SA"/>
    </w:rPr>
  </w:style>
  <w:style w:type="paragraph" w:customStyle="1" w:styleId="89">
    <w:name w:val="文字描述"/>
    <w:basedOn w:val="1"/>
    <w:autoRedefine/>
    <w:qFormat/>
    <w:uiPriority w:val="0"/>
    <w:pPr>
      <w:adjustRightInd w:val="0"/>
      <w:snapToGrid w:val="0"/>
      <w:spacing w:line="360" w:lineRule="auto"/>
      <w:ind w:firstLine="200" w:firstLineChars="200"/>
    </w:pPr>
    <w:rPr>
      <w:spacing w:val="-2"/>
      <w:szCs w:val="24"/>
    </w:rPr>
  </w:style>
  <w:style w:type="paragraph" w:customStyle="1" w:styleId="90">
    <w:name w:val="Other|1"/>
    <w:basedOn w:val="1"/>
    <w:autoRedefine/>
    <w:qFormat/>
    <w:uiPriority w:val="0"/>
    <w:pPr>
      <w:spacing w:after="330"/>
    </w:pPr>
    <w:rPr>
      <w:rFonts w:ascii="宋体" w:hAnsi="宋体" w:cs="宋体"/>
    </w:rPr>
  </w:style>
  <w:style w:type="table" w:customStyle="1" w:styleId="91">
    <w:name w:val="网格型刘2"/>
    <w:basedOn w:val="31"/>
    <w:autoRedefine/>
    <w:qFormat/>
    <w:uiPriority w:val="0"/>
    <w:pPr>
      <w:widowControl w:val="0"/>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92">
    <w:name w:val="WPSOffice手动目录 1"/>
    <w:autoRedefine/>
    <w:qFormat/>
    <w:uiPriority w:val="0"/>
    <w:pPr>
      <w:ind w:leftChars="0"/>
    </w:pPr>
    <w:rPr>
      <w:rFonts w:ascii="Times New Roman" w:hAnsi="Times New Roman" w:eastAsia="宋体" w:cs="Times New Roman"/>
      <w:sz w:val="20"/>
      <w:szCs w:val="20"/>
    </w:rPr>
  </w:style>
  <w:style w:type="character" w:customStyle="1" w:styleId="93">
    <w:name w:val="正文文本 (2)1"/>
    <w:basedOn w:val="94"/>
    <w:autoRedefine/>
    <w:unhideWhenUsed/>
    <w:qFormat/>
    <w:uiPriority w:val="99"/>
    <w:rPr>
      <w:rFonts w:hint="eastAsia"/>
      <w:sz w:val="22"/>
    </w:rPr>
  </w:style>
  <w:style w:type="character" w:customStyle="1" w:styleId="94">
    <w:name w:val="正文文本 (2)_"/>
    <w:basedOn w:val="33"/>
    <w:link w:val="95"/>
    <w:autoRedefine/>
    <w:unhideWhenUsed/>
    <w:qFormat/>
    <w:uiPriority w:val="99"/>
    <w:rPr>
      <w:rFonts w:ascii="宋体" w:hAnsi="宋体" w:cs="宋体"/>
      <w:kern w:val="0"/>
      <w:sz w:val="22"/>
      <w:szCs w:val="22"/>
    </w:rPr>
  </w:style>
  <w:style w:type="paragraph" w:customStyle="1" w:styleId="95">
    <w:name w:val="正文文本 (2)"/>
    <w:basedOn w:val="1"/>
    <w:link w:val="94"/>
    <w:autoRedefine/>
    <w:qFormat/>
    <w:uiPriority w:val="0"/>
    <w:pPr>
      <w:shd w:val="clear" w:color="auto" w:fill="FFFFFF"/>
      <w:adjustRightInd/>
      <w:spacing w:before="240" w:line="465" w:lineRule="exact"/>
      <w:ind w:hanging="140"/>
      <w:jc w:val="left"/>
      <w:textAlignment w:val="auto"/>
    </w:pPr>
    <w:rPr>
      <w:rFonts w:ascii="宋体" w:hAnsi="宋体" w:cs="宋体"/>
      <w:kern w:val="0"/>
      <w:sz w:val="22"/>
      <w:szCs w:val="22"/>
    </w:rPr>
  </w:style>
  <w:style w:type="paragraph" w:customStyle="1" w:styleId="96">
    <w:name w:val="(中文) 仿宋_GB2312 四号 行距: 固定值 28 磅 首行缩进:  2 字符"/>
    <w:basedOn w:val="1"/>
    <w:autoRedefine/>
    <w:qFormat/>
    <w:uiPriority w:val="0"/>
    <w:pPr>
      <w:spacing w:line="560" w:lineRule="exact"/>
      <w:ind w:firstLine="560" w:firstLineChars="200"/>
    </w:pPr>
    <w:rPr>
      <w:rFonts w:hint="eastAsia" w:ascii="宋体"/>
      <w:kern w:val="0"/>
      <w:position w:val="8"/>
      <w:sz w:val="28"/>
      <w:szCs w:val="20"/>
    </w:rPr>
  </w:style>
  <w:style w:type="character" w:customStyle="1" w:styleId="97">
    <w:name w:val="Default Char"/>
    <w:basedOn w:val="33"/>
    <w:autoRedefine/>
    <w:qFormat/>
    <w:uiPriority w:val="0"/>
    <w:rPr>
      <w:rFonts w:hint="eastAsia" w:ascii="宋体" w:hAnsi="宋体" w:eastAsia="宋体" w:cs="宋体"/>
      <w:color w:val="000000"/>
      <w:sz w:val="24"/>
      <w:szCs w:val="24"/>
    </w:rPr>
  </w:style>
  <w:style w:type="paragraph" w:customStyle="1" w:styleId="98">
    <w:name w:val="6表内文字 居中"/>
    <w:basedOn w:val="1"/>
    <w:autoRedefine/>
    <w:qFormat/>
    <w:uiPriority w:val="0"/>
    <w:pPr>
      <w:adjustRightInd w:val="0"/>
      <w:spacing w:line="400" w:lineRule="exact"/>
      <w:jc w:val="center"/>
      <w:textAlignment w:val="baseline"/>
    </w:pPr>
    <w:rPr>
      <w:rFonts w:ascii="宋体"/>
      <w:snapToGrid w:val="0"/>
      <w:kern w:val="0"/>
    </w:rPr>
  </w:style>
  <w:style w:type="paragraph" w:customStyle="1" w:styleId="99">
    <w:name w:val="样式 标题 4 + 段前: 5 磅 段后: 3 磅 行距: 固定值 26 磅"/>
    <w:basedOn w:val="6"/>
    <w:autoRedefine/>
    <w:qFormat/>
    <w:uiPriority w:val="0"/>
    <w:pPr>
      <w:numPr>
        <w:ilvl w:val="0"/>
        <w:numId w:val="2"/>
      </w:numPr>
      <w:tabs>
        <w:tab w:val="left" w:pos="0"/>
      </w:tabs>
      <w:spacing w:before="0" w:after="0" w:line="500" w:lineRule="exact"/>
    </w:pPr>
    <w:rPr>
      <w:rFonts w:ascii="楷体_GB2312" w:hAnsi="宋体" w:eastAsia="楷体_GB2312" w:cs="Times New Roman"/>
      <w:color w:val="000000"/>
      <w:sz w:val="21"/>
      <w:szCs w:val="20"/>
    </w:rPr>
  </w:style>
  <w:style w:type="paragraph" w:customStyle="1" w:styleId="100">
    <w:name w:val="3级节标题"/>
    <w:basedOn w:val="1"/>
    <w:autoRedefine/>
    <w:qFormat/>
    <w:uiPriority w:val="0"/>
    <w:pPr>
      <w:spacing w:before="163" w:beforeLines="50" w:after="163" w:afterLines="50"/>
      <w:ind w:firstLine="643"/>
      <w:outlineLvl w:val="2"/>
    </w:pPr>
    <w:rPr>
      <w:b/>
      <w:bCs/>
      <w:color w:val="000000"/>
    </w:rPr>
  </w:style>
  <w:style w:type="paragraph" w:customStyle="1" w:styleId="101">
    <w:name w:val="题注文字"/>
    <w:basedOn w:val="1"/>
    <w:autoRedefine/>
    <w:qFormat/>
    <w:uiPriority w:val="0"/>
    <w:pPr>
      <w:widowControl/>
      <w:spacing w:before="0" w:after="0" w:line="240" w:lineRule="auto"/>
      <w:ind w:firstLine="0" w:firstLineChars="0"/>
      <w:jc w:val="center"/>
    </w:pPr>
    <w:rPr>
      <w:rFonts w:ascii="Times New Roman" w:hAnsi="Times New Roman" w:eastAsia="宋体"/>
      <w:sz w:val="21"/>
      <w:szCs w:val="21"/>
      <w:lang w:bidi="ar"/>
    </w:rPr>
  </w:style>
  <w:style w:type="paragraph" w:customStyle="1" w:styleId="102">
    <w:name w:val="正文内容"/>
    <w:autoRedefine/>
    <w:qFormat/>
    <w:uiPriority w:val="0"/>
    <w:pPr>
      <w:widowControl w:val="0"/>
      <w:snapToGrid w:val="0"/>
      <w:spacing w:before="60" w:after="60" w:line="48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03">
    <w:name w:val="报告表正文"/>
    <w:basedOn w:val="1"/>
    <w:semiHidden/>
    <w:qFormat/>
    <w:uiPriority w:val="0"/>
    <w:pPr>
      <w:adjustRightInd w:val="0"/>
      <w:spacing w:line="312" w:lineRule="auto"/>
      <w:ind w:left="113" w:right="113" w:firstLine="482"/>
      <w:jc w:val="left"/>
      <w:textAlignment w:val="baseline"/>
    </w:pPr>
    <w:rPr>
      <w:kern w:val="0"/>
      <w:sz w:val="24"/>
      <w:szCs w:val="20"/>
    </w:rPr>
  </w:style>
  <w:style w:type="paragraph" w:customStyle="1" w:styleId="104">
    <w:name w:val="正文（首行式样2）"/>
    <w:basedOn w:val="5"/>
    <w:qFormat/>
    <w:uiPriority w:val="0"/>
    <w:pPr>
      <w:spacing w:line="540" w:lineRule="exact"/>
      <w:ind w:firstLine="560"/>
    </w:pPr>
    <w:rPr>
      <w:rFonts w:ascii="Times New Roman" w:hAnsi="Times New Roman"/>
      <w:bCs/>
      <w:kern w:val="0"/>
      <w:sz w:val="28"/>
      <w:szCs w:val="20"/>
      <w:lang w:val="en-US" w:eastAsia="zh-CN"/>
    </w:rPr>
  </w:style>
  <w:style w:type="paragraph" w:customStyle="1" w:styleId="105">
    <w:name w:val="表格内文字"/>
    <w:basedOn w:val="1"/>
    <w:unhideWhenUsed/>
    <w:qFormat/>
    <w:uiPriority w:val="0"/>
    <w:pPr>
      <w:spacing w:beforeLines="0" w:afterLines="0"/>
      <w:jc w:val="center"/>
    </w:pPr>
    <w:rPr>
      <w:rFonts w:hint="default"/>
      <w:sz w:val="21"/>
      <w:szCs w:val="21"/>
    </w:rPr>
  </w:style>
  <w:style w:type="paragraph" w:customStyle="1" w:styleId="106">
    <w:name w:val="表格标题"/>
    <w:basedOn w:val="13"/>
    <w:qFormat/>
    <w:uiPriority w:val="0"/>
    <w:pPr>
      <w:spacing w:line="480" w:lineRule="exact"/>
      <w:jc w:val="center"/>
    </w:pPr>
    <w:rPr>
      <w:rFonts w:ascii="Times New Roman" w:hAnsi="Times New Roman" w:eastAsia="黑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29.jpeg"/><Relationship Id="rId50" Type="http://schemas.openxmlformats.org/officeDocument/2006/relationships/image" Target="media/image28.png"/><Relationship Id="rId5" Type="http://schemas.openxmlformats.org/officeDocument/2006/relationships/footer" Target="footer2.xml"/><Relationship Id="rId49" Type="http://schemas.openxmlformats.org/officeDocument/2006/relationships/image" Target="media/image27.png"/><Relationship Id="rId48" Type="http://schemas.openxmlformats.org/officeDocument/2006/relationships/image" Target="media/image26.png"/><Relationship Id="rId47" Type="http://schemas.openxmlformats.org/officeDocument/2006/relationships/image" Target="media/image25.wmf"/><Relationship Id="rId46" Type="http://schemas.openxmlformats.org/officeDocument/2006/relationships/oleObject" Target="embeddings/oleObject13.bin"/><Relationship Id="rId45" Type="http://schemas.openxmlformats.org/officeDocument/2006/relationships/image" Target="media/image24.wmf"/><Relationship Id="rId44" Type="http://schemas.openxmlformats.org/officeDocument/2006/relationships/oleObject" Target="embeddings/oleObject12.bin"/><Relationship Id="rId43" Type="http://schemas.openxmlformats.org/officeDocument/2006/relationships/image" Target="media/image23.wmf"/><Relationship Id="rId42" Type="http://schemas.openxmlformats.org/officeDocument/2006/relationships/oleObject" Target="embeddings/oleObject11.bin"/><Relationship Id="rId41" Type="http://schemas.openxmlformats.org/officeDocument/2006/relationships/image" Target="media/image22.wmf"/><Relationship Id="rId40" Type="http://schemas.openxmlformats.org/officeDocument/2006/relationships/oleObject" Target="embeddings/oleObject10.bin"/><Relationship Id="rId4" Type="http://schemas.openxmlformats.org/officeDocument/2006/relationships/header" Target="header1.xml"/><Relationship Id="rId39" Type="http://schemas.openxmlformats.org/officeDocument/2006/relationships/image" Target="media/image21.wmf"/><Relationship Id="rId38" Type="http://schemas.openxmlformats.org/officeDocument/2006/relationships/oleObject" Target="embeddings/oleObject9.bin"/><Relationship Id="rId37" Type="http://schemas.openxmlformats.org/officeDocument/2006/relationships/image" Target="media/image20.wmf"/><Relationship Id="rId36" Type="http://schemas.openxmlformats.org/officeDocument/2006/relationships/oleObject" Target="embeddings/oleObject8.bin"/><Relationship Id="rId35" Type="http://schemas.openxmlformats.org/officeDocument/2006/relationships/image" Target="media/image19.wmf"/><Relationship Id="rId34" Type="http://schemas.openxmlformats.org/officeDocument/2006/relationships/oleObject" Target="embeddings/oleObject7.bin"/><Relationship Id="rId33" Type="http://schemas.openxmlformats.org/officeDocument/2006/relationships/image" Target="media/image18.wmf"/><Relationship Id="rId32" Type="http://schemas.openxmlformats.org/officeDocument/2006/relationships/image" Target="media/image17.wmf"/><Relationship Id="rId31" Type="http://schemas.openxmlformats.org/officeDocument/2006/relationships/image" Target="media/image16.wmf"/><Relationship Id="rId30" Type="http://schemas.openxmlformats.org/officeDocument/2006/relationships/image" Target="media/image15.wmf"/><Relationship Id="rId3" Type="http://schemas.openxmlformats.org/officeDocument/2006/relationships/footer" Target="footer1.xml"/><Relationship Id="rId29" Type="http://schemas.openxmlformats.org/officeDocument/2006/relationships/image" Target="media/image14.wmf"/><Relationship Id="rId28" Type="http://schemas.openxmlformats.org/officeDocument/2006/relationships/oleObject" Target="embeddings/oleObject6.bin"/><Relationship Id="rId27" Type="http://schemas.openxmlformats.org/officeDocument/2006/relationships/oleObject" Target="embeddings/oleObject5.bin"/><Relationship Id="rId26" Type="http://schemas.openxmlformats.org/officeDocument/2006/relationships/oleObject" Target="embeddings/oleObject4.bin"/><Relationship Id="rId25" Type="http://schemas.openxmlformats.org/officeDocument/2006/relationships/oleObject" Target="embeddings/oleObject3.bin"/><Relationship Id="rId24" Type="http://schemas.openxmlformats.org/officeDocument/2006/relationships/image" Target="media/image13.wmf"/><Relationship Id="rId23" Type="http://schemas.openxmlformats.org/officeDocument/2006/relationships/oleObject" Target="embeddings/oleObject2.bin"/><Relationship Id="rId22" Type="http://schemas.openxmlformats.org/officeDocument/2006/relationships/image" Target="media/image12.wmf"/><Relationship Id="rId21" Type="http://schemas.openxmlformats.org/officeDocument/2006/relationships/oleObject" Target="embeddings/oleObject1.bin"/><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yuaner\Library\Containers\com.kingsoft.wpsoffice.mac\Data\E:\Users\yuaner\Library\Containers\com.kingsoft.wpsoffice.mac\Data\E:\Users\yuaner\Library\Containers\com.kingsoft.wpsoffice.mac\Data\D:\Users\yuaner\Library\Containers\com.kingsoft.wpsoffice.mac\Data\D:\Users\yuaner\Library\Containers\com.kingsoft.wpsoffice.mac\Data\D:\WPS\WPS%20Office\12.1.0.20784\office6\file:\C:\dsoa\wdzx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76</Pages>
  <Words>32123</Words>
  <Characters>34291</Characters>
  <Paragraphs>5214</Paragraphs>
  <TotalTime>13</TotalTime>
  <ScaleCrop>false</ScaleCrop>
  <LinksUpToDate>false</LinksUpToDate>
  <CharactersWithSpaces>34375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2020-12-27T09:29:00Z</dcterms:created>
  <dc:creator>lhj</dc:creator>
  <cp:lastModifiedBy>Happiness Delight</cp:lastModifiedBy>
  <cp:lastPrinted>2026-07-08T11:56:00Z</cp:lastPrinted>
  <dcterms:modified xsi:type="dcterms:W3CDTF">2026-08-18T01:49:10Z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FF746FEDABE54D99B09502432710C611_13</vt:lpwstr>
  </property>
  <property fmtid="{D5CDD505-2E9C-101B-9397-08002B2CF9AE}" pid="4" name="KSOTemplateDocerSaveRecord">
    <vt:lpwstr>eyJoZGlkIjoiMTMzZDQ1NWZjMzZmNzg3MGRmNDRiZTk4NmRhMjQzY2IiLCJ1c2VySWQiOiI2NTI1NDM5NTMifQ==</vt:lpwstr>
  </property>
</Properties>
</file>