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5531FD">
      <w:pPr>
        <w:pStyle w:val="2"/>
        <w:rPr>
          <w:rFonts w:hint="eastAsia" w:eastAsia="宋体"/>
          <w:color w:val="000000" w:themeColor="text1"/>
          <w:lang w:eastAsia="zh-CN"/>
          <w14:textFill>
            <w14:solidFill>
              <w14:schemeClr w14:val="tx1"/>
            </w14:solidFill>
          </w14:textFill>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hint="eastAsia" w:eastAsia="宋体"/>
          <w:color w:val="000000" w:themeColor="text1"/>
          <w:lang w:eastAsia="zh-CN"/>
          <w14:textFill>
            <w14:solidFill>
              <w14:schemeClr w14:val="tx1"/>
            </w14:solidFill>
          </w14:textFill>
        </w:rPr>
        <w:drawing>
          <wp:anchor distT="0" distB="0" distL="114300" distR="114300" simplePos="0" relativeHeight="251667456" behindDoc="1" locked="0" layoutInCell="1" allowOverlap="1">
            <wp:simplePos x="0" y="0"/>
            <wp:positionH relativeFrom="column">
              <wp:posOffset>-161925</wp:posOffset>
            </wp:positionH>
            <wp:positionV relativeFrom="paragraph">
              <wp:posOffset>-650875</wp:posOffset>
            </wp:positionV>
            <wp:extent cx="5883275" cy="9466580"/>
            <wp:effectExtent l="0" t="0" r="3175" b="1270"/>
            <wp:wrapNone/>
            <wp:docPr id="1" name="图片 1" descr="封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封皮"/>
                    <pic:cNvPicPr>
                      <a:picLocks noChangeAspect="1"/>
                    </pic:cNvPicPr>
                  </pic:nvPicPr>
                  <pic:blipFill>
                    <a:blip r:embed="rId9"/>
                    <a:stretch>
                      <a:fillRect/>
                    </a:stretch>
                  </pic:blipFill>
                  <pic:spPr>
                    <a:xfrm>
                      <a:off x="0" y="0"/>
                      <a:ext cx="5883275" cy="9466580"/>
                    </a:xfrm>
                    <a:prstGeom prst="rect">
                      <a:avLst/>
                    </a:prstGeom>
                  </pic:spPr>
                </pic:pic>
              </a:graphicData>
            </a:graphic>
          </wp:anchor>
        </w:drawing>
      </w:r>
    </w:p>
    <w:p w14:paraId="51835709">
      <w:pPr>
        <w:pStyle w:val="2"/>
        <w:rPr>
          <w:rFonts w:hint="default"/>
          <w:color w:val="000000" w:themeColor="text1"/>
          <w14:textFill>
            <w14:solidFill>
              <w14:schemeClr w14:val="tx1"/>
            </w14:solidFill>
          </w14:textFill>
        </w:rPr>
      </w:pPr>
    </w:p>
    <w:p w14:paraId="61366E74">
      <w:pPr>
        <w:pStyle w:val="4"/>
        <w:rPr>
          <w:rFonts w:hint="default" w:ascii="Times New Roman" w:hAnsi="Times New Roman" w:eastAsia="仿宋_GB2312" w:cs="Times New Roman"/>
          <w:color w:val="000000" w:themeColor="text1"/>
          <w:highlight w:val="none"/>
          <w:lang w:eastAsia="zh-CN"/>
          <w14:textFill>
            <w14:solidFill>
              <w14:schemeClr w14:val="tx1"/>
            </w14:solidFill>
          </w14:textFill>
        </w:rPr>
      </w:pPr>
      <w:bookmarkStart w:id="24" w:name="_GoBack"/>
      <w:bookmarkEnd w:id="24"/>
    </w:p>
    <w:p w14:paraId="03E79FBE">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081DA50A">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14DA67DF">
      <w:pPr>
        <w:adjustRightInd w:val="0"/>
        <w:snapToGrid w:val="0"/>
        <w:jc w:val="center"/>
        <w:outlineLvl w:val="0"/>
        <w:rPr>
          <w:rFonts w:hint="default" w:ascii="Times New Roman" w:hAnsi="Times New Roman" w:eastAsia="方正小标宋_GBK" w:cs="Times New Roman"/>
          <w:bCs/>
          <w:color w:val="000000" w:themeColor="text1"/>
          <w:sz w:val="72"/>
          <w:szCs w:val="72"/>
          <w:highlight w:val="none"/>
          <w14:textFill>
            <w14:solidFill>
              <w14:schemeClr w14:val="tx1"/>
            </w14:solidFill>
          </w14:textFill>
        </w:rPr>
      </w:pPr>
      <w:bookmarkStart w:id="0" w:name="_Toc9788"/>
      <w:r>
        <w:rPr>
          <w:rFonts w:hint="default" w:ascii="Times New Roman" w:hAnsi="Times New Roman" w:eastAsia="方正小标宋_GBK" w:cs="Times New Roman"/>
          <w:bCs/>
          <w:color w:val="000000" w:themeColor="text1"/>
          <w:sz w:val="72"/>
          <w:szCs w:val="72"/>
          <w:highlight w:val="none"/>
          <w14:textFill>
            <w14:solidFill>
              <w14:schemeClr w14:val="tx1"/>
            </w14:solidFill>
          </w14:textFill>
        </w:rPr>
        <w:t>建设项目环境影响报告表</w:t>
      </w:r>
      <w:bookmarkEnd w:id="0"/>
    </w:p>
    <w:p w14:paraId="7CF8F693">
      <w:pPr>
        <w:adjustRightInd w:val="0"/>
        <w:snapToGrid w:val="0"/>
        <w:spacing w:before="192" w:beforeLines="80"/>
        <w:jc w:val="center"/>
        <w:rPr>
          <w:rFonts w:hint="default" w:ascii="Times New Roman" w:hAnsi="Times New Roman" w:eastAsia="楷体_GB2312" w:cs="Times New Roman"/>
          <w:bCs/>
          <w:color w:val="000000" w:themeColor="text1"/>
          <w:sz w:val="48"/>
          <w:szCs w:val="48"/>
          <w:highlight w:val="none"/>
          <w14:textFill>
            <w14:solidFill>
              <w14:schemeClr w14:val="tx1"/>
            </w14:solidFill>
          </w14:textFill>
        </w:rPr>
      </w:pPr>
      <w:r>
        <w:rPr>
          <w:rFonts w:hint="default" w:ascii="Times New Roman" w:hAnsi="Times New Roman" w:eastAsia="楷体_GB2312" w:cs="Times New Roman"/>
          <w:bCs/>
          <w:color w:val="000000" w:themeColor="text1"/>
          <w:sz w:val="48"/>
          <w:szCs w:val="48"/>
          <w:highlight w:val="none"/>
          <w14:textFill>
            <w14:solidFill>
              <w14:schemeClr w14:val="tx1"/>
            </w14:solidFill>
          </w14:textFill>
        </w:rPr>
        <w:t>（污染影响类）</w:t>
      </w:r>
    </w:p>
    <w:p w14:paraId="02B10F9D">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4AAD1432">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495E3D2C">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6BF10DA8">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705DA7A4">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1054B951">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1BDB7176">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79286D5A">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3FD3AC4C">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512C5175">
      <w:pPr>
        <w:keepNext w:val="0"/>
        <w:keepLines w:val="0"/>
        <w:pageBreakBefore w:val="0"/>
        <w:widowControl w:val="0"/>
        <w:kinsoku/>
        <w:wordWrap/>
        <w:overflowPunct/>
        <w:topLinePunct w:val="0"/>
        <w:autoSpaceDE/>
        <w:autoSpaceDN/>
        <w:bidi w:val="0"/>
        <w:adjustRightInd w:val="0"/>
        <w:snapToGrid w:val="0"/>
        <w:spacing w:line="288" w:lineRule="auto"/>
        <w:ind w:firstLine="720" w:firstLineChars="200"/>
        <w:textAlignment w:val="auto"/>
        <w:rPr>
          <w:rFonts w:hint="default" w:ascii="Times New Roman" w:hAnsi="Times New Roman" w:eastAsia="仿宋" w:cs="Times New Roman"/>
          <w:color w:val="000000" w:themeColor="text1"/>
          <w:sz w:val="36"/>
          <w:szCs w:val="36"/>
          <w:highlight w:val="none"/>
          <w:u w:val="single"/>
          <w14:textFill>
            <w14:solidFill>
              <w14:schemeClr w14:val="tx1"/>
            </w14:solidFill>
          </w14:textFill>
        </w:rPr>
      </w:pPr>
      <w:r>
        <w:rPr>
          <w:rFonts w:hint="default" w:ascii="Times New Roman" w:hAnsi="Times New Roman" w:eastAsia="仿宋" w:cs="Times New Roman"/>
          <w:color w:val="000000" w:themeColor="text1"/>
          <w:sz w:val="36"/>
          <w:szCs w:val="36"/>
          <w:highlight w:val="none"/>
          <w14:textFill>
            <w14:solidFill>
              <w14:schemeClr w14:val="tx1"/>
            </w14:solidFill>
          </w14:textFill>
        </w:rPr>
        <w:t>项目名称：</w:t>
      </w:r>
      <w:r>
        <w:rPr>
          <w:rFonts w:hint="default" w:ascii="Times New Roman" w:hAnsi="Times New Roman" w:eastAsia="仿宋" w:cs="Times New Roman"/>
          <w:color w:val="000000" w:themeColor="text1"/>
          <w:sz w:val="36"/>
          <w:szCs w:val="36"/>
          <w:highlight w:val="none"/>
          <w:u w:val="single"/>
          <w14:textFill>
            <w14:solidFill>
              <w14:schemeClr w14:val="tx1"/>
            </w14:solidFill>
          </w14:textFill>
        </w:rPr>
        <w:t>长治市琪琳能源科技有限公司</w:t>
      </w:r>
    </w:p>
    <w:p w14:paraId="47F9ACCB">
      <w:pPr>
        <w:keepNext w:val="0"/>
        <w:keepLines w:val="0"/>
        <w:pageBreakBefore w:val="0"/>
        <w:widowControl w:val="0"/>
        <w:kinsoku/>
        <w:wordWrap/>
        <w:overflowPunct/>
        <w:topLinePunct w:val="0"/>
        <w:autoSpaceDE/>
        <w:autoSpaceDN/>
        <w:bidi w:val="0"/>
        <w:adjustRightInd w:val="0"/>
        <w:snapToGrid w:val="0"/>
        <w:spacing w:line="288" w:lineRule="auto"/>
        <w:ind w:firstLine="2520" w:firstLineChars="700"/>
        <w:textAlignment w:val="auto"/>
        <w:rPr>
          <w:rFonts w:hint="default" w:ascii="Times New Roman" w:hAnsi="Times New Roman" w:eastAsia="仿宋" w:cs="Times New Roman"/>
          <w:color w:val="000000" w:themeColor="text1"/>
          <w:sz w:val="36"/>
          <w:szCs w:val="36"/>
          <w:highlight w:val="none"/>
          <w14:textFill>
            <w14:solidFill>
              <w14:schemeClr w14:val="tx1"/>
            </w14:solidFill>
          </w14:textFill>
        </w:rPr>
      </w:pPr>
      <w:r>
        <w:rPr>
          <w:rFonts w:hint="default" w:ascii="Times New Roman" w:hAnsi="Times New Roman" w:eastAsia="仿宋" w:cs="Times New Roman"/>
          <w:color w:val="000000" w:themeColor="text1"/>
          <w:sz w:val="36"/>
          <w:szCs w:val="36"/>
          <w:highlight w:val="none"/>
          <w:u w:val="single"/>
          <w14:textFill>
            <w14:solidFill>
              <w14:schemeClr w14:val="tx1"/>
            </w14:solidFill>
          </w14:textFill>
        </w:rPr>
        <w:t>煤矸石机制砂综</w:t>
      </w:r>
      <w:r>
        <w:rPr>
          <w:rFonts w:hint="default" w:ascii="Times New Roman" w:hAnsi="Times New Roman" w:eastAsia="仿宋" w:cs="Times New Roman"/>
          <w:color w:val="000000" w:themeColor="text1"/>
          <w:sz w:val="36"/>
          <w:szCs w:val="36"/>
          <w:highlight w:val="none"/>
          <w:u w:val="single"/>
          <w:lang w:val="en-US" w:eastAsia="zh-CN"/>
          <w14:textFill>
            <w14:solidFill>
              <w14:schemeClr w14:val="tx1"/>
            </w14:solidFill>
          </w14:textFill>
        </w:rPr>
        <w:t>合</w:t>
      </w:r>
      <w:r>
        <w:rPr>
          <w:rFonts w:hint="default" w:ascii="Times New Roman" w:hAnsi="Times New Roman" w:eastAsia="仿宋" w:cs="Times New Roman"/>
          <w:color w:val="000000" w:themeColor="text1"/>
          <w:sz w:val="36"/>
          <w:szCs w:val="36"/>
          <w:highlight w:val="none"/>
          <w:u w:val="single"/>
          <w14:textFill>
            <w14:solidFill>
              <w14:schemeClr w14:val="tx1"/>
            </w14:solidFill>
          </w14:textFill>
        </w:rPr>
        <w:t>再利用项目</w:t>
      </w:r>
    </w:p>
    <w:p w14:paraId="43EE3572">
      <w:pPr>
        <w:keepNext w:val="0"/>
        <w:keepLines w:val="0"/>
        <w:pageBreakBefore w:val="0"/>
        <w:widowControl w:val="0"/>
        <w:kinsoku/>
        <w:wordWrap/>
        <w:overflowPunct/>
        <w:topLinePunct w:val="0"/>
        <w:autoSpaceDE/>
        <w:autoSpaceDN/>
        <w:bidi w:val="0"/>
        <w:adjustRightInd w:val="0"/>
        <w:snapToGrid w:val="0"/>
        <w:spacing w:line="288" w:lineRule="auto"/>
        <w:ind w:left="3058" w:leftChars="342" w:hanging="2340" w:hangingChars="650"/>
        <w:textAlignment w:val="auto"/>
        <w:rPr>
          <w:rFonts w:hint="eastAsia" w:eastAsia="仿宋" w:cs="Times New Roman"/>
          <w:color w:val="000000" w:themeColor="text1"/>
          <w:sz w:val="36"/>
          <w:szCs w:val="36"/>
          <w:highlight w:val="none"/>
          <w:u w:val="single"/>
          <w:lang w:val="en-US" w:eastAsia="zh-CN"/>
          <w14:textFill>
            <w14:solidFill>
              <w14:schemeClr w14:val="tx1"/>
            </w14:solidFill>
          </w14:textFill>
        </w:rPr>
      </w:pPr>
      <w:r>
        <w:rPr>
          <w:rFonts w:hint="default" w:ascii="Times New Roman" w:hAnsi="Times New Roman" w:eastAsia="仿宋" w:cs="Times New Roman"/>
          <w:color w:val="000000" w:themeColor="text1"/>
          <w:sz w:val="36"/>
          <w:szCs w:val="36"/>
          <w:highlight w:val="none"/>
          <w14:textFill>
            <w14:solidFill>
              <w14:schemeClr w14:val="tx1"/>
            </w14:solidFill>
          </w14:textFill>
        </w:rPr>
        <w:t>建设单位（盖章）：</w:t>
      </w:r>
      <w:r>
        <w:rPr>
          <w:rFonts w:hint="default" w:ascii="Times New Roman" w:hAnsi="Times New Roman" w:eastAsia="仿宋" w:cs="Times New Roman"/>
          <w:color w:val="000000" w:themeColor="text1"/>
          <w:sz w:val="36"/>
          <w:szCs w:val="36"/>
          <w:highlight w:val="none"/>
          <w:u w:val="single"/>
          <w14:textFill>
            <w14:solidFill>
              <w14:schemeClr w14:val="tx1"/>
            </w14:solidFill>
          </w14:textFill>
        </w:rPr>
        <w:t>长治市琪琳能源科技有限公司</w:t>
      </w:r>
    </w:p>
    <w:p w14:paraId="4AF15D89">
      <w:pPr>
        <w:keepNext w:val="0"/>
        <w:keepLines w:val="0"/>
        <w:pageBreakBefore w:val="0"/>
        <w:widowControl w:val="0"/>
        <w:kinsoku/>
        <w:wordWrap/>
        <w:overflowPunct/>
        <w:topLinePunct w:val="0"/>
        <w:autoSpaceDE/>
        <w:autoSpaceDN/>
        <w:bidi w:val="0"/>
        <w:adjustRightInd w:val="0"/>
        <w:snapToGrid w:val="0"/>
        <w:spacing w:line="288" w:lineRule="auto"/>
        <w:ind w:firstLine="737"/>
        <w:textAlignment w:val="auto"/>
        <w:rPr>
          <w:rFonts w:hint="default" w:ascii="Times New Roman" w:hAnsi="Times New Roman" w:eastAsia="仿宋" w:cs="Times New Roman"/>
          <w:color w:val="000000" w:themeColor="text1"/>
          <w:sz w:val="36"/>
          <w:szCs w:val="36"/>
          <w:highlight w:val="none"/>
          <w14:textFill>
            <w14:solidFill>
              <w14:schemeClr w14:val="tx1"/>
            </w14:solidFill>
          </w14:textFill>
        </w:rPr>
      </w:pPr>
      <w:r>
        <w:rPr>
          <w:rFonts w:hint="default" w:ascii="Times New Roman" w:hAnsi="Times New Roman" w:eastAsia="仿宋" w:cs="Times New Roman"/>
          <w:color w:val="000000" w:themeColor="text1"/>
          <w:sz w:val="36"/>
          <w:szCs w:val="36"/>
          <w:highlight w:val="none"/>
          <w14:textFill>
            <w14:solidFill>
              <w14:schemeClr w14:val="tx1"/>
            </w14:solidFill>
          </w14:textFill>
        </w:rPr>
        <w:t>编制日期：</w:t>
      </w:r>
      <w:r>
        <w:rPr>
          <w:rFonts w:hint="default" w:ascii="Times New Roman" w:hAnsi="Times New Roman" w:eastAsia="仿宋" w:cs="Times New Roman"/>
          <w:color w:val="000000" w:themeColor="text1"/>
          <w:sz w:val="36"/>
          <w:szCs w:val="36"/>
          <w:highlight w:val="none"/>
          <w:u w:val="single"/>
          <w14:textFill>
            <w14:solidFill>
              <w14:schemeClr w14:val="tx1"/>
            </w14:solidFill>
          </w14:textFill>
        </w:rPr>
        <w:t xml:space="preserve">      </w:t>
      </w:r>
      <w:r>
        <w:rPr>
          <w:rFonts w:hint="default" w:ascii="Times New Roman" w:hAnsi="Times New Roman" w:eastAsia="仿宋" w:cs="Times New Roman"/>
          <w:color w:val="000000" w:themeColor="text1"/>
          <w:sz w:val="36"/>
          <w:szCs w:val="36"/>
          <w:highlight w:val="none"/>
          <w:u w:val="single"/>
          <w:lang w:val="en-US" w:eastAsia="zh-CN"/>
          <w14:textFill>
            <w14:solidFill>
              <w14:schemeClr w14:val="tx1"/>
            </w14:solidFill>
          </w14:textFill>
        </w:rPr>
        <w:t xml:space="preserve">  </w:t>
      </w:r>
      <w:r>
        <w:rPr>
          <w:rFonts w:hint="default" w:ascii="Times New Roman" w:hAnsi="Times New Roman" w:eastAsia="仿宋" w:cs="Times New Roman"/>
          <w:color w:val="000000" w:themeColor="text1"/>
          <w:sz w:val="36"/>
          <w:szCs w:val="36"/>
          <w:highlight w:val="none"/>
          <w:u w:val="single"/>
          <w14:textFill>
            <w14:solidFill>
              <w14:schemeClr w14:val="tx1"/>
            </w14:solidFill>
          </w14:textFill>
        </w:rPr>
        <w:t xml:space="preserve"> </w:t>
      </w:r>
      <w:r>
        <w:rPr>
          <w:rFonts w:hint="eastAsia" w:eastAsia="仿宋" w:cs="Times New Roman"/>
          <w:color w:val="000000" w:themeColor="text1"/>
          <w:sz w:val="36"/>
          <w:szCs w:val="36"/>
          <w:highlight w:val="none"/>
          <w:u w:val="single"/>
          <w:lang w:val="en-US" w:eastAsia="zh-CN"/>
          <w14:textFill>
            <w14:solidFill>
              <w14:schemeClr w14:val="tx1"/>
            </w14:solidFill>
          </w14:textFill>
        </w:rPr>
        <w:t xml:space="preserve"> </w:t>
      </w:r>
      <w:r>
        <w:rPr>
          <w:rFonts w:hint="default" w:ascii="Times New Roman" w:hAnsi="Times New Roman" w:eastAsia="仿宋" w:cs="Times New Roman"/>
          <w:color w:val="000000" w:themeColor="text1"/>
          <w:sz w:val="36"/>
          <w:szCs w:val="36"/>
          <w:highlight w:val="none"/>
          <w:u w:val="single"/>
          <w14:textFill>
            <w14:solidFill>
              <w14:schemeClr w14:val="tx1"/>
            </w14:solidFill>
          </w14:textFill>
        </w:rPr>
        <w:t xml:space="preserve"> </w:t>
      </w:r>
      <w:r>
        <w:rPr>
          <w:rFonts w:hint="default" w:ascii="Times New Roman" w:hAnsi="Times New Roman" w:eastAsia="仿宋" w:cs="Times New Roman"/>
          <w:color w:val="000000" w:themeColor="text1"/>
          <w:sz w:val="36"/>
          <w:szCs w:val="36"/>
          <w:highlight w:val="none"/>
          <w:u w:val="single"/>
          <w:lang w:val="en-US" w:eastAsia="zh-CN"/>
          <w14:textFill>
            <w14:solidFill>
              <w14:schemeClr w14:val="tx1"/>
            </w14:solidFill>
          </w14:textFill>
        </w:rPr>
        <w:t>202</w:t>
      </w:r>
      <w:r>
        <w:rPr>
          <w:rFonts w:hint="eastAsia" w:eastAsia="仿宋" w:cs="Times New Roman"/>
          <w:color w:val="000000" w:themeColor="text1"/>
          <w:sz w:val="36"/>
          <w:szCs w:val="36"/>
          <w:highlight w:val="none"/>
          <w:u w:val="single"/>
          <w:lang w:val="en-US" w:eastAsia="zh-CN"/>
          <w14:textFill>
            <w14:solidFill>
              <w14:schemeClr w14:val="tx1"/>
            </w14:solidFill>
          </w14:textFill>
        </w:rPr>
        <w:t>6</w:t>
      </w:r>
      <w:r>
        <w:rPr>
          <w:rFonts w:hint="default" w:ascii="Times New Roman" w:hAnsi="Times New Roman" w:eastAsia="仿宋" w:cs="Times New Roman"/>
          <w:color w:val="000000" w:themeColor="text1"/>
          <w:sz w:val="36"/>
          <w:szCs w:val="36"/>
          <w:highlight w:val="none"/>
          <w:u w:val="single"/>
          <w:lang w:val="en-US" w:eastAsia="zh-CN"/>
          <w14:textFill>
            <w14:solidFill>
              <w14:schemeClr w14:val="tx1"/>
            </w14:solidFill>
          </w14:textFill>
        </w:rPr>
        <w:t>年</w:t>
      </w:r>
      <w:r>
        <w:rPr>
          <w:rFonts w:hint="eastAsia" w:eastAsia="仿宋" w:cs="Times New Roman"/>
          <w:color w:val="000000" w:themeColor="text1"/>
          <w:sz w:val="36"/>
          <w:szCs w:val="36"/>
          <w:highlight w:val="none"/>
          <w:u w:val="single"/>
          <w:lang w:val="en-US" w:eastAsia="zh-CN"/>
          <w14:textFill>
            <w14:solidFill>
              <w14:schemeClr w14:val="tx1"/>
            </w14:solidFill>
          </w14:textFill>
        </w:rPr>
        <w:t>6</w:t>
      </w:r>
      <w:r>
        <w:rPr>
          <w:rFonts w:hint="default" w:ascii="Times New Roman" w:hAnsi="Times New Roman" w:eastAsia="仿宋" w:cs="Times New Roman"/>
          <w:color w:val="000000" w:themeColor="text1"/>
          <w:sz w:val="36"/>
          <w:szCs w:val="36"/>
          <w:highlight w:val="none"/>
          <w:u w:val="single"/>
          <w:lang w:val="en-US" w:eastAsia="zh-CN"/>
          <w14:textFill>
            <w14:solidFill>
              <w14:schemeClr w14:val="tx1"/>
            </w14:solidFill>
          </w14:textFill>
        </w:rPr>
        <w:t>月</w:t>
      </w:r>
      <w:r>
        <w:rPr>
          <w:rFonts w:hint="default" w:ascii="Times New Roman" w:hAnsi="Times New Roman" w:eastAsia="仿宋" w:cs="Times New Roman"/>
          <w:color w:val="000000" w:themeColor="text1"/>
          <w:sz w:val="36"/>
          <w:szCs w:val="36"/>
          <w:highlight w:val="none"/>
          <w:u w:val="single"/>
          <w14:textFill>
            <w14:solidFill>
              <w14:schemeClr w14:val="tx1"/>
            </w14:solidFill>
          </w14:textFill>
        </w:rPr>
        <w:t xml:space="preserve"> </w:t>
      </w:r>
      <w:r>
        <w:rPr>
          <w:rFonts w:hint="eastAsia" w:eastAsia="仿宋" w:cs="Times New Roman"/>
          <w:color w:val="000000" w:themeColor="text1"/>
          <w:sz w:val="36"/>
          <w:szCs w:val="36"/>
          <w:highlight w:val="none"/>
          <w:u w:val="single"/>
          <w:lang w:val="en-US" w:eastAsia="zh-CN"/>
          <w14:textFill>
            <w14:solidFill>
              <w14:schemeClr w14:val="tx1"/>
            </w14:solidFill>
          </w14:textFill>
        </w:rPr>
        <w:t xml:space="preserve"> </w:t>
      </w:r>
      <w:r>
        <w:rPr>
          <w:rFonts w:hint="default" w:ascii="Times New Roman" w:hAnsi="Times New Roman" w:eastAsia="仿宋" w:cs="Times New Roman"/>
          <w:color w:val="000000" w:themeColor="text1"/>
          <w:sz w:val="36"/>
          <w:szCs w:val="36"/>
          <w:highlight w:val="none"/>
          <w:u w:val="single"/>
          <w14:textFill>
            <w14:solidFill>
              <w14:schemeClr w14:val="tx1"/>
            </w14:solidFill>
          </w14:textFill>
        </w:rPr>
        <w:t xml:space="preserve">  </w:t>
      </w:r>
      <w:r>
        <w:rPr>
          <w:rFonts w:hint="default" w:ascii="Times New Roman" w:hAnsi="Times New Roman" w:eastAsia="仿宋" w:cs="Times New Roman"/>
          <w:color w:val="000000" w:themeColor="text1"/>
          <w:sz w:val="36"/>
          <w:szCs w:val="36"/>
          <w:highlight w:val="none"/>
          <w:u w:val="single"/>
          <w:lang w:val="en-US" w:eastAsia="zh-CN"/>
          <w14:textFill>
            <w14:solidFill>
              <w14:schemeClr w14:val="tx1"/>
            </w14:solidFill>
          </w14:textFill>
        </w:rPr>
        <w:t xml:space="preserve"> </w:t>
      </w:r>
      <w:r>
        <w:rPr>
          <w:rFonts w:hint="default" w:ascii="Times New Roman" w:hAnsi="Times New Roman" w:eastAsia="仿宋" w:cs="Times New Roman"/>
          <w:color w:val="000000" w:themeColor="text1"/>
          <w:sz w:val="36"/>
          <w:szCs w:val="36"/>
          <w:highlight w:val="none"/>
          <w:u w:val="single"/>
          <w14:textFill>
            <w14:solidFill>
              <w14:schemeClr w14:val="tx1"/>
            </w14:solidFill>
          </w14:textFill>
        </w:rPr>
        <w:t xml:space="preserve">     </w:t>
      </w:r>
    </w:p>
    <w:p w14:paraId="6D146603">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bookmarkStart w:id="1" w:name="_Hlk57884087"/>
    </w:p>
    <w:p w14:paraId="0DCC8CBD">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0562BA0F">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06047DE5">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40E65159">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bookmarkEnd w:id="1"/>
    <w:p w14:paraId="221B2C18">
      <w:pPr>
        <w:adjustRightInd w:val="0"/>
        <w:snapToGrid w:val="0"/>
        <w:spacing w:line="288" w:lineRule="auto"/>
        <w:jc w:val="center"/>
        <w:rPr>
          <w:rFonts w:hint="eastAsia" w:eastAsia="宋体"/>
          <w:color w:val="000000" w:themeColor="text1"/>
          <w:lang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hint="default" w:ascii="Times New Roman" w:hAnsi="Times New Roman" w:eastAsia="楷体_GB2312" w:cs="Times New Roman"/>
          <w:color w:val="000000" w:themeColor="text1"/>
          <w:sz w:val="36"/>
          <w:szCs w:val="36"/>
          <w:highlight w:val="none"/>
          <w14:textFill>
            <w14:solidFill>
              <w14:schemeClr w14:val="tx1"/>
            </w14:solidFill>
          </w14:textFill>
        </w:rPr>
        <w:t>中华人民共和国生态环境部</w:t>
      </w:r>
    </w:p>
    <w:p w14:paraId="3142C4CB">
      <w:pPr>
        <w:pStyle w:val="22"/>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bookmarkStart w:id="2" w:name="_Toc12561"/>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一、建设项目基本情况</w:t>
      </w:r>
      <w:bookmarkEnd w:id="2"/>
    </w:p>
    <w:tbl>
      <w:tblPr>
        <w:tblStyle w:val="30"/>
        <w:tblW w:w="898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60"/>
        <w:gridCol w:w="631"/>
        <w:gridCol w:w="2224"/>
        <w:gridCol w:w="2079"/>
        <w:gridCol w:w="3388"/>
      </w:tblGrid>
      <w:tr w14:paraId="6ADE4C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1" w:type="dxa"/>
            <w:gridSpan w:val="2"/>
            <w:tcMar>
              <w:top w:w="16" w:type="dxa"/>
              <w:left w:w="16" w:type="dxa"/>
              <w:right w:w="16" w:type="dxa"/>
            </w:tcMar>
            <w:vAlign w:val="center"/>
          </w:tcPr>
          <w:p w14:paraId="7AF019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建设项目</w:t>
            </w:r>
          </w:p>
          <w:p w14:paraId="756AEBA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名称</w:t>
            </w:r>
          </w:p>
        </w:tc>
        <w:tc>
          <w:tcPr>
            <w:tcW w:w="7691" w:type="dxa"/>
            <w:gridSpan w:val="3"/>
            <w:vAlign w:val="center"/>
          </w:tcPr>
          <w:p w14:paraId="2778E15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color w:val="000000" w:themeColor="text1"/>
                <w:sz w:val="24"/>
                <w:szCs w:val="32"/>
                <w14:textFill>
                  <w14:solidFill>
                    <w14:schemeClr w14:val="tx1"/>
                  </w14:solidFill>
                </w14:textFill>
              </w:rPr>
              <w:t>长治市琪琳能源科技有限公司煤矸石机制砂综</w:t>
            </w:r>
            <w:r>
              <w:rPr>
                <w:rFonts w:hint="eastAsia"/>
                <w:color w:val="000000" w:themeColor="text1"/>
                <w:sz w:val="24"/>
                <w:szCs w:val="32"/>
                <w:lang w:val="en-US" w:eastAsia="zh-CN"/>
                <w14:textFill>
                  <w14:solidFill>
                    <w14:schemeClr w14:val="tx1"/>
                  </w14:solidFill>
                </w14:textFill>
              </w:rPr>
              <w:t>合</w:t>
            </w:r>
            <w:r>
              <w:rPr>
                <w:rFonts w:hint="eastAsia"/>
                <w:color w:val="000000" w:themeColor="text1"/>
                <w:sz w:val="24"/>
                <w:szCs w:val="32"/>
                <w14:textFill>
                  <w14:solidFill>
                    <w14:schemeClr w14:val="tx1"/>
                  </w14:solidFill>
                </w14:textFill>
              </w:rPr>
              <w:t>再利用项目</w:t>
            </w:r>
          </w:p>
        </w:tc>
      </w:tr>
      <w:tr w14:paraId="25BA67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1" w:type="dxa"/>
            <w:gridSpan w:val="2"/>
            <w:tcMar>
              <w:top w:w="16" w:type="dxa"/>
              <w:left w:w="16" w:type="dxa"/>
              <w:right w:w="16" w:type="dxa"/>
            </w:tcMar>
            <w:vAlign w:val="center"/>
          </w:tcPr>
          <w:p w14:paraId="21A18B6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项目代码</w:t>
            </w:r>
          </w:p>
        </w:tc>
        <w:tc>
          <w:tcPr>
            <w:tcW w:w="7691" w:type="dxa"/>
            <w:gridSpan w:val="3"/>
            <w:vAlign w:val="center"/>
          </w:tcPr>
          <w:p w14:paraId="1C5D48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2604-140405-89-05-766238</w:t>
            </w:r>
          </w:p>
        </w:tc>
      </w:tr>
      <w:tr w14:paraId="1E895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1" w:type="dxa"/>
            <w:gridSpan w:val="2"/>
            <w:tcMar>
              <w:top w:w="16" w:type="dxa"/>
              <w:left w:w="16" w:type="dxa"/>
              <w:right w:w="16" w:type="dxa"/>
            </w:tcMar>
            <w:vAlign w:val="center"/>
          </w:tcPr>
          <w:p w14:paraId="3151145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建设单位</w:t>
            </w:r>
          </w:p>
          <w:p w14:paraId="4C90197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联系人</w:t>
            </w:r>
          </w:p>
        </w:tc>
        <w:tc>
          <w:tcPr>
            <w:tcW w:w="2224" w:type="dxa"/>
            <w:vAlign w:val="center"/>
          </w:tcPr>
          <w:p w14:paraId="70B924F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c>
          <w:tcPr>
            <w:tcW w:w="2079" w:type="dxa"/>
            <w:vAlign w:val="center"/>
          </w:tcPr>
          <w:p w14:paraId="676A65D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b w:val="0"/>
                <w:bCs w:val="0"/>
                <w:color w:val="000000" w:themeColor="text1"/>
                <w:sz w:val="24"/>
                <w:szCs w:val="24"/>
                <w:highlight w:val="none"/>
                <w14:textFill>
                  <w14:solidFill>
                    <w14:schemeClr w14:val="tx1"/>
                  </w14:solidFill>
                </w14:textFill>
              </w:rPr>
              <w:t>联系方式</w:t>
            </w:r>
          </w:p>
        </w:tc>
        <w:tc>
          <w:tcPr>
            <w:tcW w:w="3388" w:type="dxa"/>
            <w:vAlign w:val="center"/>
          </w:tcPr>
          <w:p w14:paraId="60F0D4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r>
      <w:tr w14:paraId="1DF896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1" w:type="dxa"/>
            <w:gridSpan w:val="2"/>
            <w:tcMar>
              <w:top w:w="16" w:type="dxa"/>
              <w:left w:w="16" w:type="dxa"/>
              <w:right w:w="16" w:type="dxa"/>
            </w:tcMar>
            <w:vAlign w:val="center"/>
          </w:tcPr>
          <w:p w14:paraId="4816B77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建设地点</w:t>
            </w:r>
          </w:p>
        </w:tc>
        <w:tc>
          <w:tcPr>
            <w:tcW w:w="7691" w:type="dxa"/>
            <w:gridSpan w:val="3"/>
            <w:vAlign w:val="center"/>
          </w:tcPr>
          <w:p w14:paraId="09ED3F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长治市</w:t>
            </w:r>
            <w:r>
              <w:rPr>
                <w:rFonts w:hint="default" w:ascii="Times New Roman" w:hAnsi="Times New Roman" w:cs="Times New Roman"/>
                <w:color w:val="000000" w:themeColor="text1"/>
                <w:sz w:val="24"/>
                <w:szCs w:val="24"/>
                <w:highlight w:val="none"/>
                <w:lang w:val="en-US"/>
                <w14:textFill>
                  <w14:solidFill>
                    <w14:schemeClr w14:val="tx1"/>
                  </w14:solidFill>
                </w14:textFill>
              </w:rPr>
              <w:t>屯留区路村乡前苏村</w:t>
            </w:r>
            <w:r>
              <w:rPr>
                <w:rFonts w:hint="eastAsia" w:cs="Times New Roman"/>
                <w:color w:val="000000" w:themeColor="text1"/>
                <w:sz w:val="24"/>
                <w:szCs w:val="24"/>
                <w:highlight w:val="none"/>
                <w:lang w:val="en-US" w:eastAsia="zh-CN"/>
                <w14:textFill>
                  <w14:solidFill>
                    <w14:schemeClr w14:val="tx1"/>
                  </w14:solidFill>
                </w14:textFill>
              </w:rPr>
              <w:t>村北</w:t>
            </w:r>
          </w:p>
        </w:tc>
      </w:tr>
      <w:tr w14:paraId="608D34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1" w:type="dxa"/>
            <w:gridSpan w:val="2"/>
            <w:tcMar>
              <w:top w:w="16" w:type="dxa"/>
              <w:left w:w="16" w:type="dxa"/>
              <w:right w:w="16" w:type="dxa"/>
            </w:tcMar>
            <w:vAlign w:val="center"/>
          </w:tcPr>
          <w:p w14:paraId="131EB91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地理坐标</w:t>
            </w:r>
          </w:p>
        </w:tc>
        <w:tc>
          <w:tcPr>
            <w:tcW w:w="7691" w:type="dxa"/>
            <w:gridSpan w:val="3"/>
            <w:vAlign w:val="center"/>
          </w:tcPr>
          <w:p w14:paraId="6953F64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u w:val="single"/>
                <w14:textFill>
                  <w14:solidFill>
                    <w14:schemeClr w14:val="tx1"/>
                  </w14:solidFill>
                </w14:textFill>
              </w:rPr>
              <w:t xml:space="preserve"> </w:t>
            </w:r>
            <w:r>
              <w:rPr>
                <w:rFonts w:hint="default" w:ascii="Times New Roman" w:hAnsi="Times New Roman" w:cs="Times New Roman"/>
                <w:color w:val="000000" w:themeColor="text1"/>
                <w:sz w:val="24"/>
                <w:szCs w:val="24"/>
                <w:highlight w:val="none"/>
                <w:u w:val="single"/>
                <w:lang w:val="en-US" w:eastAsia="zh-CN"/>
                <w14:textFill>
                  <w14:solidFill>
                    <w14:schemeClr w14:val="tx1"/>
                  </w14:solidFill>
                </w14:textFill>
              </w:rPr>
              <w:t>11</w:t>
            </w:r>
            <w:r>
              <w:rPr>
                <w:rFonts w:hint="eastAsia" w:cs="Times New Roman"/>
                <w:color w:val="000000" w:themeColor="text1"/>
                <w:sz w:val="24"/>
                <w:szCs w:val="24"/>
                <w:highlight w:val="none"/>
                <w:u w:val="singl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u w:val="single"/>
                <w14:textFill>
                  <w14:solidFill>
                    <w14:schemeClr w14:val="tx1"/>
                  </w14:solidFill>
                </w14:textFill>
              </w:rPr>
              <w:t xml:space="preserve"> </w:t>
            </w:r>
            <w:r>
              <w:rPr>
                <w:rFonts w:hint="default" w:ascii="Times New Roman" w:hAnsi="Times New Roman" w:cs="Times New Roman"/>
                <w:color w:val="000000" w:themeColor="text1"/>
                <w:sz w:val="24"/>
                <w:szCs w:val="24"/>
                <w:highlight w:val="none"/>
                <w14:textFill>
                  <w14:solidFill>
                    <w14:schemeClr w14:val="tx1"/>
                  </w14:solidFill>
                </w14:textFill>
              </w:rPr>
              <w:t>度</w:t>
            </w:r>
            <w:r>
              <w:rPr>
                <w:rFonts w:hint="default" w:ascii="Times New Roman" w:hAnsi="Times New Roman" w:cs="Times New Roman"/>
                <w:color w:val="000000" w:themeColor="text1"/>
                <w:sz w:val="24"/>
                <w:szCs w:val="24"/>
                <w:highlight w:val="none"/>
                <w:u w:val="single"/>
                <w14:textFill>
                  <w14:solidFill>
                    <w14:schemeClr w14:val="tx1"/>
                  </w14:solidFill>
                </w14:textFill>
              </w:rPr>
              <w:t xml:space="preserve"> 53 </w:t>
            </w:r>
            <w:r>
              <w:rPr>
                <w:rFonts w:hint="default" w:ascii="Times New Roman" w:hAnsi="Times New Roman" w:cs="Times New Roman"/>
                <w:color w:val="000000" w:themeColor="text1"/>
                <w:sz w:val="24"/>
                <w:szCs w:val="24"/>
                <w:highlight w:val="none"/>
                <w14:textFill>
                  <w14:solidFill>
                    <w14:schemeClr w14:val="tx1"/>
                  </w14:solidFill>
                </w14:textFill>
              </w:rPr>
              <w:t>分</w:t>
            </w:r>
            <w:r>
              <w:rPr>
                <w:rFonts w:hint="default" w:ascii="Times New Roman" w:hAnsi="Times New Roman" w:cs="Times New Roman"/>
                <w:color w:val="000000" w:themeColor="text1"/>
                <w:sz w:val="24"/>
                <w:szCs w:val="24"/>
                <w:highlight w:val="none"/>
                <w:u w:val="single"/>
                <w14:textFill>
                  <w14:solidFill>
                    <w14:schemeClr w14:val="tx1"/>
                  </w14:solidFill>
                </w14:textFill>
              </w:rPr>
              <w:t xml:space="preserve"> 44.583 </w:t>
            </w:r>
            <w:r>
              <w:rPr>
                <w:rFonts w:hint="default" w:ascii="Times New Roman" w:hAnsi="Times New Roman" w:cs="Times New Roman"/>
                <w:color w:val="000000" w:themeColor="text1"/>
                <w:sz w:val="24"/>
                <w:szCs w:val="24"/>
                <w:highlight w:val="none"/>
                <w14:textFill>
                  <w14:solidFill>
                    <w14:schemeClr w14:val="tx1"/>
                  </w14:solidFill>
                </w14:textFill>
              </w:rPr>
              <w:t>秒</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u w:val="single"/>
                <w14:textFill>
                  <w14:solidFill>
                    <w14:schemeClr w14:val="tx1"/>
                  </w14:solidFill>
                </w14:textFill>
              </w:rPr>
              <w:t xml:space="preserve"> </w:t>
            </w:r>
            <w:r>
              <w:rPr>
                <w:rFonts w:hint="default" w:ascii="Times New Roman" w:hAnsi="Times New Roman" w:cs="Times New Roman"/>
                <w:color w:val="000000" w:themeColor="text1"/>
                <w:sz w:val="24"/>
                <w:szCs w:val="24"/>
                <w:highlight w:val="none"/>
                <w:u w:val="single"/>
                <w:lang w:val="en-US" w:eastAsia="zh-CN"/>
                <w14:textFill>
                  <w14:solidFill>
                    <w14:schemeClr w14:val="tx1"/>
                  </w14:solidFill>
                </w14:textFill>
              </w:rPr>
              <w:t>36</w:t>
            </w:r>
            <w:r>
              <w:rPr>
                <w:rFonts w:hint="default" w:ascii="Times New Roman" w:hAnsi="Times New Roman" w:cs="Times New Roman"/>
                <w:color w:val="000000" w:themeColor="text1"/>
                <w:sz w:val="24"/>
                <w:szCs w:val="24"/>
                <w:highlight w:val="none"/>
                <w:u w:val="single"/>
                <w14:textFill>
                  <w14:solidFill>
                    <w14:schemeClr w14:val="tx1"/>
                  </w14:solidFill>
                </w14:textFill>
              </w:rPr>
              <w:t xml:space="preserve"> </w:t>
            </w:r>
            <w:r>
              <w:rPr>
                <w:rFonts w:hint="default" w:ascii="Times New Roman" w:hAnsi="Times New Roman" w:cs="Times New Roman"/>
                <w:color w:val="000000" w:themeColor="text1"/>
                <w:sz w:val="24"/>
                <w:szCs w:val="24"/>
                <w:highlight w:val="none"/>
                <w14:textFill>
                  <w14:solidFill>
                    <w14:schemeClr w14:val="tx1"/>
                  </w14:solidFill>
                </w14:textFill>
              </w:rPr>
              <w:t>度</w:t>
            </w:r>
            <w:r>
              <w:rPr>
                <w:rFonts w:hint="default" w:ascii="Times New Roman" w:hAnsi="Times New Roman" w:cs="Times New Roman"/>
                <w:color w:val="000000" w:themeColor="text1"/>
                <w:sz w:val="24"/>
                <w:szCs w:val="24"/>
                <w:highlight w:val="none"/>
                <w:u w:val="single"/>
                <w14:textFill>
                  <w14:solidFill>
                    <w14:schemeClr w14:val="tx1"/>
                  </w14:solidFill>
                </w14:textFill>
              </w:rPr>
              <w:t xml:space="preserve"> </w:t>
            </w:r>
            <w:r>
              <w:rPr>
                <w:rFonts w:hint="eastAsia" w:cs="Times New Roman"/>
                <w:color w:val="000000" w:themeColor="text1"/>
                <w:sz w:val="24"/>
                <w:szCs w:val="24"/>
                <w:highlight w:val="none"/>
                <w:u w:val="single"/>
                <w:lang w:val="en-US" w:eastAsia="zh-CN"/>
                <w14:textFill>
                  <w14:solidFill>
                    <w14:schemeClr w14:val="tx1"/>
                  </w14:solidFill>
                </w14:textFill>
              </w:rPr>
              <w:t>21</w:t>
            </w:r>
            <w:r>
              <w:rPr>
                <w:rFonts w:hint="default" w:ascii="Times New Roman" w:hAnsi="Times New Roman" w:cs="Times New Roman"/>
                <w:color w:val="000000" w:themeColor="text1"/>
                <w:sz w:val="24"/>
                <w:szCs w:val="24"/>
                <w:highlight w:val="none"/>
                <w:u w:val="single"/>
                <w14:textFill>
                  <w14:solidFill>
                    <w14:schemeClr w14:val="tx1"/>
                  </w14:solidFill>
                </w14:textFill>
              </w:rPr>
              <w:t xml:space="preserve"> </w:t>
            </w:r>
            <w:r>
              <w:rPr>
                <w:rFonts w:hint="default" w:ascii="Times New Roman" w:hAnsi="Times New Roman" w:cs="Times New Roman"/>
                <w:color w:val="000000" w:themeColor="text1"/>
                <w:sz w:val="24"/>
                <w:szCs w:val="24"/>
                <w:highlight w:val="none"/>
                <w14:textFill>
                  <w14:solidFill>
                    <w14:schemeClr w14:val="tx1"/>
                  </w14:solidFill>
                </w14:textFill>
              </w:rPr>
              <w:t>分</w:t>
            </w:r>
            <w:r>
              <w:rPr>
                <w:rFonts w:hint="default" w:ascii="Times New Roman" w:hAnsi="Times New Roman" w:cs="Times New Roman"/>
                <w:color w:val="000000" w:themeColor="text1"/>
                <w:sz w:val="24"/>
                <w:szCs w:val="24"/>
                <w:highlight w:val="none"/>
                <w:u w:val="single"/>
                <w14:textFill>
                  <w14:solidFill>
                    <w14:schemeClr w14:val="tx1"/>
                  </w14:solidFill>
                </w14:textFill>
              </w:rPr>
              <w:t xml:space="preserve"> 9.272 </w:t>
            </w:r>
            <w:r>
              <w:rPr>
                <w:rFonts w:hint="default" w:ascii="Times New Roman" w:hAnsi="Times New Roman" w:cs="Times New Roman"/>
                <w:color w:val="000000" w:themeColor="text1"/>
                <w:sz w:val="24"/>
                <w:szCs w:val="24"/>
                <w:highlight w:val="none"/>
                <w14:textFill>
                  <w14:solidFill>
                    <w14:schemeClr w14:val="tx1"/>
                  </w14:solidFill>
                </w14:textFill>
              </w:rPr>
              <w:t>秒）</w:t>
            </w:r>
          </w:p>
        </w:tc>
      </w:tr>
      <w:tr w14:paraId="0F0F02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91" w:type="dxa"/>
            <w:gridSpan w:val="2"/>
            <w:tcMar>
              <w:top w:w="16" w:type="dxa"/>
              <w:left w:w="16" w:type="dxa"/>
              <w:right w:w="16" w:type="dxa"/>
            </w:tcMar>
            <w:vAlign w:val="center"/>
          </w:tcPr>
          <w:p w14:paraId="123A721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国民经济</w:t>
            </w:r>
          </w:p>
          <w:p w14:paraId="052BB58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行业类别</w:t>
            </w:r>
          </w:p>
        </w:tc>
        <w:tc>
          <w:tcPr>
            <w:tcW w:w="2224" w:type="dxa"/>
            <w:vAlign w:val="center"/>
          </w:tcPr>
          <w:p w14:paraId="460750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C3099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其他非金属矿物制品制造</w:t>
            </w:r>
          </w:p>
        </w:tc>
        <w:tc>
          <w:tcPr>
            <w:tcW w:w="2079" w:type="dxa"/>
            <w:vAlign w:val="center"/>
          </w:tcPr>
          <w:p w14:paraId="38C978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14:textFill>
                  <w14:solidFill>
                    <w14:schemeClr w14:val="tx1"/>
                  </w14:solidFill>
                </w14:textFill>
              </w:rPr>
            </w:pPr>
            <w:bookmarkStart w:id="3" w:name="_Hlk49843745"/>
            <w:r>
              <w:rPr>
                <w:rFonts w:hint="default" w:ascii="Times New Roman" w:hAnsi="Times New Roman" w:cs="Times New Roman"/>
                <w:b/>
                <w:bCs/>
                <w:color w:val="000000" w:themeColor="text1"/>
                <w:sz w:val="24"/>
                <w:szCs w:val="24"/>
                <w:highlight w:val="none"/>
                <w14:textFill>
                  <w14:solidFill>
                    <w14:schemeClr w14:val="tx1"/>
                  </w14:solidFill>
                </w14:textFill>
              </w:rPr>
              <w:t>建设项目</w:t>
            </w:r>
          </w:p>
          <w:p w14:paraId="60C7ED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行业类别</w:t>
            </w:r>
            <w:bookmarkEnd w:id="3"/>
          </w:p>
        </w:tc>
        <w:tc>
          <w:tcPr>
            <w:tcW w:w="3388" w:type="dxa"/>
            <w:vAlign w:val="center"/>
          </w:tcPr>
          <w:p w14:paraId="364D7C18">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二十七、非金属矿物制品业 30-60、石墨及其他非金属矿物制品制造 309-其它</w:t>
            </w:r>
          </w:p>
        </w:tc>
      </w:tr>
      <w:tr w14:paraId="32228F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91" w:type="dxa"/>
            <w:gridSpan w:val="2"/>
            <w:tcMar>
              <w:top w:w="16" w:type="dxa"/>
              <w:left w:w="16" w:type="dxa"/>
              <w:right w:w="16" w:type="dxa"/>
            </w:tcMar>
            <w:vAlign w:val="center"/>
          </w:tcPr>
          <w:p w14:paraId="3D07EC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建设性质</w:t>
            </w:r>
          </w:p>
        </w:tc>
        <w:tc>
          <w:tcPr>
            <w:tcW w:w="2224" w:type="dxa"/>
            <w:vAlign w:val="center"/>
          </w:tcPr>
          <w:p w14:paraId="3C01A7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新建（迁建）</w:t>
            </w:r>
          </w:p>
          <w:p w14:paraId="1CF604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改建</w:t>
            </w:r>
          </w:p>
          <w:p w14:paraId="0B020F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扩建</w:t>
            </w:r>
          </w:p>
          <w:p w14:paraId="7AA83D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技术改造</w:t>
            </w:r>
          </w:p>
        </w:tc>
        <w:tc>
          <w:tcPr>
            <w:tcW w:w="2079" w:type="dxa"/>
            <w:vAlign w:val="center"/>
          </w:tcPr>
          <w:p w14:paraId="3C319CE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建设项目</w:t>
            </w:r>
          </w:p>
          <w:p w14:paraId="68D253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申报情形</w:t>
            </w:r>
          </w:p>
        </w:tc>
        <w:tc>
          <w:tcPr>
            <w:tcW w:w="3388" w:type="dxa"/>
            <w:vAlign w:val="center"/>
          </w:tcPr>
          <w:p w14:paraId="4E2D18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首次申报项目</w:t>
            </w:r>
          </w:p>
          <w:p w14:paraId="665422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不予批准后再次申报项目</w:t>
            </w:r>
          </w:p>
          <w:p w14:paraId="5A1070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超五年重新审核项目</w:t>
            </w:r>
          </w:p>
          <w:p w14:paraId="08075D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重大变动重新报批项目</w:t>
            </w:r>
          </w:p>
        </w:tc>
      </w:tr>
      <w:tr w14:paraId="481880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291" w:type="dxa"/>
            <w:gridSpan w:val="2"/>
            <w:tcMar>
              <w:top w:w="16" w:type="dxa"/>
              <w:left w:w="16" w:type="dxa"/>
              <w:right w:w="16" w:type="dxa"/>
            </w:tcMar>
            <w:vAlign w:val="center"/>
          </w:tcPr>
          <w:p w14:paraId="476C588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项目审批（备案）部门（选填）</w:t>
            </w:r>
          </w:p>
        </w:tc>
        <w:tc>
          <w:tcPr>
            <w:tcW w:w="2224" w:type="dxa"/>
            <w:vAlign w:val="center"/>
          </w:tcPr>
          <w:p w14:paraId="3E6A85A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长治市屯留区行政审批服务管理局</w:t>
            </w:r>
          </w:p>
        </w:tc>
        <w:tc>
          <w:tcPr>
            <w:tcW w:w="2079" w:type="dxa"/>
            <w:vAlign w:val="center"/>
          </w:tcPr>
          <w:p w14:paraId="2E29A9F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000000" w:themeColor="text1"/>
                <w:sz w:val="24"/>
                <w:szCs w:val="24"/>
                <w:highlight w:val="none"/>
                <w14:textFill>
                  <w14:solidFill>
                    <w14:schemeClr w14:val="tx1"/>
                  </w14:solidFill>
                </w14:textFill>
              </w:rPr>
            </w:pPr>
            <w:r>
              <w:rPr>
                <w:rFonts w:hint="default" w:ascii="Times New Roman" w:hAnsi="Times New Roman" w:cs="Times New Roman"/>
                <w:b w:val="0"/>
                <w:bCs w:val="0"/>
                <w:color w:val="000000" w:themeColor="text1"/>
                <w:sz w:val="24"/>
                <w:szCs w:val="24"/>
                <w:highlight w:val="none"/>
                <w14:textFill>
                  <w14:solidFill>
                    <w14:schemeClr w14:val="tx1"/>
                  </w14:solidFill>
                </w14:textFill>
              </w:rPr>
              <w:t>项目审批（核准/</w:t>
            </w:r>
          </w:p>
          <w:p w14:paraId="3981EFC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000000" w:themeColor="text1"/>
                <w:sz w:val="24"/>
                <w:szCs w:val="24"/>
                <w:highlight w:val="none"/>
                <w14:textFill>
                  <w14:solidFill>
                    <w14:schemeClr w14:val="tx1"/>
                  </w14:solidFill>
                </w14:textFill>
              </w:rPr>
            </w:pPr>
            <w:r>
              <w:rPr>
                <w:rFonts w:hint="default" w:ascii="Times New Roman" w:hAnsi="Times New Roman" w:cs="Times New Roman"/>
                <w:b w:val="0"/>
                <w:bCs w:val="0"/>
                <w:color w:val="000000" w:themeColor="text1"/>
                <w:sz w:val="24"/>
                <w:szCs w:val="24"/>
                <w:highlight w:val="none"/>
                <w14:textFill>
                  <w14:solidFill>
                    <w14:schemeClr w14:val="tx1"/>
                  </w14:solidFill>
                </w14:textFill>
              </w:rPr>
              <w:t>备案）文号（选填）</w:t>
            </w:r>
          </w:p>
        </w:tc>
        <w:tc>
          <w:tcPr>
            <w:tcW w:w="3388" w:type="dxa"/>
            <w:vAlign w:val="center"/>
          </w:tcPr>
          <w:p w14:paraId="20AF8E8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w:t>
            </w:r>
          </w:p>
        </w:tc>
      </w:tr>
      <w:tr w14:paraId="114504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91" w:type="dxa"/>
            <w:gridSpan w:val="2"/>
            <w:tcMar>
              <w:top w:w="16" w:type="dxa"/>
              <w:left w:w="16" w:type="dxa"/>
              <w:right w:w="16" w:type="dxa"/>
            </w:tcMar>
            <w:vAlign w:val="center"/>
          </w:tcPr>
          <w:p w14:paraId="68C541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总投资</w:t>
            </w:r>
          </w:p>
          <w:p w14:paraId="12619D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（万元）</w:t>
            </w:r>
          </w:p>
        </w:tc>
        <w:tc>
          <w:tcPr>
            <w:tcW w:w="2224" w:type="dxa"/>
            <w:vAlign w:val="center"/>
          </w:tcPr>
          <w:p w14:paraId="11F159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60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00</w:t>
            </w:r>
          </w:p>
        </w:tc>
        <w:tc>
          <w:tcPr>
            <w:tcW w:w="2079" w:type="dxa"/>
            <w:tcMar>
              <w:top w:w="16" w:type="dxa"/>
              <w:left w:w="16" w:type="dxa"/>
              <w:right w:w="16" w:type="dxa"/>
            </w:tcMar>
            <w:vAlign w:val="center"/>
          </w:tcPr>
          <w:p w14:paraId="4DC5B94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000000" w:themeColor="text1"/>
                <w:sz w:val="24"/>
                <w:szCs w:val="24"/>
                <w:highlight w:val="none"/>
                <w14:textFill>
                  <w14:solidFill>
                    <w14:schemeClr w14:val="tx1"/>
                  </w14:solidFill>
                </w14:textFill>
              </w:rPr>
            </w:pPr>
            <w:r>
              <w:rPr>
                <w:rFonts w:hint="default" w:ascii="Times New Roman" w:hAnsi="Times New Roman" w:cs="Times New Roman"/>
                <w:b w:val="0"/>
                <w:bCs w:val="0"/>
                <w:color w:val="000000" w:themeColor="text1"/>
                <w:sz w:val="24"/>
                <w:szCs w:val="24"/>
                <w:highlight w:val="none"/>
                <w14:textFill>
                  <w14:solidFill>
                    <w14:schemeClr w14:val="tx1"/>
                  </w14:solidFill>
                </w14:textFill>
              </w:rPr>
              <w:t>环保投资（万元）</w:t>
            </w:r>
          </w:p>
        </w:tc>
        <w:tc>
          <w:tcPr>
            <w:tcW w:w="3388" w:type="dxa"/>
            <w:vAlign w:val="center"/>
          </w:tcPr>
          <w:p w14:paraId="5668E68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103</w:t>
            </w:r>
          </w:p>
        </w:tc>
      </w:tr>
      <w:tr w14:paraId="4A581C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1" w:type="dxa"/>
            <w:gridSpan w:val="2"/>
            <w:tcMar>
              <w:top w:w="16" w:type="dxa"/>
              <w:left w:w="16" w:type="dxa"/>
              <w:right w:w="16" w:type="dxa"/>
            </w:tcMar>
            <w:vAlign w:val="center"/>
          </w:tcPr>
          <w:p w14:paraId="2547DBD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环保投资</w:t>
            </w:r>
          </w:p>
          <w:p w14:paraId="53FEAC7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占比</w:t>
            </w:r>
          </w:p>
        </w:tc>
        <w:tc>
          <w:tcPr>
            <w:tcW w:w="2224" w:type="dxa"/>
            <w:vAlign w:val="center"/>
          </w:tcPr>
          <w:p w14:paraId="1CEF5F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kern w:val="0"/>
                <w:sz w:val="24"/>
                <w:highlight w:val="none"/>
                <w:lang w:val="en-US" w:eastAsia="zh-CN"/>
                <w14:textFill>
                  <w14:solidFill>
                    <w14:schemeClr w14:val="tx1"/>
                  </w14:solidFill>
                </w14:textFill>
              </w:rPr>
              <w:t>1.72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p>
        </w:tc>
        <w:tc>
          <w:tcPr>
            <w:tcW w:w="2079" w:type="dxa"/>
            <w:tcMar>
              <w:top w:w="16" w:type="dxa"/>
              <w:left w:w="16" w:type="dxa"/>
              <w:right w:w="16" w:type="dxa"/>
            </w:tcMar>
            <w:vAlign w:val="center"/>
          </w:tcPr>
          <w:p w14:paraId="3167BB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000000" w:themeColor="text1"/>
                <w:sz w:val="24"/>
                <w:szCs w:val="24"/>
                <w:highlight w:val="none"/>
                <w14:textFill>
                  <w14:solidFill>
                    <w14:schemeClr w14:val="tx1"/>
                  </w14:solidFill>
                </w14:textFill>
              </w:rPr>
            </w:pPr>
            <w:r>
              <w:rPr>
                <w:rFonts w:hint="default" w:ascii="Times New Roman" w:hAnsi="Times New Roman" w:cs="Times New Roman"/>
                <w:b w:val="0"/>
                <w:bCs w:val="0"/>
                <w:color w:val="000000" w:themeColor="text1"/>
                <w:sz w:val="24"/>
                <w:szCs w:val="24"/>
                <w:highlight w:val="none"/>
                <w14:textFill>
                  <w14:solidFill>
                    <w14:schemeClr w14:val="tx1"/>
                  </w14:solidFill>
                </w14:textFill>
              </w:rPr>
              <w:t>施工工期</w:t>
            </w:r>
          </w:p>
        </w:tc>
        <w:tc>
          <w:tcPr>
            <w:tcW w:w="3388" w:type="dxa"/>
            <w:vAlign w:val="center"/>
          </w:tcPr>
          <w:p w14:paraId="1D3E06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个</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月</w:t>
            </w:r>
          </w:p>
        </w:tc>
      </w:tr>
      <w:tr w14:paraId="4173DF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91" w:type="dxa"/>
            <w:gridSpan w:val="2"/>
            <w:tcMar>
              <w:top w:w="16" w:type="dxa"/>
              <w:left w:w="16" w:type="dxa"/>
              <w:right w:w="16" w:type="dxa"/>
            </w:tcMar>
            <w:vAlign w:val="center"/>
          </w:tcPr>
          <w:p w14:paraId="1E5015A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是否开工</w:t>
            </w:r>
          </w:p>
          <w:p w14:paraId="7E459BA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建设</w:t>
            </w:r>
          </w:p>
        </w:tc>
        <w:tc>
          <w:tcPr>
            <w:tcW w:w="2224" w:type="dxa"/>
            <w:vAlign w:val="center"/>
          </w:tcPr>
          <w:p w14:paraId="677C1212">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否</w:t>
            </w:r>
          </w:p>
          <w:p w14:paraId="21BC4110">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是：</w:t>
            </w:r>
            <w:r>
              <w:rPr>
                <w:rFonts w:hint="default" w:ascii="Times New Roman" w:hAnsi="Times New Roman" w:cs="Times New Roman"/>
                <w:color w:val="000000" w:themeColor="text1"/>
                <w:sz w:val="24"/>
                <w:szCs w:val="24"/>
                <w:highlight w:val="none"/>
                <w:u w:val="single"/>
                <w14:textFill>
                  <w14:solidFill>
                    <w14:schemeClr w14:val="tx1"/>
                  </w14:solidFill>
                </w14:textFill>
              </w:rPr>
              <w:t xml:space="preserve">             </w:t>
            </w:r>
          </w:p>
        </w:tc>
        <w:tc>
          <w:tcPr>
            <w:tcW w:w="2079" w:type="dxa"/>
            <w:tcMar>
              <w:top w:w="16" w:type="dxa"/>
              <w:left w:w="16" w:type="dxa"/>
              <w:right w:w="16" w:type="dxa"/>
            </w:tcMar>
            <w:vAlign w:val="center"/>
          </w:tcPr>
          <w:p w14:paraId="2D15B5F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000000" w:themeColor="text1"/>
                <w:spacing w:val="-6"/>
                <w:sz w:val="24"/>
                <w:szCs w:val="24"/>
                <w:highlight w:val="none"/>
                <w14:textFill>
                  <w14:solidFill>
                    <w14:schemeClr w14:val="tx1"/>
                  </w14:solidFill>
                </w14:textFill>
              </w:rPr>
            </w:pPr>
            <w:r>
              <w:rPr>
                <w:rFonts w:hint="default" w:ascii="Times New Roman" w:hAnsi="Times New Roman" w:cs="Times New Roman"/>
                <w:b w:val="0"/>
                <w:bCs w:val="0"/>
                <w:color w:val="000000" w:themeColor="text1"/>
                <w:spacing w:val="-6"/>
                <w:sz w:val="24"/>
                <w:szCs w:val="24"/>
                <w:highlight w:val="none"/>
                <w14:textFill>
                  <w14:solidFill>
                    <w14:schemeClr w14:val="tx1"/>
                  </w14:solidFill>
                </w14:textFill>
              </w:rPr>
              <w:t>用地（用海）</w:t>
            </w:r>
          </w:p>
          <w:p w14:paraId="0FC0FEC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000000" w:themeColor="text1"/>
                <w:sz w:val="24"/>
                <w:szCs w:val="24"/>
                <w:highlight w:val="none"/>
                <w14:textFill>
                  <w14:solidFill>
                    <w14:schemeClr w14:val="tx1"/>
                  </w14:solidFill>
                </w14:textFill>
              </w:rPr>
            </w:pPr>
            <w:r>
              <w:rPr>
                <w:rFonts w:hint="default" w:ascii="Times New Roman" w:hAnsi="Times New Roman" w:cs="Times New Roman"/>
                <w:b w:val="0"/>
                <w:bCs w:val="0"/>
                <w:color w:val="000000" w:themeColor="text1"/>
                <w:spacing w:val="-6"/>
                <w:sz w:val="24"/>
                <w:szCs w:val="24"/>
                <w:highlight w:val="none"/>
                <w14:textFill>
                  <w14:solidFill>
                    <w14:schemeClr w14:val="tx1"/>
                  </w14:solidFill>
                </w14:textFill>
              </w:rPr>
              <w:t>面积（m</w:t>
            </w:r>
            <w:r>
              <w:rPr>
                <w:rFonts w:hint="default" w:ascii="Times New Roman" w:hAnsi="Times New Roman" w:cs="Times New Roman"/>
                <w:b w:val="0"/>
                <w:bCs w:val="0"/>
                <w:color w:val="000000" w:themeColor="text1"/>
                <w:spacing w:val="-6"/>
                <w:sz w:val="24"/>
                <w:szCs w:val="24"/>
                <w:highlight w:val="none"/>
                <w:vertAlign w:val="superscript"/>
                <w14:textFill>
                  <w14:solidFill>
                    <w14:schemeClr w14:val="tx1"/>
                  </w14:solidFill>
                </w14:textFill>
              </w:rPr>
              <w:t>2</w:t>
            </w:r>
            <w:r>
              <w:rPr>
                <w:rFonts w:hint="default" w:ascii="Times New Roman" w:hAnsi="Times New Roman" w:cs="Times New Roman"/>
                <w:b w:val="0"/>
                <w:bCs w:val="0"/>
                <w:color w:val="000000" w:themeColor="text1"/>
                <w:spacing w:val="-6"/>
                <w:sz w:val="24"/>
                <w:szCs w:val="24"/>
                <w:highlight w:val="none"/>
                <w14:textFill>
                  <w14:solidFill>
                    <w14:schemeClr w14:val="tx1"/>
                  </w14:solidFill>
                </w14:textFill>
              </w:rPr>
              <w:t>）</w:t>
            </w:r>
          </w:p>
        </w:tc>
        <w:tc>
          <w:tcPr>
            <w:tcW w:w="3388" w:type="dxa"/>
            <w:vAlign w:val="center"/>
          </w:tcPr>
          <w:p w14:paraId="32CD9D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6500</w:t>
            </w:r>
          </w:p>
        </w:tc>
      </w:tr>
      <w:tr w14:paraId="6653C9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91" w:type="dxa"/>
            <w:gridSpan w:val="2"/>
            <w:vAlign w:val="center"/>
          </w:tcPr>
          <w:p w14:paraId="4D6064E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专项评价设置情况</w:t>
            </w:r>
          </w:p>
        </w:tc>
        <w:tc>
          <w:tcPr>
            <w:tcW w:w="7691" w:type="dxa"/>
            <w:gridSpan w:val="3"/>
            <w:vAlign w:val="center"/>
          </w:tcPr>
          <w:p w14:paraId="4D0FC34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无</w:t>
            </w:r>
          </w:p>
        </w:tc>
      </w:tr>
      <w:tr w14:paraId="433D74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1291" w:type="dxa"/>
            <w:gridSpan w:val="2"/>
            <w:vAlign w:val="center"/>
          </w:tcPr>
          <w:p w14:paraId="2D6F55E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规划情况</w:t>
            </w:r>
          </w:p>
        </w:tc>
        <w:tc>
          <w:tcPr>
            <w:tcW w:w="7691" w:type="dxa"/>
            <w:gridSpan w:val="3"/>
            <w:vAlign w:val="center"/>
          </w:tcPr>
          <w:p w14:paraId="63B0B17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无</w:t>
            </w:r>
          </w:p>
        </w:tc>
      </w:tr>
      <w:tr w14:paraId="7901A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1291" w:type="dxa"/>
            <w:gridSpan w:val="2"/>
            <w:vAlign w:val="center"/>
          </w:tcPr>
          <w:p w14:paraId="118C21D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规划环境影响评价情况</w:t>
            </w:r>
          </w:p>
        </w:tc>
        <w:tc>
          <w:tcPr>
            <w:tcW w:w="7691" w:type="dxa"/>
            <w:gridSpan w:val="3"/>
            <w:vAlign w:val="center"/>
          </w:tcPr>
          <w:p w14:paraId="4CC62C1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hAnsi="宋体"/>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无</w:t>
            </w:r>
          </w:p>
        </w:tc>
      </w:tr>
      <w:tr w14:paraId="6F57E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4" w:hRule="atLeast"/>
          <w:jc w:val="center"/>
        </w:trPr>
        <w:tc>
          <w:tcPr>
            <w:tcW w:w="1291" w:type="dxa"/>
            <w:gridSpan w:val="2"/>
            <w:vAlign w:val="center"/>
          </w:tcPr>
          <w:p w14:paraId="57B694F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规划及规划环境影响评价符合性分析</w:t>
            </w:r>
          </w:p>
        </w:tc>
        <w:tc>
          <w:tcPr>
            <w:tcW w:w="7691" w:type="dxa"/>
            <w:gridSpan w:val="3"/>
            <w:vAlign w:val="center"/>
          </w:tcPr>
          <w:p w14:paraId="2CDFD40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b/>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无</w:t>
            </w:r>
          </w:p>
        </w:tc>
      </w:tr>
      <w:tr w14:paraId="5447BD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60" w:type="dxa"/>
            <w:vAlign w:val="center"/>
          </w:tcPr>
          <w:p w14:paraId="4F1A542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其他符合性分析</w:t>
            </w:r>
          </w:p>
        </w:tc>
        <w:tc>
          <w:tcPr>
            <w:tcW w:w="8322" w:type="dxa"/>
            <w:gridSpan w:val="4"/>
            <w:vAlign w:val="center"/>
          </w:tcPr>
          <w:p w14:paraId="4F01E5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cs="Times New Roman"/>
                <w:b/>
                <w:bCs w:val="0"/>
                <w:color w:val="000000" w:themeColor="text1"/>
                <w:spacing w:val="0"/>
                <w:sz w:val="24"/>
                <w:szCs w:val="24"/>
                <w:highlight w:val="none"/>
                <w:lang w:val="en-US" w:eastAsia="zh-CN"/>
                <w14:textFill>
                  <w14:solidFill>
                    <w14:schemeClr w14:val="tx1"/>
                  </w14:solidFill>
                </w14:textFill>
              </w:rPr>
            </w:pPr>
            <w:r>
              <w:rPr>
                <w:rFonts w:hint="eastAsia" w:cs="Times New Roman"/>
                <w:b/>
                <w:bCs w:val="0"/>
                <w:color w:val="000000" w:themeColor="text1"/>
                <w:spacing w:val="0"/>
                <w:sz w:val="24"/>
                <w:szCs w:val="24"/>
                <w:highlight w:val="none"/>
                <w:lang w:val="en-US" w:eastAsia="zh-CN"/>
                <w14:textFill>
                  <w14:solidFill>
                    <w14:schemeClr w14:val="tx1"/>
                  </w14:solidFill>
                </w14:textFill>
              </w:rPr>
              <w:t>1.1产业政策符合性分析</w:t>
            </w:r>
          </w:p>
          <w:p w14:paraId="4E6A66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eastAsia" w:hAnsi="宋体"/>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w:t>
            </w:r>
            <w:r>
              <w:rPr>
                <w:rFonts w:hint="eastAsia" w:cs="Times New Roman"/>
                <w:color w:val="000000" w:themeColor="text1"/>
                <w:kern w:val="0"/>
                <w:sz w:val="24"/>
                <w:szCs w:val="24"/>
                <w:highlight w:val="none"/>
                <w:lang w:val="en-US" w:eastAsia="zh-CN"/>
                <w14:textFill>
                  <w14:solidFill>
                    <w14:schemeClr w14:val="tx1"/>
                  </w14:solidFill>
                </w14:textFill>
              </w:rPr>
              <w:t>为利用煤矸石制造机制砂项目，</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所属行业</w:t>
            </w:r>
            <w:r>
              <w:rPr>
                <w:rFonts w:hint="eastAsia" w:cs="Times New Roman"/>
                <w:color w:val="000000" w:themeColor="text1"/>
                <w:kern w:val="0"/>
                <w:sz w:val="24"/>
                <w:szCs w:val="24"/>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其他非金属矿物制品制造</w:t>
            </w:r>
            <w:r>
              <w:rPr>
                <w:rFonts w:hint="eastAsia"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根据《产业结构调整指导目录（</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2024</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年本）》中规定，</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本项目属于</w:t>
            </w:r>
            <w:r>
              <w:rPr>
                <w:rFonts w:hint="eastAsia" w:cs="Times New Roman"/>
                <w:color w:val="000000" w:themeColor="text1"/>
                <w:kern w:val="0"/>
                <w:sz w:val="24"/>
                <w:szCs w:val="24"/>
                <w:highlight w:val="none"/>
                <w:lang w:val="en-US" w:eastAsia="zh-CN"/>
                <w14:textFill>
                  <w14:solidFill>
                    <w14:schemeClr w14:val="tx1"/>
                  </w14:solidFill>
                </w14:textFill>
              </w:rPr>
              <w:t>鼓励类中</w:t>
            </w:r>
            <w:r>
              <w:rPr>
                <w:rFonts w:hint="default"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十二、建材-9、利用矿山尾矿、建筑废弃物、工业废弃物、城市污泥、江河湖（渠）海淤泥等大宗废弃物无害化生产制备砂石骨料、结构混凝土用高强陶粒、功能陶粒、墙体材料等建材及其工艺技术装备开发</w:t>
            </w:r>
            <w:r>
              <w:rPr>
                <w:rFonts w:hint="default" w:hAnsi="宋体"/>
                <w:color w:val="000000" w:themeColor="text1"/>
                <w:sz w:val="24"/>
                <w14:textFill>
                  <w14:solidFill>
                    <w14:schemeClr w14:val="tx1"/>
                  </w14:solidFill>
                </w14:textFill>
              </w:rPr>
              <w:t>”项目，不属于《产业结构调整指导目录</w:t>
            </w:r>
            <w:r>
              <w:rPr>
                <w:rFonts w:hint="eastAsia" w:hAnsi="宋体"/>
                <w:color w:val="000000" w:themeColor="text1"/>
                <w:sz w:val="24"/>
                <w14:textFill>
                  <w14:solidFill>
                    <w14:schemeClr w14:val="tx1"/>
                  </w14:solidFill>
                </w14:textFill>
              </w:rPr>
              <w:t>（2024年本</w:t>
            </w:r>
            <w:r>
              <w:rPr>
                <w:rFonts w:hint="default" w:hAnsi="宋体"/>
                <w:color w:val="000000" w:themeColor="text1"/>
                <w:sz w:val="24"/>
                <w14:textFill>
                  <w14:solidFill>
                    <w14:schemeClr w14:val="tx1"/>
                  </w14:solidFill>
                </w14:textFill>
              </w:rPr>
              <w:t>）》中限制类和淘汰类规定的项目</w:t>
            </w:r>
            <w:r>
              <w:rPr>
                <w:rFonts w:hint="eastAsia" w:hAnsi="宋体"/>
                <w:color w:val="000000" w:themeColor="text1"/>
                <w:sz w:val="24"/>
                <w:lang w:eastAsia="zh-CN"/>
                <w14:textFill>
                  <w14:solidFill>
                    <w14:schemeClr w14:val="tx1"/>
                  </w14:solidFill>
                </w14:textFill>
              </w:rPr>
              <w:t>。</w:t>
            </w:r>
          </w:p>
          <w:p w14:paraId="5FF66F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202</w:t>
            </w:r>
            <w:r>
              <w:rPr>
                <w:rFonts w:hint="eastAsia" w:cs="Times New Roman"/>
                <w:color w:val="000000" w:themeColor="text1"/>
                <w:kern w:val="0"/>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年</w:t>
            </w:r>
            <w:r>
              <w:rPr>
                <w:rFonts w:hint="eastAsia" w:cs="Times New Roman"/>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月</w:t>
            </w:r>
            <w:r>
              <w:rPr>
                <w:rFonts w:hint="eastAsia" w:cs="Times New Roman"/>
                <w:color w:val="000000" w:themeColor="text1"/>
                <w:kern w:val="0"/>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日</w:t>
            </w:r>
            <w:r>
              <w:rPr>
                <w:rFonts w:hint="eastAsia" w:cs="Times New Roman"/>
                <w:color w:val="000000" w:themeColor="text1"/>
                <w:kern w:val="0"/>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长治市屯留区行政审批服务管理局</w:t>
            </w:r>
            <w:r>
              <w:rPr>
                <w:rFonts w:hint="eastAsia" w:cs="Times New Roman"/>
                <w:color w:val="000000" w:themeColor="text1"/>
                <w:kern w:val="0"/>
                <w:sz w:val="24"/>
                <w:szCs w:val="24"/>
                <w:highlight w:val="none"/>
                <w:lang w:val="en-US" w:eastAsia="zh-CN"/>
                <w14:textFill>
                  <w14:solidFill>
                    <w14:schemeClr w14:val="tx1"/>
                  </w14:solidFill>
                </w14:textFill>
              </w:rPr>
              <w:t>对本项目进行了</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备案，项目代码为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2604-140405-89-05-766238</w:t>
            </w:r>
            <w:r>
              <w:rPr>
                <w:rFonts w:hint="eastAsia"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见附件2</w:t>
            </w:r>
            <w:r>
              <w:rPr>
                <w:rFonts w:hint="eastAsia"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14:paraId="398CB1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因此</w:t>
            </w:r>
            <w:r>
              <w:rPr>
                <w:rFonts w:hint="eastAsia"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w:t>
            </w:r>
            <w:r>
              <w:rPr>
                <w:rFonts w:hint="eastAsia" w:cs="Times New Roman"/>
                <w:color w:val="000000" w:themeColor="text1"/>
                <w:kern w:val="0"/>
                <w:sz w:val="24"/>
                <w:szCs w:val="24"/>
                <w:highlight w:val="none"/>
                <w:lang w:val="en-US" w:eastAsia="zh-CN"/>
                <w14:textFill>
                  <w14:solidFill>
                    <w14:schemeClr w14:val="tx1"/>
                  </w14:solidFill>
                </w14:textFill>
              </w:rPr>
              <w:t>建设</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符合国家和地方产业政策的要求</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5B287E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宋体" w:cs="宋体"/>
                <w:b/>
                <w:bCs w:val="0"/>
                <w:color w:val="000000" w:themeColor="text1"/>
                <w:kern w:val="2"/>
                <w:sz w:val="24"/>
                <w:szCs w:val="24"/>
                <w:lang w:val="en-US" w:eastAsia="zh-CN" w:bidi="ar"/>
                <w14:textFill>
                  <w14:solidFill>
                    <w14:schemeClr w14:val="tx1"/>
                  </w14:solidFill>
                </w14:textFill>
              </w:rPr>
            </w:pPr>
            <w:r>
              <w:rPr>
                <w:rFonts w:hint="eastAsia" w:cs="Times New Roman"/>
                <w:b/>
                <w:bCs w:val="0"/>
                <w:color w:val="000000" w:themeColor="text1"/>
                <w:spacing w:val="0"/>
                <w:sz w:val="24"/>
                <w:szCs w:val="24"/>
                <w:highlight w:val="none"/>
                <w:lang w:val="en-US" w:eastAsia="zh-CN"/>
                <w14:textFill>
                  <w14:solidFill>
                    <w14:schemeClr w14:val="tx1"/>
                  </w14:solidFill>
                </w14:textFill>
              </w:rPr>
              <w:t>1.2生态环境分区符合性分析</w:t>
            </w:r>
          </w:p>
          <w:p w14:paraId="0A3DBB3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80" w:lineRule="exact"/>
              <w:ind w:left="0" w:right="0" w:firstLine="480" w:firstLineChars="200"/>
              <w:textAlignment w:val="auto"/>
              <w:rPr>
                <w:rFonts w:hint="default" w:hAnsi="宋体"/>
                <w:b w:val="0"/>
                <w:bCs/>
                <w:color w:val="000000" w:themeColor="text1"/>
                <w:kern w:val="0"/>
                <w:sz w:val="24"/>
                <w14:textFill>
                  <w14:solidFill>
                    <w14:schemeClr w14:val="tx1"/>
                  </w14:solidFill>
                </w14:textFill>
              </w:rPr>
            </w:pPr>
            <w:r>
              <w:rPr>
                <w:rFonts w:hint="default" w:hAnsi="宋体"/>
                <w:b w:val="0"/>
                <w:bCs/>
                <w:color w:val="000000" w:themeColor="text1"/>
                <w:kern w:val="0"/>
                <w:sz w:val="24"/>
                <w:lang w:val="en-US" w:eastAsia="zh-CN"/>
                <w14:textFill>
                  <w14:solidFill>
                    <w14:schemeClr w14:val="tx1"/>
                  </w14:solidFill>
                </w14:textFill>
              </w:rPr>
              <w:t>根据《长治市2023年度生态环境分区管控动态更新成果公告》中“长治市生态环境管控单元分布图”（附图</w:t>
            </w:r>
            <w:r>
              <w:rPr>
                <w:rFonts w:hint="eastAsia" w:hAnsi="宋体"/>
                <w:b w:val="0"/>
                <w:bCs/>
                <w:color w:val="000000" w:themeColor="text1"/>
                <w:kern w:val="0"/>
                <w:sz w:val="24"/>
                <w:lang w:val="en-US" w:eastAsia="zh-CN"/>
                <w14:textFill>
                  <w14:solidFill>
                    <w14:schemeClr w14:val="tx1"/>
                  </w14:solidFill>
                </w14:textFill>
              </w:rPr>
              <w:t>9</w:t>
            </w:r>
            <w:r>
              <w:rPr>
                <w:rFonts w:hint="default" w:hAnsi="宋体"/>
                <w:b w:val="0"/>
                <w:bCs/>
                <w:color w:val="000000" w:themeColor="text1"/>
                <w:kern w:val="0"/>
                <w:sz w:val="24"/>
                <w:lang w:val="en-US" w:eastAsia="zh-CN"/>
                <w14:textFill>
                  <w14:solidFill>
                    <w14:schemeClr w14:val="tx1"/>
                  </w14:solidFill>
                </w14:textFill>
              </w:rPr>
              <w:t>），经在“山西省“三线一单”数据管理及应用平台”进行查询，本项目位于屯留区大气环境弱扩散重点管控单元，具体管控类型见表1</w:t>
            </w:r>
            <w:r>
              <w:rPr>
                <w:rFonts w:hint="eastAsia" w:hAnsi="宋体"/>
                <w:b w:val="0"/>
                <w:bCs/>
                <w:color w:val="000000" w:themeColor="text1"/>
                <w:kern w:val="0"/>
                <w:sz w:val="24"/>
                <w:lang w:val="en-US" w:eastAsia="zh-CN"/>
                <w14:textFill>
                  <w14:solidFill>
                    <w14:schemeClr w14:val="tx1"/>
                  </w14:solidFill>
                </w14:textFill>
              </w:rPr>
              <w:t>.2</w:t>
            </w:r>
            <w:r>
              <w:rPr>
                <w:rFonts w:hint="default" w:hAnsi="宋体"/>
                <w:b w:val="0"/>
                <w:bCs/>
                <w:color w:val="000000" w:themeColor="text1"/>
                <w:kern w:val="0"/>
                <w:sz w:val="24"/>
                <w:lang w:val="en-US" w:eastAsia="zh-CN"/>
                <w14:textFill>
                  <w14:solidFill>
                    <w14:schemeClr w14:val="tx1"/>
                  </w14:solidFill>
                </w14:textFill>
              </w:rPr>
              <w:t>-</w:t>
            </w:r>
            <w:r>
              <w:rPr>
                <w:rFonts w:hint="eastAsia" w:hAnsi="宋体"/>
                <w:b w:val="0"/>
                <w:bCs/>
                <w:color w:val="000000" w:themeColor="text1"/>
                <w:kern w:val="0"/>
                <w:sz w:val="24"/>
                <w:lang w:val="en-US" w:eastAsia="zh-CN"/>
                <w14:textFill>
                  <w14:solidFill>
                    <w14:schemeClr w14:val="tx1"/>
                  </w14:solidFill>
                </w14:textFill>
              </w:rPr>
              <w:t>1</w:t>
            </w:r>
            <w:r>
              <w:rPr>
                <w:rFonts w:hint="default" w:hAnsi="宋体"/>
                <w:b w:val="0"/>
                <w:bCs/>
                <w:color w:val="000000" w:themeColor="text1"/>
                <w:kern w:val="0"/>
                <w:sz w:val="24"/>
                <w:lang w:val="en-US" w:eastAsia="zh-CN"/>
                <w14:textFill>
                  <w14:solidFill>
                    <w14:schemeClr w14:val="tx1"/>
                  </w14:solidFill>
                </w14:textFill>
              </w:rPr>
              <w:t>，查询结果见附件</w:t>
            </w:r>
            <w:r>
              <w:rPr>
                <w:rFonts w:hint="eastAsia" w:hAnsi="宋体"/>
                <w:b w:val="0"/>
                <w:bCs/>
                <w:color w:val="000000" w:themeColor="text1"/>
                <w:kern w:val="0"/>
                <w:sz w:val="24"/>
                <w:lang w:val="en-US" w:eastAsia="zh-CN"/>
                <w14:textFill>
                  <w14:solidFill>
                    <w14:schemeClr w14:val="tx1"/>
                  </w14:solidFill>
                </w14:textFill>
              </w:rPr>
              <w:t>6</w:t>
            </w:r>
            <w:r>
              <w:rPr>
                <w:rFonts w:hint="default" w:hAnsi="宋体"/>
                <w:b w:val="0"/>
                <w:bCs/>
                <w:color w:val="000000" w:themeColor="text1"/>
                <w:kern w:val="0"/>
                <w:sz w:val="24"/>
                <w:lang w:val="en-US" w:eastAsia="zh-CN"/>
                <w14:textFill>
                  <w14:solidFill>
                    <w14:schemeClr w14:val="tx1"/>
                  </w14:solidFill>
                </w14:textFill>
              </w:rPr>
              <w:t>。</w:t>
            </w:r>
          </w:p>
          <w:p w14:paraId="1A2C3B1F">
            <w:pPr>
              <w:keepNext w:val="0"/>
              <w:keepLines/>
              <w:suppressLineNumbers w:val="0"/>
              <w:spacing w:before="0" w:beforeAutospacing="0" w:after="0" w:afterAutospacing="0" w:line="480" w:lineRule="exact"/>
              <w:ind w:left="0" w:right="0"/>
              <w:jc w:val="center"/>
              <w:rPr>
                <w:rFonts w:hint="default"/>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表1</w:t>
            </w:r>
            <w:r>
              <w:rPr>
                <w:rFonts w:hint="eastAsia"/>
                <w:b/>
                <w:color w:val="000000" w:themeColor="text1"/>
                <w:szCs w:val="21"/>
                <w:lang w:val="en-US" w:eastAsia="zh-CN"/>
                <w14:textFill>
                  <w14:solidFill>
                    <w14:schemeClr w14:val="tx1"/>
                  </w14:solidFill>
                </w14:textFill>
              </w:rPr>
              <w:t>.2</w:t>
            </w:r>
            <w:r>
              <w:rPr>
                <w:rFonts w:hint="eastAsia"/>
                <w:b/>
                <w:color w:val="000000" w:themeColor="text1"/>
                <w:szCs w:val="21"/>
                <w14:textFill>
                  <w14:solidFill>
                    <w14:schemeClr w14:val="tx1"/>
                  </w14:solidFill>
                </w14:textFill>
              </w:rPr>
              <w:t>-1  本项目管控单元位置</w:t>
            </w:r>
          </w:p>
          <w:tbl>
            <w:tblPr>
              <w:tblStyle w:val="30"/>
              <w:tblW w:w="80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5"/>
              <w:gridCol w:w="2549"/>
              <w:gridCol w:w="1580"/>
              <w:gridCol w:w="1849"/>
            </w:tblGrid>
            <w:tr w14:paraId="276D7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pct"/>
                  <w:tcBorders>
                    <w:tl2br w:val="nil"/>
                    <w:tr2bl w:val="nil"/>
                  </w:tcBorders>
                  <w:noWrap w:val="0"/>
                  <w:vAlign w:val="center"/>
                </w:tcPr>
                <w:p w14:paraId="3F2E6B5A">
                  <w:pPr>
                    <w:pStyle w:val="22"/>
                    <w:keepNext w:val="0"/>
                    <w:keepLines w:val="0"/>
                    <w:suppressLineNumbers w:val="0"/>
                    <w:spacing w:before="0" w:beforeAutospacing="0" w:after="0" w:afterAutospacing="0"/>
                    <w:ind w:left="0" w:right="0"/>
                    <w:jc w:val="center"/>
                    <w:rPr>
                      <w:rFonts w:hint="default"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管控单元编码</w:t>
                  </w:r>
                </w:p>
              </w:tc>
              <w:tc>
                <w:tcPr>
                  <w:tcW w:w="1580" w:type="pct"/>
                  <w:tcBorders>
                    <w:tl2br w:val="nil"/>
                    <w:tr2bl w:val="nil"/>
                  </w:tcBorders>
                  <w:noWrap w:val="0"/>
                  <w:vAlign w:val="center"/>
                </w:tcPr>
                <w:p w14:paraId="451D369B">
                  <w:pPr>
                    <w:pStyle w:val="22"/>
                    <w:keepNext w:val="0"/>
                    <w:keepLines w:val="0"/>
                    <w:suppressLineNumbers w:val="0"/>
                    <w:spacing w:before="0" w:beforeAutospacing="0" w:after="0" w:afterAutospacing="0"/>
                    <w:ind w:left="0" w:right="0"/>
                    <w:jc w:val="center"/>
                    <w:rPr>
                      <w:rFonts w:hint="default" w:ascii="Times New Roman" w:hAnsi="Times New Roman"/>
                      <w:b/>
                      <w:bCs/>
                      <w:color w:val="000000" w:themeColor="text1"/>
                      <w:sz w:val="21"/>
                      <w:szCs w:val="21"/>
                      <w14:textFill>
                        <w14:solidFill>
                          <w14:schemeClr w14:val="tx1"/>
                        </w14:solidFill>
                      </w14:textFill>
                    </w:rPr>
                  </w:pPr>
                  <w:r>
                    <w:rPr>
                      <w:rFonts w:hint="default" w:ascii="Times New Roman" w:hAnsi="Times New Roman"/>
                      <w:b/>
                      <w:bCs/>
                      <w:color w:val="000000" w:themeColor="text1"/>
                      <w:sz w:val="21"/>
                      <w:szCs w:val="21"/>
                      <w14:textFill>
                        <w14:solidFill>
                          <w14:schemeClr w14:val="tx1"/>
                        </w14:solidFill>
                      </w14:textFill>
                    </w:rPr>
                    <w:t>环境管控单元名称</w:t>
                  </w:r>
                </w:p>
              </w:tc>
              <w:tc>
                <w:tcPr>
                  <w:tcW w:w="979" w:type="pct"/>
                  <w:tcBorders>
                    <w:tl2br w:val="nil"/>
                    <w:tr2bl w:val="nil"/>
                  </w:tcBorders>
                  <w:noWrap w:val="0"/>
                  <w:vAlign w:val="center"/>
                </w:tcPr>
                <w:p w14:paraId="21F05A91">
                  <w:pPr>
                    <w:pStyle w:val="22"/>
                    <w:keepNext w:val="0"/>
                    <w:keepLines w:val="0"/>
                    <w:suppressLineNumbers w:val="0"/>
                    <w:spacing w:before="0" w:beforeAutospacing="0" w:after="0" w:afterAutospacing="0"/>
                    <w:ind w:left="0" w:right="0"/>
                    <w:jc w:val="center"/>
                    <w:rPr>
                      <w:rFonts w:hint="default" w:ascii="Times New Roman" w:hAnsi="Times New Roman"/>
                      <w:b/>
                      <w:bCs/>
                      <w:color w:val="000000" w:themeColor="text1"/>
                      <w:sz w:val="21"/>
                      <w:szCs w:val="21"/>
                      <w14:textFill>
                        <w14:solidFill>
                          <w14:schemeClr w14:val="tx1"/>
                        </w14:solidFill>
                      </w14:textFill>
                    </w:rPr>
                  </w:pPr>
                  <w:r>
                    <w:rPr>
                      <w:rFonts w:hint="default" w:ascii="Times New Roman" w:hAnsi="Times New Roman"/>
                      <w:b/>
                      <w:bCs/>
                      <w:color w:val="000000" w:themeColor="text1"/>
                      <w:sz w:val="21"/>
                      <w:szCs w:val="21"/>
                      <w14:textFill>
                        <w14:solidFill>
                          <w14:schemeClr w14:val="tx1"/>
                        </w14:solidFill>
                      </w14:textFill>
                    </w:rPr>
                    <w:t>行政区划</w:t>
                  </w:r>
                </w:p>
              </w:tc>
              <w:tc>
                <w:tcPr>
                  <w:tcW w:w="1146" w:type="pct"/>
                  <w:tcBorders>
                    <w:tl2br w:val="nil"/>
                    <w:tr2bl w:val="nil"/>
                  </w:tcBorders>
                  <w:noWrap w:val="0"/>
                  <w:vAlign w:val="center"/>
                </w:tcPr>
                <w:p w14:paraId="54CACA57">
                  <w:pPr>
                    <w:pStyle w:val="22"/>
                    <w:keepNext w:val="0"/>
                    <w:keepLines w:val="0"/>
                    <w:suppressLineNumbers w:val="0"/>
                    <w:spacing w:before="0" w:beforeAutospacing="0" w:after="0" w:afterAutospacing="0"/>
                    <w:ind w:left="0" w:right="0"/>
                    <w:jc w:val="center"/>
                    <w:rPr>
                      <w:rFonts w:hint="default" w:ascii="Times New Roman" w:hAnsi="Times New Roman"/>
                      <w:b/>
                      <w:bCs/>
                      <w:color w:val="000000" w:themeColor="text1"/>
                      <w:sz w:val="21"/>
                      <w:szCs w:val="21"/>
                      <w14:textFill>
                        <w14:solidFill>
                          <w14:schemeClr w14:val="tx1"/>
                        </w14:solidFill>
                      </w14:textFill>
                    </w:rPr>
                  </w:pPr>
                  <w:r>
                    <w:rPr>
                      <w:rFonts w:hint="default" w:ascii="Times New Roman" w:hAnsi="Times New Roman"/>
                      <w:b/>
                      <w:bCs/>
                      <w:color w:val="000000" w:themeColor="text1"/>
                      <w:sz w:val="21"/>
                      <w:szCs w:val="21"/>
                      <w14:textFill>
                        <w14:solidFill>
                          <w14:schemeClr w14:val="tx1"/>
                        </w14:solidFill>
                      </w14:textFill>
                    </w:rPr>
                    <w:t>管控单元分类</w:t>
                  </w:r>
                </w:p>
              </w:tc>
            </w:tr>
            <w:tr w14:paraId="5CDC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pct"/>
                  <w:tcBorders>
                    <w:tl2br w:val="nil"/>
                    <w:tr2bl w:val="nil"/>
                  </w:tcBorders>
                  <w:noWrap w:val="0"/>
                  <w:vAlign w:val="center"/>
                </w:tcPr>
                <w:p w14:paraId="7B94E73A">
                  <w:pPr>
                    <w:pStyle w:val="22"/>
                    <w:keepNext w:val="0"/>
                    <w:keepLines w:val="0"/>
                    <w:suppressLineNumbers w:val="0"/>
                    <w:ind w:left="0" w:right="0"/>
                    <w:jc w:val="center"/>
                    <w:rPr>
                      <w:rFonts w:hint="default" w:ascii="Times New Roman" w:hAnsi="Times New Roman"/>
                      <w:color w:val="000000" w:themeColor="text1"/>
                      <w:sz w:val="21"/>
                      <w:szCs w:val="21"/>
                      <w14:textFill>
                        <w14:solidFill>
                          <w14:schemeClr w14:val="tx1"/>
                        </w14:solidFill>
                      </w14:textFill>
                    </w:rPr>
                  </w:pPr>
                  <w:r>
                    <w:rPr>
                      <w:rFonts w:hint="default" w:ascii="Times New Roman" w:hAnsi="Times New Roman"/>
                      <w:color w:val="000000" w:themeColor="text1"/>
                      <w:sz w:val="21"/>
                      <w:szCs w:val="21"/>
                      <w14:textFill>
                        <w14:solidFill>
                          <w14:schemeClr w14:val="tx1"/>
                        </w14:solidFill>
                      </w14:textFill>
                    </w:rPr>
                    <w:t>ZH14040520006</w:t>
                  </w:r>
                </w:p>
              </w:tc>
              <w:tc>
                <w:tcPr>
                  <w:tcW w:w="1580" w:type="pct"/>
                  <w:tcBorders>
                    <w:tl2br w:val="nil"/>
                    <w:tr2bl w:val="nil"/>
                  </w:tcBorders>
                  <w:noWrap w:val="0"/>
                  <w:vAlign w:val="center"/>
                </w:tcPr>
                <w:p w14:paraId="253DEA6B">
                  <w:pPr>
                    <w:pStyle w:val="22"/>
                    <w:keepNext w:val="0"/>
                    <w:keepLines w:val="0"/>
                    <w:suppressLineNumbers w:val="0"/>
                    <w:ind w:left="0" w:right="0"/>
                    <w:jc w:val="center"/>
                    <w:rPr>
                      <w:rFonts w:hint="default" w:ascii="Times New Roman" w:hAnsi="Times New Roman"/>
                      <w:color w:val="000000" w:themeColor="text1"/>
                      <w:sz w:val="21"/>
                      <w:szCs w:val="21"/>
                      <w14:textFill>
                        <w14:solidFill>
                          <w14:schemeClr w14:val="tx1"/>
                        </w14:solidFill>
                      </w14:textFill>
                    </w:rPr>
                  </w:pPr>
                  <w:bookmarkStart w:id="4" w:name="OLE_LINK77"/>
                  <w:bookmarkStart w:id="5" w:name="OLE_LINK78"/>
                  <w:r>
                    <w:rPr>
                      <w:rFonts w:hint="eastAsia" w:ascii="Times New Roman" w:hAnsi="Times New Roman"/>
                      <w:color w:val="000000" w:themeColor="text1"/>
                      <w:sz w:val="21"/>
                      <w:szCs w:val="21"/>
                      <w14:textFill>
                        <w14:solidFill>
                          <w14:schemeClr w14:val="tx1"/>
                        </w14:solidFill>
                      </w14:textFill>
                    </w:rPr>
                    <w:t>屯留区</w:t>
                  </w:r>
                  <w:bookmarkEnd w:id="4"/>
                  <w:bookmarkEnd w:id="5"/>
                  <w:r>
                    <w:rPr>
                      <w:rFonts w:hint="eastAsia" w:ascii="Times New Roman" w:hAnsi="Times New Roman"/>
                      <w:color w:val="000000" w:themeColor="text1"/>
                      <w:sz w:val="21"/>
                      <w:szCs w:val="21"/>
                      <w14:textFill>
                        <w14:solidFill>
                          <w14:schemeClr w14:val="tx1"/>
                        </w14:solidFill>
                      </w14:textFill>
                    </w:rPr>
                    <w:t>大气环境弱扩散重点管控单元</w:t>
                  </w:r>
                </w:p>
              </w:tc>
              <w:tc>
                <w:tcPr>
                  <w:tcW w:w="979" w:type="pct"/>
                  <w:tcBorders>
                    <w:tl2br w:val="nil"/>
                    <w:tr2bl w:val="nil"/>
                  </w:tcBorders>
                  <w:noWrap w:val="0"/>
                  <w:vAlign w:val="center"/>
                </w:tcPr>
                <w:p w14:paraId="06F9EBFB">
                  <w:pPr>
                    <w:pStyle w:val="22"/>
                    <w:keepNext w:val="0"/>
                    <w:keepLines w:val="0"/>
                    <w:suppressLineNumbers w:val="0"/>
                    <w:spacing w:before="0" w:beforeAutospacing="0" w:after="0" w:afterAutospacing="0"/>
                    <w:ind w:left="0" w:right="0"/>
                    <w:jc w:val="center"/>
                    <w:rPr>
                      <w:rFonts w:hint="default"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屯留区</w:t>
                  </w:r>
                </w:p>
              </w:tc>
              <w:tc>
                <w:tcPr>
                  <w:tcW w:w="1146" w:type="pct"/>
                  <w:tcBorders>
                    <w:tl2br w:val="nil"/>
                    <w:tr2bl w:val="nil"/>
                  </w:tcBorders>
                  <w:noWrap w:val="0"/>
                  <w:vAlign w:val="center"/>
                </w:tcPr>
                <w:p w14:paraId="6401620F">
                  <w:pPr>
                    <w:pStyle w:val="22"/>
                    <w:keepNext w:val="0"/>
                    <w:keepLines w:val="0"/>
                    <w:suppressLineNumbers w:val="0"/>
                    <w:spacing w:before="0" w:beforeAutospacing="0" w:after="0" w:afterAutospacing="0"/>
                    <w:ind w:left="0" w:right="0"/>
                    <w:jc w:val="center"/>
                    <w:rPr>
                      <w:rFonts w:hint="default"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重点管控单元</w:t>
                  </w:r>
                </w:p>
              </w:tc>
            </w:tr>
            <w:tr w14:paraId="5C05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noWrap w:val="0"/>
                  <w:vAlign w:val="center"/>
                </w:tcPr>
                <w:p w14:paraId="1C6BB58B">
                  <w:pPr>
                    <w:pStyle w:val="22"/>
                    <w:keepNext w:val="0"/>
                    <w:keepLines w:val="0"/>
                    <w:suppressLineNumbers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3637915" cy="2710180"/>
                        <wp:effectExtent l="0" t="0" r="0" b="0"/>
                        <wp:docPr id="88" name="图片 88" descr="基本分析结果436f4f92-2ad6-4a73-9665-8b345caa915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基本分析结果436f4f92-2ad6-4a73-9665-8b345caa9153_02"/>
                                <pic:cNvPicPr>
                                  <a:picLocks noChangeAspect="1"/>
                                </pic:cNvPicPr>
                              </pic:nvPicPr>
                              <pic:blipFill>
                                <a:blip r:embed="rId10"/>
                                <a:srcRect l="13251" t="21883" r="13404" b="39475"/>
                                <a:stretch>
                                  <a:fillRect/>
                                </a:stretch>
                              </pic:blipFill>
                              <pic:spPr>
                                <a:xfrm>
                                  <a:off x="0" y="0"/>
                                  <a:ext cx="3637915" cy="2710180"/>
                                </a:xfrm>
                                <a:prstGeom prst="rect">
                                  <a:avLst/>
                                </a:prstGeom>
                              </pic:spPr>
                            </pic:pic>
                          </a:graphicData>
                        </a:graphic>
                      </wp:inline>
                    </w:drawing>
                  </w:r>
                </w:p>
              </w:tc>
            </w:tr>
          </w:tbl>
          <w:p w14:paraId="7044DE9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80" w:lineRule="exact"/>
              <w:ind w:left="0" w:right="0" w:firstLine="480" w:firstLineChars="200"/>
              <w:textAlignment w:val="auto"/>
              <w:rPr>
                <w:rFonts w:hint="default" w:hAnsi="宋体"/>
                <w:b w:val="0"/>
                <w:bCs/>
                <w:color w:val="000000" w:themeColor="text1"/>
                <w:kern w:val="0"/>
                <w:sz w:val="24"/>
                <w:lang w:val="en-US" w:eastAsia="zh-CN"/>
                <w14:textFill>
                  <w14:solidFill>
                    <w14:schemeClr w14:val="tx1"/>
                  </w14:solidFill>
                </w14:textFill>
              </w:rPr>
            </w:pPr>
            <w:r>
              <w:rPr>
                <w:rFonts w:hint="eastAsia" w:hAnsi="宋体"/>
                <w:b w:val="0"/>
                <w:bCs/>
                <w:color w:val="000000" w:themeColor="text1"/>
                <w:kern w:val="0"/>
                <w:sz w:val="24"/>
                <w:lang w:val="en-US" w:eastAsia="zh-CN"/>
                <w14:textFill>
                  <w14:solidFill>
                    <w14:schemeClr w14:val="tx1"/>
                  </w14:solidFill>
                </w14:textFill>
              </w:rPr>
              <w:t>项目与管控单元具体管控要求符合性分析见下表。</w:t>
            </w:r>
          </w:p>
          <w:p w14:paraId="37C528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宋体"/>
                <w:bCs/>
                <w:color w:val="000000" w:themeColor="text1"/>
                <w:kern w:val="2"/>
                <w:sz w:val="24"/>
                <w:szCs w:val="24"/>
                <w:lang w:val="en-US" w:eastAsia="zh-CN" w:bidi="ar"/>
                <w14:textFill>
                  <w14:solidFill>
                    <w14:schemeClr w14:val="tx1"/>
                  </w14:solidFill>
                </w14:textFill>
              </w:rPr>
            </w:pPr>
            <w:r>
              <w:rPr>
                <w:rFonts w:hint="eastAsia"/>
                <w:b/>
                <w:color w:val="000000" w:themeColor="text1"/>
                <w:szCs w:val="21"/>
                <w14:textFill>
                  <w14:solidFill>
                    <w14:schemeClr w14:val="tx1"/>
                  </w14:solidFill>
                </w14:textFill>
              </w:rPr>
              <w:t>表1</w:t>
            </w:r>
            <w:r>
              <w:rPr>
                <w:rFonts w:hint="eastAsia"/>
                <w:b/>
                <w:color w:val="000000" w:themeColor="text1"/>
                <w:szCs w:val="21"/>
                <w:lang w:val="en-US" w:eastAsia="zh-CN"/>
                <w14:textFill>
                  <w14:solidFill>
                    <w14:schemeClr w14:val="tx1"/>
                  </w14:solidFill>
                </w14:textFill>
              </w:rPr>
              <w:t>.2</w:t>
            </w:r>
            <w:r>
              <w:rPr>
                <w:rFonts w:hint="eastAsia"/>
                <w:b/>
                <w:color w:val="000000" w:themeColor="text1"/>
                <w:szCs w:val="21"/>
                <w14:textFill>
                  <w14:solidFill>
                    <w14:schemeClr w14:val="tx1"/>
                  </w14:solidFill>
                </w14:textFill>
              </w:rPr>
              <w:t>-</w:t>
            </w:r>
            <w:r>
              <w:rPr>
                <w:rFonts w:hint="eastAsia"/>
                <w:b/>
                <w:color w:val="000000" w:themeColor="text1"/>
                <w:szCs w:val="21"/>
                <w:lang w:val="en-US" w:eastAsia="zh-CN"/>
                <w14:textFill>
                  <w14:solidFill>
                    <w14:schemeClr w14:val="tx1"/>
                  </w14:solidFill>
                </w14:textFill>
              </w:rPr>
              <w:t xml:space="preserve">2  </w:t>
            </w:r>
            <w:r>
              <w:rPr>
                <w:rFonts w:hint="eastAsia" w:ascii="Times New Roman" w:hAnsi="Times New Roman" w:eastAsia="宋体" w:cs="Times New Roman"/>
                <w:b/>
                <w:color w:val="000000" w:themeColor="text1"/>
                <w:szCs w:val="21"/>
                <w:lang w:val="en-US" w:eastAsia="zh-CN"/>
                <w14:textFill>
                  <w14:solidFill>
                    <w14:schemeClr w14:val="tx1"/>
                  </w14:solidFill>
                </w14:textFill>
              </w:rPr>
              <w:t>项目与</w:t>
            </w:r>
            <w:r>
              <w:rPr>
                <w:rFonts w:hint="eastAsia" w:ascii="Times New Roman" w:hAnsi="Times New Roman" w:eastAsia="宋体" w:cs="Times New Roman"/>
                <w:b/>
                <w:color w:val="000000" w:themeColor="text1"/>
                <w:szCs w:val="21"/>
                <w14:textFill>
                  <w14:solidFill>
                    <w14:schemeClr w14:val="tx1"/>
                  </w14:solidFill>
                </w14:textFill>
              </w:rPr>
              <w:t>屯</w:t>
            </w:r>
            <w:r>
              <w:rPr>
                <w:rFonts w:hint="eastAsia"/>
                <w:b/>
                <w:color w:val="000000" w:themeColor="text1"/>
                <w:szCs w:val="21"/>
                <w14:textFill>
                  <w14:solidFill>
                    <w14:schemeClr w14:val="tx1"/>
                  </w14:solidFill>
                </w14:textFill>
              </w:rPr>
              <w:t>留区大气环境弱扩散重点管控单元符合性分析</w:t>
            </w:r>
          </w:p>
          <w:tbl>
            <w:tblPr>
              <w:tblStyle w:val="31"/>
              <w:tblW w:w="8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3727"/>
              <w:gridCol w:w="2812"/>
              <w:gridCol w:w="731"/>
            </w:tblGrid>
            <w:tr w14:paraId="55A4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dxa"/>
                  <w:vAlign w:val="center"/>
                </w:tcPr>
                <w:p w14:paraId="7A98136E">
                  <w:pPr>
                    <w:pStyle w:val="27"/>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管控类别</w:t>
                  </w:r>
                </w:p>
              </w:tc>
              <w:tc>
                <w:tcPr>
                  <w:tcW w:w="3727" w:type="dxa"/>
                  <w:vAlign w:val="center"/>
                </w:tcPr>
                <w:p w14:paraId="35F7FBD6">
                  <w:pPr>
                    <w:pStyle w:val="27"/>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管控要求</w:t>
                  </w:r>
                </w:p>
              </w:tc>
              <w:tc>
                <w:tcPr>
                  <w:tcW w:w="2812" w:type="dxa"/>
                  <w:vAlign w:val="center"/>
                </w:tcPr>
                <w:p w14:paraId="21EC562F">
                  <w:pPr>
                    <w:pStyle w:val="27"/>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项目情况</w:t>
                  </w:r>
                </w:p>
              </w:tc>
              <w:tc>
                <w:tcPr>
                  <w:tcW w:w="731" w:type="dxa"/>
                  <w:vAlign w:val="center"/>
                </w:tcPr>
                <w:p w14:paraId="34F5BEEA">
                  <w:pPr>
                    <w:pStyle w:val="27"/>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符合性</w:t>
                  </w:r>
                </w:p>
              </w:tc>
            </w:tr>
            <w:tr w14:paraId="2BC4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dxa"/>
                  <w:vAlign w:val="center"/>
                </w:tcPr>
                <w:p w14:paraId="741BF0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default"/>
                      <w:color w:val="000000" w:themeColor="text1"/>
                      <w:sz w:val="21"/>
                      <w:szCs w:val="21"/>
                      <w14:textFill>
                        <w14:solidFill>
                          <w14:schemeClr w14:val="tx1"/>
                        </w14:solidFill>
                      </w14:textFill>
                    </w:rPr>
                    <w:t>空间布局约束</w:t>
                  </w:r>
                </w:p>
              </w:tc>
              <w:tc>
                <w:tcPr>
                  <w:tcW w:w="3727" w:type="dxa"/>
                  <w:vAlign w:val="center"/>
                </w:tcPr>
                <w:p w14:paraId="0CE456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r>
                    <w:rPr>
                      <w:rFonts w:hint="eastAsia"/>
                      <w:color w:val="000000" w:themeColor="text1"/>
                      <w:sz w:val="21"/>
                      <w:szCs w:val="21"/>
                      <w14:textFill>
                        <w14:solidFill>
                          <w14:schemeClr w14:val="tx1"/>
                        </w14:solidFill>
                      </w14:textFill>
                    </w:rPr>
                    <w:t>执行山西省、长治市空间布局准入要求。</w:t>
                  </w:r>
                </w:p>
              </w:tc>
              <w:tc>
                <w:tcPr>
                  <w:tcW w:w="2812" w:type="dxa"/>
                  <w:vAlign w:val="center"/>
                </w:tcPr>
                <w:p w14:paraId="14F751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default"/>
                      <w:color w:val="000000" w:themeColor="text1"/>
                      <w:szCs w:val="21"/>
                      <w14:textFill>
                        <w14:solidFill>
                          <w14:schemeClr w14:val="tx1"/>
                        </w14:solidFill>
                      </w14:textFill>
                    </w:rPr>
                    <w:t>根据与《</w:t>
                  </w:r>
                  <w:r>
                    <w:rPr>
                      <w:rFonts w:hint="eastAsia"/>
                      <w:color w:val="000000" w:themeColor="text1"/>
                      <w:szCs w:val="21"/>
                      <w14:textFill>
                        <w14:solidFill>
                          <w14:schemeClr w14:val="tx1"/>
                        </w14:solidFill>
                      </w14:textFill>
                    </w:rPr>
                    <w:t>长治市</w:t>
                  </w:r>
                  <w:r>
                    <w:rPr>
                      <w:rFonts w:hint="default"/>
                      <w:color w:val="000000" w:themeColor="text1"/>
                      <w:szCs w:val="21"/>
                      <w14:textFill>
                        <w14:solidFill>
                          <w14:schemeClr w14:val="tx1"/>
                        </w14:solidFill>
                      </w14:textFill>
                    </w:rPr>
                    <w:t>“三线一单”生态环境分区管控实施方案》分析，项目符合山西省、</w:t>
                  </w:r>
                  <w:r>
                    <w:rPr>
                      <w:rFonts w:hint="eastAsia"/>
                      <w:color w:val="000000" w:themeColor="text1"/>
                      <w:szCs w:val="21"/>
                      <w14:textFill>
                        <w14:solidFill>
                          <w14:schemeClr w14:val="tx1"/>
                        </w14:solidFill>
                      </w14:textFill>
                    </w:rPr>
                    <w:t>长治市</w:t>
                  </w:r>
                  <w:r>
                    <w:rPr>
                      <w:rFonts w:hint="default"/>
                      <w:color w:val="000000" w:themeColor="text1"/>
                      <w:szCs w:val="21"/>
                      <w14:textFill>
                        <w14:solidFill>
                          <w14:schemeClr w14:val="tx1"/>
                        </w14:solidFill>
                      </w14:textFill>
                    </w:rPr>
                    <w:t>的空间布局准入要求</w:t>
                  </w:r>
                </w:p>
              </w:tc>
              <w:tc>
                <w:tcPr>
                  <w:tcW w:w="731" w:type="dxa"/>
                  <w:vAlign w:val="center"/>
                </w:tcPr>
                <w:p w14:paraId="322E5A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eastAsia" w:cs="宋体"/>
                      <w:bCs/>
                      <w:color w:val="000000" w:themeColor="text1"/>
                      <w:kern w:val="2"/>
                      <w:sz w:val="21"/>
                      <w:szCs w:val="21"/>
                      <w:vertAlign w:val="baseline"/>
                      <w:lang w:val="en-US" w:eastAsia="zh-CN" w:bidi="ar"/>
                      <w14:textFill>
                        <w14:solidFill>
                          <w14:schemeClr w14:val="tx1"/>
                        </w14:solidFill>
                      </w14:textFill>
                    </w:rPr>
                    <w:t>符合</w:t>
                  </w:r>
                </w:p>
              </w:tc>
            </w:tr>
            <w:tr w14:paraId="7189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dxa"/>
                  <w:vAlign w:val="center"/>
                </w:tcPr>
                <w:p w14:paraId="320956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污染物排放管控</w:t>
                  </w:r>
                </w:p>
              </w:tc>
              <w:tc>
                <w:tcPr>
                  <w:tcW w:w="3727" w:type="dxa"/>
                  <w:vAlign w:val="center"/>
                </w:tcPr>
                <w:p w14:paraId="42CB72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t>1.执行山西省、长治市的污染物排放控制要求。</w:t>
                  </w:r>
                </w:p>
                <w:p w14:paraId="6FDB5E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t>2.加强工业炉窑深度治理，严格控制物料储存、输送及生产工艺过程无组织排放，加强煤炭等粉粒物料堆场扬尘控制。</w:t>
                  </w:r>
                </w:p>
                <w:p w14:paraId="7D7A08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t>3.重点涉气排放企业取消烟气旁路，因安全生产无法取消的，安装在线监管系统。</w:t>
                  </w:r>
                </w:p>
              </w:tc>
              <w:tc>
                <w:tcPr>
                  <w:tcW w:w="2812" w:type="dxa"/>
                  <w:vAlign w:val="center"/>
                </w:tcPr>
                <w:p w14:paraId="750A545C">
                  <w:pPr>
                    <w:keepNext w:val="0"/>
                    <w:keepLines w:val="0"/>
                    <w:suppressLineNumbers w:val="0"/>
                    <w:spacing w:before="0" w:beforeAutospacing="0" w:after="0" w:afterAutospacing="0"/>
                    <w:ind w:left="0" w:right="0"/>
                    <w:jc w:val="both"/>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项目废气排放达到“长气防办〔2019〕9号”排放限值要求</w:t>
                  </w:r>
                </w:p>
                <w:p w14:paraId="5765DDFC">
                  <w:pPr>
                    <w:keepNext w:val="0"/>
                    <w:keepLines w:val="0"/>
                    <w:suppressLineNumbers w:val="0"/>
                    <w:spacing w:before="0" w:beforeAutospacing="0" w:after="0" w:afterAutospacing="0"/>
                    <w:ind w:left="0" w:right="0"/>
                    <w:jc w:val="both"/>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项目不涉及工业炉窑，生产中采用封闭原料库，严格控制物料储存、输送及生产工艺过程无组织排放；项目不属于重点涉气排放企业，符合区域</w:t>
                  </w:r>
                  <w:r>
                    <w:rPr>
                      <w:rFonts w:hint="default"/>
                      <w:color w:val="000000" w:themeColor="text1"/>
                      <w:szCs w:val="21"/>
                      <w14:textFill>
                        <w14:solidFill>
                          <w14:schemeClr w14:val="tx1"/>
                        </w14:solidFill>
                      </w14:textFill>
                    </w:rPr>
                    <w:t>污染物排放管控要求</w:t>
                  </w:r>
                </w:p>
              </w:tc>
              <w:tc>
                <w:tcPr>
                  <w:tcW w:w="731" w:type="dxa"/>
                  <w:vAlign w:val="center"/>
                </w:tcPr>
                <w:p w14:paraId="18FE3D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eastAsia" w:cs="宋体"/>
                      <w:bCs/>
                      <w:color w:val="000000" w:themeColor="text1"/>
                      <w:kern w:val="2"/>
                      <w:sz w:val="21"/>
                      <w:szCs w:val="21"/>
                      <w:vertAlign w:val="baseline"/>
                      <w:lang w:val="en-US" w:eastAsia="zh-CN" w:bidi="ar"/>
                      <w14:textFill>
                        <w14:solidFill>
                          <w14:schemeClr w14:val="tx1"/>
                        </w14:solidFill>
                      </w14:textFill>
                    </w:rPr>
                    <w:t>符合</w:t>
                  </w:r>
                </w:p>
              </w:tc>
            </w:tr>
            <w:tr w14:paraId="11AC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dxa"/>
                  <w:vAlign w:val="center"/>
                </w:tcPr>
                <w:p w14:paraId="4E6414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环境风险防控</w:t>
                  </w:r>
                </w:p>
              </w:tc>
              <w:tc>
                <w:tcPr>
                  <w:tcW w:w="3727" w:type="dxa"/>
                  <w:vAlign w:val="center"/>
                </w:tcPr>
                <w:p w14:paraId="6BFEF1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t>1.制定环境风险应急预案，成立应急组织机构，定期开展应急风险防范能力。</w:t>
                  </w:r>
                </w:p>
                <w:p w14:paraId="65F868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t>2.严禁在漳泽湖生态保护与修复区域、城市(县城)规划区布局钢铁(不含短流程炼钢)、铸造(不含高端铸件)、水泥、有色等高污染项目，以及危险化学品贮存、处理处置等高风险项目，支持城市</w:t>
                  </w:r>
                  <w:r>
                    <w:rPr>
                      <w:rFonts w:hint="eastAsia" w:cs="宋体"/>
                      <w:bCs/>
                      <w:color w:val="000000" w:themeColor="text1"/>
                      <w:kern w:val="2"/>
                      <w:sz w:val="21"/>
                      <w:szCs w:val="21"/>
                      <w:vertAlign w:val="baseline"/>
                      <w:lang w:val="en-US" w:eastAsia="zh-CN" w:bidi="ar"/>
                      <w14:textFill>
                        <w14:solidFill>
                          <w14:schemeClr w14:val="tx1"/>
                        </w14:solidFill>
                      </w14:textFill>
                    </w:rPr>
                    <w:t>（</w:t>
                  </w:r>
                  <w:r>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t>县城</w:t>
                  </w:r>
                  <w:r>
                    <w:rPr>
                      <w:rFonts w:hint="eastAsia" w:cs="宋体"/>
                      <w:bCs/>
                      <w:color w:val="000000" w:themeColor="text1"/>
                      <w:kern w:val="2"/>
                      <w:sz w:val="21"/>
                      <w:szCs w:val="21"/>
                      <w:vertAlign w:val="baseline"/>
                      <w:lang w:val="en-US" w:eastAsia="zh-CN" w:bidi="ar"/>
                      <w14:textFill>
                        <w14:solidFill>
                          <w14:schemeClr w14:val="tx1"/>
                        </w14:solidFill>
                      </w14:textFill>
                    </w:rPr>
                    <w:t>）</w:t>
                  </w:r>
                  <w:r>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t>建成区及周边重污染企业搬迁改造，大力推进企业建设节能环保水平高的先进产能项目。</w:t>
                  </w:r>
                </w:p>
              </w:tc>
              <w:tc>
                <w:tcPr>
                  <w:tcW w:w="2812" w:type="dxa"/>
                  <w:vAlign w:val="center"/>
                </w:tcPr>
                <w:p w14:paraId="18B5E9DB">
                  <w:pPr>
                    <w:keepNext w:val="0"/>
                    <w:keepLines w:val="0"/>
                    <w:suppressLineNumbers w:val="0"/>
                    <w:spacing w:before="0" w:beforeAutospacing="0" w:after="0" w:afterAutospacing="0"/>
                    <w:ind w:left="0" w:right="0"/>
                    <w:jc w:val="both"/>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企业</w:t>
                  </w:r>
                  <w:r>
                    <w:rPr>
                      <w:rFonts w:hint="default"/>
                      <w:color w:val="000000" w:themeColor="text1"/>
                      <w:szCs w:val="21"/>
                      <w14:textFill>
                        <w14:solidFill>
                          <w14:schemeClr w14:val="tx1"/>
                        </w14:solidFill>
                      </w14:textFill>
                    </w:rPr>
                    <w:t>后续</w:t>
                  </w:r>
                  <w:r>
                    <w:rPr>
                      <w:rFonts w:hint="eastAsia"/>
                      <w:color w:val="000000" w:themeColor="text1"/>
                      <w:szCs w:val="21"/>
                      <w14:textFill>
                        <w14:solidFill>
                          <w14:schemeClr w14:val="tx1"/>
                        </w14:solidFill>
                      </w14:textFill>
                    </w:rPr>
                    <w:t>制定环境风险应急预案，成立应急组织机构，定期开展应急风险防范能力。</w:t>
                  </w:r>
                </w:p>
                <w:p w14:paraId="743C16E1">
                  <w:pPr>
                    <w:keepNext w:val="0"/>
                    <w:keepLines w:val="0"/>
                    <w:suppressLineNumbers w:val="0"/>
                    <w:spacing w:before="0" w:beforeAutospacing="0" w:after="0" w:afterAutospacing="0"/>
                    <w:ind w:left="0" w:right="0"/>
                    <w:jc w:val="both"/>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项目不属于钢铁、铸造、水泥、有色等高污染项目以及危险化学品贮存、处理处置等高风险项目</w:t>
                  </w:r>
                </w:p>
              </w:tc>
              <w:tc>
                <w:tcPr>
                  <w:tcW w:w="731" w:type="dxa"/>
                  <w:vAlign w:val="center"/>
                </w:tcPr>
                <w:p w14:paraId="0EF218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eastAsia" w:cs="宋体"/>
                      <w:bCs/>
                      <w:color w:val="000000" w:themeColor="text1"/>
                      <w:kern w:val="2"/>
                      <w:sz w:val="21"/>
                      <w:szCs w:val="21"/>
                      <w:vertAlign w:val="baseline"/>
                      <w:lang w:val="en-US" w:eastAsia="zh-CN" w:bidi="ar"/>
                      <w14:textFill>
                        <w14:solidFill>
                          <w14:schemeClr w14:val="tx1"/>
                        </w14:solidFill>
                      </w14:textFill>
                    </w:rPr>
                    <w:t>符合</w:t>
                  </w:r>
                </w:p>
              </w:tc>
            </w:tr>
            <w:tr w14:paraId="3F96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dxa"/>
                  <w:vAlign w:val="center"/>
                </w:tcPr>
                <w:p w14:paraId="17BE12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资源开发效率要求</w:t>
                  </w:r>
                </w:p>
              </w:tc>
              <w:tc>
                <w:tcPr>
                  <w:tcW w:w="3727" w:type="dxa"/>
                  <w:vAlign w:val="center"/>
                </w:tcPr>
                <w:p w14:paraId="47EA0E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t>1.健全用水总量、用水强度控制指标体系，强化节水约束性指标考核，加快落实重点领域用水指标。</w:t>
                  </w:r>
                </w:p>
                <w:p w14:paraId="461E71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t>2.提升城市再生水利用水平，完善再生水利用设施，拓宽再生水利用渠道。</w:t>
                  </w:r>
                </w:p>
              </w:tc>
              <w:tc>
                <w:tcPr>
                  <w:tcW w:w="2812" w:type="dxa"/>
                  <w:vAlign w:val="center"/>
                </w:tcPr>
                <w:p w14:paraId="06972D3B">
                  <w:pPr>
                    <w:keepNext w:val="0"/>
                    <w:keepLines w:val="0"/>
                    <w:suppressLineNumbers w:val="0"/>
                    <w:spacing w:before="0" w:beforeAutospacing="0" w:after="0" w:afterAutospacing="0"/>
                    <w:ind w:left="0" w:right="0"/>
                    <w:jc w:val="both"/>
                    <w:rPr>
                      <w:rFonts w:hint="default"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eastAsia" w:cs="宋体"/>
                      <w:bCs/>
                      <w:color w:val="000000" w:themeColor="text1"/>
                      <w:kern w:val="2"/>
                      <w:sz w:val="21"/>
                      <w:szCs w:val="21"/>
                      <w:vertAlign w:val="baseline"/>
                      <w:lang w:val="en-US" w:eastAsia="zh-CN" w:bidi="ar"/>
                      <w14:textFill>
                        <w14:solidFill>
                          <w14:schemeClr w14:val="tx1"/>
                        </w14:solidFill>
                      </w14:textFill>
                    </w:rPr>
                    <w:t>1、2.本项目用水为生活用水、生产用水，水源为厂区内现有自备水井提供</w:t>
                  </w:r>
                </w:p>
              </w:tc>
              <w:tc>
                <w:tcPr>
                  <w:tcW w:w="731" w:type="dxa"/>
                  <w:vAlign w:val="center"/>
                </w:tcPr>
                <w:p w14:paraId="22208C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eastAsia" w:cs="宋体"/>
                      <w:bCs/>
                      <w:color w:val="000000" w:themeColor="text1"/>
                      <w:kern w:val="2"/>
                      <w:sz w:val="21"/>
                      <w:szCs w:val="21"/>
                      <w:vertAlign w:val="baseline"/>
                      <w:lang w:val="en-US" w:eastAsia="zh-CN" w:bidi="ar"/>
                      <w14:textFill>
                        <w14:solidFill>
                          <w14:schemeClr w14:val="tx1"/>
                        </w14:solidFill>
                      </w14:textFill>
                    </w:rPr>
                    <w:t>符合</w:t>
                  </w:r>
                </w:p>
              </w:tc>
            </w:tr>
          </w:tbl>
          <w:p w14:paraId="7CF738D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80" w:lineRule="exact"/>
              <w:ind w:left="0" w:right="0" w:firstLine="480" w:firstLineChars="200"/>
              <w:textAlignment w:val="auto"/>
              <w:rPr>
                <w:rFonts w:hint="eastAsia" w:hAnsi="宋体"/>
                <w:b w:val="0"/>
                <w:bCs/>
                <w:color w:val="000000" w:themeColor="text1"/>
                <w:kern w:val="0"/>
                <w:sz w:val="24"/>
                <w:lang w:val="en-US" w:eastAsia="zh-CN"/>
                <w14:textFill>
                  <w14:solidFill>
                    <w14:schemeClr w14:val="tx1"/>
                  </w14:solidFill>
                </w14:textFill>
              </w:rPr>
            </w:pPr>
            <w:r>
              <w:rPr>
                <w:rFonts w:hint="eastAsia" w:hAnsi="宋体"/>
                <w:b w:val="0"/>
                <w:bCs/>
                <w:color w:val="000000" w:themeColor="text1"/>
                <w:kern w:val="0"/>
                <w:sz w:val="24"/>
                <w:lang w:val="en-US" w:eastAsia="zh-CN"/>
                <w14:textFill>
                  <w14:solidFill>
                    <w14:schemeClr w14:val="tx1"/>
                  </w14:solidFill>
                </w14:textFill>
              </w:rPr>
              <w:t>由上表可以看出，本项目建设符合重点管控单元的相关要求。</w:t>
            </w:r>
          </w:p>
          <w:p w14:paraId="315AD2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eastAsia" w:ascii="Times New Roman" w:hAnsi="Times New Roman" w:eastAsia="宋体" w:cs="宋体"/>
                <w:bCs/>
                <w:color w:val="000000" w:themeColor="text1"/>
                <w:kern w:val="2"/>
                <w:sz w:val="24"/>
                <w:szCs w:val="24"/>
                <w:lang w:val="en-US" w:eastAsia="zh-CN" w:bidi="ar"/>
                <w14:textFill>
                  <w14:solidFill>
                    <w14:schemeClr w14:val="tx1"/>
                  </w14:solidFill>
                </w14:textFill>
              </w:rPr>
            </w:pPr>
            <w:r>
              <w:rPr>
                <w:rFonts w:hint="default"/>
                <w:b/>
                <w:color w:val="000000" w:themeColor="text1"/>
                <w:sz w:val="21"/>
                <w:szCs w:val="21"/>
                <w:highlight w:val="none"/>
                <w:lang w:val="en-US" w:eastAsia="zh-CN"/>
                <w14:textFill>
                  <w14:solidFill>
                    <w14:schemeClr w14:val="tx1"/>
                  </w14:solidFill>
                </w14:textFill>
              </w:rPr>
              <w:t>表1</w:t>
            </w:r>
            <w:r>
              <w:rPr>
                <w:rFonts w:hint="eastAsia"/>
                <w:b/>
                <w:color w:val="000000" w:themeColor="text1"/>
                <w:szCs w:val="21"/>
                <w:lang w:val="en-US" w:eastAsia="zh-CN"/>
                <w14:textFill>
                  <w14:solidFill>
                    <w14:schemeClr w14:val="tx1"/>
                  </w14:solidFill>
                </w14:textFill>
              </w:rPr>
              <w:t>.2</w:t>
            </w:r>
            <w:r>
              <w:rPr>
                <w:rFonts w:hint="default"/>
                <w:b/>
                <w:color w:val="000000" w:themeColor="text1"/>
                <w:sz w:val="21"/>
                <w:szCs w:val="21"/>
                <w:highlight w:val="none"/>
                <w:lang w:val="en-US" w:eastAsia="zh-CN"/>
                <w14:textFill>
                  <w14:solidFill>
                    <w14:schemeClr w14:val="tx1"/>
                  </w14:solidFill>
                </w14:textFill>
              </w:rPr>
              <w:t>-</w:t>
            </w:r>
            <w:r>
              <w:rPr>
                <w:rFonts w:hint="eastAsia"/>
                <w:b/>
                <w:color w:val="000000" w:themeColor="text1"/>
                <w:sz w:val="21"/>
                <w:szCs w:val="21"/>
                <w:highlight w:val="none"/>
                <w:lang w:val="en-US" w:eastAsia="zh-CN"/>
                <w14:textFill>
                  <w14:solidFill>
                    <w14:schemeClr w14:val="tx1"/>
                  </w14:solidFill>
                </w14:textFill>
              </w:rPr>
              <w:t>3</w:t>
            </w:r>
            <w:r>
              <w:rPr>
                <w:rFonts w:hint="default"/>
                <w:b/>
                <w:color w:val="000000" w:themeColor="text1"/>
                <w:sz w:val="21"/>
                <w:szCs w:val="21"/>
                <w:highlight w:val="none"/>
                <w:lang w:val="en-US" w:eastAsia="zh-CN"/>
                <w14:textFill>
                  <w14:solidFill>
                    <w14:schemeClr w14:val="tx1"/>
                  </w14:solidFill>
                </w14:textFill>
              </w:rPr>
              <w:t xml:space="preserve">  长治市生态环境准入总体要求</w:t>
            </w:r>
          </w:p>
          <w:tbl>
            <w:tblPr>
              <w:tblStyle w:val="31"/>
              <w:tblW w:w="8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5095"/>
              <w:gridCol w:w="1547"/>
              <w:gridCol w:w="780"/>
            </w:tblGrid>
            <w:tr w14:paraId="1819B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Align w:val="center"/>
                </w:tcPr>
                <w:p w14:paraId="6B7C2F00">
                  <w:pPr>
                    <w:pStyle w:val="27"/>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管控类别</w:t>
                  </w:r>
                </w:p>
              </w:tc>
              <w:tc>
                <w:tcPr>
                  <w:tcW w:w="3142" w:type="pct"/>
                  <w:vAlign w:val="center"/>
                </w:tcPr>
                <w:p w14:paraId="67991A7B">
                  <w:pPr>
                    <w:pStyle w:val="27"/>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管控要求</w:t>
                  </w:r>
                </w:p>
              </w:tc>
              <w:tc>
                <w:tcPr>
                  <w:tcW w:w="954" w:type="pct"/>
                  <w:vAlign w:val="center"/>
                </w:tcPr>
                <w:p w14:paraId="0C3E6139">
                  <w:pPr>
                    <w:pStyle w:val="27"/>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宋体"/>
                      <w:bCs/>
                      <w:color w:val="000000" w:themeColor="text1"/>
                      <w:kern w:val="2"/>
                      <w:sz w:val="21"/>
                      <w:szCs w:val="21"/>
                      <w:highlight w:val="yellow"/>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项目情况</w:t>
                  </w:r>
                </w:p>
              </w:tc>
              <w:tc>
                <w:tcPr>
                  <w:tcW w:w="481" w:type="pct"/>
                  <w:vAlign w:val="center"/>
                </w:tcPr>
                <w:p w14:paraId="776BCEE3">
                  <w:pPr>
                    <w:pStyle w:val="27"/>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符合性</w:t>
                  </w:r>
                </w:p>
              </w:tc>
            </w:tr>
            <w:tr w14:paraId="65298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Align w:val="center"/>
                </w:tcPr>
                <w:p w14:paraId="13F9D7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default"/>
                      <w:color w:val="000000" w:themeColor="text1"/>
                      <w:sz w:val="21"/>
                      <w:szCs w:val="21"/>
                      <w14:textFill>
                        <w14:solidFill>
                          <w14:schemeClr w14:val="tx1"/>
                        </w14:solidFill>
                      </w14:textFill>
                    </w:rPr>
                    <w:t>空间布局约束</w:t>
                  </w:r>
                </w:p>
              </w:tc>
              <w:tc>
                <w:tcPr>
                  <w:tcW w:w="3142" w:type="pct"/>
                  <w:vAlign w:val="center"/>
                </w:tcPr>
                <w:p w14:paraId="35941C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1.强化河</w:t>
                  </w:r>
                  <w:r>
                    <w:rPr>
                      <w:rFonts w:hint="eastAsia" w:cs="Times New Roman"/>
                      <w:bCs/>
                      <w:color w:val="000000" w:themeColor="text1"/>
                      <w:kern w:val="2"/>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湖</w:t>
                  </w:r>
                  <w:r>
                    <w:rPr>
                      <w:rFonts w:hint="eastAsia" w:cs="Times New Roman"/>
                      <w:bCs/>
                      <w:color w:val="000000" w:themeColor="text1"/>
                      <w:kern w:val="2"/>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岸生态缓冲带保护与修复。在重点河流和重点湖库两岸以及划定的河湖库管理范围线之外30-50米建设生态缓冲带，宜林地段结合堤岸防护营造防护林带，平川水系、山区河滨带优先选择本地生水生植物、低杆植物，恢复湖库生态功能，实现水域、陆域生境联通，保护生物多样性。</w:t>
                  </w:r>
                </w:p>
                <w:p w14:paraId="69F1F2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2.除属于2021年分类处置清单范围内完善手续的“两高”项目外，太原及周边“1+30”大气污染联防联控重点区域不再审批新建焦化和传统烧结、高炉、转炉长流程钢铁项目(产能置换项目除外)。</w:t>
                  </w:r>
                </w:p>
                <w:p w14:paraId="499BD7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3.在永久基本农田集中区域，严禁规划新建可能造成土壤污染的建设项目。</w:t>
                  </w:r>
                </w:p>
                <w:p w14:paraId="33452C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4.依法依规开展化工园区认定，分批公布省级合格化工园区名单，引导化工生产企业向化工园区转移，推动产业优化整合，形成规模效应。推动入园入区煤化工企业发展循环经济和低碳经济建立绿色、低碳、循环发展的产业体系。坚持煤焦化一体、煤化电热一体和多联产发展方向，构建企业首尾相连、互为供需和生产装置互联互通的产业链，提高资源综合利用水平，减少物流运输能源消耗。鼓励化工园区管理部门按照生产加工体系匹配、产业联系紧密、原料物料互供、污染物统一治理、安全设施配套、资源利用高效、管理科学规范的标准，加强基础设施建设和配套项目招商，打造煤化工产业绿色低碳安全发展示范区。</w:t>
                  </w:r>
                </w:p>
                <w:p w14:paraId="5263D0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5.构建城市化地区、农产品主产区、重点生态功能区分类指导的减污降碳政策。衔接国土空间规划分区和用途管制要求，将碳达峰碳中和要求纳入“三线一单”分区管控体系，落实到环境管控单元。强化环境质量改善目标对能源和产业布局的引导约束作用，深入推进结构调整和布局优化，引导重污染项目向资源禀赋好、环境承载力强的地区转移。加大污染严重地区结构调整和布局优化力度，加快推动重点行业落后和过剩产能退出，2023年底前全面关停退出炭化室高度4.3米焦炉以及达不到超低排放要求的其他焦炉，逐步淘汰1200立方米以下高炉100吨以下转炉、步进式烧结机、球团坚炉以及半封闭式硅锰合金、镍铁、高碳铬铁、高碳锰铁电炉。依法加快城市(含县城)建成区钢铁、焦化、水泥、化工等重污染企业搬迁改造或关闭退出，对城市(含县城)建成区重污染企业实施更为严格的差异化管控措施。</w:t>
                  </w:r>
                </w:p>
                <w:p w14:paraId="341783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6.统筹调配全省危险废物集中处置设施资源，支持区域协作处置，鼓励危险废物产生量小的市依托相邻地区联合建设配套焚烧，填埋处置工艺的集中处置设施。各市应在全面调查评估危险废物产生及处置需求的基础上，按照“自我消纳为主、区域协同为辅”和“立足现状、适度超前”的原则，建设满足实际需要的危险废物集中处置设施，作为危险废物处置基础保障和突发事件应急处置保障。</w:t>
                  </w:r>
                </w:p>
                <w:p w14:paraId="6DB622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7.危险废物利用、处置设施选址必须符合城市总体发展规划、生态环境保护规划、国土空间规划和“三线一单”管控要求，并综合考虑服务范围、公共基础设施、公众意见等因素，以及区域工程地质和水文地质条件。避让生态保护红线范围。禁止在城市建成区、自然保护区、风景名胜区、饮用水水源保护区、泉域重点保护区等法律法规明令禁止和限制的区城，黄河干流及主要支流沿岸和汾河、桑干河、滹沱河、漳河、沁河、涑水河、大清河等河流谷地禁止和限制的范围，晋阳湖、漳泽湖、云竹湖、盐湖、伍姓湖等湖泊生态保护与修复范围，“黄河，长城、太行”旅游区建设危险废物利用、处置设施。鼓励危险废物集中处置设施入园入区建设，但不得选址于临近城市建成区的工业园区、开发区或工业集聚区。在满足环境防护距离的基础上，应尽量远离居民区、学校、医院、行政办公和科研机构等敏感目标，不得在各市下设区范围内新建危险废物集中处置设施，现有集中处置设施要加快搬迁或退出。危险废物填埋场选址还应充分考虑对周围地下水环境、居住人群身体健康，日常生活和生产活动的长期影响以及所在地区社会经济长远发展可能带来的土地需求和功能调整等因素。</w:t>
                  </w:r>
                </w:p>
                <w:p w14:paraId="17C478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8.强化“三区三线”管控。深入实施主体功能区战略，基于省域不同地区的资源环境承载力，实施差异化的国土空间开发保护，统筹优化农业、生态、城镇等功能空间布局，严格落实耕地和永久基本农田、生态保护红线、城镇开发边界“三条控制线”，确保红线面积不减少、功能不降低、性质不改变。健全国土空间开发保护制度，建立和实施常态化国土动态监测评估预警和监管机制。实施生态环境分区管控，落实“三线一单”生态环境分区管控制度，对优先、重点、一般三类管控单元实施分区分类管理，筑牢生态优先、绿色发展的底线，构建新发展格局。强化“三线一单”生态环境分区管控成果在当地重大经济政策制定、规划编制、园区管理、执法监管等方面的应用，推动“三线一单”生态环境分区管控落地实施取得实效。</w:t>
                  </w:r>
                </w:p>
                <w:p w14:paraId="2DFAC1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9.构建国土空间开发保护新格局。综合考虑人口分布、经济布局、国土利用、资源环境承载、生态环境保护等因素，科学布局生产空间、生活空间、生态空间，合理确定城市规模和空间结构，优化国土空间总体格局。统筹推进山西中部城市群生态共建环境共治，优化空间结构，构筑生态安全屏障。保护人居环境等敏感区，严控重污染行业产能规模，推进产业布局与生态空间协调发展，保障生活空间安全。严格耕地用途管制，强化农产品产地环境保护，加强农业面源、畜禽养殖污染治理和农村环境整治，保障农产品安全。强化生态功能区生态保护和修复，把保护生态环境、提供生态产品作为重点，禁止或限制大规模高强度的工业化城市化开发，制定完善生态保护修复政策，推进一批生态保护修复项目。合理支持重点生态功能区县城建设，支持生态功能区人口逐步有序向城市化地区转移，提高生态服务功能。</w:t>
                  </w:r>
                </w:p>
                <w:p w14:paraId="485FA0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10.坚决遏制“两高”项目盲目发展。严格按照国家、省“两高”项目处置要求，分类处置，动态监管，加快推进现有“两高”项目清理整顿，坚决控制“两高”项目体量，坚决叫停不符合要求的“两高”项目，推动在建和拟建“两高”项目能效、环保水平达国际国内先进水平，为转型发展项目腾出环境容量。严格“两高”项目准入，市区规划区范围内不再新增“两高”项目。</w:t>
                  </w:r>
                </w:p>
                <w:p w14:paraId="53C367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11.强化生态空间管控。严格落实永久基本农田、生态保护红线、城镇开发边界“三条控制线”和“三线一单”生态环境分区管控要求。按照资源环境承载能力，合理确定城市规模和空间结构，统筹安排城市建设、产业发展、生态涵养、基础设施和公共服务。在产业布局、结构调整、资源开发、城镇建设、重大项目选址时，应加强与国土空间规划和“三线一单”协调性分析，在规划编制、政策制定、执法监管等过程中，应将其作为重要依据，从严把好生态环境准入关，确保环境不超载、底线不突破。</w:t>
                  </w:r>
                </w:p>
                <w:p w14:paraId="78C40D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12.市、县（区）人民政府应当按照主体功能区规划和环境保护要求，制定规划，统筹安排，逐步对高污染工业企业实施关停搬迁。</w:t>
                  </w:r>
                </w:p>
                <w:p w14:paraId="487885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13.禁止在人口集中地区和其他依法需要特殊保护的区域内焚烧沥青、油毡、橡胶、塑料、皮革、垃圾以及其他产生有毒有害烟尘和恶臭气体的物质。</w:t>
                  </w:r>
                </w:p>
                <w:p w14:paraId="461E5A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14.禁止在居民住宅楼、未配套设立专用烟道的商住综合楼以及商住综合楼内与居住层相邻的商业楼层内新建、改建、扩建产生油烟、异味、废气的餐饮服务项目。任何单位和个人不得在当地人民政府禁止的区域内露天烧烤食品或者为露天烧烤食品提供场地。</w:t>
                  </w:r>
                </w:p>
                <w:p w14:paraId="303074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15.市人民政府应当根据大气环境质量改善要求，将城市建成区划定为禁煤区，并逐渐扩展县（区）人民政府可以根据实际情况划定禁煤区范围。禁煤区的划定应当考虑当地居民的生活需要。禁煤区内除煤电、集中供热和原料用煤企业外，禁止储存、销售和燃用煤炭及其制品。</w:t>
                  </w:r>
                </w:p>
                <w:p w14:paraId="6F42BD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16.在漳泽湖保护区内新建、改建、扩建工程，应当符合国土空间规划、漳泽湖生态保护与修复规划、水资源保护、海绵城市建设等有关规定，并依法办理环境影响评价等行政许可手续；建设项目的选址、布局、高度、体量、造型和色彩等应当与周围景观和环境相协调。在漳泽湖保护区内新建、改建、扩建工程，不得影响水工程安全和运行管理，不得损害河流、湖泊及湿地的生态环境；造成生态破坏的，建设单位应当依法承担生态恢复治理责任。</w:t>
                  </w:r>
                </w:p>
                <w:p w14:paraId="65E601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17.漳泽湖的开发利用应当以不影响湖区功能和不超过生态环境承载力为前提，开发利用项目应当以生态、文化、旅游、康养、休闲为主。</w:t>
                  </w:r>
                </w:p>
                <w:p w14:paraId="73B854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18.防控企业污染。严格控制在优先保护类耕地集中区域新建、扩建有色金属矿采选、有色金属冶炼、化工、焦化、电镀、制革、农药、铅蓄电池等重点行业企业和危险废物处置填埋场所。</w:t>
                  </w:r>
                </w:p>
                <w:p w14:paraId="6D0434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19.位于优先保护类耕地集中区域内的现有重点行业企业要采用新技术、新工艺，淘汰落后产能。</w:t>
                  </w:r>
                </w:p>
                <w:p w14:paraId="1314C7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t>20.加强对严格管控类耕地的用途管理。行政区域内存在严格管控类耕地的县（市、区），要依法划定特定农产品禁止生产区域，严禁种植食用农产品。</w:t>
                  </w:r>
                </w:p>
              </w:tc>
              <w:tc>
                <w:tcPr>
                  <w:tcW w:w="954" w:type="pct"/>
                  <w:vAlign w:val="center"/>
                </w:tcPr>
                <w:p w14:paraId="317DEC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bCs/>
                      <w:color w:val="000000" w:themeColor="text1"/>
                      <w:kern w:val="2"/>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highlight w:val="none"/>
                      <w:vertAlign w:val="baseline"/>
                      <w:lang w:val="en-US" w:eastAsia="zh-CN" w:bidi="ar"/>
                      <w14:textFill>
                        <w14:solidFill>
                          <w14:schemeClr w14:val="tx1"/>
                        </w14:solidFill>
                      </w14:textFill>
                    </w:rPr>
                    <w:t>1.</w:t>
                  </w:r>
                  <w:r>
                    <w:rPr>
                      <w:rFonts w:hint="eastAsia" w:cs="宋体"/>
                      <w:bCs/>
                      <w:color w:val="000000" w:themeColor="text1"/>
                      <w:kern w:val="2"/>
                      <w:sz w:val="21"/>
                      <w:szCs w:val="21"/>
                      <w:highlight w:val="none"/>
                      <w:vertAlign w:val="baseline"/>
                      <w:lang w:val="en-US" w:eastAsia="zh-CN" w:bidi="ar"/>
                      <w14:textFill>
                        <w14:solidFill>
                          <w14:schemeClr w14:val="tx1"/>
                        </w14:solidFill>
                      </w14:textFill>
                    </w:rPr>
                    <w:t>本项目</w:t>
                  </w:r>
                  <w:r>
                    <w:rPr>
                      <w:rFonts w:hint="eastAsia" w:ascii="Times New Roman" w:hAnsi="Times New Roman" w:eastAsia="宋体" w:cs="宋体"/>
                      <w:bCs/>
                      <w:color w:val="000000" w:themeColor="text1"/>
                      <w:kern w:val="2"/>
                      <w:sz w:val="21"/>
                      <w:szCs w:val="21"/>
                      <w:highlight w:val="none"/>
                      <w:vertAlign w:val="baseline"/>
                      <w:lang w:val="en-US" w:eastAsia="zh-CN" w:bidi="ar"/>
                      <w14:textFill>
                        <w14:solidFill>
                          <w14:schemeClr w14:val="tx1"/>
                        </w14:solidFill>
                      </w14:textFill>
                    </w:rPr>
                    <w:t>不涉及</w:t>
                  </w: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强化河</w:t>
                  </w:r>
                  <w:r>
                    <w:rPr>
                      <w:rFonts w:hint="eastAsia" w:cs="Times New Roman"/>
                      <w:bCs/>
                      <w:color w:val="000000" w:themeColor="text1"/>
                      <w:kern w:val="2"/>
                      <w:sz w:val="21"/>
                      <w:szCs w:val="21"/>
                      <w:highlight w:val="none"/>
                      <w:vertAlign w:val="baseline"/>
                      <w:lang w:val="en-US" w:eastAsia="zh-CN" w:bidi="ar"/>
                      <w14:textFill>
                        <w14:solidFill>
                          <w14:schemeClr w14:val="tx1"/>
                        </w14:solidFill>
                      </w14:textFill>
                    </w:rPr>
                    <w:t>（</w:t>
                  </w: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湖</w:t>
                  </w:r>
                  <w:r>
                    <w:rPr>
                      <w:rFonts w:hint="eastAsia" w:cs="Times New Roman"/>
                      <w:bCs/>
                      <w:color w:val="000000" w:themeColor="text1"/>
                      <w:kern w:val="2"/>
                      <w:sz w:val="21"/>
                      <w:szCs w:val="21"/>
                      <w:highlight w:val="none"/>
                      <w:vertAlign w:val="baseline"/>
                      <w:lang w:val="en-US" w:eastAsia="zh-CN" w:bidi="ar"/>
                      <w14:textFill>
                        <w14:solidFill>
                          <w14:schemeClr w14:val="tx1"/>
                        </w14:solidFill>
                      </w14:textFill>
                    </w:rPr>
                    <w:t>）</w:t>
                  </w: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岸生态缓冲带保护与修复</w:t>
                  </w:r>
                  <w:r>
                    <w:rPr>
                      <w:rFonts w:hint="eastAsia" w:cs="Times New Roman"/>
                      <w:bCs/>
                      <w:color w:val="000000" w:themeColor="text1"/>
                      <w:kern w:val="2"/>
                      <w:sz w:val="21"/>
                      <w:szCs w:val="21"/>
                      <w:highlight w:val="none"/>
                      <w:vertAlign w:val="baseline"/>
                      <w:lang w:val="en-US" w:eastAsia="zh-CN" w:bidi="ar"/>
                      <w14:textFill>
                        <w14:solidFill>
                          <w14:schemeClr w14:val="tx1"/>
                        </w14:solidFill>
                      </w14:textFill>
                    </w:rPr>
                    <w:t>；</w:t>
                  </w:r>
                </w:p>
                <w:p w14:paraId="5CE6F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bCs/>
                      <w:color w:val="000000" w:themeColor="text1"/>
                      <w:kern w:val="2"/>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highlight w:val="none"/>
                      <w:vertAlign w:val="baseline"/>
                      <w:lang w:val="en-US" w:eastAsia="zh-CN" w:bidi="ar"/>
                      <w14:textFill>
                        <w14:solidFill>
                          <w14:schemeClr w14:val="tx1"/>
                        </w14:solidFill>
                      </w14:textFill>
                    </w:rPr>
                    <w:t>2.</w:t>
                  </w:r>
                  <w:r>
                    <w:rPr>
                      <w:rFonts w:hint="eastAsia" w:cs="宋体"/>
                      <w:bCs/>
                      <w:color w:val="000000" w:themeColor="text1"/>
                      <w:kern w:val="2"/>
                      <w:sz w:val="21"/>
                      <w:szCs w:val="21"/>
                      <w:highlight w:val="none"/>
                      <w:vertAlign w:val="baseline"/>
                      <w:lang w:val="en-US" w:eastAsia="zh-CN" w:bidi="ar"/>
                      <w14:textFill>
                        <w14:solidFill>
                          <w14:schemeClr w14:val="tx1"/>
                        </w14:solidFill>
                      </w14:textFill>
                    </w:rPr>
                    <w:t>本项目</w:t>
                  </w:r>
                  <w:r>
                    <w:rPr>
                      <w:rFonts w:hint="eastAsia" w:ascii="Times New Roman" w:hAnsi="Times New Roman" w:eastAsia="宋体" w:cs="宋体"/>
                      <w:bCs/>
                      <w:color w:val="000000" w:themeColor="text1"/>
                      <w:kern w:val="2"/>
                      <w:sz w:val="21"/>
                      <w:szCs w:val="21"/>
                      <w:highlight w:val="none"/>
                      <w:vertAlign w:val="baseline"/>
                      <w:lang w:val="en-US" w:eastAsia="zh-CN" w:bidi="ar"/>
                      <w14:textFill>
                        <w14:solidFill>
                          <w14:schemeClr w14:val="tx1"/>
                        </w14:solidFill>
                      </w14:textFill>
                    </w:rPr>
                    <w:t>不属于</w:t>
                  </w: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钢铁项目</w:t>
                  </w:r>
                  <w:r>
                    <w:rPr>
                      <w:rFonts w:hint="eastAsia" w:cs="Times New Roman"/>
                      <w:bCs/>
                      <w:color w:val="000000" w:themeColor="text1"/>
                      <w:kern w:val="2"/>
                      <w:sz w:val="21"/>
                      <w:szCs w:val="21"/>
                      <w:highlight w:val="none"/>
                      <w:vertAlign w:val="baseline"/>
                      <w:lang w:val="en-US" w:eastAsia="zh-CN" w:bidi="ar"/>
                      <w14:textFill>
                        <w14:solidFill>
                          <w14:schemeClr w14:val="tx1"/>
                        </w14:solidFill>
                      </w14:textFill>
                    </w:rPr>
                    <w:t>；</w:t>
                  </w:r>
                </w:p>
                <w:p w14:paraId="6BBE95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宋体"/>
                      <w:bCs/>
                      <w:color w:val="000000" w:themeColor="text1"/>
                      <w:kern w:val="2"/>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highlight w:val="none"/>
                      <w:vertAlign w:val="baseline"/>
                      <w:lang w:val="en-US" w:eastAsia="zh-CN" w:bidi="ar"/>
                      <w14:textFill>
                        <w14:solidFill>
                          <w14:schemeClr w14:val="tx1"/>
                        </w14:solidFill>
                      </w14:textFill>
                    </w:rPr>
                    <w:t>3.</w:t>
                  </w:r>
                  <w:r>
                    <w:rPr>
                      <w:rFonts w:hint="eastAsia" w:cs="宋体"/>
                      <w:bCs/>
                      <w:color w:val="000000" w:themeColor="text1"/>
                      <w:kern w:val="2"/>
                      <w:sz w:val="21"/>
                      <w:szCs w:val="21"/>
                      <w:highlight w:val="none"/>
                      <w:vertAlign w:val="baseline"/>
                      <w:lang w:val="en-US" w:eastAsia="zh-CN" w:bidi="ar"/>
                      <w14:textFill>
                        <w14:solidFill>
                          <w14:schemeClr w14:val="tx1"/>
                        </w14:solidFill>
                      </w14:textFill>
                    </w:rPr>
                    <w:t>本项目占地</w:t>
                  </w:r>
                  <w:r>
                    <w:rPr>
                      <w:rFonts w:hint="eastAsia" w:ascii="Times New Roman" w:hAnsi="Times New Roman" w:eastAsia="宋体" w:cs="宋体"/>
                      <w:bCs/>
                      <w:color w:val="000000" w:themeColor="text1"/>
                      <w:kern w:val="2"/>
                      <w:sz w:val="21"/>
                      <w:szCs w:val="21"/>
                      <w:highlight w:val="none"/>
                      <w:vertAlign w:val="baseline"/>
                      <w:lang w:val="en-US" w:eastAsia="zh-CN" w:bidi="ar"/>
                      <w14:textFill>
                        <w14:solidFill>
                          <w14:schemeClr w14:val="tx1"/>
                        </w14:solidFill>
                      </w14:textFill>
                    </w:rPr>
                    <w:t>不</w:t>
                  </w:r>
                  <w:r>
                    <w:rPr>
                      <w:rFonts w:hint="eastAsia" w:cs="宋体"/>
                      <w:bCs/>
                      <w:color w:val="000000" w:themeColor="text1"/>
                      <w:kern w:val="2"/>
                      <w:sz w:val="21"/>
                      <w:szCs w:val="21"/>
                      <w:highlight w:val="none"/>
                      <w:vertAlign w:val="baseline"/>
                      <w:lang w:val="en-US" w:eastAsia="zh-CN" w:bidi="ar"/>
                      <w14:textFill>
                        <w14:solidFill>
                          <w14:schemeClr w14:val="tx1"/>
                        </w14:solidFill>
                      </w14:textFill>
                    </w:rPr>
                    <w:t>涉及基本农田；</w:t>
                  </w:r>
                </w:p>
                <w:p w14:paraId="16EB57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bCs/>
                      <w:color w:val="000000" w:themeColor="text1"/>
                      <w:kern w:val="2"/>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highlight w:val="none"/>
                      <w:vertAlign w:val="baseline"/>
                      <w:lang w:val="en-US" w:eastAsia="zh-CN" w:bidi="ar"/>
                      <w14:textFill>
                        <w14:solidFill>
                          <w14:schemeClr w14:val="tx1"/>
                        </w14:solidFill>
                      </w14:textFill>
                    </w:rPr>
                    <w:t>4.</w:t>
                  </w:r>
                  <w:r>
                    <w:rPr>
                      <w:rFonts w:hint="eastAsia" w:cs="宋体"/>
                      <w:bCs/>
                      <w:color w:val="000000" w:themeColor="text1"/>
                      <w:kern w:val="2"/>
                      <w:sz w:val="21"/>
                      <w:szCs w:val="21"/>
                      <w:highlight w:val="none"/>
                      <w:vertAlign w:val="baseline"/>
                      <w:lang w:val="en-US" w:eastAsia="zh-CN" w:bidi="ar"/>
                      <w14:textFill>
                        <w14:solidFill>
                          <w14:schemeClr w14:val="tx1"/>
                        </w14:solidFill>
                      </w14:textFill>
                    </w:rPr>
                    <w:t>本项目</w:t>
                  </w:r>
                  <w:r>
                    <w:rPr>
                      <w:rFonts w:hint="eastAsia" w:ascii="Times New Roman" w:hAnsi="Times New Roman" w:eastAsia="宋体" w:cs="宋体"/>
                      <w:bCs/>
                      <w:color w:val="000000" w:themeColor="text1"/>
                      <w:kern w:val="2"/>
                      <w:sz w:val="21"/>
                      <w:szCs w:val="21"/>
                      <w:highlight w:val="none"/>
                      <w:vertAlign w:val="baseline"/>
                      <w:lang w:val="en-US" w:eastAsia="zh-CN" w:bidi="ar"/>
                      <w14:textFill>
                        <w14:solidFill>
                          <w14:schemeClr w14:val="tx1"/>
                        </w14:solidFill>
                      </w14:textFill>
                    </w:rPr>
                    <w:t>不涉及</w:t>
                  </w: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化工园区</w:t>
                  </w:r>
                  <w:r>
                    <w:rPr>
                      <w:rFonts w:hint="eastAsia" w:cs="Times New Roman"/>
                      <w:bCs/>
                      <w:color w:val="000000" w:themeColor="text1"/>
                      <w:kern w:val="2"/>
                      <w:sz w:val="21"/>
                      <w:szCs w:val="21"/>
                      <w:highlight w:val="none"/>
                      <w:vertAlign w:val="baseline"/>
                      <w:lang w:val="en-US" w:eastAsia="zh-CN" w:bidi="ar"/>
                      <w14:textFill>
                        <w14:solidFill>
                          <w14:schemeClr w14:val="tx1"/>
                        </w14:solidFill>
                      </w14:textFill>
                    </w:rPr>
                    <w:t>；</w:t>
                  </w:r>
                </w:p>
                <w:p w14:paraId="03BDCA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bCs/>
                      <w:color w:val="000000" w:themeColor="text1"/>
                      <w:kern w:val="2"/>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highlight w:val="none"/>
                      <w:vertAlign w:val="baseline"/>
                      <w:lang w:val="en-US" w:eastAsia="zh-CN" w:bidi="ar"/>
                      <w14:textFill>
                        <w14:solidFill>
                          <w14:schemeClr w14:val="tx1"/>
                        </w14:solidFill>
                      </w14:textFill>
                    </w:rPr>
                    <w:t>5.</w:t>
                  </w:r>
                  <w:r>
                    <w:rPr>
                      <w:rFonts w:hint="eastAsia" w:cs="宋体"/>
                      <w:bCs/>
                      <w:color w:val="000000" w:themeColor="text1"/>
                      <w:kern w:val="2"/>
                      <w:sz w:val="21"/>
                      <w:szCs w:val="21"/>
                      <w:highlight w:val="none"/>
                      <w:vertAlign w:val="baseline"/>
                      <w:lang w:val="en-US" w:eastAsia="zh-CN" w:bidi="ar"/>
                      <w14:textFill>
                        <w14:solidFill>
                          <w14:schemeClr w14:val="tx1"/>
                        </w14:solidFill>
                      </w14:textFill>
                    </w:rPr>
                    <w:t>本项目</w:t>
                  </w:r>
                  <w:r>
                    <w:rPr>
                      <w:rFonts w:hint="eastAsia" w:ascii="Times New Roman" w:hAnsi="Times New Roman" w:eastAsia="宋体" w:cs="宋体"/>
                      <w:bCs/>
                      <w:color w:val="000000" w:themeColor="text1"/>
                      <w:kern w:val="2"/>
                      <w:sz w:val="21"/>
                      <w:szCs w:val="21"/>
                      <w:highlight w:val="none"/>
                      <w:vertAlign w:val="baseline"/>
                      <w:lang w:val="en-US" w:eastAsia="zh-CN" w:bidi="ar"/>
                      <w14:textFill>
                        <w14:solidFill>
                          <w14:schemeClr w14:val="tx1"/>
                        </w14:solidFill>
                      </w14:textFill>
                    </w:rPr>
                    <w:t>不涉及</w:t>
                  </w:r>
                  <w:r>
                    <w:rPr>
                      <w:rFonts w:hint="eastAsia" w:cs="宋体"/>
                      <w:bCs/>
                      <w:color w:val="000000" w:themeColor="text1"/>
                      <w:kern w:val="2"/>
                      <w:sz w:val="21"/>
                      <w:szCs w:val="21"/>
                      <w:highlight w:val="none"/>
                      <w:vertAlign w:val="baseline"/>
                      <w:lang w:val="en-US" w:eastAsia="zh-CN" w:bidi="ar"/>
                      <w14:textFill>
                        <w14:solidFill>
                          <w14:schemeClr w14:val="tx1"/>
                        </w14:solidFill>
                      </w14:textFill>
                    </w:rPr>
                    <w:t>焦炉、电炉。不属于</w:t>
                  </w: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钢铁、焦化、水泥、化工等重污染企业</w:t>
                  </w:r>
                  <w:r>
                    <w:rPr>
                      <w:rFonts w:hint="eastAsia" w:cs="Times New Roman"/>
                      <w:bCs/>
                      <w:color w:val="000000" w:themeColor="text1"/>
                      <w:kern w:val="2"/>
                      <w:sz w:val="21"/>
                      <w:szCs w:val="21"/>
                      <w:highlight w:val="none"/>
                      <w:vertAlign w:val="baseline"/>
                      <w:lang w:val="en-US" w:eastAsia="zh-CN" w:bidi="ar"/>
                      <w14:textFill>
                        <w14:solidFill>
                          <w14:schemeClr w14:val="tx1"/>
                        </w14:solidFill>
                      </w14:textFill>
                    </w:rPr>
                    <w:t>；</w:t>
                  </w:r>
                </w:p>
                <w:p w14:paraId="476B4C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6.本项目不属于</w:t>
                  </w: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危险废物集中处置设施</w:t>
                  </w: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w:t>
                  </w:r>
                </w:p>
                <w:p w14:paraId="42B91A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宋体"/>
                      <w:bCs/>
                      <w:color w:val="000000" w:themeColor="text1"/>
                      <w:kern w:val="2"/>
                      <w:sz w:val="21"/>
                      <w:szCs w:val="21"/>
                      <w:highlight w:val="yellow"/>
                      <w:vertAlign w:val="baseline"/>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highlight w:val="none"/>
                      <w:vertAlign w:val="baseline"/>
                      <w:lang w:val="en-US" w:eastAsia="zh-CN" w:bidi="ar"/>
                      <w14:textFill>
                        <w14:solidFill>
                          <w14:schemeClr w14:val="tx1"/>
                        </w14:solidFill>
                      </w14:textFill>
                    </w:rPr>
                    <w:t>7.</w:t>
                  </w:r>
                  <w:r>
                    <w:rPr>
                      <w:rFonts w:hint="eastAsia" w:cs="宋体"/>
                      <w:bCs/>
                      <w:color w:val="000000" w:themeColor="text1"/>
                      <w:kern w:val="2"/>
                      <w:sz w:val="21"/>
                      <w:szCs w:val="21"/>
                      <w:highlight w:val="none"/>
                      <w:vertAlign w:val="baseline"/>
                      <w:lang w:val="en-US" w:eastAsia="zh-CN" w:bidi="ar"/>
                      <w14:textFill>
                        <w14:solidFill>
                          <w14:schemeClr w14:val="tx1"/>
                        </w14:solidFill>
                      </w14:textFill>
                    </w:rPr>
                    <w:t>本项目</w:t>
                  </w:r>
                  <w:r>
                    <w:rPr>
                      <w:rFonts w:hint="eastAsia" w:ascii="Times New Roman" w:hAnsi="Times New Roman" w:eastAsia="宋体" w:cs="宋体"/>
                      <w:bCs/>
                      <w:color w:val="000000" w:themeColor="text1"/>
                      <w:kern w:val="2"/>
                      <w:sz w:val="21"/>
                      <w:szCs w:val="21"/>
                      <w:highlight w:val="none"/>
                      <w:vertAlign w:val="baseline"/>
                      <w:lang w:val="en-US" w:eastAsia="zh-CN" w:bidi="ar"/>
                      <w14:textFill>
                        <w14:solidFill>
                          <w14:schemeClr w14:val="tx1"/>
                        </w14:solidFill>
                      </w14:textFill>
                    </w:rPr>
                    <w:t>不属于</w:t>
                  </w: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危险废物集中处置</w:t>
                  </w:r>
                  <w:r>
                    <w:rPr>
                      <w:rFonts w:hint="eastAsia" w:cs="Times New Roman"/>
                      <w:bCs/>
                      <w:color w:val="000000" w:themeColor="text1"/>
                      <w:kern w:val="2"/>
                      <w:sz w:val="21"/>
                      <w:szCs w:val="21"/>
                      <w:highlight w:val="none"/>
                      <w:vertAlign w:val="baseline"/>
                      <w:lang w:val="en-US" w:eastAsia="zh-CN" w:bidi="ar"/>
                      <w14:textFill>
                        <w14:solidFill>
                          <w14:schemeClr w14:val="tx1"/>
                        </w14:solidFill>
                      </w14:textFill>
                    </w:rPr>
                    <w:t>项目</w:t>
                  </w:r>
                  <w:r>
                    <w:rPr>
                      <w:rFonts w:hint="eastAsia" w:cs="Times New Roman"/>
                      <w:bCs/>
                      <w:color w:val="000000" w:themeColor="text1"/>
                      <w:kern w:val="2"/>
                      <w:sz w:val="21"/>
                      <w:szCs w:val="21"/>
                      <w:vertAlign w:val="baseline"/>
                      <w:lang w:val="en-US" w:eastAsia="zh-CN" w:bidi="ar"/>
                      <w14:textFill>
                        <w14:solidFill>
                          <w14:schemeClr w14:val="tx1"/>
                        </w14:solidFill>
                      </w14:textFill>
                    </w:rPr>
                    <w:t>；</w:t>
                  </w:r>
                </w:p>
                <w:p w14:paraId="6DE9AAC3">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位于重点管控单元，符合相关管控要求</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，占地为工业用地，不涉及</w:t>
                  </w: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耕地和永久基本农田、生态保护红线</w:t>
                  </w: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，不属于城镇开发边界；</w:t>
                  </w:r>
                </w:p>
                <w:p w14:paraId="1D79E891">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9.本项目占地为工业用地，项目属于其他非金属矿物制品制造</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，不属于</w:t>
                  </w: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重污染行业</w:t>
                  </w:r>
                </w:p>
                <w:p w14:paraId="4DCE7E87">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10.</w:t>
                  </w: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不属于“两高”项目</w:t>
                  </w: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w:t>
                  </w:r>
                </w:p>
                <w:p w14:paraId="3DC59BBD">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11.</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本项目占地为工业用地，项目属于其他非金属矿物制品制造</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；项目占地为工业用地，不涉及</w:t>
                  </w: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耕地和永久基本农田、生态保护红线</w:t>
                  </w: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，不属于城镇开发边界；</w:t>
                  </w:r>
                </w:p>
                <w:p w14:paraId="684557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12.</w:t>
                  </w: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本项目</w:t>
                  </w: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不属于高污染工业企业</w:t>
                  </w: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w:t>
                  </w:r>
                </w:p>
                <w:p w14:paraId="1EAC07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13.</w:t>
                  </w: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本项目</w:t>
                  </w: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不涉及有毒有害烟尘和恶臭气体</w:t>
                  </w: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w:t>
                  </w:r>
                </w:p>
                <w:p w14:paraId="73E295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14.不属于餐饮服务</w:t>
                  </w: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项目；</w:t>
                  </w:r>
                </w:p>
                <w:p w14:paraId="66DADA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15.</w:t>
                  </w: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本项目占地</w:t>
                  </w: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不</w:t>
                  </w: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属于</w:t>
                  </w: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禁煤区范围</w:t>
                  </w: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w:t>
                  </w:r>
                </w:p>
                <w:p w14:paraId="57A012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16.</w:t>
                  </w: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本项目</w:t>
                  </w: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不涉及漳泽湖保护区</w:t>
                  </w: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w:t>
                  </w:r>
                </w:p>
                <w:p w14:paraId="77DD01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17.</w:t>
                  </w: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本项目</w:t>
                  </w: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不涉及漳泽湖的开发利用</w:t>
                  </w: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w:t>
                  </w:r>
                </w:p>
                <w:p w14:paraId="14B599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18.</w:t>
                  </w: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本项目</w:t>
                  </w: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不涉及有色金属矿采选、有色金属冶炼、化工、焦化等重点行业企业和危险废物处置填埋场所</w:t>
                  </w: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w:t>
                  </w:r>
                </w:p>
                <w:p w14:paraId="6B139D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19.</w:t>
                  </w: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本项目</w:t>
                  </w: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不属于重点行业企业</w:t>
                  </w: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w:t>
                  </w:r>
                </w:p>
                <w:p w14:paraId="3D9C53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宋体"/>
                      <w:bCs/>
                      <w:color w:val="000000" w:themeColor="text1"/>
                      <w:kern w:val="2"/>
                      <w:sz w:val="21"/>
                      <w:szCs w:val="21"/>
                      <w:highlight w:val="yellow"/>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20</w:t>
                  </w:r>
                  <w:r>
                    <w:rPr>
                      <w:rFonts w:hint="eastAsia"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本项目</w:t>
                  </w:r>
                  <w:r>
                    <w:rPr>
                      <w:rFonts w:hint="default" w:ascii="Times New Roman" w:hAnsi="Times New Roman" w:eastAsia="宋体" w:cs="Times New Roman"/>
                      <w:bCs/>
                      <w:color w:val="000000" w:themeColor="text1"/>
                      <w:kern w:val="2"/>
                      <w:sz w:val="21"/>
                      <w:szCs w:val="21"/>
                      <w:highlight w:val="none"/>
                      <w:vertAlign w:val="baseline"/>
                      <w:lang w:val="en-US" w:eastAsia="zh-CN" w:bidi="ar"/>
                      <w14:textFill>
                        <w14:solidFill>
                          <w14:schemeClr w14:val="tx1"/>
                        </w14:solidFill>
                      </w14:textFill>
                    </w:rPr>
                    <w:t>不涉及耕地</w:t>
                  </w:r>
                  <w:r>
                    <w:rPr>
                      <w:rFonts w:hint="eastAsia" w:cs="Times New Roman"/>
                      <w:bCs/>
                      <w:color w:val="000000" w:themeColor="text1"/>
                      <w:kern w:val="2"/>
                      <w:sz w:val="21"/>
                      <w:szCs w:val="21"/>
                      <w:highlight w:val="none"/>
                      <w:vertAlign w:val="baseline"/>
                      <w:lang w:val="en-US" w:eastAsia="zh-CN" w:bidi="ar"/>
                      <w14:textFill>
                        <w14:solidFill>
                          <w14:schemeClr w14:val="tx1"/>
                        </w14:solidFill>
                      </w14:textFill>
                    </w:rPr>
                    <w:t>。</w:t>
                  </w:r>
                </w:p>
              </w:tc>
              <w:tc>
                <w:tcPr>
                  <w:tcW w:w="481" w:type="pct"/>
                  <w:vAlign w:val="center"/>
                </w:tcPr>
                <w:p w14:paraId="123FD1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eastAsia" w:cs="宋体"/>
                      <w:bCs/>
                      <w:color w:val="000000" w:themeColor="text1"/>
                      <w:kern w:val="2"/>
                      <w:sz w:val="21"/>
                      <w:szCs w:val="21"/>
                      <w:vertAlign w:val="baseline"/>
                      <w:lang w:val="en-US" w:eastAsia="zh-CN" w:bidi="ar"/>
                      <w14:textFill>
                        <w14:solidFill>
                          <w14:schemeClr w14:val="tx1"/>
                        </w14:solidFill>
                      </w14:textFill>
                    </w:rPr>
                    <w:t>符合</w:t>
                  </w:r>
                </w:p>
              </w:tc>
            </w:tr>
            <w:tr w14:paraId="08F5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Align w:val="center"/>
                </w:tcPr>
                <w:p w14:paraId="082247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污染物排放管控</w:t>
                  </w:r>
                </w:p>
              </w:tc>
              <w:tc>
                <w:tcPr>
                  <w:tcW w:w="3142" w:type="pct"/>
                  <w:vAlign w:val="center"/>
                </w:tcPr>
                <w:p w14:paraId="26B18BF9">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环境质量目标：</w:t>
                  </w:r>
                </w:p>
                <w:p w14:paraId="6AD0A6D6">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1.2023年地表水国考断面达到或优于Ⅲ类比例达到76.6%，劣V类水质断面全部消除。饮用水水源水质达到或优于Ⅲ类比例达到国家年度目标。2023年底前</w:t>
                  </w:r>
                  <w:r>
                    <w:rPr>
                      <w:rFonts w:hint="default" w:ascii="Times New Roman" w:hAnsi="Times New Roman" w:cs="Times New Roman"/>
                      <w:bCs/>
                      <w:color w:val="000000" w:themeColor="text1"/>
                      <w:sz w:val="21"/>
                      <w:szCs w:val="21"/>
                      <w:lang w:eastAsia="zh-CN" w:bidi="ar"/>
                      <w14:textFill>
                        <w14:solidFill>
                          <w14:schemeClr w14:val="tx1"/>
                        </w14:solidFill>
                      </w14:textFill>
                    </w:rPr>
                    <w:t>，</w:t>
                  </w:r>
                  <w:r>
                    <w:rPr>
                      <w:rFonts w:hint="default" w:ascii="Times New Roman" w:hAnsi="Times New Roman" w:cs="Times New Roman"/>
                      <w:bCs/>
                      <w:color w:val="000000" w:themeColor="text1"/>
                      <w:sz w:val="21"/>
                      <w:szCs w:val="21"/>
                      <w:lang w:bidi="ar"/>
                      <w14:textFill>
                        <w14:solidFill>
                          <w14:schemeClr w14:val="tx1"/>
                        </w14:solidFill>
                      </w14:textFill>
                    </w:rPr>
                    <w:t>潞州区、上党区、屯留区、潞城区建成区黑臭水体全面消除。</w:t>
                  </w:r>
                </w:p>
                <w:p w14:paraId="05C744E2">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2.全省地下水环境质量总体保持稳定，地下水国考区域点位V类比例不高于6.67%，地下水国考饮用水源点位达到或优于Ⅲ类比例不低于76.9%，地下水国考污染风险监控点位V类比例不高于17.6%。</w:t>
                  </w:r>
                </w:p>
                <w:p w14:paraId="792EADC0">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3.到2025年，全省县级及以上集中式饮用水水源水质达到或优于Ⅲ类水体的比例达到92%。</w:t>
                  </w:r>
                </w:p>
                <w:p w14:paraId="69A04814">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污染物控制：</w:t>
                  </w:r>
                </w:p>
                <w:p w14:paraId="2BCD1089">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4.强化工业废水深度治理。汾河流域新建工业企业生产废水不得排入城镇生活污水处理厂，已纳入城镇生活污水处理厂处理的工业废水应当逐步退出。其他地区已纳入城镇生活污水处理厂处理的工业废水，经评估认定为污染物不能被污水处理厂有效处理,或可能影响城镇生活污水处理厂出水稳定达标的，依法限期退出，退出前向城镇生活污水处理厂排放的工业废水水质需达到行业特别排放限值。加强焦化、化工类工业企业雨污分流管网建设,推动实现厂区初期雨水收集处理不外排、化工园区废水循环利用零排放、蒸发后杂盐合理处置</w:t>
                  </w:r>
                  <w:r>
                    <w:rPr>
                      <w:rFonts w:hint="default" w:ascii="Times New Roman" w:hAnsi="Times New Roman" w:cs="Times New Roman"/>
                      <w:bCs/>
                      <w:color w:val="000000" w:themeColor="text1"/>
                      <w:sz w:val="21"/>
                      <w:szCs w:val="21"/>
                      <w:lang w:eastAsia="zh-CN" w:bidi="ar"/>
                      <w14:textFill>
                        <w14:solidFill>
                          <w14:schemeClr w14:val="tx1"/>
                        </w14:solidFill>
                      </w14:textFill>
                    </w:rPr>
                    <w:t>，</w:t>
                  </w:r>
                  <w:r>
                    <w:rPr>
                      <w:rFonts w:hint="default" w:ascii="Times New Roman" w:hAnsi="Times New Roman" w:cs="Times New Roman"/>
                      <w:bCs/>
                      <w:color w:val="000000" w:themeColor="text1"/>
                      <w:sz w:val="21"/>
                      <w:szCs w:val="21"/>
                      <w:lang w:bidi="ar"/>
                      <w14:textFill>
                        <w14:solidFill>
                          <w14:schemeClr w14:val="tx1"/>
                        </w14:solidFill>
                      </w14:textFill>
                    </w:rPr>
                    <w:t>杜绝产生二次污染。</w:t>
                  </w:r>
                </w:p>
                <w:p w14:paraId="4CCE8CAC">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5.畜禽养殖场、养殖小区应当按照规定对污水、畜禽粪便和尸体等进行收集、贮存、清运和无害化处理；未达到规模养殖的畜禽养殖单位和个人应当采取与其养殖规模相适应的大气污染防治措施，防止排放恶臭气体。</w:t>
                  </w:r>
                </w:p>
                <w:p w14:paraId="65751FC7">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6.排放油烟的餐饮服务业经营者应当安装油烟净化设施并保持正常使用，或者采取其他油烟净化措施，使油烟达标排放，并防止对附近居民的正常生活环境造成污染。</w:t>
                  </w:r>
                </w:p>
                <w:p w14:paraId="6AC22974">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7.有组织排放控制指标。在基准氧含量10%的条件下，水泥窑及窑尾余热利用系统烟气颗粒物、二氧化硫、氮氧化物排放浓度分别不高于10、35、50mg/m</w:t>
                  </w:r>
                  <w:r>
                    <w:rPr>
                      <w:rFonts w:hint="default" w:ascii="Times New Roman" w:hAnsi="Times New Roman" w:cs="Times New Roman"/>
                      <w:bCs/>
                      <w:color w:val="000000" w:themeColor="text1"/>
                      <w:sz w:val="21"/>
                      <w:szCs w:val="21"/>
                      <w:vertAlign w:val="superscript"/>
                      <w:lang w:bidi="ar"/>
                      <w14:textFill>
                        <w14:solidFill>
                          <w14:schemeClr w14:val="tx1"/>
                        </w14:solidFill>
                      </w14:textFill>
                    </w:rPr>
                    <w:t>3</w:t>
                  </w:r>
                  <w:r>
                    <w:rPr>
                      <w:rFonts w:hint="default" w:ascii="Times New Roman" w:hAnsi="Times New Roman" w:cs="Times New Roman"/>
                      <w:bCs/>
                      <w:color w:val="000000" w:themeColor="text1"/>
                      <w:sz w:val="21"/>
                      <w:szCs w:val="21"/>
                      <w:lang w:bidi="ar"/>
                      <w14:textFill>
                        <w14:solidFill>
                          <w14:schemeClr w14:val="tx1"/>
                        </w14:solidFill>
                      </w14:textFill>
                    </w:rPr>
                    <w:t>，氨逃逸浓度不高于5mg/m</w:t>
                  </w:r>
                  <w:r>
                    <w:rPr>
                      <w:rFonts w:hint="default" w:ascii="Times New Roman" w:hAnsi="Times New Roman" w:cs="Times New Roman"/>
                      <w:bCs/>
                      <w:color w:val="000000" w:themeColor="text1"/>
                      <w:sz w:val="21"/>
                      <w:szCs w:val="21"/>
                      <w:vertAlign w:val="superscript"/>
                      <w:lang w:bidi="ar"/>
                      <w14:textFill>
                        <w14:solidFill>
                          <w14:schemeClr w14:val="tx1"/>
                        </w14:solidFill>
                      </w14:textFill>
                    </w:rPr>
                    <w:t>3</w:t>
                  </w:r>
                  <w:r>
                    <w:rPr>
                      <w:rFonts w:hint="default" w:ascii="Times New Roman" w:hAnsi="Times New Roman" w:cs="Times New Roman"/>
                      <w:bCs/>
                      <w:color w:val="000000" w:themeColor="text1"/>
                      <w:sz w:val="21"/>
                      <w:szCs w:val="21"/>
                      <w:lang w:bidi="ar"/>
                      <w14:textFill>
                        <w14:solidFill>
                          <w14:schemeClr w14:val="tx1"/>
                        </w14:solidFill>
                      </w14:textFill>
                    </w:rPr>
                    <w:t>。采用独立热源烘干的企业应采用余热或清洁能源，颗粒物、二氧化硫、氮氧化物排放浓度分别不高于10、35、50mg/m</w:t>
                  </w:r>
                  <w:r>
                    <w:rPr>
                      <w:rFonts w:hint="default" w:ascii="Times New Roman" w:hAnsi="Times New Roman" w:cs="Times New Roman"/>
                      <w:bCs/>
                      <w:color w:val="000000" w:themeColor="text1"/>
                      <w:sz w:val="21"/>
                      <w:szCs w:val="21"/>
                      <w:vertAlign w:val="superscript"/>
                      <w:lang w:bidi="ar"/>
                      <w14:textFill>
                        <w14:solidFill>
                          <w14:schemeClr w14:val="tx1"/>
                        </w14:solidFill>
                      </w14:textFill>
                    </w:rPr>
                    <w:t>3</w:t>
                  </w:r>
                  <w:r>
                    <w:rPr>
                      <w:rFonts w:hint="default" w:ascii="Times New Roman" w:hAnsi="Times New Roman" w:cs="Times New Roman"/>
                      <w:bCs/>
                      <w:color w:val="000000" w:themeColor="text1"/>
                      <w:sz w:val="21"/>
                      <w:szCs w:val="21"/>
                      <w:lang w:bidi="ar"/>
                      <w14:textFill>
                        <w14:solidFill>
                          <w14:schemeClr w14:val="tx1"/>
                        </w14:solidFill>
                      </w14:textFill>
                    </w:rPr>
                    <w:t>。其他产尘环节颗粒物浓度不高于10mg/m</w:t>
                  </w:r>
                  <w:r>
                    <w:rPr>
                      <w:rFonts w:hint="default" w:ascii="Times New Roman" w:hAnsi="Times New Roman" w:cs="Times New Roman"/>
                      <w:bCs/>
                      <w:color w:val="000000" w:themeColor="text1"/>
                      <w:sz w:val="21"/>
                      <w:szCs w:val="21"/>
                      <w:vertAlign w:val="superscript"/>
                      <w:lang w:bidi="ar"/>
                      <w14:textFill>
                        <w14:solidFill>
                          <w14:schemeClr w14:val="tx1"/>
                        </w14:solidFill>
                      </w14:textFill>
                    </w:rPr>
                    <w:t>3</w:t>
                  </w:r>
                  <w:r>
                    <w:rPr>
                      <w:rFonts w:hint="default" w:ascii="Times New Roman" w:hAnsi="Times New Roman" w:cs="Times New Roman"/>
                      <w:bCs/>
                      <w:color w:val="000000" w:themeColor="text1"/>
                      <w:sz w:val="21"/>
                      <w:szCs w:val="21"/>
                      <w:lang w:bidi="ar"/>
                      <w14:textFill>
                        <w14:solidFill>
                          <w14:schemeClr w14:val="tx1"/>
                        </w14:solidFill>
                      </w14:textFill>
                    </w:rPr>
                    <w:t>。</w:t>
                  </w:r>
                </w:p>
                <w:p w14:paraId="6395D361">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8.无组织排放控制措施。全面加强物料储存、输送、协同处置及生产工艺过程无组织排放控制，以及厂区及周边环境综合整治。在保障生产安全的前提下，采取密闭、封闭等措施，有效提高废气收集率，产尘点及车间不得有可见烟粉尘外逸协同处置垃圾或固体废物相关区域不得有明显恶臭异味。广区无裸露地面，除绿化带外均应硬化，无散状物料露天堆放，厂区及周边道路无积尘。生产设施、管道通廊、料棚及生产车间外部定期清理，做到物见本色。</w:t>
                  </w:r>
                </w:p>
                <w:p w14:paraId="47F9B2BB">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9.强化工业企业排水监管。严格排水许可管理，对纳入城镇污水处理厂处理的工业废水应进行风险评估，经评估认定为污染物不能被污水处理厂有效处理，或可能影响污水处理厂出水稳定达标的纳管企业的废水依法限期退出污水管网，退出前向城镇污水处理厂排放的工业废水水质需达到行业特别排放限值或《污水综合排放标准》（DB14</w:t>
                  </w:r>
                  <w:r>
                    <w:rPr>
                      <w:rFonts w:hint="default" w:ascii="Times New Roman" w:hAnsi="Times New Roman" w:cs="Times New Roman"/>
                      <w:bCs/>
                      <w:color w:val="000000" w:themeColor="text1"/>
                      <w:sz w:val="21"/>
                      <w:szCs w:val="21"/>
                      <w:lang w:val="en-US" w:eastAsia="zh-CN" w:bidi="ar"/>
                      <w14:textFill>
                        <w14:solidFill>
                          <w14:schemeClr w14:val="tx1"/>
                        </w14:solidFill>
                      </w14:textFill>
                    </w:rPr>
                    <w:t>/</w:t>
                  </w:r>
                  <w:r>
                    <w:rPr>
                      <w:rFonts w:hint="default" w:ascii="Times New Roman" w:hAnsi="Times New Roman" w:cs="Times New Roman"/>
                      <w:bCs/>
                      <w:color w:val="000000" w:themeColor="text1"/>
                      <w:sz w:val="21"/>
                      <w:szCs w:val="21"/>
                      <w:lang w:bidi="ar"/>
                      <w14:textFill>
                        <w14:solidFill>
                          <w14:schemeClr w14:val="tx1"/>
                        </w14:solidFill>
                      </w14:textFill>
                    </w:rPr>
                    <w:t>1928－2019）要求。</w:t>
                  </w:r>
                </w:p>
                <w:p w14:paraId="5DCE82ED">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10.加快推进焦化、水泥行业超低排放改造。按照省定时限，完成沁县华安焦化、沁源县沁新焦化和明源焦化3家焦化企业和潞州区红旗水泥和科保水泥、上党区陶清河水泥和三元王庄华泰、壶关县红旗水泥、屯留区瑞昌水泥6家水泥粉磨站超低排放改造工程建设。已完成超低排放改造的企业要加快实施监测评估。鼓励焦化、水泥企业提前完成超低排放改造。启动焦化行业干法熄焦工艺升级改造，把全干法熄焦作为焦化行业的准入条件，全市所有“上大关小”新建焦炉要全部配套建设常用、备用干熄焦装置；现有5.5米及以上焦炉配套建设常用干熄焦装置，具备条件的要配套建设备用干熄焦装置；列入淘汰计划的4.3米焦炉，不再实施干熄焦改造；在资金和政策上对干熄焦改造项目给予重点支持，对未按期完成干熄焦改造的焦化企业实施更为严格的差异化错峰生产、重污染天气应急减排措施。</w:t>
                  </w:r>
                </w:p>
                <w:p w14:paraId="60886C12">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11.严格控制涉重金属企业污染物排放。依法依规将符合条件的排放镉等有毒有害大气、水污染物的企业纳入重点排污单位名录。严格落实《涉镉等重金属排放企业颗粒物自动监控设施建设工作方案》，按要求完成建设任务并与生态环境部门联网。鼓励涉重金属企业实施清洁生产改造，进一步减少污染物排放。</w:t>
                  </w:r>
                </w:p>
                <w:p w14:paraId="42A33A6B">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12.全面实施重点行业超低排放和深度治理。全面完成水泥行业超低排放改造,加快推进钢铁、焦化行业超超低排放改造,开展有组织、无组织及清洁运输等环节全过程、高标准、系统化整治</w:t>
                  </w:r>
                  <w:r>
                    <w:rPr>
                      <w:rFonts w:hint="default" w:ascii="Times New Roman" w:hAnsi="Times New Roman" w:cs="Times New Roman"/>
                      <w:bCs/>
                      <w:color w:val="000000" w:themeColor="text1"/>
                      <w:sz w:val="21"/>
                      <w:szCs w:val="21"/>
                      <w:lang w:eastAsia="zh-CN" w:bidi="ar"/>
                      <w14:textFill>
                        <w14:solidFill>
                          <w14:schemeClr w14:val="tx1"/>
                        </w14:solidFill>
                      </w14:textFill>
                    </w:rPr>
                    <w:t>，</w:t>
                  </w:r>
                  <w:r>
                    <w:rPr>
                      <w:rFonts w:hint="default" w:ascii="Times New Roman" w:hAnsi="Times New Roman" w:cs="Times New Roman"/>
                      <w:bCs/>
                      <w:color w:val="000000" w:themeColor="text1"/>
                      <w:sz w:val="21"/>
                      <w:szCs w:val="21"/>
                      <w:lang w:bidi="ar"/>
                      <w14:textFill>
                        <w14:solidFill>
                          <w14:schemeClr w14:val="tx1"/>
                        </w14:solidFill>
                      </w14:textFill>
                    </w:rPr>
                    <w:t>并建设完善无组织排放监控系统,推动现有焦化企业将现有备用湿熄焦改造为备用干熄焦,实现全干熄。加强工业炉窑深度治理,严格控制物料储存、输送及生产工艺过程无组织排放。加强煤炭等粉粒物料堆场扬尘控制。重点涉气排放企业取消烟气旁路</w:t>
                  </w:r>
                  <w:r>
                    <w:rPr>
                      <w:rFonts w:hint="default" w:ascii="Times New Roman" w:hAnsi="Times New Roman" w:cs="Times New Roman"/>
                      <w:bCs/>
                      <w:color w:val="000000" w:themeColor="text1"/>
                      <w:sz w:val="21"/>
                      <w:szCs w:val="21"/>
                      <w:lang w:eastAsia="zh-CN" w:bidi="ar"/>
                      <w14:textFill>
                        <w14:solidFill>
                          <w14:schemeClr w14:val="tx1"/>
                        </w14:solidFill>
                      </w14:textFill>
                    </w:rPr>
                    <w:t>，</w:t>
                  </w:r>
                  <w:r>
                    <w:rPr>
                      <w:rFonts w:hint="default" w:ascii="Times New Roman" w:hAnsi="Times New Roman" w:cs="Times New Roman"/>
                      <w:bCs/>
                      <w:color w:val="000000" w:themeColor="text1"/>
                      <w:sz w:val="21"/>
                      <w:szCs w:val="21"/>
                      <w:lang w:bidi="ar"/>
                      <w14:textFill>
                        <w14:solidFill>
                          <w14:schemeClr w14:val="tx1"/>
                        </w14:solidFill>
                      </w14:textFill>
                    </w:rPr>
                    <w:t>因安全生产无法取消的</w:t>
                  </w:r>
                  <w:r>
                    <w:rPr>
                      <w:rFonts w:hint="default" w:ascii="Times New Roman" w:hAnsi="Times New Roman" w:cs="Times New Roman"/>
                      <w:bCs/>
                      <w:color w:val="000000" w:themeColor="text1"/>
                      <w:sz w:val="21"/>
                      <w:szCs w:val="21"/>
                      <w:lang w:eastAsia="zh-CN" w:bidi="ar"/>
                      <w14:textFill>
                        <w14:solidFill>
                          <w14:schemeClr w14:val="tx1"/>
                        </w14:solidFill>
                      </w14:textFill>
                    </w:rPr>
                    <w:t>，</w:t>
                  </w:r>
                  <w:r>
                    <w:rPr>
                      <w:rFonts w:hint="default" w:ascii="Times New Roman" w:hAnsi="Times New Roman" w:cs="Times New Roman"/>
                      <w:bCs/>
                      <w:color w:val="000000" w:themeColor="text1"/>
                      <w:sz w:val="21"/>
                      <w:szCs w:val="21"/>
                      <w:lang w:bidi="ar"/>
                      <w14:textFill>
                        <w14:solidFill>
                          <w14:schemeClr w14:val="tx1"/>
                        </w14:solidFill>
                      </w14:textFill>
                    </w:rPr>
                    <w:t>安装在线监管系统。以能源、钢铁、焦化、建材、有色、化工、工业涂装、包装印刷等行业为重点</w:t>
                  </w:r>
                  <w:r>
                    <w:rPr>
                      <w:rFonts w:hint="default" w:ascii="Times New Roman" w:hAnsi="Times New Roman" w:cs="Times New Roman"/>
                      <w:bCs/>
                      <w:color w:val="000000" w:themeColor="text1"/>
                      <w:sz w:val="21"/>
                      <w:szCs w:val="21"/>
                      <w:lang w:eastAsia="zh-CN" w:bidi="ar"/>
                      <w14:textFill>
                        <w14:solidFill>
                          <w14:schemeClr w14:val="tx1"/>
                        </w14:solidFill>
                      </w14:textFill>
                    </w:rPr>
                    <w:t>，</w:t>
                  </w:r>
                  <w:r>
                    <w:rPr>
                      <w:rFonts w:hint="default" w:ascii="Times New Roman" w:hAnsi="Times New Roman" w:cs="Times New Roman"/>
                      <w:bCs/>
                      <w:color w:val="000000" w:themeColor="text1"/>
                      <w:sz w:val="21"/>
                      <w:szCs w:val="21"/>
                      <w:lang w:bidi="ar"/>
                      <w14:textFill>
                        <w14:solidFill>
                          <w14:schemeClr w14:val="tx1"/>
                        </w14:solidFill>
                      </w14:textFill>
                    </w:rPr>
                    <w:t>实施强制性清洁生产审核。加强挥发性有机物全过程综合治理。大力推动低(无)挥发性有机物原辅料生产和替代</w:t>
                  </w:r>
                  <w:r>
                    <w:rPr>
                      <w:rFonts w:hint="default" w:ascii="Times New Roman" w:hAnsi="Times New Roman" w:cs="Times New Roman"/>
                      <w:bCs/>
                      <w:color w:val="000000" w:themeColor="text1"/>
                      <w:sz w:val="21"/>
                      <w:szCs w:val="21"/>
                      <w:lang w:eastAsia="zh-CN" w:bidi="ar"/>
                      <w14:textFill>
                        <w14:solidFill>
                          <w14:schemeClr w14:val="tx1"/>
                        </w14:solidFill>
                      </w14:textFill>
                    </w:rPr>
                    <w:t>，</w:t>
                  </w:r>
                  <w:r>
                    <w:rPr>
                      <w:rFonts w:hint="default" w:ascii="Times New Roman" w:hAnsi="Times New Roman" w:cs="Times New Roman"/>
                      <w:bCs/>
                      <w:color w:val="000000" w:themeColor="text1"/>
                      <w:sz w:val="21"/>
                      <w:szCs w:val="21"/>
                      <w:lang w:bidi="ar"/>
                      <w14:textFill>
                        <w14:solidFill>
                          <w14:schemeClr w14:val="tx1"/>
                        </w14:solidFill>
                      </w14:textFill>
                    </w:rPr>
                    <w:t>积极引导企业生产和使用低(无)挥发性有机物的产品</w:t>
                  </w:r>
                  <w:r>
                    <w:rPr>
                      <w:rFonts w:hint="default" w:ascii="Times New Roman" w:hAnsi="Times New Roman" w:cs="Times New Roman"/>
                      <w:bCs/>
                      <w:color w:val="000000" w:themeColor="text1"/>
                      <w:sz w:val="21"/>
                      <w:szCs w:val="21"/>
                      <w:lang w:eastAsia="zh-CN" w:bidi="ar"/>
                      <w14:textFill>
                        <w14:solidFill>
                          <w14:schemeClr w14:val="tx1"/>
                        </w14:solidFill>
                      </w14:textFill>
                    </w:rPr>
                    <w:t>，</w:t>
                  </w:r>
                  <w:r>
                    <w:rPr>
                      <w:rFonts w:hint="default" w:ascii="Times New Roman" w:hAnsi="Times New Roman" w:cs="Times New Roman"/>
                      <w:bCs/>
                      <w:color w:val="000000" w:themeColor="text1"/>
                      <w:sz w:val="21"/>
                      <w:szCs w:val="21"/>
                      <w:lang w:bidi="ar"/>
                      <w14:textFill>
                        <w14:solidFill>
                          <w14:schemeClr w14:val="tx1"/>
                        </w14:solidFill>
                      </w14:textFill>
                    </w:rPr>
                    <w:t>有效减少挥发性有机物产生。深入推进炼焦、化工、表面涂装、印刷、储油库、加油站、汽修和餐饮油烟挥发性有机物综合整治。推进工业园区和企业集群建设涉挥发性有机物“绿岛”项目,统筹规划建设集中涂装中心、活性炭集中处理中心、溶剂回收中心等。</w:t>
                  </w:r>
                </w:p>
                <w:p w14:paraId="4040F3C3">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13.排污单位应当建立大气环境保护责任制度，明确相关责任及责任人，并按照有关规定设置大气污染物排放口及其标志。重点排污单位应当安装、使用大气污染物排放自动监测设备，与生态环境主管部门的监控设备联网，保证监测设备正常运行。重点排污单位应当如实向社会公开其主要污染物的名称、排放方式、排放浓度和总量、超标排放情况，以及防治污染设施的建设和运行情况，接受社会监督。禁止侵占、损毁或者擅自移动、改变大气环境质量监测设施和大气污染物排放自动监测设备。</w:t>
                  </w:r>
                </w:p>
                <w:p w14:paraId="5B7C246F">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14.钢铁、石油、有色金属、电力、焦化、建材、化工等企业生产过程中排放粉尘、硫化物和氮氧化物的，应当采用清洁生产工艺，配套建设除尘、脱硫、脱硝等装置，或者采取技术改造等其他控制大气污染物排放的措施。</w:t>
                  </w:r>
                </w:p>
                <w:p w14:paraId="2D72E442">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15.产生含挥发性有机物废气的生产和服务活动，应当在密闭空间或者设备中进行，并按照规定安装、使用污染防治设施；无法密闭的，应当采取措施减少废气排放。工业涂装企业应当使用低挥发性有机物含量的涂料，并建立台账，记录生产原料、辅料的使用量、废弃量、去向以及挥发性有机物含量。台账保存期限不得少于三年。</w:t>
                  </w:r>
                </w:p>
                <w:p w14:paraId="55634090">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16.排污单位和其他生产经营者，应当保持大气污染物防治设施的正常使用。工业企业大气污染物防治设施因检修暂停使用的，应当提前五个工作日书面报告当地人民政府生态环境主管部门;因突发故障不能正常使用的，应当采取措施确保排放达标，不能达标的，应当停产，并在二十四小时内向当地人民政府生态环境主管部门书面报告。工业企业大气污染物防治设施修复前，不得恢复生产。</w:t>
                  </w:r>
                </w:p>
                <w:p w14:paraId="701C27F1">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17.非道路移动机械所有人或者使用人应当遵守下列规定：</w:t>
                  </w:r>
                </w:p>
                <w:p w14:paraId="42ED66A7">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一）非道路移动机械的所有人应当在新增非道路移动机械的三十日内向所在地县（区）人民政府生态环境主管部门报送非道路移动机械的名称、类别、数量、污染物排放等数据和资料，农用非道路移动机械的名称、类别、数量、污染物排放等数据和资料由所有人所在地人民政府农机管理主管部门每季度末向县（区）人民政府生态环境主管部门集中申报；</w:t>
                  </w:r>
                </w:p>
                <w:p w14:paraId="16187694">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二）对超标排放且经维修或者采用排放控制技术后仍不达标的机械，应当停止使用工业企业、施工单位、货运企业、城市环境卫生管理单位等拥有非道路移动机械的单位和个人，不得使用非道路移动机械从事道路运输业务。</w:t>
                  </w:r>
                </w:p>
                <w:p w14:paraId="3381CF70">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18.储油储气库、加油加气站及油罐车、气罐车应当安装油气回收设施并保持正常运行，按照国家有关规定向市、县（区）人民政府生态环境主管部门报送油气排放检测报告。</w:t>
                  </w:r>
                </w:p>
                <w:p w14:paraId="4860CED9">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19.严格入河排污口整治。各县区政府负责具体整治工作，要按照“依法取缔一批、清理合并一批、规范整治一批”要求，遵循“问题导向、分类处置、属地负责、部门联动”的原则，强化截污治污，根据入河排污口清单和实际情况，逐一明确整治措施，设置整治期限，制定年度入河排污口整治方案，实行整治销号制度。通过对入河排污口进行取缔、合并、规范，最终形成需要保留的入河排污口清单。</w:t>
                  </w:r>
                </w:p>
                <w:p w14:paraId="391C1968">
                  <w:pPr>
                    <w:pStyle w:val="10"/>
                    <w:keepNext w:val="0"/>
                    <w:keepLines w:val="0"/>
                    <w:suppressLineNumbers w:val="0"/>
                    <w:spacing w:before="0" w:beforeAutospacing="0" w:after="0" w:afterAutospacing="0" w:line="240" w:lineRule="auto"/>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20.依法取缔一批。对违反法律法规规定，在饮用水水源保护区、泉域重点保护区、自然保护地、生态保护红线、永久基本农田及其他需要特殊保护区域内设置的入河排污口，由县区政府依法采取责令拆除、责令关闭等措施坚决取缔。对历史遗留问题要妥善处理，合理制定整治措施，避免“一刀切”。</w:t>
                  </w:r>
                </w:p>
                <w:p w14:paraId="5F3879E8">
                  <w:pPr>
                    <w:pStyle w:val="27"/>
                    <w:keepNext w:val="0"/>
                    <w:keepLines w:val="0"/>
                    <w:numPr>
                      <w:ilvl w:val="0"/>
                      <w:numId w:val="0"/>
                    </w:numPr>
                    <w:suppressLineNumbers w:val="0"/>
                    <w:snapToGrid w:val="0"/>
                    <w:spacing w:before="0" w:beforeAutospacing="0" w:after="0" w:afterAutospacing="0"/>
                    <w:ind w:left="0" w:leftChars="0" w:right="0" w:firstLine="0" w:firstLineChars="0"/>
                    <w:jc w:val="both"/>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21.清理合并一批。城镇污水收集管网覆盖范围内的生活污水散排口应由属地住建部门予以清理合并，生活污水全部收集进入污水处理厂处理。住建部门牵头开展城镇雨洪排口旱天污水直排的溯源治理，加大雨污分流改造和管网错混接改造力度。对工矿企业雨洪排口、城镇污水处理厂进水管网溢流口实行精准管理，加装在线视频监控系统，实施实时监控。建设出水口闸阀，实行汛期打开、非汛期关闭，并向属地生态环境部门备案。园区或开发区内企业现有入河排污口限期清理合并为一个排污口和一个雨洪排口，各工业企业废水治理达到行业排放标准后由园区或开发区污水集中处理设施统一处理。园区或开发区外的工矿企业，原则上一个企业只保留两个入河排污口（一个工矿企业排污口和一个雨洪排口），对于厂区较大或有多个厂区的，应尽可能清理合并，清理合并后仍确有必要保留其他工矿企业入河排污口的，应按照审核权限，全部完成入河排污口设置审核。农村生活污水散排口要先结合实际对污水进行收集处理，再对散排口分类整治。对于城镇周边的农村生活污水，鼓励纳入城镇污水处理系统；对于村庄人口少、污水日产生量小于500立方米的村庄，鼓励采用罐车收集转运；对于村庄人口较为集聚、污水日产生量大于500立方米的村庄，建设农村生活污水集中处理设施及配套管网，统一设置一个入河排污口。对于集中分布、连片聚集的中小型水产养殖散排口，鼓励统一收集处理养殖尾水，统一设置一个入河排污口。</w:t>
                  </w:r>
                </w:p>
              </w:tc>
              <w:tc>
                <w:tcPr>
                  <w:tcW w:w="954" w:type="pct"/>
                  <w:vAlign w:val="center"/>
                </w:tcPr>
                <w:p w14:paraId="04F95B3F">
                  <w:pPr>
                    <w:keepNext w:val="0"/>
                    <w:keepLines w:val="0"/>
                    <w:suppressLineNumbers w:val="0"/>
                    <w:spacing w:before="0" w:beforeAutospacing="0" w:after="0" w:afterAutospacing="0"/>
                    <w:ind w:left="0" w:right="0"/>
                    <w:jc w:val="both"/>
                    <w:rPr>
                      <w:rFonts w:hint="eastAsia" w:cs="宋体" w:eastAsiaTheme="minorEastAsia"/>
                      <w:bCs/>
                      <w:color w:val="000000" w:themeColor="text1"/>
                      <w:kern w:val="2"/>
                      <w:sz w:val="21"/>
                      <w:szCs w:val="21"/>
                      <w:highlight w:val="none"/>
                      <w:vertAlign w:val="baseline"/>
                      <w:lang w:val="en-US" w:eastAsia="zh-CN" w:bidi="ar"/>
                      <w14:textFill>
                        <w14:solidFill>
                          <w14:schemeClr w14:val="tx1"/>
                        </w14:solidFill>
                      </w14:textFill>
                    </w:rPr>
                  </w:pPr>
                  <w:r>
                    <w:rPr>
                      <w:rFonts w:hint="eastAsia" w:cs="宋体"/>
                      <w:bCs/>
                      <w:color w:val="000000" w:themeColor="text1"/>
                      <w:kern w:val="2"/>
                      <w:sz w:val="21"/>
                      <w:szCs w:val="21"/>
                      <w:highlight w:val="none"/>
                      <w:vertAlign w:val="baseline"/>
                      <w:lang w:val="en-US" w:eastAsia="zh-CN" w:bidi="ar"/>
                      <w14:textFill>
                        <w14:solidFill>
                          <w14:schemeClr w14:val="tx1"/>
                        </w14:solidFill>
                      </w14:textFill>
                    </w:rPr>
                    <w:t>1.本项目不涉及</w:t>
                  </w:r>
                  <w:r>
                    <w:rPr>
                      <w:rFonts w:hint="default" w:ascii="Times New Roman" w:hAnsi="Times New Roman" w:cs="Times New Roman"/>
                      <w:bCs/>
                      <w:color w:val="000000" w:themeColor="text1"/>
                      <w:sz w:val="21"/>
                      <w:szCs w:val="21"/>
                      <w:highlight w:val="none"/>
                      <w:lang w:bidi="ar"/>
                      <w14:textFill>
                        <w14:solidFill>
                          <w14:schemeClr w14:val="tx1"/>
                        </w14:solidFill>
                      </w14:textFill>
                    </w:rPr>
                    <w:t>黑臭水体</w:t>
                  </w:r>
                  <w:r>
                    <w:rPr>
                      <w:rFonts w:hint="eastAsia" w:ascii="Times New Roman" w:hAnsi="Times New Roman" w:cs="Times New Roman"/>
                      <w:bCs/>
                      <w:color w:val="000000" w:themeColor="text1"/>
                      <w:sz w:val="21"/>
                      <w:szCs w:val="21"/>
                      <w:highlight w:val="none"/>
                      <w:lang w:eastAsia="zh-CN" w:bidi="ar"/>
                      <w14:textFill>
                        <w14:solidFill>
                          <w14:schemeClr w14:val="tx1"/>
                        </w14:solidFill>
                      </w14:textFill>
                    </w:rPr>
                    <w:t>；</w:t>
                  </w:r>
                </w:p>
                <w:p w14:paraId="2857645E">
                  <w:pPr>
                    <w:pStyle w:val="17"/>
                    <w:keepNext w:val="0"/>
                    <w:keepLines w:val="0"/>
                    <w:suppressLineNumbers w:val="0"/>
                    <w:spacing w:before="0" w:beforeAutospacing="0" w:after="0" w:afterAutospacing="0"/>
                    <w:ind w:left="0" w:right="0"/>
                    <w:jc w:val="both"/>
                    <w:rPr>
                      <w:rFonts w:hint="eastAsia" w:cs="宋体"/>
                      <w:bCs/>
                      <w:color w:val="000000" w:themeColor="text1"/>
                      <w:kern w:val="2"/>
                      <w:sz w:val="21"/>
                      <w:szCs w:val="21"/>
                      <w:highlight w:val="none"/>
                      <w:vertAlign w:val="baseline"/>
                      <w:lang w:val="en-US" w:eastAsia="zh-CN" w:bidi="ar"/>
                      <w14:textFill>
                        <w14:solidFill>
                          <w14:schemeClr w14:val="tx1"/>
                        </w14:solidFill>
                      </w14:textFill>
                    </w:rPr>
                  </w:pPr>
                  <w:r>
                    <w:rPr>
                      <w:rFonts w:hint="eastAsia" w:cs="宋体"/>
                      <w:bCs/>
                      <w:color w:val="000000" w:themeColor="text1"/>
                      <w:kern w:val="2"/>
                      <w:sz w:val="21"/>
                      <w:szCs w:val="21"/>
                      <w:highlight w:val="none"/>
                      <w:vertAlign w:val="baseline"/>
                      <w:lang w:val="en-US" w:eastAsia="zh-CN" w:bidi="ar"/>
                      <w14:textFill>
                        <w14:solidFill>
                          <w14:schemeClr w14:val="tx1"/>
                        </w14:solidFill>
                      </w14:textFill>
                    </w:rPr>
                    <w:t>2.本项目不涉及；</w:t>
                  </w:r>
                </w:p>
                <w:p w14:paraId="6A1477D5">
                  <w:pPr>
                    <w:keepNext w:val="0"/>
                    <w:keepLines w:val="0"/>
                    <w:suppressLineNumbers w:val="0"/>
                    <w:spacing w:before="0" w:beforeAutospacing="0" w:after="0" w:afterAutospacing="0"/>
                    <w:ind w:left="0" w:right="0"/>
                    <w:jc w:val="both"/>
                    <w:rPr>
                      <w:rFonts w:hint="eastAsia" w:cs="宋体"/>
                      <w:bCs/>
                      <w:color w:val="000000" w:themeColor="text1"/>
                      <w:kern w:val="2"/>
                      <w:sz w:val="21"/>
                      <w:szCs w:val="21"/>
                      <w:highlight w:val="none"/>
                      <w:vertAlign w:val="baseline"/>
                      <w:lang w:val="en-US" w:eastAsia="zh-CN" w:bidi="ar"/>
                      <w14:textFill>
                        <w14:solidFill>
                          <w14:schemeClr w14:val="tx1"/>
                        </w14:solidFill>
                      </w14:textFill>
                    </w:rPr>
                  </w:pPr>
                  <w:r>
                    <w:rPr>
                      <w:rFonts w:hint="eastAsia" w:cs="宋体"/>
                      <w:bCs/>
                      <w:color w:val="000000" w:themeColor="text1"/>
                      <w:kern w:val="2"/>
                      <w:sz w:val="21"/>
                      <w:szCs w:val="21"/>
                      <w:highlight w:val="none"/>
                      <w:vertAlign w:val="baseline"/>
                      <w:lang w:val="en-US" w:eastAsia="zh-CN" w:bidi="ar"/>
                      <w14:textFill>
                        <w14:solidFill>
                          <w14:schemeClr w14:val="tx1"/>
                        </w14:solidFill>
                      </w14:textFill>
                    </w:rPr>
                    <w:t>3.本项目不涉及；</w:t>
                  </w:r>
                </w:p>
                <w:p w14:paraId="0DED7126">
                  <w:pPr>
                    <w:pStyle w:val="17"/>
                    <w:keepNext w:val="0"/>
                    <w:keepLines w:val="0"/>
                    <w:suppressLineNumbers w:val="0"/>
                    <w:spacing w:before="0" w:beforeAutospacing="0" w:after="0" w:afterAutospacing="0"/>
                    <w:ind w:left="0" w:right="0"/>
                    <w:jc w:val="both"/>
                    <w:rPr>
                      <w:rFonts w:hint="eastAsia" w:cs="宋体" w:eastAsiaTheme="minorEastAsia"/>
                      <w:bCs/>
                      <w:color w:val="000000" w:themeColor="text1"/>
                      <w:kern w:val="2"/>
                      <w:sz w:val="21"/>
                      <w:szCs w:val="21"/>
                      <w:highlight w:val="none"/>
                      <w:vertAlign w:val="baseline"/>
                      <w:lang w:val="en-US" w:eastAsia="zh-CN" w:bidi="ar"/>
                      <w14:textFill>
                        <w14:solidFill>
                          <w14:schemeClr w14:val="tx1"/>
                        </w14:solidFill>
                      </w14:textFill>
                    </w:rPr>
                  </w:pPr>
                  <w:r>
                    <w:rPr>
                      <w:rFonts w:hint="eastAsia" w:cs="宋体"/>
                      <w:bCs/>
                      <w:color w:val="000000" w:themeColor="text1"/>
                      <w:kern w:val="2"/>
                      <w:sz w:val="21"/>
                      <w:szCs w:val="21"/>
                      <w:highlight w:val="none"/>
                      <w:vertAlign w:val="baseline"/>
                      <w:lang w:val="en-US" w:eastAsia="zh-CN" w:bidi="ar"/>
                      <w14:textFill>
                        <w14:solidFill>
                          <w14:schemeClr w14:val="tx1"/>
                        </w14:solidFill>
                      </w14:textFill>
                    </w:rPr>
                    <w:t>4.本项目不涉及</w:t>
                  </w:r>
                  <w:r>
                    <w:rPr>
                      <w:rFonts w:hint="default" w:ascii="Times New Roman" w:hAnsi="Times New Roman" w:cs="Times New Roman"/>
                      <w:bCs/>
                      <w:color w:val="000000" w:themeColor="text1"/>
                      <w:sz w:val="21"/>
                      <w:szCs w:val="21"/>
                      <w:highlight w:val="none"/>
                      <w:lang w:bidi="ar"/>
                      <w14:textFill>
                        <w14:solidFill>
                          <w14:schemeClr w14:val="tx1"/>
                        </w14:solidFill>
                      </w14:textFill>
                    </w:rPr>
                    <w:t>工业废水深度治理</w:t>
                  </w:r>
                  <w:r>
                    <w:rPr>
                      <w:rFonts w:hint="eastAsia" w:ascii="Times New Roman" w:hAnsi="Times New Roman" w:cs="Times New Roman"/>
                      <w:bCs/>
                      <w:color w:val="000000" w:themeColor="text1"/>
                      <w:sz w:val="21"/>
                      <w:szCs w:val="21"/>
                      <w:highlight w:val="none"/>
                      <w:lang w:eastAsia="zh-CN" w:bidi="ar"/>
                      <w14:textFill>
                        <w14:solidFill>
                          <w14:schemeClr w14:val="tx1"/>
                        </w14:solidFill>
                      </w14:textFill>
                    </w:rPr>
                    <w:t>；</w:t>
                  </w:r>
                </w:p>
                <w:p w14:paraId="6CB78C72">
                  <w:pPr>
                    <w:keepNext w:val="0"/>
                    <w:keepLines w:val="0"/>
                    <w:suppressLineNumbers w:val="0"/>
                    <w:spacing w:before="0" w:beforeAutospacing="0" w:after="0" w:afterAutospacing="0"/>
                    <w:ind w:left="0" w:right="0"/>
                    <w:jc w:val="both"/>
                    <w:rPr>
                      <w:rFonts w:hint="default" w:cs="宋体"/>
                      <w:bCs/>
                      <w:color w:val="000000" w:themeColor="text1"/>
                      <w:kern w:val="2"/>
                      <w:sz w:val="21"/>
                      <w:szCs w:val="21"/>
                      <w:highlight w:val="none"/>
                      <w:vertAlign w:val="baseline"/>
                      <w:lang w:val="en-US" w:eastAsia="zh-CN" w:bidi="ar"/>
                      <w14:textFill>
                        <w14:solidFill>
                          <w14:schemeClr w14:val="tx1"/>
                        </w14:solidFill>
                      </w14:textFill>
                    </w:rPr>
                  </w:pPr>
                  <w:r>
                    <w:rPr>
                      <w:rFonts w:hint="eastAsia" w:cs="宋体"/>
                      <w:bCs/>
                      <w:color w:val="000000" w:themeColor="text1"/>
                      <w:kern w:val="2"/>
                      <w:sz w:val="21"/>
                      <w:szCs w:val="21"/>
                      <w:highlight w:val="none"/>
                      <w:vertAlign w:val="baseline"/>
                      <w:lang w:val="en-US" w:eastAsia="zh-CN" w:bidi="ar"/>
                      <w14:textFill>
                        <w14:solidFill>
                          <w14:schemeClr w14:val="tx1"/>
                        </w14:solidFill>
                      </w14:textFill>
                    </w:rPr>
                    <w:t>5.本项目不属于养殖类项目；</w:t>
                  </w:r>
                </w:p>
                <w:p w14:paraId="296EBFB6">
                  <w:pPr>
                    <w:pStyle w:val="17"/>
                    <w:keepNext w:val="0"/>
                    <w:keepLines w:val="0"/>
                    <w:suppressLineNumbers w:val="0"/>
                    <w:spacing w:before="0" w:beforeAutospacing="0" w:after="0" w:afterAutospacing="0"/>
                    <w:ind w:left="0" w:right="0"/>
                    <w:jc w:val="both"/>
                    <w:rPr>
                      <w:rFonts w:hint="eastAsia" w:cs="宋体" w:asciiTheme="minorHAnsi" w:hAnsiTheme="minorHAnsi" w:eastAsiaTheme="minorEastAsia"/>
                      <w:bCs/>
                      <w:color w:val="000000" w:themeColor="text1"/>
                      <w:kern w:val="2"/>
                      <w:sz w:val="21"/>
                      <w:szCs w:val="21"/>
                      <w:highlight w:val="none"/>
                      <w:vertAlign w:val="baseline"/>
                      <w:lang w:val="en-US" w:eastAsia="zh-CN" w:bidi="ar"/>
                      <w14:textFill>
                        <w14:solidFill>
                          <w14:schemeClr w14:val="tx1"/>
                        </w14:solidFill>
                      </w14:textFill>
                    </w:rPr>
                  </w:pPr>
                  <w:r>
                    <w:rPr>
                      <w:rFonts w:hint="eastAsia" w:cs="宋体" w:asciiTheme="minorHAnsi" w:hAnsiTheme="minorHAnsi" w:eastAsiaTheme="minorEastAsia"/>
                      <w:bCs/>
                      <w:color w:val="000000" w:themeColor="text1"/>
                      <w:kern w:val="2"/>
                      <w:sz w:val="21"/>
                      <w:szCs w:val="21"/>
                      <w:highlight w:val="none"/>
                      <w:vertAlign w:val="baseline"/>
                      <w:lang w:val="en-US" w:eastAsia="zh-CN" w:bidi="ar"/>
                      <w14:textFill>
                        <w14:solidFill>
                          <w14:schemeClr w14:val="tx1"/>
                        </w14:solidFill>
                      </w14:textFill>
                    </w:rPr>
                    <w:t>6.本项目不属于</w:t>
                  </w:r>
                  <w:r>
                    <w:rPr>
                      <w:rFonts w:hint="default" w:cs="宋体" w:asciiTheme="minorHAnsi" w:hAnsiTheme="minorHAnsi" w:eastAsiaTheme="minorEastAsia"/>
                      <w:bCs/>
                      <w:color w:val="000000" w:themeColor="text1"/>
                      <w:kern w:val="2"/>
                      <w:sz w:val="21"/>
                      <w:szCs w:val="21"/>
                      <w:highlight w:val="none"/>
                      <w:vertAlign w:val="baseline"/>
                      <w:lang w:val="en-US" w:eastAsia="zh-CN" w:bidi="ar"/>
                      <w14:textFill>
                        <w14:solidFill>
                          <w14:schemeClr w14:val="tx1"/>
                        </w14:solidFill>
                      </w14:textFill>
                    </w:rPr>
                    <w:t>餐饮服务业</w:t>
                  </w:r>
                  <w:r>
                    <w:rPr>
                      <w:rFonts w:hint="eastAsia" w:cs="宋体" w:asciiTheme="minorHAnsi" w:hAnsiTheme="minorHAnsi" w:eastAsiaTheme="minorEastAsia"/>
                      <w:bCs/>
                      <w:color w:val="000000" w:themeColor="text1"/>
                      <w:kern w:val="2"/>
                      <w:sz w:val="21"/>
                      <w:szCs w:val="21"/>
                      <w:highlight w:val="none"/>
                      <w:vertAlign w:val="baseline"/>
                      <w:lang w:val="en-US" w:eastAsia="zh-CN" w:bidi="ar"/>
                      <w14:textFill>
                        <w14:solidFill>
                          <w14:schemeClr w14:val="tx1"/>
                        </w14:solidFill>
                      </w14:textFill>
                    </w:rPr>
                    <w:t>；</w:t>
                  </w:r>
                </w:p>
                <w:p w14:paraId="2D67C36D">
                  <w:pPr>
                    <w:keepNext w:val="0"/>
                    <w:keepLines w:val="0"/>
                    <w:suppressLineNumbers w:val="0"/>
                    <w:spacing w:before="0" w:beforeAutospacing="0" w:after="0" w:afterAutospacing="0"/>
                    <w:ind w:left="0" w:right="0"/>
                    <w:jc w:val="both"/>
                    <w:rPr>
                      <w:rFonts w:hint="eastAsia" w:eastAsiaTheme="minorEastAsia"/>
                      <w:bCs/>
                      <w:color w:val="000000" w:themeColor="text1"/>
                      <w:sz w:val="21"/>
                      <w:szCs w:val="21"/>
                      <w:highlight w:val="none"/>
                      <w:vertAlign w:val="superscript"/>
                      <w:lang w:eastAsia="zh-CN" w:bidi="ar"/>
                      <w14:textFill>
                        <w14:solidFill>
                          <w14:schemeClr w14:val="tx1"/>
                        </w14:solidFill>
                      </w14:textFill>
                    </w:rPr>
                  </w:pPr>
                  <w:r>
                    <w:rPr>
                      <w:rFonts w:hint="eastAsia" w:cs="宋体"/>
                      <w:bCs/>
                      <w:color w:val="000000" w:themeColor="text1"/>
                      <w:kern w:val="2"/>
                      <w:sz w:val="21"/>
                      <w:szCs w:val="21"/>
                      <w:highlight w:val="none"/>
                      <w:vertAlign w:val="baseline"/>
                      <w:lang w:val="en-US" w:eastAsia="zh-CN" w:bidi="ar"/>
                      <w14:textFill>
                        <w14:solidFill>
                          <w14:schemeClr w14:val="tx1"/>
                        </w14:solidFill>
                      </w14:textFill>
                    </w:rPr>
                    <w:t>7.有组织颗粒物排放浓度≤10</w:t>
                  </w:r>
                  <w:r>
                    <w:rPr>
                      <w:rFonts w:hint="default"/>
                      <w:bCs/>
                      <w:color w:val="000000" w:themeColor="text1"/>
                      <w:sz w:val="21"/>
                      <w:szCs w:val="21"/>
                      <w:highlight w:val="none"/>
                      <w:lang w:bidi="ar"/>
                      <w14:textFill>
                        <w14:solidFill>
                          <w14:schemeClr w14:val="tx1"/>
                        </w14:solidFill>
                      </w14:textFill>
                    </w:rPr>
                    <w:t>mg/m</w:t>
                  </w:r>
                  <w:r>
                    <w:rPr>
                      <w:rFonts w:hint="default"/>
                      <w:bCs/>
                      <w:color w:val="000000" w:themeColor="text1"/>
                      <w:sz w:val="21"/>
                      <w:szCs w:val="21"/>
                      <w:highlight w:val="none"/>
                      <w:vertAlign w:val="superscript"/>
                      <w:lang w:bidi="ar"/>
                      <w14:textFill>
                        <w14:solidFill>
                          <w14:schemeClr w14:val="tx1"/>
                        </w14:solidFill>
                      </w14:textFill>
                    </w:rPr>
                    <w:t>3</w:t>
                  </w:r>
                  <w:r>
                    <w:rPr>
                      <w:rFonts w:hint="eastAsia"/>
                      <w:bCs/>
                      <w:color w:val="000000" w:themeColor="text1"/>
                      <w:sz w:val="21"/>
                      <w:szCs w:val="21"/>
                      <w:highlight w:val="none"/>
                      <w:vertAlign w:val="baseline"/>
                      <w:lang w:eastAsia="zh-CN" w:bidi="ar"/>
                      <w14:textFill>
                        <w14:solidFill>
                          <w14:schemeClr w14:val="tx1"/>
                        </w14:solidFill>
                      </w14:textFill>
                    </w:rPr>
                    <w:t>；</w:t>
                  </w:r>
                </w:p>
                <w:p w14:paraId="6E7B78A1">
                  <w:pPr>
                    <w:keepNext w:val="0"/>
                    <w:keepLines w:val="0"/>
                    <w:widowControl/>
                    <w:suppressLineNumbers w:val="0"/>
                    <w:spacing w:before="0" w:beforeAutospacing="0" w:after="0" w:afterAutospacing="0"/>
                    <w:ind w:left="0" w:right="0"/>
                    <w:jc w:val="both"/>
                    <w:rPr>
                      <w:rFonts w:hint="default"/>
                      <w:color w:val="000000" w:themeColor="text1"/>
                      <w:sz w:val="21"/>
                      <w:szCs w:val="21"/>
                      <w:highlight w:val="none"/>
                      <w14:textFill>
                        <w14:solidFill>
                          <w14:schemeClr w14:val="tx1"/>
                        </w14:solidFill>
                      </w14:textFill>
                    </w:rPr>
                  </w:pPr>
                  <w:r>
                    <w:rPr>
                      <w:rFonts w:hint="eastAsia"/>
                      <w:bCs/>
                      <w:color w:val="000000" w:themeColor="text1"/>
                      <w:sz w:val="21"/>
                      <w:szCs w:val="21"/>
                      <w:highlight w:val="none"/>
                      <w:vertAlign w:val="baseline"/>
                      <w:lang w:val="en-US" w:eastAsia="zh-CN" w:bidi="ar"/>
                      <w14:textFill>
                        <w14:solidFill>
                          <w14:schemeClr w14:val="tx1"/>
                        </w14:solidFill>
                      </w14:textFill>
                    </w:rPr>
                    <w:t>8.</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生产设备全部于生产车间内，物料储存于全封闭车间内，物料输送进行全封闭，厂区地面全部硬化，生产设施及生产车间外部定期进行清理；</w:t>
                  </w:r>
                </w:p>
                <w:p w14:paraId="26D01594">
                  <w:pPr>
                    <w:pStyle w:val="17"/>
                    <w:keepNext w:val="0"/>
                    <w:keepLines w:val="0"/>
                    <w:suppressLineNumbers w:val="0"/>
                    <w:spacing w:before="0" w:beforeAutospacing="0" w:after="0" w:afterAutospacing="0"/>
                    <w:ind w:left="0" w:right="0"/>
                    <w:jc w:val="both"/>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9.本项目废水不外排；</w:t>
                  </w:r>
                </w:p>
                <w:p w14:paraId="52E196A3">
                  <w:pPr>
                    <w:keepNext w:val="0"/>
                    <w:keepLines w:val="0"/>
                    <w:suppressLineNumbers w:val="0"/>
                    <w:spacing w:before="0" w:beforeAutospacing="0" w:after="0" w:afterAutospacing="0"/>
                    <w:ind w:left="0" w:right="0"/>
                    <w:jc w:val="both"/>
                    <w:rPr>
                      <w:rFonts w:hint="eastAsia" w:eastAsiaTheme="minor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10.本项目不属于</w:t>
                  </w:r>
                  <w:r>
                    <w:rPr>
                      <w:rFonts w:hint="default" w:ascii="Times New Roman" w:hAnsi="Times New Roman" w:cs="Times New Roman"/>
                      <w:bCs/>
                      <w:color w:val="000000" w:themeColor="text1"/>
                      <w:sz w:val="21"/>
                      <w:szCs w:val="21"/>
                      <w:highlight w:val="none"/>
                      <w:lang w:bidi="ar"/>
                      <w14:textFill>
                        <w14:solidFill>
                          <w14:schemeClr w14:val="tx1"/>
                        </w14:solidFill>
                      </w14:textFill>
                    </w:rPr>
                    <w:t>焦化、水泥行业</w:t>
                  </w:r>
                  <w:r>
                    <w:rPr>
                      <w:rFonts w:hint="eastAsia" w:ascii="Times New Roman" w:hAnsi="Times New Roman" w:cs="Times New Roman"/>
                      <w:bCs/>
                      <w:color w:val="000000" w:themeColor="text1"/>
                      <w:sz w:val="21"/>
                      <w:szCs w:val="21"/>
                      <w:highlight w:val="none"/>
                      <w:lang w:eastAsia="zh-CN" w:bidi="ar"/>
                      <w14:textFill>
                        <w14:solidFill>
                          <w14:schemeClr w14:val="tx1"/>
                        </w14:solidFill>
                      </w14:textFill>
                    </w:rPr>
                    <w:t>；</w:t>
                  </w:r>
                </w:p>
                <w:p w14:paraId="61E57DAE">
                  <w:pPr>
                    <w:pStyle w:val="17"/>
                    <w:keepNext w:val="0"/>
                    <w:keepLines w:val="0"/>
                    <w:suppressLineNumbers w:val="0"/>
                    <w:spacing w:before="0" w:beforeAutospacing="0" w:after="0" w:afterAutospacing="0"/>
                    <w:ind w:left="0" w:right="0"/>
                    <w:jc w:val="both"/>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t>11.本项目不涉及</w:t>
                  </w:r>
                  <w:r>
                    <w:rPr>
                      <w:rFonts w:hint="default" w:ascii="Times New Roman" w:hAnsi="Times New Roman" w:cs="Times New Roman"/>
                      <w:bCs/>
                      <w:color w:val="000000" w:themeColor="text1"/>
                      <w:sz w:val="21"/>
                      <w:szCs w:val="21"/>
                      <w:highlight w:val="none"/>
                      <w:lang w:bidi="ar"/>
                      <w14:textFill>
                        <w14:solidFill>
                          <w14:schemeClr w14:val="tx1"/>
                        </w14:solidFill>
                      </w14:textFill>
                    </w:rPr>
                    <w:t>涉重金属企业污染物排放</w:t>
                  </w:r>
                  <w:r>
                    <w:rPr>
                      <w:rFonts w:hint="eastAsia" w:ascii="Times New Roman" w:hAnsi="Times New Roman" w:cs="Times New Roman"/>
                      <w:bCs/>
                      <w:color w:val="000000" w:themeColor="text1"/>
                      <w:sz w:val="21"/>
                      <w:szCs w:val="21"/>
                      <w:highlight w:val="none"/>
                      <w:lang w:eastAsia="zh-CN" w:bidi="ar"/>
                      <w14:textFill>
                        <w14:solidFill>
                          <w14:schemeClr w14:val="tx1"/>
                        </w14:solidFill>
                      </w14:textFill>
                    </w:rPr>
                    <w:t>；</w:t>
                  </w:r>
                </w:p>
                <w:p w14:paraId="3F88A3A9">
                  <w:pPr>
                    <w:pStyle w:val="17"/>
                    <w:keepNext w:val="0"/>
                    <w:keepLines w:val="0"/>
                    <w:suppressLineNumbers w:val="0"/>
                    <w:spacing w:before="0" w:beforeAutospacing="0" w:after="0" w:afterAutospacing="0"/>
                    <w:ind w:left="0" w:right="0"/>
                    <w:jc w:val="both"/>
                    <w:rPr>
                      <w:rFonts w:hint="default" w:ascii="Times New Roman" w:hAnsi="Times New Roman" w:cs="Times New Roman"/>
                      <w:bCs/>
                      <w:color w:val="000000" w:themeColor="text1"/>
                      <w:sz w:val="21"/>
                      <w:szCs w:val="21"/>
                      <w:highlight w:val="none"/>
                      <w:lang w:val="en-US" w:eastAsia="zh-CN" w:bidi="ar"/>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t>12.不涉及</w:t>
                  </w:r>
                  <w:r>
                    <w:rPr>
                      <w:rFonts w:hint="default" w:ascii="Times New Roman" w:hAnsi="Times New Roman" w:cs="Times New Roman"/>
                      <w:bCs/>
                      <w:color w:val="000000" w:themeColor="text1"/>
                      <w:sz w:val="21"/>
                      <w:szCs w:val="21"/>
                      <w:highlight w:val="none"/>
                      <w:lang w:bidi="ar"/>
                      <w14:textFill>
                        <w14:solidFill>
                          <w14:schemeClr w14:val="tx1"/>
                        </w14:solidFill>
                      </w14:textFill>
                    </w:rPr>
                    <w:t>水泥行业</w:t>
                  </w:r>
                  <w:r>
                    <w:rPr>
                      <w:rFonts w:hint="eastAsia" w:ascii="Times New Roman" w:hAnsi="Times New Roman" w:cs="Times New Roman"/>
                      <w:bCs/>
                      <w:color w:val="000000" w:themeColor="text1"/>
                      <w:sz w:val="21"/>
                      <w:szCs w:val="21"/>
                      <w:highlight w:val="none"/>
                      <w:lang w:eastAsia="zh-CN" w:bidi="ar"/>
                      <w14:textFill>
                        <w14:solidFill>
                          <w14:schemeClr w14:val="tx1"/>
                        </w14:solidFill>
                      </w14:textFill>
                    </w:rPr>
                    <w:t>、</w:t>
                  </w:r>
                  <w:r>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t>钢铁焦化等重点行业；</w:t>
                  </w:r>
                </w:p>
                <w:p w14:paraId="08F44471">
                  <w:pPr>
                    <w:pStyle w:val="17"/>
                    <w:keepNext w:val="0"/>
                    <w:keepLines w:val="0"/>
                    <w:suppressLineNumbers w:val="0"/>
                    <w:spacing w:before="0" w:beforeAutospacing="0" w:after="0" w:afterAutospacing="0"/>
                    <w:ind w:left="0" w:right="0"/>
                    <w:jc w:val="both"/>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t>13.严格按照规定建立大气环境保护责任制度，明确相关责任及责任人，设置大气污染物排放口及其标志；</w:t>
                  </w:r>
                </w:p>
                <w:p w14:paraId="53EA3818">
                  <w:pPr>
                    <w:pStyle w:val="17"/>
                    <w:keepNext w:val="0"/>
                    <w:keepLines w:val="0"/>
                    <w:suppressLineNumbers w:val="0"/>
                    <w:spacing w:before="0" w:beforeAutospacing="0" w:after="0" w:afterAutospacing="0"/>
                    <w:ind w:left="0" w:right="0"/>
                    <w:jc w:val="both"/>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t>14.本项目不涉及</w:t>
                  </w:r>
                  <w:r>
                    <w:rPr>
                      <w:rFonts w:hint="default" w:ascii="Times New Roman" w:hAnsi="Times New Roman" w:cs="Times New Roman"/>
                      <w:bCs/>
                      <w:color w:val="000000" w:themeColor="text1"/>
                      <w:sz w:val="21"/>
                      <w:szCs w:val="21"/>
                      <w:highlight w:val="none"/>
                      <w:lang w:bidi="ar"/>
                      <w14:textFill>
                        <w14:solidFill>
                          <w14:schemeClr w14:val="tx1"/>
                        </w14:solidFill>
                      </w14:textFill>
                    </w:rPr>
                    <w:t>钢铁、石油、有色金属、电力、焦化、建材、化工等</w:t>
                  </w:r>
                  <w:r>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t>行业；</w:t>
                  </w:r>
                </w:p>
                <w:p w14:paraId="19DE9CE9">
                  <w:pPr>
                    <w:pStyle w:val="17"/>
                    <w:keepNext w:val="0"/>
                    <w:keepLines w:val="0"/>
                    <w:suppressLineNumbers w:val="0"/>
                    <w:spacing w:before="0" w:beforeAutospacing="0" w:after="0" w:afterAutospacing="0"/>
                    <w:ind w:left="0" w:right="0"/>
                    <w:jc w:val="both"/>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t>15.本项目不涉及</w:t>
                  </w:r>
                  <w:r>
                    <w:rPr>
                      <w:rFonts w:hint="default" w:ascii="Times New Roman" w:hAnsi="Times New Roman" w:cs="Times New Roman"/>
                      <w:bCs/>
                      <w:color w:val="000000" w:themeColor="text1"/>
                      <w:sz w:val="21"/>
                      <w:szCs w:val="21"/>
                      <w:highlight w:val="none"/>
                      <w:lang w:val="en-US" w:eastAsia="zh-CN" w:bidi="ar"/>
                      <w14:textFill>
                        <w14:solidFill>
                          <w14:schemeClr w14:val="tx1"/>
                        </w14:solidFill>
                      </w14:textFill>
                    </w:rPr>
                    <w:t>挥发性有机物</w:t>
                  </w:r>
                  <w:r>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t>废气；</w:t>
                  </w:r>
                </w:p>
                <w:p w14:paraId="50BD6C06">
                  <w:pPr>
                    <w:pStyle w:val="17"/>
                    <w:keepNext w:val="0"/>
                    <w:keepLines w:val="0"/>
                    <w:suppressLineNumbers w:val="0"/>
                    <w:spacing w:before="0" w:beforeAutospacing="0" w:after="0" w:afterAutospacing="0"/>
                    <w:ind w:left="0" w:right="0"/>
                    <w:jc w:val="both"/>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t>16.要求企业加强大气污染物防治设施的维护管理；</w:t>
                  </w:r>
                </w:p>
                <w:p w14:paraId="756D4196">
                  <w:pPr>
                    <w:pStyle w:val="17"/>
                    <w:keepNext w:val="0"/>
                    <w:keepLines w:val="0"/>
                    <w:suppressLineNumbers w:val="0"/>
                    <w:spacing w:before="0" w:beforeAutospacing="0" w:after="0" w:afterAutospacing="0"/>
                    <w:ind w:left="0" w:right="0"/>
                    <w:jc w:val="both"/>
                    <w:rPr>
                      <w:rFonts w:hint="default" w:ascii="Times New Roman" w:hAnsi="Times New Roman" w:cs="Times New Roman"/>
                      <w:bCs/>
                      <w:color w:val="000000" w:themeColor="text1"/>
                      <w:sz w:val="21"/>
                      <w:szCs w:val="21"/>
                      <w:highlight w:val="none"/>
                      <w:lang w:val="en-US" w:eastAsia="zh-CN" w:bidi="ar"/>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bidi="ar"/>
                      <w14:textFill>
                        <w14:solidFill>
                          <w14:schemeClr w14:val="tx1"/>
                        </w14:solidFill>
                      </w14:textFill>
                    </w:rPr>
                    <w:t>17.</w:t>
                  </w:r>
                  <w:r>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t>本项目</w:t>
                  </w:r>
                  <w:r>
                    <w:rPr>
                      <w:rFonts w:hint="default" w:ascii="Times New Roman" w:hAnsi="Times New Roman" w:cs="Times New Roman"/>
                      <w:bCs/>
                      <w:color w:val="000000" w:themeColor="text1"/>
                      <w:sz w:val="21"/>
                      <w:szCs w:val="21"/>
                      <w:highlight w:val="none"/>
                      <w:lang w:val="en-US" w:eastAsia="zh-CN" w:bidi="ar"/>
                      <w14:textFill>
                        <w14:solidFill>
                          <w14:schemeClr w14:val="tx1"/>
                        </w14:solidFill>
                      </w14:textFill>
                    </w:rPr>
                    <w:t>非道路移动机械</w:t>
                  </w:r>
                  <w:r>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t>严格执行相关规定；</w:t>
                  </w:r>
                </w:p>
                <w:p w14:paraId="5FF216CD">
                  <w:pPr>
                    <w:keepNext w:val="0"/>
                    <w:keepLines w:val="0"/>
                    <w:widowControl/>
                    <w:suppressLineNumbers w:val="0"/>
                    <w:spacing w:before="0" w:beforeAutospacing="0" w:after="0" w:afterAutospacing="0"/>
                    <w:ind w:left="0" w:right="0"/>
                    <w:jc w:val="both"/>
                    <w:rPr>
                      <w:rFonts w:hint="eastAsia" w:ascii="Times New Roman" w:hAnsi="Times New Roman" w:cs="Times New Roman" w:eastAsiaTheme="minorEastAsia"/>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highlight w:val="none"/>
                      <w:lang w:val="en-US" w:eastAsia="zh-CN" w:bidi="ar"/>
                      <w14:textFill>
                        <w14:solidFill>
                          <w14:schemeClr w14:val="tx1"/>
                        </w14:solidFill>
                      </w14:textFill>
                    </w:rPr>
                    <w:t>18</w:t>
                  </w:r>
                  <w:r>
                    <w:rPr>
                      <w:rFonts w:hint="eastAsia" w:ascii="Times New Roman" w:hAnsi="Times New Roman" w:cs="Times New Roman" w:eastAsiaTheme="minorEastAsia"/>
                      <w:bCs/>
                      <w:color w:val="000000" w:themeColor="text1"/>
                      <w:kern w:val="0"/>
                      <w:sz w:val="21"/>
                      <w:szCs w:val="21"/>
                      <w:highlight w:val="none"/>
                      <w:lang w:val="en-US" w:eastAsia="zh-CN" w:bidi="ar"/>
                      <w14:textFill>
                        <w14:solidFill>
                          <w14:schemeClr w14:val="tx1"/>
                        </w14:solidFill>
                      </w14:textFill>
                    </w:rPr>
                    <w:t>.本项目不涉及</w:t>
                  </w:r>
                  <w:r>
                    <w:rPr>
                      <w:rFonts w:hint="default" w:ascii="Times New Roman" w:hAnsi="Times New Roman" w:cs="Times New Roman" w:eastAsiaTheme="minorEastAsia"/>
                      <w:bCs/>
                      <w:color w:val="000000" w:themeColor="text1"/>
                      <w:kern w:val="0"/>
                      <w:sz w:val="21"/>
                      <w:szCs w:val="21"/>
                      <w:highlight w:val="none"/>
                      <w:lang w:val="en-US" w:eastAsia="zh-CN" w:bidi="ar"/>
                      <w14:textFill>
                        <w14:solidFill>
                          <w14:schemeClr w14:val="tx1"/>
                        </w14:solidFill>
                      </w14:textFill>
                    </w:rPr>
                    <w:t>油气回收设施</w:t>
                  </w:r>
                  <w:r>
                    <w:rPr>
                      <w:rFonts w:hint="eastAsia" w:ascii="Times New Roman" w:hAnsi="Times New Roman" w:cs="Times New Roman" w:eastAsiaTheme="minorEastAsia"/>
                      <w:bCs/>
                      <w:color w:val="000000" w:themeColor="text1"/>
                      <w:kern w:val="0"/>
                      <w:sz w:val="21"/>
                      <w:szCs w:val="21"/>
                      <w:highlight w:val="none"/>
                      <w:lang w:val="en-US" w:eastAsia="zh-CN" w:bidi="ar"/>
                      <w14:textFill>
                        <w14:solidFill>
                          <w14:schemeClr w14:val="tx1"/>
                        </w14:solidFill>
                      </w14:textFill>
                    </w:rPr>
                    <w:t>；</w:t>
                  </w:r>
                </w:p>
                <w:p w14:paraId="1446DB40">
                  <w:pPr>
                    <w:keepNext w:val="0"/>
                    <w:keepLines w:val="0"/>
                    <w:widowControl/>
                    <w:suppressLineNumbers w:val="0"/>
                    <w:spacing w:before="0" w:beforeAutospacing="0" w:after="0" w:afterAutospacing="0"/>
                    <w:ind w:left="0" w:right="0"/>
                    <w:jc w:val="both"/>
                    <w:rPr>
                      <w:rFonts w:hint="default"/>
                      <w:color w:val="000000" w:themeColor="text1"/>
                      <w:sz w:val="21"/>
                      <w:szCs w:val="21"/>
                      <w:highlight w:val="yellow"/>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19</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-21</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不涉及</w:t>
                  </w:r>
                  <w:r>
                    <w:rPr>
                      <w:rFonts w:hint="default" w:ascii="Times New Roman" w:hAnsi="Times New Roman" w:cs="Times New Roman"/>
                      <w:bCs/>
                      <w:color w:val="000000" w:themeColor="text1"/>
                      <w:sz w:val="21"/>
                      <w:szCs w:val="21"/>
                      <w:highlight w:val="none"/>
                      <w:lang w:bidi="ar"/>
                      <w14:textFill>
                        <w14:solidFill>
                          <w14:schemeClr w14:val="tx1"/>
                        </w14:solidFill>
                      </w14:textFill>
                    </w:rPr>
                    <w:t>入河排污口</w:t>
                  </w:r>
                  <w:r>
                    <w:rPr>
                      <w:rFonts w:hint="eastAsia" w:cs="Times New Roman"/>
                      <w:bCs/>
                      <w:color w:val="000000" w:themeColor="text1"/>
                      <w:sz w:val="21"/>
                      <w:szCs w:val="21"/>
                      <w:highlight w:val="none"/>
                      <w:lang w:eastAsia="zh-CN" w:bidi="ar"/>
                      <w14:textFill>
                        <w14:solidFill>
                          <w14:schemeClr w14:val="tx1"/>
                        </w14:solidFill>
                      </w14:textFill>
                    </w:rPr>
                    <w:t>。</w:t>
                  </w:r>
                </w:p>
              </w:tc>
              <w:tc>
                <w:tcPr>
                  <w:tcW w:w="481" w:type="pct"/>
                  <w:vAlign w:val="center"/>
                </w:tcPr>
                <w:p w14:paraId="6DC1BE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eastAsia" w:cs="宋体"/>
                      <w:bCs/>
                      <w:color w:val="000000" w:themeColor="text1"/>
                      <w:kern w:val="2"/>
                      <w:sz w:val="21"/>
                      <w:szCs w:val="21"/>
                      <w:vertAlign w:val="baseline"/>
                      <w:lang w:val="en-US" w:eastAsia="zh-CN" w:bidi="ar"/>
                      <w14:textFill>
                        <w14:solidFill>
                          <w14:schemeClr w14:val="tx1"/>
                        </w14:solidFill>
                      </w14:textFill>
                    </w:rPr>
                    <w:t>符合</w:t>
                  </w:r>
                </w:p>
              </w:tc>
            </w:tr>
            <w:tr w14:paraId="37EC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Align w:val="center"/>
                </w:tcPr>
                <w:p w14:paraId="14B0F4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环境风险防控</w:t>
                  </w:r>
                </w:p>
              </w:tc>
              <w:tc>
                <w:tcPr>
                  <w:tcW w:w="3142" w:type="pct"/>
                  <w:vAlign w:val="center"/>
                </w:tcPr>
                <w:p w14:paraId="1F8F1EFD">
                  <w:pPr>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1.加强河流水系整治。充分发挥“河长制”作用，持续开展河湖“清四乱”，组织实施妨碍河道行洪突出问题排查整治，全面清理河道内垃圾等废弃物。严禁在河道内开展清洗机械车辆、油桶等可能污染水体的作业，禁止在湖库内使用加油船，严控石油类物质漏洒，严禁在河道内放牧、倾倒畜禽粪污、生活垃圾、工业固废等。</w:t>
                  </w:r>
                </w:p>
                <w:p w14:paraId="3A9FA459">
                  <w:pPr>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2.强化入河排污口管控。实施入河排污口设置审核管理，强化入河排污口规范化管理。推动水环境精细化管控项目建设，全面提升入河排污口管理水平。深化入河排污口“查、测、溯、治”，实施“一口一策”，坚持分类治理，明确每个排污口整治措施和责任主体，按月组织入河排污口水质监测，对超标排放的排污口溯源整治，限期达标。</w:t>
                  </w:r>
                </w:p>
                <w:p w14:paraId="218823CB">
                  <w:pPr>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3.积极推进重污染企业退城搬迁。持续推进市区及县城建成区内及周边钢铁、焦化、水泥、化工等重污染企业搬迁改造或关停退出，进一步优化产业布局。对市区规划区内的重污染企业，实施更为严格的差异化错峰生产、重污染天气应急减排措施。</w:t>
                  </w:r>
                </w:p>
                <w:p w14:paraId="1BFA8170">
                  <w:pPr>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4.严格保护优先保护类耕地。加强农药等农业投入品质量监管，严厉打击向农田施用重金属不达标肥料等农业投入品的行为。在永久基本农田集中区域，严禁规划新建可能造成土壤污染的建设项目。依法将符合条件的优先保护类耕地划为永久基本农田，实行严格保护，确保其面积不减少、土壤环境质量不下降。对优先保护类耕地面积减少或土壤环境质量下降的县、区，进行预警提醒并依法采取环评限批等限制性措施。</w:t>
                  </w:r>
                </w:p>
                <w:p w14:paraId="787D5768">
                  <w:pPr>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5.巩固受污染耕地安全利用成效。制定全市受污染耕地安全利用年度计划。有安全利用类耕地的县、区，要结合当地主要作物品种和种植习惯，有针对性的制定并实施受污染耕地安全利用方案，落实品种替代、水肥调控、生理阻隔、土壤调理等安全利用技术措施，分区分类建立完善安全利用技术库和农作物种植推荐清单，巩固提高受污染耕地安全利用成效。</w:t>
                  </w:r>
                </w:p>
                <w:p w14:paraId="284FC53C">
                  <w:pPr>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6.加强严格管控类耕地风险管控。鼓励对严格管控类耕地按规定采取种植结构调整、轮作休耕等风险管控措施。加强粮食收储和流通环节监管，杜绝重金属超标粮食进入口粮市场。</w:t>
                  </w:r>
                </w:p>
                <w:p w14:paraId="67F5E930">
                  <w:pPr>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7.严格污染地块准入管理。从严管控农药、焦化、化工等行业中的重度污染地块规划用途，严禁规划学校、住宅等，鼓励用于拓展生态空间。从事土地开发利用活动，要因地制宜采取有效措施，确保建设用地符合土壤环境质量要求。对列入建设用地土壤污染风险管控和修复名录的地块，自然资源部门严禁作为“一住两公”用地，严禁办理土地收回、收购、土地供应以及改变土地用途等手续。用途拟变更为“一住两公”用地的所有地块，要严格落实土壤污染状况调查评估及治理修复制度，认真执行《长治市建设用地土壤环境联动监督管理实施细则（试行）》。依法开展土壤污染状况调查或风险评估而未开展或尚未完成的地块，以及未达到土壤污染风险评估报告确定的风险管控、修复目标的地块，不得开工建设与风险管控、修复无关的项目。探索“环境修复＋开发建设”模式。</w:t>
                  </w:r>
                </w:p>
                <w:p w14:paraId="6B1F26FE">
                  <w:pPr>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8.严格重点流域、区域产业空间布局。严禁浊漳南源、北源、干流等河流谷地，太行山旅游板块，以及人居环境敏感的区域布局重污染项目。严禁在漳泽湖生态保护与修复区域、城市(县城)规划区布局钢铁(不含短流程炼钢)、铸造(不含高端铸件)、水泥、有色等高污染项目，以及危险化学品贮存、处理处置等高风险项目，支持城市(县城)建成区及周边重污染企业搬迁改造，大力推进企业建设节能环保水平高的先进产能项目。发挥主要污染物总量约束引导作用，对环境质量超标地区严格落实主要污染物总量“倍量削减”要求。优先支持焦化、钢铁等重点产业向资源禀赋好、环境承载力强、大气扩散条件优、铁路运输便利的城镇下风向工业园区转移。</w:t>
                  </w:r>
                </w:p>
                <w:p w14:paraId="04743D95">
                  <w:pPr>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9.加强重点流域农业面源污染治理，积极推进流域内畜禽养殖粪污资源化利用；加强农业化肥农药施用管控，源头化肥农药减量增效，过程建设生态拦截沟，末端结合采煤沉陷区建设净化湿地，有效控制农业面源污染。</w:t>
                  </w:r>
                </w:p>
                <w:p w14:paraId="773C949B">
                  <w:pPr>
                    <w:pStyle w:val="27"/>
                    <w:keepNext w:val="0"/>
                    <w:keepLines w:val="0"/>
                    <w:numPr>
                      <w:ilvl w:val="0"/>
                      <w:numId w:val="0"/>
                    </w:numPr>
                    <w:suppressLineNumbers w:val="0"/>
                    <w:snapToGrid w:val="0"/>
                    <w:spacing w:before="0" w:beforeAutospacing="0" w:after="0" w:afterAutospacing="0"/>
                    <w:ind w:left="0" w:leftChars="0" w:right="0" w:firstLine="0" w:firstLineChars="0"/>
                    <w:jc w:val="both"/>
                    <w:rPr>
                      <w:rFonts w:hint="default" w:ascii="Times New Roman" w:hAnsi="Times New Roman" w:eastAsia="宋体" w:cs="Times New Roman"/>
                      <w:bCs/>
                      <w:color w:val="000000" w:themeColor="text1"/>
                      <w:kern w:val="2"/>
                      <w:sz w:val="21"/>
                      <w:szCs w:val="21"/>
                      <w:vertAlign w:val="baseline"/>
                      <w:lang w:val="en-US" w:eastAsia="zh-CN"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10.完善地下水污染源监测体系</w:t>
                  </w:r>
                  <w:r>
                    <w:rPr>
                      <w:rFonts w:hint="eastAsia" w:cs="Times New Roman"/>
                      <w:bCs/>
                      <w:color w:val="000000" w:themeColor="text1"/>
                      <w:sz w:val="21"/>
                      <w:szCs w:val="21"/>
                      <w:lang w:eastAsia="zh-CN" w:bidi="ar"/>
                      <w14:textFill>
                        <w14:solidFill>
                          <w14:schemeClr w14:val="tx1"/>
                        </w14:solidFill>
                      </w14:textFill>
                    </w:rPr>
                    <w:t>，</w:t>
                  </w:r>
                  <w:r>
                    <w:rPr>
                      <w:rFonts w:hint="default" w:ascii="Times New Roman" w:hAnsi="Times New Roman" w:cs="Times New Roman"/>
                      <w:bCs/>
                      <w:color w:val="000000" w:themeColor="text1"/>
                      <w:sz w:val="21"/>
                      <w:szCs w:val="21"/>
                      <w:lang w:bidi="ar"/>
                      <w14:textFill>
                        <w14:solidFill>
                          <w14:schemeClr w14:val="tx1"/>
                        </w14:solidFill>
                      </w14:textFill>
                    </w:rPr>
                    <w:t>到2023年底</w:t>
                  </w:r>
                  <w:r>
                    <w:rPr>
                      <w:rFonts w:hint="default" w:ascii="Times New Roman" w:hAnsi="Times New Roman" w:cs="Times New Roman"/>
                      <w:bCs/>
                      <w:color w:val="000000" w:themeColor="text1"/>
                      <w:sz w:val="21"/>
                      <w:szCs w:val="21"/>
                      <w:lang w:eastAsia="zh-CN" w:bidi="ar"/>
                      <w14:textFill>
                        <w14:solidFill>
                          <w14:schemeClr w14:val="tx1"/>
                        </w14:solidFill>
                      </w14:textFill>
                    </w:rPr>
                    <w:t>，</w:t>
                  </w:r>
                  <w:r>
                    <w:rPr>
                      <w:rFonts w:hint="default" w:ascii="Times New Roman" w:hAnsi="Times New Roman" w:cs="Times New Roman"/>
                      <w:bCs/>
                      <w:color w:val="000000" w:themeColor="text1"/>
                      <w:sz w:val="21"/>
                      <w:szCs w:val="21"/>
                      <w:lang w:bidi="ar"/>
                      <w14:textFill>
                        <w14:solidFill>
                          <w14:schemeClr w14:val="tx1"/>
                        </w14:solidFill>
                      </w14:textFill>
                    </w:rPr>
                    <w:t>化学品生产企业、危险废物处置场、垃圾填埋场等地下水重点污染源地下水环境监测井规范监测比例不低于70%。强化地下水污染风险防控</w:t>
                  </w:r>
                  <w:r>
                    <w:rPr>
                      <w:rFonts w:hint="eastAsia" w:cs="Times New Roman"/>
                      <w:bCs/>
                      <w:color w:val="000000" w:themeColor="text1"/>
                      <w:sz w:val="21"/>
                      <w:szCs w:val="21"/>
                      <w:lang w:eastAsia="zh-CN" w:bidi="ar"/>
                      <w14:textFill>
                        <w14:solidFill>
                          <w14:schemeClr w14:val="tx1"/>
                        </w14:solidFill>
                      </w14:textFill>
                    </w:rPr>
                    <w:t>，</w:t>
                  </w:r>
                  <w:r>
                    <w:rPr>
                      <w:rFonts w:hint="default" w:ascii="Times New Roman" w:hAnsi="Times New Roman" w:cs="Times New Roman"/>
                      <w:bCs/>
                      <w:color w:val="000000" w:themeColor="text1"/>
                      <w:sz w:val="21"/>
                      <w:szCs w:val="21"/>
                      <w:lang w:bidi="ar"/>
                      <w14:textFill>
                        <w14:solidFill>
                          <w14:schemeClr w14:val="tx1"/>
                        </w14:solidFill>
                      </w14:textFill>
                    </w:rPr>
                    <w:t>全面推进地下水污染调查、监测、评估、风险防控和修复等。建立生态环境、自然资源、水利等部门信息共享机制</w:t>
                  </w:r>
                  <w:r>
                    <w:rPr>
                      <w:rFonts w:hint="eastAsia" w:cs="Times New Roman"/>
                      <w:bCs/>
                      <w:color w:val="000000" w:themeColor="text1"/>
                      <w:sz w:val="21"/>
                      <w:szCs w:val="21"/>
                      <w:lang w:eastAsia="zh-CN" w:bidi="ar"/>
                      <w14:textFill>
                        <w14:solidFill>
                          <w14:schemeClr w14:val="tx1"/>
                        </w14:solidFill>
                      </w14:textFill>
                    </w:rPr>
                    <w:t>，</w:t>
                  </w:r>
                  <w:r>
                    <w:rPr>
                      <w:rFonts w:hint="default" w:ascii="Times New Roman" w:hAnsi="Times New Roman" w:cs="Times New Roman"/>
                      <w:bCs/>
                      <w:color w:val="000000" w:themeColor="text1"/>
                      <w:sz w:val="21"/>
                      <w:szCs w:val="21"/>
                      <w:lang w:bidi="ar"/>
                      <w14:textFill>
                        <w14:solidFill>
                          <w14:schemeClr w14:val="tx1"/>
                        </w14:solidFill>
                      </w14:textFill>
                    </w:rPr>
                    <w:t>推进地下水型饮用水水源保护区、地下水重点污染源、水文地质分区、地下水监测水位水质等地下水环境“一张图”管理。</w:t>
                  </w:r>
                </w:p>
              </w:tc>
              <w:tc>
                <w:tcPr>
                  <w:tcW w:w="954" w:type="pct"/>
                  <w:vAlign w:val="center"/>
                </w:tcPr>
                <w:p w14:paraId="786ADCA7">
                  <w:pPr>
                    <w:keepNext w:val="0"/>
                    <w:keepLines w:val="0"/>
                    <w:widowControl/>
                    <w:suppressLineNumbers w:val="0"/>
                    <w:spacing w:before="0" w:beforeAutospacing="0" w:after="0" w:afterAutospacing="0"/>
                    <w:ind w:left="0" w:right="0"/>
                    <w:jc w:val="both"/>
                    <w:rPr>
                      <w:rFonts w:hint="default"/>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不涉及废水排放；</w:t>
                  </w:r>
                </w:p>
                <w:p w14:paraId="32D4E05F">
                  <w:pPr>
                    <w:keepNext w:val="0"/>
                    <w:keepLines w:val="0"/>
                    <w:widowControl/>
                    <w:suppressLineNumbers w:val="0"/>
                    <w:spacing w:before="0" w:beforeAutospacing="0" w:after="0" w:afterAutospacing="0"/>
                    <w:ind w:left="0" w:right="0"/>
                    <w:jc w:val="both"/>
                    <w:rPr>
                      <w:rFonts w:hint="eastAsia"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不涉及</w:t>
                  </w:r>
                  <w:r>
                    <w:rPr>
                      <w:rFonts w:hint="default" w:ascii="Times New Roman" w:hAnsi="Times New Roman" w:cs="Times New Roman"/>
                      <w:bCs/>
                      <w:color w:val="000000" w:themeColor="text1"/>
                      <w:sz w:val="21"/>
                      <w:szCs w:val="21"/>
                      <w:highlight w:val="none"/>
                      <w:lang w:bidi="ar"/>
                      <w14:textFill>
                        <w14:solidFill>
                          <w14:schemeClr w14:val="tx1"/>
                        </w14:solidFill>
                      </w14:textFill>
                    </w:rPr>
                    <w:t>入河排污口管控</w:t>
                  </w:r>
                  <w:r>
                    <w:rPr>
                      <w:rFonts w:hint="eastAsia" w:ascii="Times New Roman" w:hAnsi="Times New Roman" w:cs="Times New Roman"/>
                      <w:bCs/>
                      <w:color w:val="000000" w:themeColor="text1"/>
                      <w:sz w:val="21"/>
                      <w:szCs w:val="21"/>
                      <w:highlight w:val="none"/>
                      <w:lang w:eastAsia="zh-CN" w:bidi="ar"/>
                      <w14:textFill>
                        <w14:solidFill>
                          <w14:schemeClr w14:val="tx1"/>
                        </w14:solidFill>
                      </w14:textFill>
                    </w:rPr>
                    <w:t>；</w:t>
                  </w:r>
                </w:p>
                <w:p w14:paraId="141776F7">
                  <w:pPr>
                    <w:keepNext w:val="0"/>
                    <w:keepLines w:val="0"/>
                    <w:widowControl/>
                    <w:suppressLineNumbers w:val="0"/>
                    <w:spacing w:before="0" w:beforeAutospacing="0" w:after="0" w:afterAutospacing="0"/>
                    <w:ind w:left="0" w:right="0"/>
                    <w:jc w:val="both"/>
                    <w:rPr>
                      <w:rFonts w:hint="eastAsia"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不属于</w:t>
                  </w:r>
                  <w:r>
                    <w:rPr>
                      <w:rFonts w:hint="default" w:ascii="Times New Roman" w:hAnsi="Times New Roman" w:cs="Times New Roman"/>
                      <w:bCs/>
                      <w:color w:val="000000" w:themeColor="text1"/>
                      <w:sz w:val="21"/>
                      <w:szCs w:val="21"/>
                      <w:highlight w:val="none"/>
                      <w:lang w:bidi="ar"/>
                      <w14:textFill>
                        <w14:solidFill>
                          <w14:schemeClr w14:val="tx1"/>
                        </w14:solidFill>
                      </w14:textFill>
                    </w:rPr>
                    <w:t>重污染企业</w:t>
                  </w:r>
                  <w:r>
                    <w:rPr>
                      <w:rFonts w:hint="eastAsia" w:ascii="Times New Roman" w:hAnsi="Times New Roman" w:cs="Times New Roman"/>
                      <w:bCs/>
                      <w:color w:val="000000" w:themeColor="text1"/>
                      <w:sz w:val="21"/>
                      <w:szCs w:val="21"/>
                      <w:highlight w:val="none"/>
                      <w:lang w:eastAsia="zh-CN" w:bidi="ar"/>
                      <w14:textFill>
                        <w14:solidFill>
                          <w14:schemeClr w14:val="tx1"/>
                        </w14:solidFill>
                      </w14:textFill>
                    </w:rPr>
                    <w:t>；</w:t>
                  </w:r>
                </w:p>
                <w:p w14:paraId="25102263">
                  <w:pPr>
                    <w:keepNext w:val="0"/>
                    <w:keepLines w:val="0"/>
                    <w:widowControl/>
                    <w:suppressLineNumbers w:val="0"/>
                    <w:spacing w:before="0" w:beforeAutospacing="0" w:after="0" w:afterAutospacing="0"/>
                    <w:ind w:left="0" w:right="0"/>
                    <w:jc w:val="both"/>
                    <w:rPr>
                      <w:rFonts w:hint="default" w:ascii="Times New Roman" w:hAnsi="Times New Roman" w:cs="Times New Roman"/>
                      <w:bCs/>
                      <w:color w:val="000000" w:themeColor="text1"/>
                      <w:sz w:val="21"/>
                      <w:szCs w:val="21"/>
                      <w:highlight w:val="none"/>
                      <w:lang w:val="en-US" w:bidi="ar"/>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bidi="ar"/>
                      <w14:textFill>
                        <w14:solidFill>
                          <w14:schemeClr w14:val="tx1"/>
                        </w14:solidFill>
                      </w14:textFill>
                    </w:rPr>
                    <w:t>4</w:t>
                  </w:r>
                  <w:r>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t>-6</w:t>
                  </w:r>
                  <w:r>
                    <w:rPr>
                      <w:rFonts w:hint="default" w:ascii="Times New Roman" w:hAnsi="Times New Roman" w:cs="Times New Roman"/>
                      <w:bCs/>
                      <w:color w:val="000000" w:themeColor="text1"/>
                      <w:sz w:val="21"/>
                      <w:szCs w:val="21"/>
                      <w:highlight w:val="none"/>
                      <w:lang w:val="en-US" w:eastAsia="zh-CN" w:bidi="ar"/>
                      <w14:textFill>
                        <w14:solidFill>
                          <w14:schemeClr w14:val="tx1"/>
                        </w14:solidFill>
                      </w14:textFill>
                    </w:rPr>
                    <w:t>.</w:t>
                  </w:r>
                  <w:r>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t>本项目占地不属于耕地；</w:t>
                  </w:r>
                </w:p>
                <w:p w14:paraId="539E23DC">
                  <w:pPr>
                    <w:keepNext w:val="0"/>
                    <w:keepLines w:val="0"/>
                    <w:widowControl/>
                    <w:suppressLineNumbers w:val="0"/>
                    <w:spacing w:before="0" w:beforeAutospacing="0" w:after="0" w:afterAutospacing="0"/>
                    <w:ind w:left="0" w:right="0"/>
                    <w:jc w:val="both"/>
                    <w:rPr>
                      <w:rFonts w:hint="eastAsia" w:ascii="Times New Roman" w:hAnsi="Times New Roman" w:cs="Times New Roman"/>
                      <w:bCs/>
                      <w:color w:val="000000" w:themeColor="text1"/>
                      <w:sz w:val="21"/>
                      <w:szCs w:val="21"/>
                      <w:highlight w:val="none"/>
                      <w:lang w:eastAsia="zh-CN" w:bidi="ar"/>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bidi="ar"/>
                      <w14:textFill>
                        <w14:solidFill>
                          <w14:schemeClr w14:val="tx1"/>
                        </w14:solidFill>
                      </w14:textFill>
                    </w:rPr>
                    <w:t>7.</w:t>
                  </w:r>
                  <w:r>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t>本项目不属于</w:t>
                  </w:r>
                  <w:r>
                    <w:rPr>
                      <w:rFonts w:hint="default" w:ascii="Times New Roman" w:hAnsi="Times New Roman" w:cs="Times New Roman"/>
                      <w:bCs/>
                      <w:color w:val="000000" w:themeColor="text1"/>
                      <w:sz w:val="21"/>
                      <w:szCs w:val="21"/>
                      <w:highlight w:val="none"/>
                      <w:lang w:bidi="ar"/>
                      <w14:textFill>
                        <w14:solidFill>
                          <w14:schemeClr w14:val="tx1"/>
                        </w14:solidFill>
                      </w14:textFill>
                    </w:rPr>
                    <w:t>农药、焦化、化工等行业中的重度污染地</w:t>
                  </w:r>
                  <w:r>
                    <w:rPr>
                      <w:rFonts w:hint="eastAsia" w:ascii="Times New Roman" w:hAnsi="Times New Roman" w:cs="Times New Roman"/>
                      <w:bCs/>
                      <w:color w:val="000000" w:themeColor="text1"/>
                      <w:sz w:val="21"/>
                      <w:szCs w:val="21"/>
                      <w:highlight w:val="none"/>
                      <w:lang w:eastAsia="zh-CN" w:bidi="ar"/>
                      <w14:textFill>
                        <w14:solidFill>
                          <w14:schemeClr w14:val="tx1"/>
                        </w14:solidFill>
                      </w14:textFill>
                    </w:rPr>
                    <w:t>；</w:t>
                  </w:r>
                </w:p>
                <w:p w14:paraId="065EBE29">
                  <w:pPr>
                    <w:keepNext w:val="0"/>
                    <w:keepLines w:val="0"/>
                    <w:widowControl/>
                    <w:suppressLineNumbers w:val="0"/>
                    <w:spacing w:before="0" w:beforeAutospacing="0" w:after="0" w:afterAutospacing="0"/>
                    <w:ind w:left="0" w:right="0"/>
                    <w:jc w:val="both"/>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bidi="ar"/>
                      <w14:textFill>
                        <w14:solidFill>
                          <w14:schemeClr w14:val="tx1"/>
                        </w14:solidFill>
                      </w14:textFill>
                    </w:rPr>
                    <w:t>8.</w:t>
                  </w:r>
                  <w:r>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t>本项目不属于</w:t>
                  </w:r>
                  <w:r>
                    <w:rPr>
                      <w:rFonts w:hint="default" w:ascii="Times New Roman" w:hAnsi="Times New Roman" w:cs="Times New Roman"/>
                      <w:bCs/>
                      <w:color w:val="000000" w:themeColor="text1"/>
                      <w:sz w:val="21"/>
                      <w:szCs w:val="21"/>
                      <w:highlight w:val="none"/>
                      <w:lang w:bidi="ar"/>
                      <w14:textFill>
                        <w14:solidFill>
                          <w14:schemeClr w14:val="tx1"/>
                        </w14:solidFill>
                      </w14:textFill>
                    </w:rPr>
                    <w:t>焦化、钢铁等</w:t>
                  </w:r>
                  <w:r>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t>行业；</w:t>
                  </w:r>
                </w:p>
                <w:p w14:paraId="1F5A4046">
                  <w:pPr>
                    <w:keepNext w:val="0"/>
                    <w:keepLines w:val="0"/>
                    <w:widowControl/>
                    <w:suppressLineNumbers w:val="0"/>
                    <w:spacing w:before="0" w:beforeAutospacing="0" w:after="0" w:afterAutospacing="0"/>
                    <w:ind w:left="0" w:right="0"/>
                    <w:jc w:val="both"/>
                    <w:rPr>
                      <w:rFonts w:hint="eastAsia" w:ascii="Times New Roman" w:hAnsi="Times New Roman" w:cs="Times New Roman"/>
                      <w:bCs/>
                      <w:color w:val="000000" w:themeColor="text1"/>
                      <w:sz w:val="21"/>
                      <w:szCs w:val="21"/>
                      <w:highlight w:val="none"/>
                      <w:lang w:eastAsia="zh-CN" w:bidi="ar"/>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bidi="ar"/>
                      <w14:textFill>
                        <w14:solidFill>
                          <w14:schemeClr w14:val="tx1"/>
                        </w14:solidFill>
                      </w14:textFill>
                    </w:rPr>
                    <w:t>9.</w:t>
                  </w:r>
                  <w:r>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t>本项目不涉及</w:t>
                  </w:r>
                  <w:r>
                    <w:rPr>
                      <w:rFonts w:hint="default" w:ascii="Times New Roman" w:hAnsi="Times New Roman" w:cs="Times New Roman"/>
                      <w:bCs/>
                      <w:color w:val="000000" w:themeColor="text1"/>
                      <w:sz w:val="21"/>
                      <w:szCs w:val="21"/>
                      <w:highlight w:val="none"/>
                      <w:lang w:bidi="ar"/>
                      <w14:textFill>
                        <w14:solidFill>
                          <w14:schemeClr w14:val="tx1"/>
                        </w14:solidFill>
                      </w14:textFill>
                    </w:rPr>
                    <w:t>农业面源污染治理</w:t>
                  </w:r>
                  <w:r>
                    <w:rPr>
                      <w:rFonts w:hint="eastAsia" w:ascii="Times New Roman" w:hAnsi="Times New Roman" w:cs="Times New Roman"/>
                      <w:bCs/>
                      <w:color w:val="000000" w:themeColor="text1"/>
                      <w:sz w:val="21"/>
                      <w:szCs w:val="21"/>
                      <w:highlight w:val="none"/>
                      <w:lang w:eastAsia="zh-CN" w:bidi="ar"/>
                      <w14:textFill>
                        <w14:solidFill>
                          <w14:schemeClr w14:val="tx1"/>
                        </w14:solidFill>
                      </w14:textFill>
                    </w:rPr>
                    <w:t>；</w:t>
                  </w:r>
                </w:p>
                <w:p w14:paraId="7131601A">
                  <w:pPr>
                    <w:keepNext w:val="0"/>
                    <w:keepLines w:val="0"/>
                    <w:widowControl/>
                    <w:suppressLineNumbers w:val="0"/>
                    <w:spacing w:before="0" w:beforeAutospacing="0" w:after="0" w:afterAutospacing="0"/>
                    <w:ind w:left="0" w:right="0"/>
                    <w:jc w:val="both"/>
                    <w:rPr>
                      <w:rFonts w:hint="eastAsia" w:ascii="Times New Roman" w:hAnsi="Times New Roman" w:eastAsia="宋体" w:cs="宋体"/>
                      <w:bCs/>
                      <w:color w:val="000000" w:themeColor="text1"/>
                      <w:kern w:val="2"/>
                      <w:sz w:val="21"/>
                      <w:szCs w:val="21"/>
                      <w:highlight w:val="yellow"/>
                      <w:vertAlign w:val="baseline"/>
                      <w:lang w:val="en-US" w:eastAsia="zh-CN" w:bidi="ar"/>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bidi="ar"/>
                      <w14:textFill>
                        <w14:solidFill>
                          <w14:schemeClr w14:val="tx1"/>
                        </w14:solidFill>
                      </w14:textFill>
                    </w:rPr>
                    <w:t>10.</w:t>
                  </w:r>
                  <w:r>
                    <w:rPr>
                      <w:rFonts w:hint="eastAsia" w:ascii="Times New Roman" w:hAnsi="Times New Roman" w:cs="Times New Roman"/>
                      <w:bCs/>
                      <w:color w:val="000000" w:themeColor="text1"/>
                      <w:sz w:val="21"/>
                      <w:szCs w:val="21"/>
                      <w:highlight w:val="none"/>
                      <w:lang w:val="en-US" w:eastAsia="zh-CN" w:bidi="ar"/>
                      <w14:textFill>
                        <w14:solidFill>
                          <w14:schemeClr w14:val="tx1"/>
                        </w14:solidFill>
                      </w14:textFill>
                    </w:rPr>
                    <w:t>本项目不涉及</w:t>
                  </w:r>
                  <w:r>
                    <w:rPr>
                      <w:rFonts w:hint="default" w:ascii="Times New Roman" w:hAnsi="Times New Roman" w:cs="Times New Roman"/>
                      <w:bCs/>
                      <w:color w:val="000000" w:themeColor="text1"/>
                      <w:sz w:val="21"/>
                      <w:szCs w:val="21"/>
                      <w:highlight w:val="none"/>
                      <w:lang w:bidi="ar"/>
                      <w14:textFill>
                        <w14:solidFill>
                          <w14:schemeClr w14:val="tx1"/>
                        </w14:solidFill>
                      </w14:textFill>
                    </w:rPr>
                    <w:t>地下水污染</w:t>
                  </w:r>
                  <w:r>
                    <w:rPr>
                      <w:rFonts w:hint="eastAsia" w:ascii="Times New Roman" w:hAnsi="Times New Roman" w:cs="Times New Roman"/>
                      <w:bCs/>
                      <w:color w:val="000000" w:themeColor="text1"/>
                      <w:sz w:val="21"/>
                      <w:szCs w:val="21"/>
                      <w:highlight w:val="none"/>
                      <w:lang w:eastAsia="zh-CN" w:bidi="ar"/>
                      <w14:textFill>
                        <w14:solidFill>
                          <w14:schemeClr w14:val="tx1"/>
                        </w14:solidFill>
                      </w14:textFill>
                    </w:rPr>
                    <w:t>。</w:t>
                  </w:r>
                </w:p>
              </w:tc>
              <w:tc>
                <w:tcPr>
                  <w:tcW w:w="481" w:type="pct"/>
                  <w:vAlign w:val="center"/>
                </w:tcPr>
                <w:p w14:paraId="76D6D9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eastAsia" w:cs="宋体"/>
                      <w:bCs/>
                      <w:color w:val="000000" w:themeColor="text1"/>
                      <w:kern w:val="2"/>
                      <w:sz w:val="21"/>
                      <w:szCs w:val="21"/>
                      <w:vertAlign w:val="baseline"/>
                      <w:lang w:val="en-US" w:eastAsia="zh-CN" w:bidi="ar"/>
                      <w14:textFill>
                        <w14:solidFill>
                          <w14:schemeClr w14:val="tx1"/>
                        </w14:solidFill>
                      </w14:textFill>
                    </w:rPr>
                    <w:t>符合</w:t>
                  </w:r>
                </w:p>
              </w:tc>
            </w:tr>
            <w:tr w14:paraId="1964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422" w:type="pct"/>
                  <w:vAlign w:val="center"/>
                </w:tcPr>
                <w:p w14:paraId="496161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highlight w:val="none"/>
                      <w14:textFill>
                        <w14:solidFill>
                          <w14:schemeClr w14:val="tx1"/>
                        </w14:solidFill>
                      </w14:textFill>
                    </w:rPr>
                    <w:t>资源利用效率</w:t>
                  </w:r>
                </w:p>
              </w:tc>
              <w:tc>
                <w:tcPr>
                  <w:tcW w:w="3142" w:type="pct"/>
                  <w:vAlign w:val="center"/>
                </w:tcPr>
                <w:p w14:paraId="4C563170">
                  <w:pPr>
                    <w:keepNext w:val="0"/>
                    <w:keepLines w:val="0"/>
                    <w:suppressLineNumbers w:val="0"/>
                    <w:spacing w:before="0" w:beforeAutospacing="0" w:after="0" w:afterAutospacing="0"/>
                    <w:ind w:left="0" w:right="0"/>
                    <w:rPr>
                      <w:rFonts w:hint="default"/>
                      <w:bCs/>
                      <w:color w:val="000000" w:themeColor="text1"/>
                      <w:sz w:val="21"/>
                      <w:szCs w:val="21"/>
                      <w:lang w:bidi="ar"/>
                      <w14:textFill>
                        <w14:solidFill>
                          <w14:schemeClr w14:val="tx1"/>
                        </w14:solidFill>
                      </w14:textFill>
                    </w:rPr>
                  </w:pPr>
                  <w:r>
                    <w:rPr>
                      <w:rFonts w:hint="default"/>
                      <w:bCs/>
                      <w:color w:val="000000" w:themeColor="text1"/>
                      <w:sz w:val="21"/>
                      <w:szCs w:val="21"/>
                      <w:lang w:bidi="ar"/>
                      <w14:textFill>
                        <w14:solidFill>
                          <w14:schemeClr w14:val="tx1"/>
                        </w14:solidFill>
                      </w14:textFill>
                    </w:rPr>
                    <w:t>1.保障河流生态流量。以浊漳河为重点，制定生态流量保障实施方案，将生态用水纳入水资源日常运行调度规程，落实《浊漳河生态调水方案》，保障河流生态流量。建立应对水污染事故应急补水机制。</w:t>
                  </w:r>
                </w:p>
                <w:p w14:paraId="6BEBF451">
                  <w:pPr>
                    <w:keepNext w:val="0"/>
                    <w:keepLines w:val="0"/>
                    <w:suppressLineNumbers w:val="0"/>
                    <w:spacing w:before="0" w:beforeAutospacing="0" w:after="0" w:afterAutospacing="0"/>
                    <w:ind w:left="0" w:right="0"/>
                    <w:rPr>
                      <w:rFonts w:hint="default"/>
                      <w:bCs/>
                      <w:color w:val="000000" w:themeColor="text1"/>
                      <w:sz w:val="21"/>
                      <w:szCs w:val="21"/>
                      <w:lang w:bidi="ar"/>
                      <w14:textFill>
                        <w14:solidFill>
                          <w14:schemeClr w14:val="tx1"/>
                        </w14:solidFill>
                      </w14:textFill>
                    </w:rPr>
                  </w:pPr>
                  <w:r>
                    <w:rPr>
                      <w:rFonts w:hint="default"/>
                      <w:bCs/>
                      <w:color w:val="000000" w:themeColor="text1"/>
                      <w:sz w:val="21"/>
                      <w:szCs w:val="21"/>
                      <w:lang w:bidi="ar"/>
                      <w14:textFill>
                        <w14:solidFill>
                          <w14:schemeClr w14:val="tx1"/>
                        </w14:solidFill>
                      </w14:textFill>
                    </w:rPr>
                    <w:t>2.推动再生水循环利用。提升城市再生水利用水平，完善再生水利用设施，拓宽再生水利用渠道。加快推进再生水利用工程，城市再生水优先用于工业生产、城市绿化、市政杂用和河湖景观用水，2023年城镇污水处理再生水利用率达到25</w:t>
                  </w:r>
                  <w:r>
                    <w:rPr>
                      <w:rFonts w:hint="eastAsia"/>
                      <w:bCs/>
                      <w:color w:val="000000" w:themeColor="text1"/>
                      <w:sz w:val="21"/>
                      <w:szCs w:val="21"/>
                      <w:lang w:val="en-US" w:eastAsia="zh-CN" w:bidi="ar"/>
                      <w14:textFill>
                        <w14:solidFill>
                          <w14:schemeClr w14:val="tx1"/>
                        </w14:solidFill>
                      </w14:textFill>
                    </w:rPr>
                    <w:t>%</w:t>
                  </w:r>
                  <w:r>
                    <w:rPr>
                      <w:rFonts w:hint="default"/>
                      <w:bCs/>
                      <w:color w:val="000000" w:themeColor="text1"/>
                      <w:sz w:val="21"/>
                      <w:szCs w:val="21"/>
                      <w:lang w:bidi="ar"/>
                      <w14:textFill>
                        <w14:solidFill>
                          <w14:schemeClr w14:val="tx1"/>
                        </w14:solidFill>
                      </w14:textFill>
                    </w:rPr>
                    <w:t>以上。</w:t>
                  </w:r>
                </w:p>
                <w:p w14:paraId="5603A30F">
                  <w:pPr>
                    <w:keepNext w:val="0"/>
                    <w:keepLines w:val="0"/>
                    <w:suppressLineNumbers w:val="0"/>
                    <w:spacing w:before="0" w:beforeAutospacing="0" w:after="0" w:afterAutospacing="0"/>
                    <w:ind w:left="0" w:right="0"/>
                    <w:rPr>
                      <w:rFonts w:hint="default"/>
                      <w:bCs/>
                      <w:color w:val="000000" w:themeColor="text1"/>
                      <w:sz w:val="21"/>
                      <w:szCs w:val="21"/>
                      <w:lang w:bidi="ar"/>
                      <w14:textFill>
                        <w14:solidFill>
                          <w14:schemeClr w14:val="tx1"/>
                        </w14:solidFill>
                      </w14:textFill>
                    </w:rPr>
                  </w:pPr>
                  <w:r>
                    <w:rPr>
                      <w:rFonts w:hint="default"/>
                      <w:bCs/>
                      <w:color w:val="000000" w:themeColor="text1"/>
                      <w:sz w:val="21"/>
                      <w:szCs w:val="21"/>
                      <w:lang w:bidi="ar"/>
                      <w14:textFill>
                        <w14:solidFill>
                          <w14:schemeClr w14:val="tx1"/>
                        </w14:solidFill>
                      </w14:textFill>
                    </w:rPr>
                    <w:t>3.提升饮用水水源保护水平。深化县级及以上集中式饮用水水源保护区规范化建设，2023年底前完成县级地表水型集中式饮用水水源保护区规范化建设。</w:t>
                  </w:r>
                </w:p>
                <w:p w14:paraId="01ABB53E">
                  <w:pPr>
                    <w:keepNext w:val="0"/>
                    <w:keepLines w:val="0"/>
                    <w:suppressLineNumbers w:val="0"/>
                    <w:spacing w:before="0" w:beforeAutospacing="0" w:after="0" w:afterAutospacing="0"/>
                    <w:ind w:left="0" w:right="0"/>
                    <w:rPr>
                      <w:rFonts w:hint="default"/>
                      <w:bCs/>
                      <w:color w:val="000000" w:themeColor="text1"/>
                      <w:sz w:val="21"/>
                      <w:szCs w:val="21"/>
                      <w:lang w:bidi="ar"/>
                      <w14:textFill>
                        <w14:solidFill>
                          <w14:schemeClr w14:val="tx1"/>
                        </w14:solidFill>
                      </w14:textFill>
                    </w:rPr>
                  </w:pPr>
                  <w:r>
                    <w:rPr>
                      <w:rFonts w:hint="default"/>
                      <w:bCs/>
                      <w:color w:val="000000" w:themeColor="text1"/>
                      <w:sz w:val="21"/>
                      <w:szCs w:val="21"/>
                      <w:lang w:bidi="ar"/>
                      <w14:textFill>
                        <w14:solidFill>
                          <w14:schemeClr w14:val="tx1"/>
                        </w14:solidFill>
                      </w14:textFill>
                    </w:rPr>
                    <w:t>4.推进海绵化城市建设。综合运用“渗、滞、蓄、净、用、排”等措施，充分发挥建筑、道路、绿地、水系等生态系统对雨水的吸纳、蓄渗和缓释作用，开展初期雨水收集处理，有效控制雨水径流，实现自然积存、自然渗透、自然净化。完成雨污分流改造，2023年完成164km城镇排水管网雨污分流改造任务。</w:t>
                  </w:r>
                </w:p>
                <w:p w14:paraId="71655509">
                  <w:pPr>
                    <w:keepNext w:val="0"/>
                    <w:keepLines w:val="0"/>
                    <w:suppressLineNumbers w:val="0"/>
                    <w:spacing w:before="0" w:beforeAutospacing="0" w:after="0" w:afterAutospacing="0"/>
                    <w:ind w:left="0" w:right="0"/>
                    <w:rPr>
                      <w:rFonts w:hint="default"/>
                      <w:bCs/>
                      <w:color w:val="000000" w:themeColor="text1"/>
                      <w:sz w:val="21"/>
                      <w:szCs w:val="21"/>
                      <w:lang w:bidi="ar"/>
                      <w14:textFill>
                        <w14:solidFill>
                          <w14:schemeClr w14:val="tx1"/>
                        </w14:solidFill>
                      </w14:textFill>
                    </w:rPr>
                  </w:pPr>
                  <w:r>
                    <w:rPr>
                      <w:rFonts w:hint="default"/>
                      <w:bCs/>
                      <w:color w:val="000000" w:themeColor="text1"/>
                      <w:sz w:val="21"/>
                      <w:szCs w:val="21"/>
                      <w:lang w:bidi="ar"/>
                      <w14:textFill>
                        <w14:solidFill>
                          <w14:schemeClr w14:val="tx1"/>
                        </w14:solidFill>
                      </w14:textFill>
                    </w:rPr>
                    <w:t>5.严格控制煤炭消费总量。严格落实耗煤项目煤炭减量替代措施，未落实减量替代的耗煤项目不予审批、核准、备案。大力发展新能源和清洁能源，不断提升非化石能源消费比重。严格控制燃煤机组新增装机规模，鼓励通过关停规模小、煤耗高、服役时间长、排放强度大的煤电机组，等容量替代建设支撑性煤电项目。支持自备燃煤（矸石）机组实施清洁能源替代，鼓励自备电厂转为公用电厂。</w:t>
                  </w:r>
                </w:p>
                <w:p w14:paraId="4F14F2E3">
                  <w:pPr>
                    <w:keepNext w:val="0"/>
                    <w:keepLines w:val="0"/>
                    <w:suppressLineNumbers w:val="0"/>
                    <w:spacing w:before="0" w:beforeAutospacing="0" w:after="0" w:afterAutospacing="0"/>
                    <w:ind w:left="0" w:right="0"/>
                    <w:rPr>
                      <w:rFonts w:hint="default"/>
                      <w:bCs/>
                      <w:color w:val="000000" w:themeColor="text1"/>
                      <w:sz w:val="21"/>
                      <w:szCs w:val="21"/>
                      <w:lang w:bidi="ar"/>
                      <w14:textFill>
                        <w14:solidFill>
                          <w14:schemeClr w14:val="tx1"/>
                        </w14:solidFill>
                      </w14:textFill>
                    </w:rPr>
                  </w:pPr>
                  <w:r>
                    <w:rPr>
                      <w:rFonts w:hint="default"/>
                      <w:bCs/>
                      <w:color w:val="000000" w:themeColor="text1"/>
                      <w:sz w:val="21"/>
                      <w:szCs w:val="21"/>
                      <w:lang w:bidi="ar"/>
                      <w14:textFill>
                        <w14:solidFill>
                          <w14:schemeClr w14:val="tx1"/>
                        </w14:solidFill>
                      </w14:textFill>
                    </w:rPr>
                    <w:t>6.推进传统产业绿色化改造。坚持高端化、智能化、绿色化发展方向，通过延链补链强链，进一步推动产业链耦合、循环式发展。严把高耗能、高排放项目准入关口，严格落实污染物排放削减要求，对不符合规定的项目坚决停批停建，坚决打破“两高”项目路径依赖。大力推动智能绿色安全开采和清洁高效深度利用，因地制宜推广充填开采、煤与瓦斯共采、井下洗选等绿色开采技术，鼓励原煤全部入选(洗)。鼓励高炉-转炉长流程钢铁企业转型为电炉短流程企业，推动落实《长治市钢铁产业布局意见》，推广清洁生产，加快以节能降耗为核心的技术改造，全面实现超低排放，吨钢综合能耗降至全国行业平均数值以下。开展煤电机组节能改造、供热改造和灵活性改造。加快推动4.3米焦炉淘汰，支持焦化行业通过压减产能、淘汰整合提质升级，推进焦炉煤气、煤焦油、粗苯高端利用，化产品精深加工高端发展，污染排放总量大幅下降。以试点示范为抓手，开展绿色园区、绿色工厂创建，培育绿色设计产品，打造绿色供应链，持续推进绿色制造体系建设。</w:t>
                  </w:r>
                </w:p>
                <w:p w14:paraId="7F3BCC1F">
                  <w:pPr>
                    <w:keepNext w:val="0"/>
                    <w:keepLines w:val="0"/>
                    <w:suppressLineNumbers w:val="0"/>
                    <w:spacing w:before="0" w:beforeAutospacing="0" w:after="0" w:afterAutospacing="0"/>
                    <w:ind w:left="0" w:right="0"/>
                    <w:rPr>
                      <w:rFonts w:hint="default"/>
                      <w:bCs/>
                      <w:color w:val="000000" w:themeColor="text1"/>
                      <w:sz w:val="21"/>
                      <w:szCs w:val="21"/>
                      <w:lang w:bidi="ar"/>
                      <w14:textFill>
                        <w14:solidFill>
                          <w14:schemeClr w14:val="tx1"/>
                        </w14:solidFill>
                      </w14:textFill>
                    </w:rPr>
                  </w:pPr>
                  <w:r>
                    <w:rPr>
                      <w:rFonts w:hint="default"/>
                      <w:bCs/>
                      <w:color w:val="000000" w:themeColor="text1"/>
                      <w:sz w:val="21"/>
                      <w:szCs w:val="21"/>
                      <w:lang w:bidi="ar"/>
                      <w14:textFill>
                        <w14:solidFill>
                          <w14:schemeClr w14:val="tx1"/>
                        </w14:solidFill>
                      </w14:textFill>
                    </w:rPr>
                    <w:t>7.到2025年，全市万元地区生产总值用水量下降15%，灌溉利用系数达到0.58以上。</w:t>
                  </w:r>
                </w:p>
                <w:p w14:paraId="08206ED4">
                  <w:pPr>
                    <w:keepNext w:val="0"/>
                    <w:keepLines w:val="0"/>
                    <w:suppressLineNumbers w:val="0"/>
                    <w:spacing w:before="0" w:beforeAutospacing="0" w:after="0" w:afterAutospacing="0"/>
                    <w:ind w:left="0" w:right="0"/>
                    <w:rPr>
                      <w:rFonts w:hint="default"/>
                      <w:bCs/>
                      <w:color w:val="000000" w:themeColor="text1"/>
                      <w:sz w:val="21"/>
                      <w:szCs w:val="21"/>
                      <w:lang w:bidi="ar"/>
                      <w14:textFill>
                        <w14:solidFill>
                          <w14:schemeClr w14:val="tx1"/>
                        </w14:solidFill>
                      </w14:textFill>
                    </w:rPr>
                  </w:pPr>
                  <w:r>
                    <w:rPr>
                      <w:rFonts w:hint="default"/>
                      <w:bCs/>
                      <w:color w:val="000000" w:themeColor="text1"/>
                      <w:sz w:val="21"/>
                      <w:szCs w:val="21"/>
                      <w:lang w:bidi="ar"/>
                      <w14:textFill>
                        <w14:solidFill>
                          <w14:schemeClr w14:val="tx1"/>
                        </w14:solidFill>
                      </w14:textFill>
                    </w:rPr>
                    <w:t>8.到2025年再生水利用率达到50%以上。</w:t>
                  </w:r>
                </w:p>
                <w:p w14:paraId="560BDCE1">
                  <w:pPr>
                    <w:keepNext w:val="0"/>
                    <w:keepLines w:val="0"/>
                    <w:suppressLineNumbers w:val="0"/>
                    <w:spacing w:before="0" w:beforeAutospacing="0" w:after="0" w:afterAutospacing="0"/>
                    <w:ind w:left="0" w:right="0"/>
                    <w:rPr>
                      <w:rFonts w:hint="default"/>
                      <w:bCs/>
                      <w:color w:val="000000" w:themeColor="text1"/>
                      <w:sz w:val="21"/>
                      <w:szCs w:val="21"/>
                      <w:lang w:bidi="ar"/>
                      <w14:textFill>
                        <w14:solidFill>
                          <w14:schemeClr w14:val="tx1"/>
                        </w14:solidFill>
                      </w14:textFill>
                    </w:rPr>
                  </w:pPr>
                  <w:r>
                    <w:rPr>
                      <w:rFonts w:hint="default"/>
                      <w:bCs/>
                      <w:color w:val="000000" w:themeColor="text1"/>
                      <w:sz w:val="21"/>
                      <w:szCs w:val="21"/>
                      <w:lang w:bidi="ar"/>
                      <w14:textFill>
                        <w14:solidFill>
                          <w14:schemeClr w14:val="tx1"/>
                        </w14:solidFill>
                      </w14:textFill>
                    </w:rPr>
                    <w:t>9.到2025年，农村生活污水治理率达到25%。</w:t>
                  </w:r>
                </w:p>
                <w:p w14:paraId="2A40D123">
                  <w:pPr>
                    <w:keepNext w:val="0"/>
                    <w:keepLines w:val="0"/>
                    <w:suppressLineNumbers w:val="0"/>
                    <w:spacing w:before="0" w:beforeAutospacing="0" w:after="0" w:afterAutospacing="0"/>
                    <w:ind w:left="0" w:right="0"/>
                    <w:rPr>
                      <w:rFonts w:hint="default"/>
                      <w:bCs/>
                      <w:color w:val="000000" w:themeColor="text1"/>
                      <w:sz w:val="21"/>
                      <w:szCs w:val="21"/>
                      <w:lang w:bidi="ar"/>
                      <w14:textFill>
                        <w14:solidFill>
                          <w14:schemeClr w14:val="tx1"/>
                        </w14:solidFill>
                      </w14:textFill>
                    </w:rPr>
                  </w:pPr>
                  <w:r>
                    <w:rPr>
                      <w:rFonts w:hint="default"/>
                      <w:bCs/>
                      <w:color w:val="000000" w:themeColor="text1"/>
                      <w:sz w:val="21"/>
                      <w:szCs w:val="21"/>
                      <w:lang w:bidi="ar"/>
                      <w14:textFill>
                        <w14:solidFill>
                          <w14:schemeClr w14:val="tx1"/>
                        </w14:solidFill>
                      </w14:textFill>
                    </w:rPr>
                    <w:t>10.到2025年，畜禽粪污综合利用率达到90%以上，规模养殖场粪污处理设施装备配套率达到100%。</w:t>
                  </w:r>
                </w:p>
                <w:p w14:paraId="23EE04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bCs/>
                      <w:color w:val="000000" w:themeColor="text1"/>
                      <w:sz w:val="21"/>
                      <w:szCs w:val="21"/>
                      <w:lang w:bidi="ar"/>
                      <w14:textFill>
                        <w14:solidFill>
                          <w14:schemeClr w14:val="tx1"/>
                        </w14:solidFill>
                      </w14:textFill>
                    </w:rPr>
                    <w:t>11.健全双控指标体系，强化水资源承载能力刚性约束。严格实行区域用水总量和强度控制。</w:t>
                  </w:r>
                </w:p>
              </w:tc>
              <w:tc>
                <w:tcPr>
                  <w:tcW w:w="954" w:type="pct"/>
                  <w:vAlign w:val="center"/>
                </w:tcPr>
                <w:p w14:paraId="13BE9330">
                  <w:pPr>
                    <w:keepNext w:val="0"/>
                    <w:keepLines w:val="0"/>
                    <w:widowControl/>
                    <w:suppressLineNumbers w:val="0"/>
                    <w:spacing w:before="0" w:beforeAutospacing="0" w:after="0" w:afterAutospacing="0"/>
                    <w:ind w:left="0" w:right="0"/>
                    <w:jc w:val="both"/>
                    <w:rPr>
                      <w:rFonts w:hint="default"/>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不涉及废水外排；</w:t>
                  </w:r>
                </w:p>
                <w:p w14:paraId="3A7B795C">
                  <w:pPr>
                    <w:keepNext w:val="0"/>
                    <w:keepLines w:val="0"/>
                    <w:widowControl/>
                    <w:suppressLineNumbers w:val="0"/>
                    <w:spacing w:before="0" w:beforeAutospacing="0" w:after="0" w:afterAutospacing="0"/>
                    <w:ind w:left="0" w:right="0"/>
                    <w:jc w:val="both"/>
                    <w:rPr>
                      <w:rFonts w:hint="eastAsia"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不涉及</w:t>
                  </w:r>
                  <w:r>
                    <w:rPr>
                      <w:rFonts w:hint="default"/>
                      <w:bCs/>
                      <w:color w:val="000000" w:themeColor="text1"/>
                      <w:sz w:val="21"/>
                      <w:szCs w:val="21"/>
                      <w:highlight w:val="none"/>
                      <w:lang w:bidi="ar"/>
                      <w14:textFill>
                        <w14:solidFill>
                          <w14:schemeClr w14:val="tx1"/>
                        </w14:solidFill>
                      </w14:textFill>
                    </w:rPr>
                    <w:t>再生水循环利用</w:t>
                  </w:r>
                  <w:r>
                    <w:rPr>
                      <w:rFonts w:hint="eastAsia"/>
                      <w:bCs/>
                      <w:color w:val="000000" w:themeColor="text1"/>
                      <w:sz w:val="21"/>
                      <w:szCs w:val="21"/>
                      <w:highlight w:val="none"/>
                      <w:lang w:eastAsia="zh-CN" w:bidi="ar"/>
                      <w14:textFill>
                        <w14:solidFill>
                          <w14:schemeClr w14:val="tx1"/>
                        </w14:solidFill>
                      </w14:textFill>
                    </w:rPr>
                    <w:t>；</w:t>
                  </w:r>
                </w:p>
                <w:p w14:paraId="4C06ED15">
                  <w:pPr>
                    <w:keepNext w:val="0"/>
                    <w:keepLines w:val="0"/>
                    <w:widowControl/>
                    <w:suppressLineNumbers w:val="0"/>
                    <w:spacing w:before="0" w:beforeAutospacing="0" w:after="0" w:afterAutospacing="0"/>
                    <w:ind w:left="0" w:right="0"/>
                    <w:jc w:val="both"/>
                    <w:rPr>
                      <w:rFonts w:hint="default"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本项目距离</w:t>
                  </w:r>
                  <w:r>
                    <w:rPr>
                      <w:rFonts w:hint="default"/>
                      <w:bCs/>
                      <w:color w:val="000000" w:themeColor="text1"/>
                      <w:sz w:val="21"/>
                      <w:szCs w:val="21"/>
                      <w:highlight w:val="none"/>
                      <w:lang w:bidi="ar"/>
                      <w14:textFill>
                        <w14:solidFill>
                          <w14:schemeClr w14:val="tx1"/>
                        </w14:solidFill>
                      </w14:textFill>
                    </w:rPr>
                    <w:t>饮用水水源</w:t>
                  </w:r>
                  <w:r>
                    <w:rPr>
                      <w:rFonts w:hint="eastAsia"/>
                      <w:bCs/>
                      <w:color w:val="000000" w:themeColor="text1"/>
                      <w:sz w:val="21"/>
                      <w:szCs w:val="21"/>
                      <w:highlight w:val="none"/>
                      <w:lang w:val="en-US" w:eastAsia="zh-CN" w:bidi="ar"/>
                      <w14:textFill>
                        <w14:solidFill>
                          <w14:schemeClr w14:val="tx1"/>
                        </w14:solidFill>
                      </w14:textFill>
                    </w:rPr>
                    <w:t>较远，废水不外排，</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对</w:t>
                  </w:r>
                  <w:r>
                    <w:rPr>
                      <w:rFonts w:hint="default"/>
                      <w:bCs/>
                      <w:color w:val="000000" w:themeColor="text1"/>
                      <w:sz w:val="21"/>
                      <w:szCs w:val="21"/>
                      <w:highlight w:val="none"/>
                      <w:lang w:bidi="ar"/>
                      <w14:textFill>
                        <w14:solidFill>
                          <w14:schemeClr w14:val="tx1"/>
                        </w14:solidFill>
                      </w14:textFill>
                    </w:rPr>
                    <w:t>集中式饮用水水源保护区</w:t>
                  </w:r>
                  <w:r>
                    <w:rPr>
                      <w:rFonts w:hint="eastAsia"/>
                      <w:bCs/>
                      <w:color w:val="000000" w:themeColor="text1"/>
                      <w:sz w:val="21"/>
                      <w:szCs w:val="21"/>
                      <w:highlight w:val="none"/>
                      <w:lang w:val="en-US" w:eastAsia="zh-CN" w:bidi="ar"/>
                      <w14:textFill>
                        <w14:solidFill>
                          <w14:schemeClr w14:val="tx1"/>
                        </w14:solidFill>
                      </w14:textFill>
                    </w:rPr>
                    <w:t>影响较小；</w:t>
                  </w:r>
                </w:p>
                <w:p w14:paraId="0082882D">
                  <w:pPr>
                    <w:keepNext w:val="0"/>
                    <w:keepLines w:val="0"/>
                    <w:widowControl/>
                    <w:suppressLineNumbers w:val="0"/>
                    <w:spacing w:before="0" w:beforeAutospacing="0" w:after="0" w:afterAutospacing="0"/>
                    <w:ind w:left="0" w:right="0"/>
                    <w:jc w:val="both"/>
                    <w:rPr>
                      <w:rFonts w:hint="default"/>
                      <w:bCs/>
                      <w:color w:val="000000" w:themeColor="text1"/>
                      <w:sz w:val="21"/>
                      <w:szCs w:val="21"/>
                      <w:highlight w:val="none"/>
                      <w:lang w:val="en-US" w:bidi="ar"/>
                      <w14:textFill>
                        <w14:solidFill>
                          <w14:schemeClr w14:val="tx1"/>
                        </w14:solidFill>
                      </w14:textFill>
                    </w:rPr>
                  </w:pPr>
                  <w:r>
                    <w:rPr>
                      <w:rFonts w:hint="default"/>
                      <w:bCs/>
                      <w:color w:val="000000" w:themeColor="text1"/>
                      <w:sz w:val="21"/>
                      <w:szCs w:val="21"/>
                      <w:highlight w:val="none"/>
                      <w:lang w:val="en-US" w:eastAsia="zh-CN" w:bidi="ar"/>
                      <w14:textFill>
                        <w14:solidFill>
                          <w14:schemeClr w14:val="tx1"/>
                        </w14:solidFill>
                      </w14:textFill>
                    </w:rPr>
                    <w:t>4.</w:t>
                  </w:r>
                  <w:r>
                    <w:rPr>
                      <w:rFonts w:hint="eastAsia"/>
                      <w:bCs/>
                      <w:color w:val="000000" w:themeColor="text1"/>
                      <w:sz w:val="21"/>
                      <w:szCs w:val="21"/>
                      <w:highlight w:val="none"/>
                      <w:lang w:val="en-US" w:eastAsia="zh-CN" w:bidi="ar"/>
                      <w14:textFill>
                        <w14:solidFill>
                          <w14:schemeClr w14:val="tx1"/>
                        </w14:solidFill>
                      </w14:textFill>
                    </w:rPr>
                    <w:t>本项目厂区内设有初期雨水收集池，收集到的雨水经沉淀后洒水抑尘；</w:t>
                  </w:r>
                </w:p>
                <w:p w14:paraId="4897D780">
                  <w:pPr>
                    <w:keepNext w:val="0"/>
                    <w:keepLines w:val="0"/>
                    <w:widowControl/>
                    <w:suppressLineNumbers w:val="0"/>
                    <w:spacing w:before="0" w:beforeAutospacing="0" w:after="0" w:afterAutospacing="0"/>
                    <w:ind w:left="0" w:right="0"/>
                    <w:jc w:val="both"/>
                    <w:rPr>
                      <w:rFonts w:hint="eastAsia" w:eastAsiaTheme="minorEastAsia"/>
                      <w:bCs/>
                      <w:color w:val="000000" w:themeColor="text1"/>
                      <w:sz w:val="21"/>
                      <w:szCs w:val="21"/>
                      <w:highlight w:val="none"/>
                      <w:lang w:eastAsia="zh-CN" w:bidi="ar"/>
                      <w14:textFill>
                        <w14:solidFill>
                          <w14:schemeClr w14:val="tx1"/>
                        </w14:solidFill>
                      </w14:textFill>
                    </w:rPr>
                  </w:pPr>
                  <w:r>
                    <w:rPr>
                      <w:rFonts w:hint="default"/>
                      <w:bCs/>
                      <w:color w:val="000000" w:themeColor="text1"/>
                      <w:sz w:val="21"/>
                      <w:szCs w:val="21"/>
                      <w:highlight w:val="none"/>
                      <w:lang w:val="en-US" w:eastAsia="zh-CN" w:bidi="ar"/>
                      <w14:textFill>
                        <w14:solidFill>
                          <w14:schemeClr w14:val="tx1"/>
                        </w14:solidFill>
                      </w14:textFill>
                    </w:rPr>
                    <w:t>5.</w:t>
                  </w:r>
                  <w:r>
                    <w:rPr>
                      <w:rFonts w:hint="eastAsia"/>
                      <w:bCs/>
                      <w:color w:val="000000" w:themeColor="text1"/>
                      <w:sz w:val="21"/>
                      <w:szCs w:val="21"/>
                      <w:highlight w:val="none"/>
                      <w:lang w:val="en-US" w:eastAsia="zh-CN" w:bidi="ar"/>
                      <w14:textFill>
                        <w14:solidFill>
                          <w14:schemeClr w14:val="tx1"/>
                        </w14:solidFill>
                      </w14:textFill>
                    </w:rPr>
                    <w:t>本项目为煤矸石制砂项目，不涉及</w:t>
                  </w:r>
                  <w:r>
                    <w:rPr>
                      <w:rFonts w:hint="default"/>
                      <w:bCs/>
                      <w:color w:val="000000" w:themeColor="text1"/>
                      <w:sz w:val="21"/>
                      <w:szCs w:val="21"/>
                      <w:highlight w:val="none"/>
                      <w:lang w:bidi="ar"/>
                      <w14:textFill>
                        <w14:solidFill>
                          <w14:schemeClr w14:val="tx1"/>
                        </w14:solidFill>
                      </w14:textFill>
                    </w:rPr>
                    <w:t>燃煤机组</w:t>
                  </w:r>
                  <w:r>
                    <w:rPr>
                      <w:rFonts w:hint="eastAsia"/>
                      <w:bCs/>
                      <w:color w:val="000000" w:themeColor="text1"/>
                      <w:sz w:val="21"/>
                      <w:szCs w:val="21"/>
                      <w:highlight w:val="none"/>
                      <w:lang w:eastAsia="zh-CN" w:bidi="ar"/>
                      <w14:textFill>
                        <w14:solidFill>
                          <w14:schemeClr w14:val="tx1"/>
                        </w14:solidFill>
                      </w14:textFill>
                    </w:rPr>
                    <w:t>；</w:t>
                  </w:r>
                </w:p>
                <w:p w14:paraId="22E2A70B">
                  <w:pPr>
                    <w:keepNext w:val="0"/>
                    <w:keepLines w:val="0"/>
                    <w:widowControl/>
                    <w:suppressLineNumbers w:val="0"/>
                    <w:spacing w:before="0" w:beforeAutospacing="0" w:after="0" w:afterAutospacing="0"/>
                    <w:ind w:left="0" w:right="0"/>
                    <w:jc w:val="both"/>
                    <w:rPr>
                      <w:rFonts w:hint="eastAsia"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6.</w:t>
                  </w:r>
                  <w:r>
                    <w:rPr>
                      <w:rFonts w:hint="eastAsia"/>
                      <w:bCs/>
                      <w:color w:val="000000" w:themeColor="text1"/>
                      <w:sz w:val="21"/>
                      <w:szCs w:val="21"/>
                      <w:highlight w:val="none"/>
                      <w:lang w:val="en-US" w:eastAsia="zh-CN" w:bidi="ar"/>
                      <w14:textFill>
                        <w14:solidFill>
                          <w14:schemeClr w14:val="tx1"/>
                        </w14:solidFill>
                      </w14:textFill>
                    </w:rPr>
                    <w:t>本项目</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不属于</w:t>
                  </w:r>
                  <w:r>
                    <w:rPr>
                      <w:rFonts w:hint="default"/>
                      <w:bCs/>
                      <w:color w:val="000000" w:themeColor="text1"/>
                      <w:sz w:val="21"/>
                      <w:szCs w:val="21"/>
                      <w:highlight w:val="none"/>
                      <w:lang w:bidi="ar"/>
                      <w14:textFill>
                        <w14:solidFill>
                          <w14:schemeClr w14:val="tx1"/>
                        </w14:solidFill>
                      </w14:textFill>
                    </w:rPr>
                    <w:t>高耗能、高排放项目</w:t>
                  </w:r>
                  <w:r>
                    <w:rPr>
                      <w:rFonts w:hint="eastAsia"/>
                      <w:bCs/>
                      <w:color w:val="000000" w:themeColor="text1"/>
                      <w:sz w:val="21"/>
                      <w:szCs w:val="21"/>
                      <w:highlight w:val="none"/>
                      <w:lang w:eastAsia="zh-CN" w:bidi="ar"/>
                      <w14:textFill>
                        <w14:solidFill>
                          <w14:schemeClr w14:val="tx1"/>
                        </w14:solidFill>
                      </w14:textFill>
                    </w:rPr>
                    <w:t>；</w:t>
                  </w:r>
                </w:p>
                <w:p w14:paraId="422F301E">
                  <w:pPr>
                    <w:keepNext w:val="0"/>
                    <w:keepLines w:val="0"/>
                    <w:widowControl/>
                    <w:suppressLineNumbers w:val="0"/>
                    <w:spacing w:before="0" w:beforeAutospacing="0" w:after="0" w:afterAutospacing="0"/>
                    <w:ind w:left="0" w:right="0"/>
                    <w:jc w:val="both"/>
                    <w:rPr>
                      <w:rFonts w:hint="eastAsia"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7.</w:t>
                  </w:r>
                  <w:r>
                    <w:rPr>
                      <w:rFonts w:hint="eastAsia"/>
                      <w:bCs/>
                      <w:color w:val="000000" w:themeColor="text1"/>
                      <w:sz w:val="21"/>
                      <w:szCs w:val="21"/>
                      <w:highlight w:val="none"/>
                      <w:lang w:val="en-US" w:eastAsia="zh-CN" w:bidi="ar"/>
                      <w14:textFill>
                        <w14:solidFill>
                          <w14:schemeClr w14:val="tx1"/>
                        </w14:solidFill>
                      </w14:textFill>
                    </w:rPr>
                    <w:t>本项目</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不涉及</w:t>
                  </w:r>
                  <w:r>
                    <w:rPr>
                      <w:rFonts w:hint="default"/>
                      <w:bCs/>
                      <w:color w:val="000000" w:themeColor="text1"/>
                      <w:sz w:val="21"/>
                      <w:szCs w:val="21"/>
                      <w:highlight w:val="none"/>
                      <w:lang w:bidi="ar"/>
                      <w14:textFill>
                        <w14:solidFill>
                          <w14:schemeClr w14:val="tx1"/>
                        </w14:solidFill>
                      </w14:textFill>
                    </w:rPr>
                    <w:t>灌溉</w:t>
                  </w:r>
                  <w:r>
                    <w:rPr>
                      <w:rFonts w:hint="eastAsia"/>
                      <w:bCs/>
                      <w:color w:val="000000" w:themeColor="text1"/>
                      <w:sz w:val="21"/>
                      <w:szCs w:val="21"/>
                      <w:highlight w:val="none"/>
                      <w:lang w:eastAsia="zh-CN" w:bidi="ar"/>
                      <w14:textFill>
                        <w14:solidFill>
                          <w14:schemeClr w14:val="tx1"/>
                        </w14:solidFill>
                      </w14:textFill>
                    </w:rPr>
                    <w:t>；</w:t>
                  </w:r>
                </w:p>
                <w:p w14:paraId="48764498">
                  <w:pPr>
                    <w:keepNext w:val="0"/>
                    <w:keepLines w:val="0"/>
                    <w:widowControl/>
                    <w:suppressLineNumbers w:val="0"/>
                    <w:spacing w:before="0" w:beforeAutospacing="0" w:after="0" w:afterAutospacing="0"/>
                    <w:ind w:left="0" w:right="0"/>
                    <w:jc w:val="both"/>
                    <w:rPr>
                      <w:rFonts w:hint="eastAsia"/>
                      <w:bCs/>
                      <w:color w:val="000000" w:themeColor="text1"/>
                      <w:sz w:val="21"/>
                      <w:szCs w:val="21"/>
                      <w:highlight w:val="none"/>
                      <w:lang w:val="en-US" w:eastAsia="zh-CN" w:bidi="ar"/>
                      <w14:textFill>
                        <w14:solidFill>
                          <w14:schemeClr w14:val="tx1"/>
                        </w14:solidFill>
                      </w14:textFill>
                    </w:rPr>
                  </w:pPr>
                  <w:r>
                    <w:rPr>
                      <w:rFonts w:hint="default"/>
                      <w:bCs/>
                      <w:color w:val="000000" w:themeColor="text1"/>
                      <w:sz w:val="21"/>
                      <w:szCs w:val="21"/>
                      <w:highlight w:val="none"/>
                      <w:lang w:val="en-US" w:eastAsia="zh-CN" w:bidi="ar"/>
                      <w14:textFill>
                        <w14:solidFill>
                          <w14:schemeClr w14:val="tx1"/>
                        </w14:solidFill>
                      </w14:textFill>
                    </w:rPr>
                    <w:t>8.</w:t>
                  </w:r>
                  <w:r>
                    <w:rPr>
                      <w:rFonts w:hint="eastAsia"/>
                      <w:bCs/>
                      <w:color w:val="000000" w:themeColor="text1"/>
                      <w:sz w:val="21"/>
                      <w:szCs w:val="21"/>
                      <w:highlight w:val="none"/>
                      <w:lang w:val="en-US" w:eastAsia="zh-CN" w:bidi="ar"/>
                      <w14:textFill>
                        <w14:solidFill>
                          <w14:schemeClr w14:val="tx1"/>
                        </w14:solidFill>
                      </w14:textFill>
                    </w:rPr>
                    <w:t>本项目不涉及</w:t>
                  </w:r>
                  <w:r>
                    <w:rPr>
                      <w:rFonts w:hint="default"/>
                      <w:bCs/>
                      <w:color w:val="000000" w:themeColor="text1"/>
                      <w:sz w:val="21"/>
                      <w:szCs w:val="21"/>
                      <w:highlight w:val="none"/>
                      <w:lang w:val="en-US" w:eastAsia="zh-CN" w:bidi="ar"/>
                      <w14:textFill>
                        <w14:solidFill>
                          <w14:schemeClr w14:val="tx1"/>
                        </w14:solidFill>
                      </w14:textFill>
                    </w:rPr>
                    <w:t>再生水利用</w:t>
                  </w:r>
                  <w:r>
                    <w:rPr>
                      <w:rFonts w:hint="eastAsia"/>
                      <w:bCs/>
                      <w:color w:val="000000" w:themeColor="text1"/>
                      <w:sz w:val="21"/>
                      <w:szCs w:val="21"/>
                      <w:highlight w:val="none"/>
                      <w:lang w:val="en-US" w:eastAsia="zh-CN" w:bidi="ar"/>
                      <w14:textFill>
                        <w14:solidFill>
                          <w14:schemeClr w14:val="tx1"/>
                        </w14:solidFill>
                      </w14:textFill>
                    </w:rPr>
                    <w:t>；</w:t>
                  </w:r>
                </w:p>
                <w:p w14:paraId="17E28A35">
                  <w:pPr>
                    <w:keepNext w:val="0"/>
                    <w:keepLines w:val="0"/>
                    <w:widowControl/>
                    <w:suppressLineNumbers w:val="0"/>
                    <w:spacing w:before="0" w:beforeAutospacing="0" w:after="0" w:afterAutospacing="0"/>
                    <w:ind w:left="0" w:right="0"/>
                    <w:jc w:val="both"/>
                    <w:rPr>
                      <w:rFonts w:hint="eastAsia"/>
                      <w:bCs/>
                      <w:color w:val="000000" w:themeColor="text1"/>
                      <w:sz w:val="21"/>
                      <w:szCs w:val="21"/>
                      <w:highlight w:val="none"/>
                      <w:lang w:val="en-US" w:eastAsia="zh-CN" w:bidi="ar"/>
                      <w14:textFill>
                        <w14:solidFill>
                          <w14:schemeClr w14:val="tx1"/>
                        </w14:solidFill>
                      </w14:textFill>
                    </w:rPr>
                  </w:pPr>
                  <w:r>
                    <w:rPr>
                      <w:rFonts w:hint="default"/>
                      <w:bCs/>
                      <w:color w:val="000000" w:themeColor="text1"/>
                      <w:sz w:val="21"/>
                      <w:szCs w:val="21"/>
                      <w:highlight w:val="none"/>
                      <w:lang w:val="en-US" w:eastAsia="zh-CN" w:bidi="ar"/>
                      <w14:textFill>
                        <w14:solidFill>
                          <w14:schemeClr w14:val="tx1"/>
                        </w14:solidFill>
                      </w14:textFill>
                    </w:rPr>
                    <w:t>9.</w:t>
                  </w:r>
                  <w:r>
                    <w:rPr>
                      <w:rFonts w:hint="eastAsia"/>
                      <w:bCs/>
                      <w:color w:val="000000" w:themeColor="text1"/>
                      <w:sz w:val="21"/>
                      <w:szCs w:val="21"/>
                      <w:highlight w:val="none"/>
                      <w:lang w:val="en-US" w:eastAsia="zh-CN" w:bidi="ar"/>
                      <w14:textFill>
                        <w14:solidFill>
                          <w14:schemeClr w14:val="tx1"/>
                        </w14:solidFill>
                      </w14:textFill>
                    </w:rPr>
                    <w:t>本项目不涉及</w:t>
                  </w:r>
                  <w:r>
                    <w:rPr>
                      <w:rFonts w:hint="default"/>
                      <w:bCs/>
                      <w:color w:val="000000" w:themeColor="text1"/>
                      <w:sz w:val="21"/>
                      <w:szCs w:val="21"/>
                      <w:highlight w:val="none"/>
                      <w:lang w:val="en-US" w:eastAsia="zh-CN" w:bidi="ar"/>
                      <w14:textFill>
                        <w14:solidFill>
                          <w14:schemeClr w14:val="tx1"/>
                        </w14:solidFill>
                      </w14:textFill>
                    </w:rPr>
                    <w:t>农村生活污水治理</w:t>
                  </w:r>
                  <w:r>
                    <w:rPr>
                      <w:rFonts w:hint="eastAsia"/>
                      <w:bCs/>
                      <w:color w:val="000000" w:themeColor="text1"/>
                      <w:sz w:val="21"/>
                      <w:szCs w:val="21"/>
                      <w:highlight w:val="none"/>
                      <w:lang w:val="en-US" w:eastAsia="zh-CN" w:bidi="ar"/>
                      <w14:textFill>
                        <w14:solidFill>
                          <w14:schemeClr w14:val="tx1"/>
                        </w14:solidFill>
                      </w14:textFill>
                    </w:rPr>
                    <w:t>；</w:t>
                  </w:r>
                </w:p>
                <w:p w14:paraId="3AEC598B">
                  <w:pPr>
                    <w:keepNext w:val="0"/>
                    <w:keepLines w:val="0"/>
                    <w:widowControl/>
                    <w:suppressLineNumbers w:val="0"/>
                    <w:spacing w:before="0" w:beforeAutospacing="0" w:after="0" w:afterAutospacing="0"/>
                    <w:ind w:left="0" w:right="0"/>
                    <w:jc w:val="both"/>
                    <w:rPr>
                      <w:rFonts w:hint="eastAsia"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10.</w:t>
                  </w:r>
                  <w:r>
                    <w:rPr>
                      <w:rFonts w:hint="eastAsia"/>
                      <w:bCs/>
                      <w:color w:val="000000" w:themeColor="text1"/>
                      <w:sz w:val="21"/>
                      <w:szCs w:val="21"/>
                      <w:highlight w:val="none"/>
                      <w:lang w:val="en-US" w:eastAsia="zh-CN" w:bidi="ar"/>
                      <w14:textFill>
                        <w14:solidFill>
                          <w14:schemeClr w14:val="tx1"/>
                        </w14:solidFill>
                      </w14:textFill>
                    </w:rPr>
                    <w:t>本项目</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不属于</w:t>
                  </w:r>
                  <w:r>
                    <w:rPr>
                      <w:rFonts w:hint="default"/>
                      <w:bCs/>
                      <w:color w:val="000000" w:themeColor="text1"/>
                      <w:sz w:val="21"/>
                      <w:szCs w:val="21"/>
                      <w:highlight w:val="none"/>
                      <w:lang w:bidi="ar"/>
                      <w14:textFill>
                        <w14:solidFill>
                          <w14:schemeClr w14:val="tx1"/>
                        </w14:solidFill>
                      </w14:textFill>
                    </w:rPr>
                    <w:t>畜禽</w:t>
                  </w:r>
                  <w:r>
                    <w:rPr>
                      <w:rFonts w:hint="eastAsia"/>
                      <w:bCs/>
                      <w:color w:val="000000" w:themeColor="text1"/>
                      <w:sz w:val="21"/>
                      <w:szCs w:val="21"/>
                      <w:highlight w:val="none"/>
                      <w:lang w:val="en-US" w:eastAsia="zh-CN" w:bidi="ar"/>
                      <w14:textFill>
                        <w14:solidFill>
                          <w14:schemeClr w14:val="tx1"/>
                        </w14:solidFill>
                      </w14:textFill>
                    </w:rPr>
                    <w:t>行业；</w:t>
                  </w:r>
                </w:p>
                <w:p w14:paraId="4A9EEF59">
                  <w:pPr>
                    <w:keepNext w:val="0"/>
                    <w:keepLines w:val="0"/>
                    <w:suppressLineNumbers w:val="0"/>
                    <w:spacing w:before="0" w:beforeAutospacing="0" w:after="0" w:afterAutospacing="0"/>
                    <w:ind w:left="0" w:right="0"/>
                    <w:jc w:val="both"/>
                    <w:rPr>
                      <w:rFonts w:hint="default" w:ascii="Times New Roman" w:hAnsi="Times New Roman" w:eastAsia="宋体" w:cs="宋体"/>
                      <w:bCs/>
                      <w:color w:val="000000" w:themeColor="text1"/>
                      <w:kern w:val="2"/>
                      <w:sz w:val="21"/>
                      <w:szCs w:val="21"/>
                      <w:highlight w:val="yellow"/>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11.</w:t>
                  </w:r>
                  <w:r>
                    <w:rPr>
                      <w:rFonts w:hint="eastAsia"/>
                      <w:bCs/>
                      <w:color w:val="000000" w:themeColor="text1"/>
                      <w:sz w:val="21"/>
                      <w:szCs w:val="21"/>
                      <w:highlight w:val="none"/>
                      <w:lang w:val="en-US" w:eastAsia="zh-CN" w:bidi="ar"/>
                      <w14:textFill>
                        <w14:solidFill>
                          <w14:schemeClr w14:val="tx1"/>
                        </w14:solidFill>
                      </w14:textFill>
                    </w:rPr>
                    <w:t>本项目废水不外排。</w:t>
                  </w:r>
                </w:p>
              </w:tc>
              <w:tc>
                <w:tcPr>
                  <w:tcW w:w="481" w:type="pct"/>
                  <w:vAlign w:val="center"/>
                </w:tcPr>
                <w:p w14:paraId="3E9B09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bCs/>
                      <w:color w:val="000000" w:themeColor="text1"/>
                      <w:kern w:val="2"/>
                      <w:sz w:val="21"/>
                      <w:szCs w:val="21"/>
                      <w:vertAlign w:val="baseline"/>
                      <w:lang w:val="en-US" w:eastAsia="zh-CN" w:bidi="ar"/>
                      <w14:textFill>
                        <w14:solidFill>
                          <w14:schemeClr w14:val="tx1"/>
                        </w14:solidFill>
                      </w14:textFill>
                    </w:rPr>
                  </w:pPr>
                  <w:r>
                    <w:rPr>
                      <w:rFonts w:hint="eastAsia" w:cs="宋体"/>
                      <w:bCs/>
                      <w:color w:val="000000" w:themeColor="text1"/>
                      <w:kern w:val="2"/>
                      <w:sz w:val="21"/>
                      <w:szCs w:val="21"/>
                      <w:vertAlign w:val="baseline"/>
                      <w:lang w:val="en-US" w:eastAsia="zh-CN" w:bidi="ar"/>
                      <w14:textFill>
                        <w14:solidFill>
                          <w14:schemeClr w14:val="tx1"/>
                        </w14:solidFill>
                      </w14:textFill>
                    </w:rPr>
                    <w:t>符合</w:t>
                  </w:r>
                </w:p>
              </w:tc>
            </w:tr>
          </w:tbl>
          <w:p w14:paraId="2E90A58D">
            <w:pPr>
              <w:pStyle w:val="2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cs="Times New Roman"/>
                <w:b/>
                <w:bCs w:val="0"/>
                <w:color w:val="000000" w:themeColor="text1"/>
                <w:kern w:val="2"/>
                <w:lang w:val="en-US"/>
                <w14:textFill>
                  <w14:solidFill>
                    <w14:schemeClr w14:val="tx1"/>
                  </w14:solidFill>
                </w14:textFill>
              </w:rPr>
            </w:pPr>
            <w:r>
              <w:rPr>
                <w:rFonts w:hint="eastAsia" w:ascii="Times New Roman" w:hAnsi="Times New Roman" w:cs="Times New Roman"/>
                <w:b/>
                <w:bCs w:val="0"/>
                <w:color w:val="000000" w:themeColor="text1"/>
                <w:kern w:val="2"/>
                <w:sz w:val="24"/>
                <w:szCs w:val="24"/>
                <w:lang w:val="en-US" w:eastAsia="zh-CN" w:bidi="ar"/>
                <w14:textFill>
                  <w14:solidFill>
                    <w14:schemeClr w14:val="tx1"/>
                  </w14:solidFill>
                </w14:textFill>
              </w:rPr>
              <w:t>1.3</w:t>
            </w:r>
            <w:r>
              <w:rPr>
                <w:rFonts w:hint="eastAsia" w:ascii="Times New Roman" w:hAnsi="Times New Roman" w:eastAsia="宋体" w:cs="Times New Roman"/>
                <w:b/>
                <w:bCs w:val="0"/>
                <w:color w:val="000000" w:themeColor="text1"/>
                <w:kern w:val="2"/>
                <w:sz w:val="24"/>
                <w:szCs w:val="24"/>
                <w:lang w:val="en-US" w:eastAsia="zh-CN" w:bidi="ar"/>
                <w14:textFill>
                  <w14:solidFill>
                    <w14:schemeClr w14:val="tx1"/>
                  </w14:solidFill>
                </w14:textFill>
              </w:rPr>
              <w:t>与相关生态环境保护法律法规政策、生态环境保护规划的符合性分析</w:t>
            </w:r>
          </w:p>
          <w:p w14:paraId="764535C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1.3.1</w:t>
            </w:r>
            <w:r>
              <w:rPr>
                <w:rFonts w:hint="eastAsia" w:ascii="Times New Roman" w:hAnsi="Times New Roman" w:eastAsia="宋体" w:cs="Times New Roman"/>
                <w:b/>
                <w:bCs/>
                <w:color w:val="000000" w:themeColor="text1"/>
                <w:kern w:val="2"/>
                <w:sz w:val="24"/>
                <w:szCs w:val="24"/>
                <w:lang w:val="en-US" w:eastAsia="zh-CN" w:bidi="ar"/>
                <w14:textFill>
                  <w14:solidFill>
                    <w14:schemeClr w14:val="tx1"/>
                  </w14:solidFill>
                </w14:textFill>
              </w:rPr>
              <w:t>与区域水源地保护区符合性分析</w:t>
            </w:r>
          </w:p>
          <w:p w14:paraId="1D36066E">
            <w:pPr>
              <w:pStyle w:val="7"/>
              <w:keepNext/>
              <w:keepLines/>
              <w:pageBreakBefore w:val="0"/>
              <w:widowControl/>
              <w:suppressLineNumbers w:val="0"/>
              <w:kinsoku/>
              <w:wordWrap/>
              <w:overflowPunct/>
              <w:topLinePunct w:val="0"/>
              <w:autoSpaceDE/>
              <w:autoSpaceDN/>
              <w:bidi w:val="0"/>
              <w:adjustRightInd/>
              <w:snapToGrid/>
              <w:spacing w:before="0" w:beforeLines="0" w:beforeAutospacing="0" w:after="0" w:afterAutospacing="0" w:line="480" w:lineRule="exact"/>
              <w:ind w:left="0" w:right="0" w:firstLine="480" w:firstLineChars="200"/>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r>
              <w:rPr>
                <w:rFonts w:hint="default" w:ascii="Times New Roman" w:hAnsi="Times New Roman" w:cs="Times New Roman"/>
                <w:b w:val="0"/>
                <w:bCs/>
                <w:color w:val="000000" w:themeColor="text1"/>
                <w:sz w:val="24"/>
                <w:szCs w:val="24"/>
                <w:lang w:val="en-US" w:eastAsia="zh-CN"/>
                <w14:textFill>
                  <w14:solidFill>
                    <w14:schemeClr w14:val="tx1"/>
                  </w14:solidFill>
                </w14:textFill>
              </w:rPr>
              <w:t>（1）</w:t>
            </w:r>
            <w:bookmarkStart w:id="6" w:name="_Hlk82075314"/>
            <w:r>
              <w:rPr>
                <w:rFonts w:hint="default" w:ascii="Times New Roman" w:hAnsi="Times New Roman" w:eastAsia="宋体" w:cs="Times New Roman"/>
                <w:b w:val="0"/>
                <w:bCs/>
                <w:color w:val="000000" w:themeColor="text1"/>
                <w:kern w:val="2"/>
                <w:sz w:val="24"/>
                <w:szCs w:val="24"/>
                <w:lang w:val="en-US" w:eastAsia="zh-CN" w:bidi="ar"/>
                <w14:textFill>
                  <w14:solidFill>
                    <w14:schemeClr w14:val="tx1"/>
                  </w14:solidFill>
                </w14:textFill>
              </w:rPr>
              <w:t>县城集中饮用水源地</w:t>
            </w:r>
            <w:bookmarkEnd w:id="6"/>
          </w:p>
          <w:p w14:paraId="4CC30333">
            <w:pPr>
              <w:keepNext w:val="0"/>
              <w:keepLines w:val="0"/>
              <w:widowControl w:val="0"/>
              <w:suppressLineNumbers w:val="0"/>
              <w:spacing w:before="0" w:beforeAutospacing="0" w:after="0" w:afterAutospacing="0" w:line="480" w:lineRule="exact"/>
              <w:ind w:left="0" w:right="0" w:firstLine="480" w:firstLineChars="200"/>
              <w:jc w:val="both"/>
              <w:rPr>
                <w:rFonts w:hint="default"/>
                <w:color w:val="000000" w:themeColor="text1"/>
                <w:sz w:val="24"/>
                <w:szCs w:val="21"/>
                <w:lang w:val="en-US"/>
                <w14:textFill>
                  <w14:solidFill>
                    <w14:schemeClr w14:val="tx1"/>
                  </w14:solidFill>
                </w14:textFill>
              </w:rPr>
            </w:pPr>
            <w:r>
              <w:rPr>
                <w:rFonts w:hint="eastAsia" w:ascii="Times New Roman" w:hAnsi="Times New Roman" w:eastAsia="宋体" w:cs="宋体"/>
                <w:color w:val="000000" w:themeColor="text1"/>
                <w:kern w:val="2"/>
                <w:sz w:val="24"/>
                <w:szCs w:val="21"/>
                <w:lang w:val="en-US" w:eastAsia="zh-CN" w:bidi="ar"/>
                <w14:textFill>
                  <w14:solidFill>
                    <w14:schemeClr w14:val="tx1"/>
                  </w14:solidFill>
                </w14:textFill>
              </w:rPr>
              <w:t>根据《屯留县城水源地保护区划分技术报告》，屯留区有席店和屯降两处水源地保护区。席店水源地保护区范围为东自郭村西一线，西自刘家坪西南一线，北起刘家坪南一线，南到罗庄席店东一线，由以上圈点的面积为</w:t>
            </w:r>
            <w:r>
              <w:rPr>
                <w:rFonts w:hint="default" w:ascii="Times New Roman" w:hAnsi="Times New Roman" w:eastAsia="宋体" w:cs="Times New Roman"/>
                <w:color w:val="000000" w:themeColor="text1"/>
                <w:kern w:val="2"/>
                <w:sz w:val="24"/>
                <w:szCs w:val="21"/>
                <w:lang w:val="en-US" w:eastAsia="zh-CN" w:bidi="ar"/>
                <w14:textFill>
                  <w14:solidFill>
                    <w14:schemeClr w14:val="tx1"/>
                  </w14:solidFill>
                </w14:textFill>
              </w:rPr>
              <w:t>1.85km</w:t>
            </w:r>
            <w:r>
              <w:rPr>
                <w:rFonts w:hint="default" w:ascii="Times New Roman" w:hAnsi="Times New Roman" w:eastAsia="宋体" w:cs="Times New Roman"/>
                <w:color w:val="000000" w:themeColor="text1"/>
                <w:kern w:val="2"/>
                <w:sz w:val="24"/>
                <w:szCs w:val="21"/>
                <w:vertAlign w:val="superscript"/>
                <w:lang w:val="en-US" w:eastAsia="zh-CN" w:bidi="ar"/>
                <w14:textFill>
                  <w14:solidFill>
                    <w14:schemeClr w14:val="tx1"/>
                  </w14:solidFill>
                </w14:textFill>
              </w:rPr>
              <w:t>2</w:t>
            </w:r>
            <w:r>
              <w:rPr>
                <w:rFonts w:hint="eastAsia" w:ascii="Times New Roman" w:hAnsi="Times New Roman" w:eastAsia="宋体" w:cs="宋体"/>
                <w:color w:val="000000" w:themeColor="text1"/>
                <w:kern w:val="2"/>
                <w:sz w:val="24"/>
                <w:szCs w:val="21"/>
                <w:lang w:val="en-US" w:eastAsia="zh-CN" w:bidi="ar"/>
                <w14:textFill>
                  <w14:solidFill>
                    <w14:schemeClr w14:val="tx1"/>
                  </w14:solidFill>
                </w14:textFill>
              </w:rPr>
              <w:t>。屯降水库水源地保护区范围为屯降水库水面及水库上游</w:t>
            </w:r>
            <w:r>
              <w:rPr>
                <w:rFonts w:hint="default" w:ascii="Times New Roman" w:hAnsi="Times New Roman" w:eastAsia="宋体" w:cs="Times New Roman"/>
                <w:color w:val="000000" w:themeColor="text1"/>
                <w:kern w:val="2"/>
                <w:sz w:val="24"/>
                <w:szCs w:val="21"/>
                <w:lang w:val="en-US" w:eastAsia="zh-CN" w:bidi="ar"/>
                <w14:textFill>
                  <w14:solidFill>
                    <w14:schemeClr w14:val="tx1"/>
                  </w14:solidFill>
                </w14:textFill>
              </w:rPr>
              <w:t>1000m</w:t>
            </w:r>
            <w:r>
              <w:rPr>
                <w:rFonts w:hint="eastAsia" w:ascii="Times New Roman" w:hAnsi="Times New Roman" w:eastAsia="宋体" w:cs="宋体"/>
                <w:color w:val="000000" w:themeColor="text1"/>
                <w:kern w:val="2"/>
                <w:sz w:val="24"/>
                <w:szCs w:val="21"/>
                <w:lang w:val="en-US" w:eastAsia="zh-CN" w:bidi="ar"/>
                <w14:textFill>
                  <w14:solidFill>
                    <w14:schemeClr w14:val="tx1"/>
                  </w14:solidFill>
                </w14:textFill>
              </w:rPr>
              <w:t>的水面和陆面。厂址位置距离席店和屯降两处水源地保护区分别为</w:t>
            </w:r>
            <w:r>
              <w:rPr>
                <w:rFonts w:hint="eastAsia" w:cs="Times New Roman"/>
                <w:color w:val="000000" w:themeColor="text1"/>
                <w:kern w:val="2"/>
                <w:sz w:val="24"/>
                <w:szCs w:val="21"/>
                <w:highlight w:val="none"/>
                <w:lang w:val="en-US" w:eastAsia="zh-CN" w:bidi="ar"/>
                <w14:textFill>
                  <w14:solidFill>
                    <w14:schemeClr w14:val="tx1"/>
                  </w14:solidFill>
                </w14:textFill>
              </w:rPr>
              <w:t>6.7</w:t>
            </w:r>
            <w:r>
              <w:rPr>
                <w:rFonts w:hint="default" w:ascii="Times New Roman" w:hAnsi="Times New Roman" w:eastAsia="宋体" w:cs="Times New Roman"/>
                <w:color w:val="000000" w:themeColor="text1"/>
                <w:kern w:val="2"/>
                <w:sz w:val="24"/>
                <w:szCs w:val="21"/>
                <w:highlight w:val="none"/>
                <w:lang w:val="en-US" w:eastAsia="zh-CN" w:bidi="ar"/>
                <w14:textFill>
                  <w14:solidFill>
                    <w14:schemeClr w14:val="tx1"/>
                  </w14:solidFill>
                </w14:textFill>
              </w:rPr>
              <w:t>km</w:t>
            </w:r>
            <w:r>
              <w:rPr>
                <w:rFonts w:hint="eastAsia" w:ascii="Times New Roman" w:hAnsi="Times New Roman" w:eastAsia="宋体" w:cs="宋体"/>
                <w:color w:val="000000" w:themeColor="text1"/>
                <w:kern w:val="2"/>
                <w:sz w:val="24"/>
                <w:szCs w:val="21"/>
                <w:highlight w:val="none"/>
                <w:lang w:val="en-US" w:eastAsia="zh-CN" w:bidi="ar"/>
                <w14:textFill>
                  <w14:solidFill>
                    <w14:schemeClr w14:val="tx1"/>
                  </w14:solidFill>
                </w14:textFill>
              </w:rPr>
              <w:t>和</w:t>
            </w:r>
            <w:r>
              <w:rPr>
                <w:rFonts w:hint="default" w:ascii="Times New Roman" w:hAnsi="Times New Roman" w:eastAsia="宋体" w:cs="Times New Roman"/>
                <w:color w:val="000000" w:themeColor="text1"/>
                <w:kern w:val="2"/>
                <w:sz w:val="24"/>
                <w:szCs w:val="21"/>
                <w:highlight w:val="none"/>
                <w:lang w:val="en-US" w:eastAsia="zh-CN" w:bidi="ar"/>
                <w14:textFill>
                  <w14:solidFill>
                    <w14:schemeClr w14:val="tx1"/>
                  </w14:solidFill>
                </w14:textFill>
              </w:rPr>
              <w:t>1</w:t>
            </w:r>
            <w:r>
              <w:rPr>
                <w:rFonts w:hint="eastAsia" w:cs="Times New Roman"/>
                <w:color w:val="000000" w:themeColor="text1"/>
                <w:kern w:val="2"/>
                <w:sz w:val="24"/>
                <w:szCs w:val="21"/>
                <w:highlight w:val="none"/>
                <w:lang w:val="en-US" w:eastAsia="zh-CN" w:bidi="ar"/>
                <w14:textFill>
                  <w14:solidFill>
                    <w14:schemeClr w14:val="tx1"/>
                  </w14:solidFill>
                </w14:textFill>
              </w:rPr>
              <w:t>7.4</w:t>
            </w:r>
            <w:r>
              <w:rPr>
                <w:rFonts w:hint="default" w:ascii="Times New Roman" w:hAnsi="Times New Roman" w:eastAsia="宋体" w:cs="Times New Roman"/>
                <w:color w:val="000000" w:themeColor="text1"/>
                <w:kern w:val="2"/>
                <w:sz w:val="24"/>
                <w:szCs w:val="21"/>
                <w:highlight w:val="none"/>
                <w:lang w:val="en-US" w:eastAsia="zh-CN" w:bidi="ar"/>
                <w14:textFill>
                  <w14:solidFill>
                    <w14:schemeClr w14:val="tx1"/>
                  </w14:solidFill>
                </w14:textFill>
              </w:rPr>
              <w:t>km</w:t>
            </w:r>
            <w:r>
              <w:rPr>
                <w:rFonts w:hint="eastAsia" w:ascii="Times New Roman" w:hAnsi="Times New Roman" w:eastAsia="宋体" w:cs="宋体"/>
                <w:color w:val="000000" w:themeColor="text1"/>
                <w:kern w:val="2"/>
                <w:sz w:val="24"/>
                <w:szCs w:val="21"/>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4"/>
                <w:szCs w:val="21"/>
                <w:lang w:val="en-US" w:eastAsia="zh-CN" w:bidi="ar"/>
                <w14:textFill>
                  <w14:solidFill>
                    <w14:schemeClr w14:val="tx1"/>
                  </w14:solidFill>
                </w14:textFill>
              </w:rPr>
              <w:t>不会对水源地造成影响。本项目与屯留区县城水源地保护区相对位置关系图见附图</w:t>
            </w:r>
            <w:r>
              <w:rPr>
                <w:rFonts w:hint="eastAsia" w:cs="Times New Roman"/>
                <w:color w:val="000000" w:themeColor="text1"/>
                <w:kern w:val="2"/>
                <w:sz w:val="24"/>
                <w:szCs w:val="21"/>
                <w:lang w:val="en-US" w:eastAsia="zh-CN" w:bidi="ar"/>
                <w14:textFill>
                  <w14:solidFill>
                    <w14:schemeClr w14:val="tx1"/>
                  </w14:solidFill>
                </w14:textFill>
              </w:rPr>
              <w:t>7</w:t>
            </w:r>
            <w:r>
              <w:rPr>
                <w:rFonts w:hint="eastAsia" w:ascii="Times New Roman" w:hAnsi="Times New Roman" w:eastAsia="宋体" w:cs="宋体"/>
                <w:color w:val="000000" w:themeColor="text1"/>
                <w:kern w:val="2"/>
                <w:sz w:val="24"/>
                <w:szCs w:val="21"/>
                <w:lang w:val="en-US" w:eastAsia="zh-CN" w:bidi="ar"/>
                <w14:textFill>
                  <w14:solidFill>
                    <w14:schemeClr w14:val="tx1"/>
                  </w14:solidFill>
                </w14:textFill>
              </w:rPr>
              <w:t>。</w:t>
            </w:r>
          </w:p>
          <w:p w14:paraId="141FC4CE">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szCs w:val="21"/>
                <w14:textFill>
                  <w14:solidFill>
                    <w14:schemeClr w14:val="tx1"/>
                  </w14:solidFill>
                </w14:textFill>
              </w:rPr>
            </w:pPr>
            <w:r>
              <w:rPr>
                <w:rFonts w:hint="default"/>
                <w:color w:val="000000" w:themeColor="text1"/>
                <w:sz w:val="24"/>
                <w:szCs w:val="21"/>
                <w14:textFill>
                  <w14:solidFill>
                    <w14:schemeClr w14:val="tx1"/>
                  </w14:solidFill>
                </w14:textFill>
              </w:rPr>
              <w:t>（</w:t>
            </w:r>
            <w:r>
              <w:rPr>
                <w:rFonts w:hint="eastAsia"/>
                <w:color w:val="000000" w:themeColor="text1"/>
                <w:sz w:val="24"/>
                <w:szCs w:val="21"/>
                <w14:textFill>
                  <w14:solidFill>
                    <w14:schemeClr w14:val="tx1"/>
                  </w14:solidFill>
                </w14:textFill>
              </w:rPr>
              <w:t>2</w:t>
            </w:r>
            <w:r>
              <w:rPr>
                <w:rFonts w:hint="default"/>
                <w:color w:val="000000" w:themeColor="text1"/>
                <w:sz w:val="24"/>
                <w:szCs w:val="21"/>
                <w14:textFill>
                  <w14:solidFill>
                    <w14:schemeClr w14:val="tx1"/>
                  </w14:solidFill>
                </w14:textFill>
              </w:rPr>
              <w:t>）</w:t>
            </w:r>
            <w:r>
              <w:rPr>
                <w:rFonts w:hint="eastAsia"/>
                <w:color w:val="000000" w:themeColor="text1"/>
                <w:sz w:val="24"/>
                <w:szCs w:val="21"/>
                <w14:textFill>
                  <w14:solidFill>
                    <w14:schemeClr w14:val="tx1"/>
                  </w14:solidFill>
                </w14:textFill>
              </w:rPr>
              <w:t>乡镇</w:t>
            </w:r>
            <w:r>
              <w:rPr>
                <w:rFonts w:hint="default"/>
                <w:color w:val="000000" w:themeColor="text1"/>
                <w:sz w:val="24"/>
                <w:szCs w:val="21"/>
                <w14:textFill>
                  <w14:solidFill>
                    <w14:schemeClr w14:val="tx1"/>
                  </w14:solidFill>
                </w14:textFill>
              </w:rPr>
              <w:t>集中饮用水源地</w:t>
            </w:r>
          </w:p>
          <w:p w14:paraId="32D055AD">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szCs w:val="21"/>
                <w14:textFill>
                  <w14:solidFill>
                    <w14:schemeClr w14:val="tx1"/>
                  </w14:solidFill>
                </w14:textFill>
              </w:rPr>
            </w:pPr>
            <w:r>
              <w:rPr>
                <w:rFonts w:hint="default"/>
                <w:color w:val="000000" w:themeColor="text1"/>
                <w:sz w:val="24"/>
                <w:szCs w:val="21"/>
                <w14:textFill>
                  <w14:solidFill>
                    <w14:schemeClr w14:val="tx1"/>
                  </w14:solidFill>
                </w14:textFill>
              </w:rPr>
              <w:t>屯留</w:t>
            </w:r>
            <w:r>
              <w:rPr>
                <w:rFonts w:hint="eastAsia"/>
                <w:color w:val="000000" w:themeColor="text1"/>
                <w:sz w:val="24"/>
                <w:szCs w:val="21"/>
                <w14:textFill>
                  <w14:solidFill>
                    <w14:schemeClr w14:val="tx1"/>
                  </w14:solidFill>
                </w14:textFill>
              </w:rPr>
              <w:t>区</w:t>
            </w:r>
            <w:r>
              <w:rPr>
                <w:rFonts w:hint="default"/>
                <w:color w:val="000000" w:themeColor="text1"/>
                <w:sz w:val="24"/>
                <w:szCs w:val="21"/>
                <w14:textFill>
                  <w14:solidFill>
                    <w14:schemeClr w14:val="tx1"/>
                  </w14:solidFill>
                </w14:textFill>
              </w:rPr>
              <w:t>共有</w:t>
            </w:r>
            <w:r>
              <w:rPr>
                <w:rFonts w:hint="eastAsia"/>
                <w:color w:val="000000" w:themeColor="text1"/>
                <w:sz w:val="24"/>
                <w:szCs w:val="21"/>
                <w:lang w:val="en-US" w:eastAsia="zh-CN"/>
                <w14:textFill>
                  <w14:solidFill>
                    <w14:schemeClr w14:val="tx1"/>
                  </w14:solidFill>
                </w14:textFill>
              </w:rPr>
              <w:t>4</w:t>
            </w:r>
            <w:r>
              <w:rPr>
                <w:rFonts w:hint="default"/>
                <w:color w:val="000000" w:themeColor="text1"/>
                <w:sz w:val="24"/>
                <w:szCs w:val="21"/>
                <w14:textFill>
                  <w14:solidFill>
                    <w14:schemeClr w14:val="tx1"/>
                  </w14:solidFill>
                </w14:textFill>
              </w:rPr>
              <w:t>个乡镇集中饮用水水源地</w:t>
            </w:r>
            <w:r>
              <w:rPr>
                <w:rFonts w:hint="eastAsia"/>
                <w:color w:val="000000" w:themeColor="text1"/>
                <w:sz w:val="24"/>
                <w:szCs w:val="21"/>
                <w:lang w:val="en-US" w:eastAsia="zh-CN"/>
                <w14:textFill>
                  <w14:solidFill>
                    <w14:schemeClr w14:val="tx1"/>
                  </w14:solidFill>
                </w14:textFill>
              </w:rPr>
              <w:t>、4</w:t>
            </w:r>
            <w:r>
              <w:rPr>
                <w:rFonts w:hint="default"/>
                <w:color w:val="000000" w:themeColor="text1"/>
                <w:sz w:val="24"/>
                <w:szCs w:val="21"/>
                <w14:textFill>
                  <w14:solidFill>
                    <w14:schemeClr w14:val="tx1"/>
                  </w14:solidFill>
                </w14:textFill>
              </w:rPr>
              <w:t>个</w:t>
            </w:r>
            <w:r>
              <w:rPr>
                <w:rFonts w:hint="default"/>
                <w:color w:val="000000" w:themeColor="text1"/>
                <w:sz w:val="24"/>
                <w:szCs w:val="21"/>
                <w:lang w:val="en-US" w:eastAsia="zh-CN"/>
                <w14:textFill>
                  <w14:solidFill>
                    <w14:schemeClr w14:val="tx1"/>
                  </w14:solidFill>
                </w14:textFill>
              </w:rPr>
              <w:t>个千人万吨水源地</w:t>
            </w:r>
            <w:r>
              <w:rPr>
                <w:rFonts w:hint="default"/>
                <w:color w:val="000000" w:themeColor="text1"/>
                <w:sz w:val="24"/>
                <w:szCs w:val="21"/>
                <w14:textFill>
                  <w14:solidFill>
                    <w14:schemeClr w14:val="tx1"/>
                  </w14:solidFill>
                </w14:textFill>
              </w:rPr>
              <w:t>，均为地下水型水源地，</w:t>
            </w:r>
            <w:r>
              <w:rPr>
                <w:rFonts w:hint="eastAsia"/>
                <w:color w:val="000000" w:themeColor="text1"/>
                <w:sz w:val="24"/>
                <w:szCs w:val="21"/>
                <w:lang w:val="en-US" w:eastAsia="zh-CN"/>
                <w14:textFill>
                  <w14:solidFill>
                    <w14:schemeClr w14:val="tx1"/>
                  </w14:solidFill>
                </w14:textFill>
              </w:rPr>
              <w:t>各个水源地基本情况表见下表</w:t>
            </w:r>
            <w:r>
              <w:rPr>
                <w:rFonts w:hint="default"/>
                <w:color w:val="000000" w:themeColor="text1"/>
                <w:sz w:val="24"/>
                <w:szCs w:val="21"/>
                <w14:textFill>
                  <w14:solidFill>
                    <w14:schemeClr w14:val="tx1"/>
                  </w14:solidFill>
                </w14:textFill>
              </w:rPr>
              <w:t>。</w:t>
            </w:r>
          </w:p>
          <w:p w14:paraId="47B1AF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w:t>
            </w:r>
            <w:r>
              <w:rPr>
                <w:rFonts w:hint="eastAsia"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屯留县各乡镇集中供水水源地</w:t>
            </w:r>
            <w:r>
              <w:rPr>
                <w:rFonts w:hint="eastAsia" w:cs="Times New Roman"/>
                <w:b/>
                <w:bCs/>
                <w:color w:val="000000" w:themeColor="text1"/>
                <w:sz w:val="21"/>
                <w:szCs w:val="21"/>
                <w:lang w:val="en-US" w:eastAsia="zh-CN"/>
                <w14:textFill>
                  <w14:solidFill>
                    <w14:schemeClr w14:val="tx1"/>
                  </w14:solidFill>
                </w14:textFill>
              </w:rPr>
              <w:t>一览表</w:t>
            </w:r>
          </w:p>
          <w:tbl>
            <w:tblPr>
              <w:tblStyle w:val="30"/>
              <w:tblW w:w="4995" w:type="pct"/>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27"/>
              <w:gridCol w:w="1404"/>
              <w:gridCol w:w="1306"/>
              <w:gridCol w:w="1012"/>
              <w:gridCol w:w="918"/>
              <w:gridCol w:w="920"/>
            </w:tblGrid>
            <w:tr w14:paraId="7B7D5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1562" w:type="pct"/>
                  <w:tcBorders>
                    <w:tl2br w:val="nil"/>
                    <w:tr2bl w:val="nil"/>
                  </w:tcBorders>
                  <w:noWrap w:val="0"/>
                  <w:vAlign w:val="center"/>
                </w:tcPr>
                <w:p w14:paraId="58CBE262">
                  <w:pPr>
                    <w:pStyle w:val="96"/>
                    <w:keepNext w:val="0"/>
                    <w:keepLines w:val="0"/>
                    <w:suppressLineNumbers w:val="0"/>
                    <w:spacing w:before="0" w:beforeAutospacing="0" w:after="0" w:afterAutospacing="0" w:line="240" w:lineRule="auto"/>
                    <w:ind w:left="0" w:right="0"/>
                    <w:jc w:val="center"/>
                    <w:rPr>
                      <w:rFonts w:hint="default" w:ascii="Times New Roman"/>
                      <w:b/>
                      <w:bCs w:val="0"/>
                      <w:color w:val="000000" w:themeColor="text1"/>
                      <w:szCs w:val="21"/>
                      <w14:textFill>
                        <w14:solidFill>
                          <w14:schemeClr w14:val="tx1"/>
                        </w14:solidFill>
                      </w14:textFill>
                    </w:rPr>
                  </w:pPr>
                  <w:r>
                    <w:rPr>
                      <w:rFonts w:hint="default" w:ascii="Times New Roman" w:hAnsi="宋体"/>
                      <w:b/>
                      <w:bCs w:val="0"/>
                      <w:color w:val="000000" w:themeColor="text1"/>
                      <w:szCs w:val="21"/>
                      <w14:textFill>
                        <w14:solidFill>
                          <w14:schemeClr w14:val="tx1"/>
                        </w14:solidFill>
                      </w14:textFill>
                    </w:rPr>
                    <w:t>水源地名称</w:t>
                  </w:r>
                </w:p>
              </w:tc>
              <w:tc>
                <w:tcPr>
                  <w:tcW w:w="868" w:type="pct"/>
                  <w:tcBorders>
                    <w:tl2br w:val="nil"/>
                    <w:tr2bl w:val="nil"/>
                  </w:tcBorders>
                  <w:noWrap w:val="0"/>
                  <w:vAlign w:val="center"/>
                </w:tcPr>
                <w:p w14:paraId="176DF65A">
                  <w:pPr>
                    <w:pStyle w:val="96"/>
                    <w:keepNext w:val="0"/>
                    <w:keepLines w:val="0"/>
                    <w:suppressLineNumbers w:val="0"/>
                    <w:spacing w:before="0" w:beforeAutospacing="0" w:after="0" w:afterAutospacing="0" w:line="240" w:lineRule="auto"/>
                    <w:ind w:left="0" w:right="0"/>
                    <w:jc w:val="center"/>
                    <w:rPr>
                      <w:rFonts w:hint="default" w:ascii="Times New Roman"/>
                      <w:b/>
                      <w:bCs w:val="0"/>
                      <w:color w:val="000000" w:themeColor="text1"/>
                      <w:szCs w:val="21"/>
                      <w14:textFill>
                        <w14:solidFill>
                          <w14:schemeClr w14:val="tx1"/>
                        </w14:solidFill>
                      </w14:textFill>
                    </w:rPr>
                  </w:pPr>
                  <w:r>
                    <w:rPr>
                      <w:rFonts w:hint="default" w:ascii="Times New Roman" w:hAnsi="宋体"/>
                      <w:b/>
                      <w:bCs w:val="0"/>
                      <w:color w:val="000000" w:themeColor="text1"/>
                      <w:szCs w:val="21"/>
                      <w14:textFill>
                        <w14:solidFill>
                          <w14:schemeClr w14:val="tx1"/>
                        </w14:solidFill>
                      </w14:textFill>
                    </w:rPr>
                    <w:t>经度</w:t>
                  </w:r>
                </w:p>
              </w:tc>
              <w:tc>
                <w:tcPr>
                  <w:tcW w:w="807" w:type="pct"/>
                  <w:tcBorders>
                    <w:tl2br w:val="nil"/>
                    <w:tr2bl w:val="nil"/>
                  </w:tcBorders>
                  <w:noWrap w:val="0"/>
                  <w:vAlign w:val="center"/>
                </w:tcPr>
                <w:p w14:paraId="401809EC">
                  <w:pPr>
                    <w:pStyle w:val="96"/>
                    <w:keepNext w:val="0"/>
                    <w:keepLines w:val="0"/>
                    <w:suppressLineNumbers w:val="0"/>
                    <w:spacing w:before="0" w:beforeAutospacing="0" w:after="0" w:afterAutospacing="0" w:line="240" w:lineRule="auto"/>
                    <w:ind w:left="0" w:right="0"/>
                    <w:jc w:val="center"/>
                    <w:rPr>
                      <w:rFonts w:hint="default" w:ascii="Times New Roman"/>
                      <w:b/>
                      <w:bCs w:val="0"/>
                      <w:color w:val="000000" w:themeColor="text1"/>
                      <w:szCs w:val="21"/>
                      <w14:textFill>
                        <w14:solidFill>
                          <w14:schemeClr w14:val="tx1"/>
                        </w14:solidFill>
                      </w14:textFill>
                    </w:rPr>
                  </w:pPr>
                  <w:r>
                    <w:rPr>
                      <w:rFonts w:hint="default" w:ascii="Times New Roman" w:hAnsi="宋体"/>
                      <w:b/>
                      <w:bCs w:val="0"/>
                      <w:color w:val="000000" w:themeColor="text1"/>
                      <w:szCs w:val="21"/>
                      <w14:textFill>
                        <w14:solidFill>
                          <w14:schemeClr w14:val="tx1"/>
                        </w14:solidFill>
                      </w14:textFill>
                    </w:rPr>
                    <w:t>纬度</w:t>
                  </w:r>
                </w:p>
              </w:tc>
              <w:tc>
                <w:tcPr>
                  <w:tcW w:w="625" w:type="pct"/>
                  <w:tcBorders>
                    <w:tl2br w:val="nil"/>
                    <w:tr2bl w:val="nil"/>
                  </w:tcBorders>
                  <w:noWrap w:val="0"/>
                  <w:vAlign w:val="center"/>
                </w:tcPr>
                <w:p w14:paraId="24713BE5">
                  <w:pPr>
                    <w:pStyle w:val="96"/>
                    <w:keepNext w:val="0"/>
                    <w:keepLines w:val="0"/>
                    <w:suppressLineNumbers w:val="0"/>
                    <w:spacing w:before="0" w:beforeAutospacing="0" w:after="0" w:afterAutospacing="0" w:line="240" w:lineRule="auto"/>
                    <w:ind w:left="0" w:right="0"/>
                    <w:jc w:val="center"/>
                    <w:rPr>
                      <w:rFonts w:hint="default" w:ascii="Times New Roman" w:eastAsia="宋体"/>
                      <w:b/>
                      <w:bCs w:val="0"/>
                      <w:color w:val="000000" w:themeColor="text1"/>
                      <w:szCs w:val="21"/>
                      <w:lang w:val="en-US" w:eastAsia="zh-CN"/>
                      <w14:textFill>
                        <w14:solidFill>
                          <w14:schemeClr w14:val="tx1"/>
                        </w14:solidFill>
                      </w14:textFill>
                    </w:rPr>
                  </w:pPr>
                  <w:r>
                    <w:rPr>
                      <w:rFonts w:hint="eastAsia" w:ascii="Times New Roman"/>
                      <w:b/>
                      <w:bCs w:val="0"/>
                      <w:color w:val="000000" w:themeColor="text1"/>
                      <w:szCs w:val="21"/>
                      <w:lang w:val="en-US" w:eastAsia="zh-CN"/>
                      <w14:textFill>
                        <w14:solidFill>
                          <w14:schemeClr w14:val="tx1"/>
                        </w14:solidFill>
                      </w14:textFill>
                    </w:rPr>
                    <w:t>服务人口（人）</w:t>
                  </w:r>
                </w:p>
              </w:tc>
              <w:tc>
                <w:tcPr>
                  <w:tcW w:w="567" w:type="pct"/>
                  <w:tcBorders>
                    <w:tl2br w:val="nil"/>
                    <w:tr2bl w:val="nil"/>
                  </w:tcBorders>
                  <w:noWrap w:val="0"/>
                  <w:vAlign w:val="center"/>
                </w:tcPr>
                <w:p w14:paraId="1A3B0793">
                  <w:pPr>
                    <w:pStyle w:val="96"/>
                    <w:keepNext w:val="0"/>
                    <w:keepLines w:val="0"/>
                    <w:suppressLineNumbers w:val="0"/>
                    <w:spacing w:before="0" w:beforeAutospacing="0" w:after="0" w:afterAutospacing="0" w:line="240" w:lineRule="auto"/>
                    <w:ind w:left="0" w:right="0"/>
                    <w:jc w:val="center"/>
                    <w:rPr>
                      <w:rFonts w:hint="default" w:ascii="Times New Roman" w:eastAsia="宋体"/>
                      <w:b/>
                      <w:bCs w:val="0"/>
                      <w:color w:val="000000" w:themeColor="text1"/>
                      <w:szCs w:val="21"/>
                      <w:lang w:val="en-US" w:eastAsia="zh-CN"/>
                      <w14:textFill>
                        <w14:solidFill>
                          <w14:schemeClr w14:val="tx1"/>
                        </w14:solidFill>
                      </w14:textFill>
                    </w:rPr>
                  </w:pPr>
                  <w:r>
                    <w:rPr>
                      <w:rFonts w:hint="eastAsia" w:ascii="Times New Roman"/>
                      <w:b/>
                      <w:bCs w:val="0"/>
                      <w:color w:val="000000" w:themeColor="text1"/>
                      <w:szCs w:val="21"/>
                      <w:lang w:val="en-US" w:eastAsia="zh-CN"/>
                      <w14:textFill>
                        <w14:solidFill>
                          <w14:schemeClr w14:val="tx1"/>
                        </w14:solidFill>
                      </w14:textFill>
                    </w:rPr>
                    <w:t>日供水规模（吨）</w:t>
                  </w:r>
                </w:p>
              </w:tc>
              <w:tc>
                <w:tcPr>
                  <w:tcW w:w="568" w:type="pct"/>
                  <w:tcBorders>
                    <w:tl2br w:val="nil"/>
                    <w:tr2bl w:val="nil"/>
                  </w:tcBorders>
                  <w:noWrap w:val="0"/>
                  <w:vAlign w:val="center"/>
                </w:tcPr>
                <w:p w14:paraId="4E5446C5">
                  <w:pPr>
                    <w:pStyle w:val="96"/>
                    <w:keepNext w:val="0"/>
                    <w:keepLines w:val="0"/>
                    <w:suppressLineNumbers w:val="0"/>
                    <w:spacing w:before="0" w:beforeAutospacing="0" w:after="0" w:afterAutospacing="0" w:line="240" w:lineRule="auto"/>
                    <w:ind w:left="0" w:right="0"/>
                    <w:jc w:val="center"/>
                    <w:rPr>
                      <w:rFonts w:hint="default" w:ascii="Times New Roman" w:eastAsia="宋体"/>
                      <w:b/>
                      <w:bCs w:val="0"/>
                      <w:color w:val="000000" w:themeColor="text1"/>
                      <w:szCs w:val="21"/>
                      <w:lang w:val="en-US" w:eastAsia="zh-CN"/>
                      <w14:textFill>
                        <w14:solidFill>
                          <w14:schemeClr w14:val="tx1"/>
                        </w14:solidFill>
                      </w14:textFill>
                    </w:rPr>
                  </w:pPr>
                  <w:r>
                    <w:rPr>
                      <w:rFonts w:hint="eastAsia" w:ascii="Times New Roman"/>
                      <w:b/>
                      <w:bCs w:val="0"/>
                      <w:color w:val="000000" w:themeColor="text1"/>
                      <w:szCs w:val="21"/>
                      <w:lang w:val="en-US" w:eastAsia="zh-CN"/>
                      <w14:textFill>
                        <w14:solidFill>
                          <w14:schemeClr w14:val="tx1"/>
                        </w14:solidFill>
                      </w14:textFill>
                    </w:rPr>
                    <w:t>水源级别</w:t>
                  </w:r>
                </w:p>
              </w:tc>
            </w:tr>
            <w:tr w14:paraId="64812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62" w:type="pct"/>
                  <w:tcBorders>
                    <w:tl2br w:val="nil"/>
                    <w:tr2bl w:val="nil"/>
                  </w:tcBorders>
                  <w:noWrap w:val="0"/>
                  <w:vAlign w:val="center"/>
                </w:tcPr>
                <w:p w14:paraId="3277EFB0">
                  <w:pPr>
                    <w:pStyle w:val="96"/>
                    <w:keepNext w:val="0"/>
                    <w:keepLines w:val="0"/>
                    <w:suppressLineNumbers w:val="0"/>
                    <w:spacing w:before="0" w:beforeAutospacing="0" w:after="0" w:afterAutospacing="0" w:line="240" w:lineRule="auto"/>
                    <w:ind w:left="0" w:right="0"/>
                    <w:jc w:val="center"/>
                    <w:rPr>
                      <w:rFonts w:hint="default" w:ascii="Times New Roman"/>
                      <w:color w:val="000000" w:themeColor="text1"/>
                      <w:szCs w:val="21"/>
                      <w14:textFill>
                        <w14:solidFill>
                          <w14:schemeClr w14:val="tx1"/>
                        </w14:solidFill>
                      </w14:textFill>
                    </w:rPr>
                  </w:pPr>
                  <w:r>
                    <w:rPr>
                      <w:rFonts w:hint="default" w:ascii="Times New Roman" w:hAnsi="宋体"/>
                      <w:color w:val="000000" w:themeColor="text1"/>
                      <w:szCs w:val="21"/>
                      <w14:textFill>
                        <w14:solidFill>
                          <w14:schemeClr w14:val="tx1"/>
                        </w14:solidFill>
                      </w14:textFill>
                    </w:rPr>
                    <w:t>上村镇集中供水水源</w:t>
                  </w:r>
                </w:p>
              </w:tc>
              <w:tc>
                <w:tcPr>
                  <w:tcW w:w="868" w:type="pct"/>
                  <w:tcBorders>
                    <w:tl2br w:val="nil"/>
                    <w:tr2bl w:val="nil"/>
                  </w:tcBorders>
                  <w:noWrap w:val="0"/>
                  <w:vAlign w:val="center"/>
                </w:tcPr>
                <w:p w14:paraId="4E34B112">
                  <w:pPr>
                    <w:pStyle w:val="96"/>
                    <w:keepNext w:val="0"/>
                    <w:keepLines w:val="0"/>
                    <w:suppressLineNumbers w:val="0"/>
                    <w:spacing w:before="0" w:beforeAutospacing="0" w:after="0" w:afterAutospacing="0" w:line="240" w:lineRule="auto"/>
                    <w:ind w:left="0" w:right="0"/>
                    <w:jc w:val="center"/>
                    <w:rPr>
                      <w:rFonts w:hint="default" w:ascii="Times New Roman"/>
                      <w:color w:val="000000" w:themeColor="text1"/>
                      <w:szCs w:val="21"/>
                      <w14:textFill>
                        <w14:solidFill>
                          <w14:schemeClr w14:val="tx1"/>
                        </w14:solidFill>
                      </w14:textFill>
                    </w:rPr>
                  </w:pPr>
                  <w:r>
                    <w:rPr>
                      <w:rFonts w:hint="default" w:ascii="Times New Roman"/>
                      <w:color w:val="000000" w:themeColor="text1"/>
                      <w:szCs w:val="21"/>
                      <w14:textFill>
                        <w14:solidFill>
                          <w14:schemeClr w14:val="tx1"/>
                        </w14:solidFill>
                      </w14:textFill>
                    </w:rPr>
                    <w:t>112°59′38″</w:t>
                  </w:r>
                </w:p>
              </w:tc>
              <w:tc>
                <w:tcPr>
                  <w:tcW w:w="807" w:type="pct"/>
                  <w:tcBorders>
                    <w:tl2br w:val="nil"/>
                    <w:tr2bl w:val="nil"/>
                  </w:tcBorders>
                  <w:noWrap w:val="0"/>
                  <w:vAlign w:val="center"/>
                </w:tcPr>
                <w:p w14:paraId="185C63C4">
                  <w:pPr>
                    <w:pStyle w:val="96"/>
                    <w:keepNext w:val="0"/>
                    <w:keepLines w:val="0"/>
                    <w:suppressLineNumbers w:val="0"/>
                    <w:spacing w:before="0" w:beforeAutospacing="0" w:after="0" w:afterAutospacing="0" w:line="240" w:lineRule="auto"/>
                    <w:ind w:left="0" w:right="0"/>
                    <w:jc w:val="center"/>
                    <w:rPr>
                      <w:rFonts w:hint="default" w:ascii="Times New Roman"/>
                      <w:color w:val="000000" w:themeColor="text1"/>
                      <w:szCs w:val="21"/>
                      <w14:textFill>
                        <w14:solidFill>
                          <w14:schemeClr w14:val="tx1"/>
                        </w14:solidFill>
                      </w14:textFill>
                    </w:rPr>
                  </w:pPr>
                  <w:r>
                    <w:rPr>
                      <w:rFonts w:hint="default" w:ascii="Times New Roman"/>
                      <w:color w:val="000000" w:themeColor="text1"/>
                      <w:szCs w:val="21"/>
                      <w14:textFill>
                        <w14:solidFill>
                          <w14:schemeClr w14:val="tx1"/>
                        </w14:solidFill>
                      </w14:textFill>
                    </w:rPr>
                    <w:t>36°19′</w:t>
                  </w:r>
                  <w:r>
                    <w:rPr>
                      <w:rFonts w:hint="eastAsia" w:ascii="Times New Roman"/>
                      <w:color w:val="000000" w:themeColor="text1"/>
                      <w:szCs w:val="21"/>
                      <w:lang w:val="en-US" w:eastAsia="zh-CN"/>
                      <w14:textFill>
                        <w14:solidFill>
                          <w14:schemeClr w14:val="tx1"/>
                        </w14:solidFill>
                      </w14:textFill>
                    </w:rPr>
                    <w:t>19</w:t>
                  </w:r>
                  <w:r>
                    <w:rPr>
                      <w:rFonts w:hint="default" w:ascii="Times New Roman"/>
                      <w:color w:val="000000" w:themeColor="text1"/>
                      <w:szCs w:val="21"/>
                      <w14:textFill>
                        <w14:solidFill>
                          <w14:schemeClr w14:val="tx1"/>
                        </w14:solidFill>
                      </w14:textFill>
                    </w:rPr>
                    <w:t>″</w:t>
                  </w:r>
                </w:p>
              </w:tc>
              <w:tc>
                <w:tcPr>
                  <w:tcW w:w="625" w:type="pct"/>
                  <w:tcBorders>
                    <w:tl2br w:val="nil"/>
                    <w:tr2bl w:val="nil"/>
                  </w:tcBorders>
                  <w:noWrap w:val="0"/>
                  <w:vAlign w:val="center"/>
                </w:tcPr>
                <w:p w14:paraId="492A0C39">
                  <w:pPr>
                    <w:pStyle w:val="96"/>
                    <w:keepNext w:val="0"/>
                    <w:keepLines w:val="0"/>
                    <w:suppressLineNumbers w:val="0"/>
                    <w:spacing w:before="0" w:beforeAutospacing="0" w:after="0" w:afterAutospacing="0" w:line="240" w:lineRule="auto"/>
                    <w:ind w:left="0" w:right="0"/>
                    <w:jc w:val="center"/>
                    <w:rPr>
                      <w:rFonts w:hint="default" w:ascii="Times New Roman"/>
                      <w:color w:val="000000" w:themeColor="text1"/>
                      <w:szCs w:val="21"/>
                      <w14:textFill>
                        <w14:solidFill>
                          <w14:schemeClr w14:val="tx1"/>
                        </w14:solidFill>
                      </w14:textFill>
                    </w:rPr>
                  </w:pPr>
                  <w:r>
                    <w:rPr>
                      <w:rFonts w:hint="default" w:ascii="Times New Roman"/>
                      <w:color w:val="000000" w:themeColor="text1"/>
                      <w:szCs w:val="21"/>
                      <w14:textFill>
                        <w14:solidFill>
                          <w14:schemeClr w14:val="tx1"/>
                        </w14:solidFill>
                      </w14:textFill>
                    </w:rPr>
                    <w:t>2300</w:t>
                  </w:r>
                </w:p>
              </w:tc>
              <w:tc>
                <w:tcPr>
                  <w:tcW w:w="567" w:type="pct"/>
                  <w:tcBorders>
                    <w:tl2br w:val="nil"/>
                    <w:tr2bl w:val="nil"/>
                  </w:tcBorders>
                  <w:shd w:val="clear" w:color="auto" w:fill="auto"/>
                  <w:noWrap w:val="0"/>
                  <w:vAlign w:val="center"/>
                </w:tcPr>
                <w:p w14:paraId="5D017074">
                  <w:pPr>
                    <w:pStyle w:val="96"/>
                    <w:keepNext w:val="0"/>
                    <w:keepLines w:val="0"/>
                    <w:suppressLineNumbers w:val="0"/>
                    <w:spacing w:before="0" w:beforeAutospacing="0" w:after="0" w:afterAutospacing="0" w:line="240" w:lineRule="auto"/>
                    <w:ind w:left="0" w:right="0"/>
                    <w:jc w:val="center"/>
                    <w:rPr>
                      <w:rFonts w:hint="default" w:ascii="Times New Roman"/>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600</w:t>
                  </w:r>
                </w:p>
              </w:tc>
              <w:tc>
                <w:tcPr>
                  <w:tcW w:w="568" w:type="pct"/>
                  <w:vMerge w:val="restart"/>
                  <w:tcBorders>
                    <w:tl2br w:val="nil"/>
                    <w:tr2bl w:val="nil"/>
                  </w:tcBorders>
                  <w:noWrap w:val="0"/>
                  <w:vAlign w:val="center"/>
                </w:tcPr>
                <w:p w14:paraId="5CFE43D6">
                  <w:pPr>
                    <w:pStyle w:val="96"/>
                    <w:keepNext w:val="0"/>
                    <w:keepLines w:val="0"/>
                    <w:suppressLineNumbers w:val="0"/>
                    <w:spacing w:before="0" w:beforeAutospacing="0" w:after="0" w:afterAutospacing="0" w:line="240" w:lineRule="auto"/>
                    <w:ind w:left="0" w:right="0"/>
                    <w:jc w:val="center"/>
                    <w:rPr>
                      <w:rFonts w:hint="default" w:ascii="Times New Roman"/>
                      <w:color w:val="000000" w:themeColor="text1"/>
                      <w:szCs w:val="21"/>
                      <w14:textFill>
                        <w14:solidFill>
                          <w14:schemeClr w14:val="tx1"/>
                        </w14:solidFill>
                      </w14:textFill>
                    </w:rPr>
                  </w:pPr>
                  <w:r>
                    <w:rPr>
                      <w:rFonts w:hint="default" w:ascii="Times New Roman"/>
                      <w:color w:val="000000" w:themeColor="text1"/>
                      <w:szCs w:val="21"/>
                      <w14:textFill>
                        <w14:solidFill>
                          <w14:schemeClr w14:val="tx1"/>
                        </w14:solidFill>
                      </w14:textFill>
                    </w:rPr>
                    <w:t>乡镇</w:t>
                  </w:r>
                </w:p>
              </w:tc>
            </w:tr>
            <w:tr w14:paraId="4DC18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62" w:type="pct"/>
                  <w:tcBorders>
                    <w:tl2br w:val="nil"/>
                    <w:tr2bl w:val="nil"/>
                  </w:tcBorders>
                  <w:noWrap w:val="0"/>
                  <w:vAlign w:val="center"/>
                </w:tcPr>
                <w:p w14:paraId="0784A61D">
                  <w:pPr>
                    <w:pStyle w:val="96"/>
                    <w:keepNext w:val="0"/>
                    <w:keepLines w:val="0"/>
                    <w:suppressLineNumbers w:val="0"/>
                    <w:spacing w:before="0" w:beforeAutospacing="0" w:after="0" w:afterAutospacing="0" w:line="240" w:lineRule="auto"/>
                    <w:ind w:left="0" w:leftChars="0" w:right="0" w:rightChars="0"/>
                    <w:jc w:val="center"/>
                    <w:rPr>
                      <w:rFonts w:hint="default" w:ascii="Times New Roman"/>
                      <w:color w:val="000000" w:themeColor="text1"/>
                      <w:szCs w:val="21"/>
                      <w14:textFill>
                        <w14:solidFill>
                          <w14:schemeClr w14:val="tx1"/>
                        </w14:solidFill>
                      </w14:textFill>
                    </w:rPr>
                  </w:pPr>
                  <w:r>
                    <w:rPr>
                      <w:rFonts w:hint="default" w:ascii="Times New Roman" w:hAnsi="宋体"/>
                      <w:color w:val="000000" w:themeColor="text1"/>
                      <w:szCs w:val="21"/>
                      <w14:textFill>
                        <w14:solidFill>
                          <w14:schemeClr w14:val="tx1"/>
                        </w14:solidFill>
                      </w14:textFill>
                    </w:rPr>
                    <w:t>张店镇集中供水水源</w:t>
                  </w:r>
                </w:p>
              </w:tc>
              <w:tc>
                <w:tcPr>
                  <w:tcW w:w="868" w:type="pct"/>
                  <w:tcBorders>
                    <w:tl2br w:val="nil"/>
                    <w:tr2bl w:val="nil"/>
                  </w:tcBorders>
                  <w:noWrap w:val="0"/>
                  <w:vAlign w:val="center"/>
                </w:tcPr>
                <w:p w14:paraId="3B8EE7E6">
                  <w:pPr>
                    <w:pStyle w:val="96"/>
                    <w:keepNext w:val="0"/>
                    <w:keepLines w:val="0"/>
                    <w:suppressLineNumbers w:val="0"/>
                    <w:spacing w:before="0" w:beforeAutospacing="0" w:after="0" w:afterAutospacing="0" w:line="240" w:lineRule="auto"/>
                    <w:ind w:left="0" w:leftChars="0" w:right="0" w:rightChars="0"/>
                    <w:jc w:val="center"/>
                    <w:rPr>
                      <w:rFonts w:hint="default" w:ascii="Times New Roman"/>
                      <w:color w:val="000000" w:themeColor="text1"/>
                      <w:szCs w:val="21"/>
                      <w14:textFill>
                        <w14:solidFill>
                          <w14:schemeClr w14:val="tx1"/>
                        </w14:solidFill>
                      </w14:textFill>
                    </w:rPr>
                  </w:pPr>
                  <w:r>
                    <w:rPr>
                      <w:rFonts w:hint="default" w:ascii="Times New Roman"/>
                      <w:color w:val="000000" w:themeColor="text1"/>
                      <w:szCs w:val="21"/>
                      <w14:textFill>
                        <w14:solidFill>
                          <w14:schemeClr w14:val="tx1"/>
                        </w14:solidFill>
                      </w14:textFill>
                    </w:rPr>
                    <w:t>112°35′56</w:t>
                  </w:r>
                  <w:r>
                    <w:rPr>
                      <w:rFonts w:hint="eastAsia" w:ascii="Times New Roman"/>
                      <w:color w:val="000000" w:themeColor="text1"/>
                      <w:szCs w:val="21"/>
                      <w:lang w:val="en-US" w:eastAsia="zh-CN"/>
                      <w14:textFill>
                        <w14:solidFill>
                          <w14:schemeClr w14:val="tx1"/>
                        </w14:solidFill>
                      </w14:textFill>
                    </w:rPr>
                    <w:t>.9</w:t>
                  </w:r>
                  <w:r>
                    <w:rPr>
                      <w:rFonts w:hint="default" w:ascii="Times New Roman"/>
                      <w:color w:val="000000" w:themeColor="text1"/>
                      <w:szCs w:val="21"/>
                      <w14:textFill>
                        <w14:solidFill>
                          <w14:schemeClr w14:val="tx1"/>
                        </w14:solidFill>
                      </w14:textFill>
                    </w:rPr>
                    <w:t>″</w:t>
                  </w:r>
                </w:p>
              </w:tc>
              <w:tc>
                <w:tcPr>
                  <w:tcW w:w="807" w:type="pct"/>
                  <w:tcBorders>
                    <w:tl2br w:val="nil"/>
                    <w:tr2bl w:val="nil"/>
                  </w:tcBorders>
                  <w:noWrap w:val="0"/>
                  <w:vAlign w:val="center"/>
                </w:tcPr>
                <w:p w14:paraId="7419A9B0">
                  <w:pPr>
                    <w:pStyle w:val="96"/>
                    <w:keepNext w:val="0"/>
                    <w:keepLines w:val="0"/>
                    <w:suppressLineNumbers w:val="0"/>
                    <w:spacing w:before="0" w:beforeAutospacing="0" w:after="0" w:afterAutospacing="0" w:line="240" w:lineRule="auto"/>
                    <w:ind w:left="0" w:leftChars="0" w:right="0" w:rightChars="0"/>
                    <w:jc w:val="center"/>
                    <w:rPr>
                      <w:rFonts w:hint="default" w:ascii="Times New Roman"/>
                      <w:color w:val="000000" w:themeColor="text1"/>
                      <w:szCs w:val="21"/>
                      <w14:textFill>
                        <w14:solidFill>
                          <w14:schemeClr w14:val="tx1"/>
                        </w14:solidFill>
                      </w14:textFill>
                    </w:rPr>
                  </w:pPr>
                  <w:r>
                    <w:rPr>
                      <w:rFonts w:hint="default" w:ascii="Times New Roman"/>
                      <w:color w:val="000000" w:themeColor="text1"/>
                      <w:szCs w:val="21"/>
                      <w14:textFill>
                        <w14:solidFill>
                          <w14:schemeClr w14:val="tx1"/>
                        </w14:solidFill>
                      </w14:textFill>
                    </w:rPr>
                    <w:t>36°21′</w:t>
                  </w:r>
                  <w:r>
                    <w:rPr>
                      <w:rFonts w:hint="eastAsia" w:ascii="Times New Roman"/>
                      <w:color w:val="000000" w:themeColor="text1"/>
                      <w:szCs w:val="21"/>
                      <w:lang w:val="en-US" w:eastAsia="zh-CN"/>
                      <w14:textFill>
                        <w14:solidFill>
                          <w14:schemeClr w14:val="tx1"/>
                        </w14:solidFill>
                      </w14:textFill>
                    </w:rPr>
                    <w:t>3.</w:t>
                  </w:r>
                  <w:r>
                    <w:rPr>
                      <w:rFonts w:hint="default" w:ascii="Times New Roman"/>
                      <w:color w:val="000000" w:themeColor="text1"/>
                      <w:szCs w:val="21"/>
                      <w14:textFill>
                        <w14:solidFill>
                          <w14:schemeClr w14:val="tx1"/>
                        </w14:solidFill>
                      </w14:textFill>
                    </w:rPr>
                    <w:t>3″</w:t>
                  </w:r>
                </w:p>
              </w:tc>
              <w:tc>
                <w:tcPr>
                  <w:tcW w:w="625" w:type="pct"/>
                  <w:tcBorders>
                    <w:tl2br w:val="nil"/>
                    <w:tr2bl w:val="nil"/>
                  </w:tcBorders>
                  <w:noWrap w:val="0"/>
                  <w:vAlign w:val="center"/>
                </w:tcPr>
                <w:p w14:paraId="17E03190">
                  <w:pPr>
                    <w:pStyle w:val="96"/>
                    <w:keepNext w:val="0"/>
                    <w:keepLines w:val="0"/>
                    <w:suppressLineNumbers w:val="0"/>
                    <w:spacing w:before="0" w:beforeAutospacing="0" w:after="0" w:afterAutospacing="0" w:line="240" w:lineRule="auto"/>
                    <w:ind w:left="0" w:leftChars="0" w:right="0" w:rightChars="0"/>
                    <w:jc w:val="center"/>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2000</w:t>
                  </w:r>
                </w:p>
              </w:tc>
              <w:tc>
                <w:tcPr>
                  <w:tcW w:w="567" w:type="pct"/>
                  <w:tcBorders>
                    <w:tl2br w:val="nil"/>
                    <w:tr2bl w:val="nil"/>
                  </w:tcBorders>
                  <w:noWrap w:val="0"/>
                  <w:vAlign w:val="center"/>
                </w:tcPr>
                <w:p w14:paraId="16572FA2">
                  <w:pPr>
                    <w:pStyle w:val="96"/>
                    <w:keepNext w:val="0"/>
                    <w:keepLines w:val="0"/>
                    <w:suppressLineNumbers w:val="0"/>
                    <w:spacing w:before="0" w:beforeAutospacing="0" w:after="0" w:afterAutospacing="0" w:line="240" w:lineRule="auto"/>
                    <w:ind w:left="0" w:leftChars="0" w:right="0" w:rightChars="0"/>
                    <w:jc w:val="center"/>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480</w:t>
                  </w:r>
                </w:p>
              </w:tc>
              <w:tc>
                <w:tcPr>
                  <w:tcW w:w="568" w:type="pct"/>
                  <w:vMerge w:val="continue"/>
                  <w:tcBorders>
                    <w:tl2br w:val="nil"/>
                    <w:tr2bl w:val="nil"/>
                  </w:tcBorders>
                  <w:noWrap w:val="0"/>
                  <w:vAlign w:val="center"/>
                </w:tcPr>
                <w:p w14:paraId="5D8AF7F8">
                  <w:pPr>
                    <w:pStyle w:val="96"/>
                    <w:keepNext w:val="0"/>
                    <w:keepLines w:val="0"/>
                    <w:suppressLineNumbers w:val="0"/>
                    <w:spacing w:before="0" w:beforeAutospacing="0" w:after="0" w:afterAutospacing="0" w:line="240" w:lineRule="auto"/>
                    <w:ind w:left="0" w:leftChars="0" w:right="0" w:rightChars="0"/>
                    <w:jc w:val="center"/>
                    <w:rPr>
                      <w:rFonts w:hint="eastAsia" w:ascii="Times New Roman" w:eastAsia="宋体"/>
                      <w:color w:val="000000" w:themeColor="text1"/>
                      <w:szCs w:val="21"/>
                      <w:lang w:eastAsia="zh-CN"/>
                      <w14:textFill>
                        <w14:solidFill>
                          <w14:schemeClr w14:val="tx1"/>
                        </w14:solidFill>
                      </w14:textFill>
                    </w:rPr>
                  </w:pPr>
                </w:p>
              </w:tc>
            </w:tr>
            <w:tr w14:paraId="45454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62" w:type="pct"/>
                  <w:tcBorders>
                    <w:tl2br w:val="nil"/>
                    <w:tr2bl w:val="nil"/>
                  </w:tcBorders>
                  <w:noWrap w:val="0"/>
                  <w:vAlign w:val="center"/>
                </w:tcPr>
                <w:p w14:paraId="37973E7C">
                  <w:pPr>
                    <w:pStyle w:val="96"/>
                    <w:keepNext w:val="0"/>
                    <w:keepLines w:val="0"/>
                    <w:suppressLineNumbers w:val="0"/>
                    <w:spacing w:before="0" w:beforeAutospacing="0" w:after="0" w:afterAutospacing="0" w:line="240" w:lineRule="auto"/>
                    <w:ind w:left="0" w:leftChars="0" w:right="0" w:rightChars="0"/>
                    <w:jc w:val="center"/>
                    <w:rPr>
                      <w:rFonts w:hint="default" w:ascii="Times New Roman"/>
                      <w:color w:val="000000" w:themeColor="text1"/>
                      <w:szCs w:val="21"/>
                      <w14:textFill>
                        <w14:solidFill>
                          <w14:schemeClr w14:val="tx1"/>
                        </w14:solidFill>
                      </w14:textFill>
                    </w:rPr>
                  </w:pPr>
                  <w:r>
                    <w:rPr>
                      <w:rFonts w:hint="default" w:ascii="Times New Roman" w:hAnsi="宋体"/>
                      <w:color w:val="000000" w:themeColor="text1"/>
                      <w:szCs w:val="21"/>
                      <w14:textFill>
                        <w14:solidFill>
                          <w14:schemeClr w14:val="tx1"/>
                        </w14:solidFill>
                      </w14:textFill>
                    </w:rPr>
                    <w:t>李高乡集中供水水源</w:t>
                  </w:r>
                </w:p>
              </w:tc>
              <w:tc>
                <w:tcPr>
                  <w:tcW w:w="868" w:type="pct"/>
                  <w:tcBorders>
                    <w:tl2br w:val="nil"/>
                    <w:tr2bl w:val="nil"/>
                  </w:tcBorders>
                  <w:noWrap w:val="0"/>
                  <w:vAlign w:val="center"/>
                </w:tcPr>
                <w:p w14:paraId="48A5297B">
                  <w:pPr>
                    <w:pStyle w:val="96"/>
                    <w:keepNext w:val="0"/>
                    <w:keepLines w:val="0"/>
                    <w:suppressLineNumbers w:val="0"/>
                    <w:spacing w:before="0" w:beforeAutospacing="0" w:after="0" w:afterAutospacing="0" w:line="240" w:lineRule="auto"/>
                    <w:ind w:left="0" w:leftChars="0" w:right="0" w:rightChars="0"/>
                    <w:jc w:val="center"/>
                    <w:rPr>
                      <w:rFonts w:hint="default" w:ascii="Times New Roman"/>
                      <w:color w:val="000000" w:themeColor="text1"/>
                      <w:szCs w:val="21"/>
                      <w14:textFill>
                        <w14:solidFill>
                          <w14:schemeClr w14:val="tx1"/>
                        </w14:solidFill>
                      </w14:textFill>
                    </w:rPr>
                  </w:pPr>
                  <w:r>
                    <w:rPr>
                      <w:rFonts w:hint="default" w:ascii="Times New Roman"/>
                      <w:color w:val="000000" w:themeColor="text1"/>
                      <w:szCs w:val="21"/>
                      <w14:textFill>
                        <w14:solidFill>
                          <w14:schemeClr w14:val="tx1"/>
                        </w14:solidFill>
                      </w14:textFill>
                    </w:rPr>
                    <w:t>112°56′</w:t>
                  </w:r>
                  <w:r>
                    <w:rPr>
                      <w:rFonts w:hint="eastAsia" w:ascii="Times New Roman"/>
                      <w:color w:val="000000" w:themeColor="text1"/>
                      <w:szCs w:val="21"/>
                      <w:lang w:val="en-US" w:eastAsia="zh-CN"/>
                      <w14:textFill>
                        <w14:solidFill>
                          <w14:schemeClr w14:val="tx1"/>
                        </w14:solidFill>
                      </w14:textFill>
                    </w:rPr>
                    <w:t>23</w:t>
                  </w:r>
                  <w:r>
                    <w:rPr>
                      <w:rFonts w:hint="default" w:ascii="Times New Roman"/>
                      <w:color w:val="000000" w:themeColor="text1"/>
                      <w:szCs w:val="21"/>
                      <w14:textFill>
                        <w14:solidFill>
                          <w14:schemeClr w14:val="tx1"/>
                        </w14:solidFill>
                      </w14:textFill>
                    </w:rPr>
                    <w:t>″</w:t>
                  </w:r>
                </w:p>
              </w:tc>
              <w:tc>
                <w:tcPr>
                  <w:tcW w:w="807" w:type="pct"/>
                  <w:tcBorders>
                    <w:tl2br w:val="nil"/>
                    <w:tr2bl w:val="nil"/>
                  </w:tcBorders>
                  <w:noWrap w:val="0"/>
                  <w:vAlign w:val="center"/>
                </w:tcPr>
                <w:p w14:paraId="7D9B3740">
                  <w:pPr>
                    <w:pStyle w:val="96"/>
                    <w:keepNext w:val="0"/>
                    <w:keepLines w:val="0"/>
                    <w:suppressLineNumbers w:val="0"/>
                    <w:spacing w:before="0" w:beforeAutospacing="0" w:after="0" w:afterAutospacing="0" w:line="240" w:lineRule="auto"/>
                    <w:ind w:left="0" w:leftChars="0" w:right="0" w:rightChars="0"/>
                    <w:jc w:val="center"/>
                    <w:rPr>
                      <w:rFonts w:hint="default" w:ascii="Times New Roman"/>
                      <w:color w:val="000000" w:themeColor="text1"/>
                      <w:szCs w:val="21"/>
                      <w14:textFill>
                        <w14:solidFill>
                          <w14:schemeClr w14:val="tx1"/>
                        </w14:solidFill>
                      </w14:textFill>
                    </w:rPr>
                  </w:pPr>
                  <w:r>
                    <w:rPr>
                      <w:rFonts w:hint="default" w:ascii="Times New Roman"/>
                      <w:color w:val="000000" w:themeColor="text1"/>
                      <w:szCs w:val="21"/>
                      <w14:textFill>
                        <w14:solidFill>
                          <w14:schemeClr w14:val="tx1"/>
                        </w14:solidFill>
                      </w14:textFill>
                    </w:rPr>
                    <w:t>36°15′2</w:t>
                  </w:r>
                  <w:r>
                    <w:rPr>
                      <w:rFonts w:hint="eastAsia" w:ascii="Times New Roman"/>
                      <w:color w:val="000000" w:themeColor="text1"/>
                      <w:szCs w:val="21"/>
                      <w:lang w:val="en-US" w:eastAsia="zh-CN"/>
                      <w14:textFill>
                        <w14:solidFill>
                          <w14:schemeClr w14:val="tx1"/>
                        </w14:solidFill>
                      </w14:textFill>
                    </w:rPr>
                    <w:t>1</w:t>
                  </w:r>
                  <w:r>
                    <w:rPr>
                      <w:rFonts w:hint="default" w:ascii="Times New Roman"/>
                      <w:color w:val="000000" w:themeColor="text1"/>
                      <w:szCs w:val="21"/>
                      <w14:textFill>
                        <w14:solidFill>
                          <w14:schemeClr w14:val="tx1"/>
                        </w14:solidFill>
                      </w14:textFill>
                    </w:rPr>
                    <w:t>″</w:t>
                  </w:r>
                </w:p>
              </w:tc>
              <w:tc>
                <w:tcPr>
                  <w:tcW w:w="625" w:type="pct"/>
                  <w:tcBorders>
                    <w:tl2br w:val="nil"/>
                    <w:tr2bl w:val="nil"/>
                  </w:tcBorders>
                  <w:noWrap w:val="0"/>
                  <w:vAlign w:val="center"/>
                </w:tcPr>
                <w:p w14:paraId="3AFF6F51">
                  <w:pPr>
                    <w:pStyle w:val="96"/>
                    <w:keepNext w:val="0"/>
                    <w:keepLines w:val="0"/>
                    <w:suppressLineNumbers w:val="0"/>
                    <w:spacing w:before="0" w:beforeAutospacing="0" w:after="0" w:afterAutospacing="0" w:line="240" w:lineRule="auto"/>
                    <w:ind w:left="0" w:leftChars="0" w:right="0" w:rightChars="0"/>
                    <w:jc w:val="center"/>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2100</w:t>
                  </w:r>
                </w:p>
              </w:tc>
              <w:tc>
                <w:tcPr>
                  <w:tcW w:w="567" w:type="pct"/>
                  <w:tcBorders>
                    <w:tl2br w:val="nil"/>
                    <w:tr2bl w:val="nil"/>
                  </w:tcBorders>
                  <w:noWrap w:val="0"/>
                  <w:vAlign w:val="center"/>
                </w:tcPr>
                <w:p w14:paraId="668040A8">
                  <w:pPr>
                    <w:pStyle w:val="96"/>
                    <w:keepNext w:val="0"/>
                    <w:keepLines w:val="0"/>
                    <w:suppressLineNumbers w:val="0"/>
                    <w:spacing w:before="0" w:beforeAutospacing="0" w:after="0" w:afterAutospacing="0" w:line="240" w:lineRule="auto"/>
                    <w:ind w:left="0" w:leftChars="0" w:right="0" w:rightChars="0"/>
                    <w:jc w:val="center"/>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768</w:t>
                  </w:r>
                </w:p>
              </w:tc>
              <w:tc>
                <w:tcPr>
                  <w:tcW w:w="568" w:type="pct"/>
                  <w:vMerge w:val="continue"/>
                  <w:tcBorders>
                    <w:tl2br w:val="nil"/>
                    <w:tr2bl w:val="nil"/>
                  </w:tcBorders>
                  <w:noWrap w:val="0"/>
                  <w:vAlign w:val="center"/>
                </w:tcPr>
                <w:p w14:paraId="0612AD0F">
                  <w:pPr>
                    <w:pStyle w:val="96"/>
                    <w:keepNext w:val="0"/>
                    <w:keepLines w:val="0"/>
                    <w:suppressLineNumbers w:val="0"/>
                    <w:spacing w:before="0" w:beforeAutospacing="0" w:after="0" w:afterAutospacing="0" w:line="240" w:lineRule="auto"/>
                    <w:ind w:left="0" w:leftChars="0" w:right="0" w:rightChars="0"/>
                    <w:jc w:val="center"/>
                    <w:rPr>
                      <w:rFonts w:hint="default" w:ascii="Times New Roman"/>
                      <w:color w:val="000000" w:themeColor="text1"/>
                      <w:szCs w:val="21"/>
                      <w14:textFill>
                        <w14:solidFill>
                          <w14:schemeClr w14:val="tx1"/>
                        </w14:solidFill>
                      </w14:textFill>
                    </w:rPr>
                  </w:pPr>
                </w:p>
              </w:tc>
            </w:tr>
            <w:tr w14:paraId="06C99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62" w:type="pct"/>
                  <w:tcBorders>
                    <w:tl2br w:val="nil"/>
                    <w:tr2bl w:val="nil"/>
                  </w:tcBorders>
                  <w:noWrap w:val="0"/>
                  <w:vAlign w:val="center"/>
                </w:tcPr>
                <w:p w14:paraId="0582E3AA">
                  <w:pPr>
                    <w:pStyle w:val="96"/>
                    <w:keepNext w:val="0"/>
                    <w:keepLines w:val="0"/>
                    <w:suppressLineNumbers w:val="0"/>
                    <w:spacing w:before="0" w:beforeAutospacing="0" w:after="0" w:afterAutospacing="0" w:line="240" w:lineRule="auto"/>
                    <w:ind w:left="0" w:leftChars="0" w:right="0" w:rightChars="0"/>
                    <w:jc w:val="center"/>
                    <w:rPr>
                      <w:rFonts w:hint="default" w:ascii="Times New Roman"/>
                      <w:color w:val="000000" w:themeColor="text1"/>
                      <w:szCs w:val="21"/>
                      <w14:textFill>
                        <w14:solidFill>
                          <w14:schemeClr w14:val="tx1"/>
                        </w14:solidFill>
                      </w14:textFill>
                    </w:rPr>
                  </w:pPr>
                  <w:r>
                    <w:rPr>
                      <w:rFonts w:hint="default" w:ascii="Times New Roman" w:hAnsi="宋体"/>
                      <w:color w:val="000000" w:themeColor="text1"/>
                      <w:szCs w:val="21"/>
                      <w14:textFill>
                        <w14:solidFill>
                          <w14:schemeClr w14:val="tx1"/>
                        </w14:solidFill>
                      </w14:textFill>
                    </w:rPr>
                    <w:t>上莲开发区集中供水水源</w:t>
                  </w:r>
                </w:p>
              </w:tc>
              <w:tc>
                <w:tcPr>
                  <w:tcW w:w="868" w:type="pct"/>
                  <w:tcBorders>
                    <w:tl2br w:val="nil"/>
                    <w:tr2bl w:val="nil"/>
                  </w:tcBorders>
                  <w:noWrap w:val="0"/>
                  <w:vAlign w:val="center"/>
                </w:tcPr>
                <w:p w14:paraId="67EE0812">
                  <w:pPr>
                    <w:pStyle w:val="96"/>
                    <w:keepNext w:val="0"/>
                    <w:keepLines w:val="0"/>
                    <w:suppressLineNumbers w:val="0"/>
                    <w:spacing w:before="0" w:beforeAutospacing="0" w:after="0" w:afterAutospacing="0" w:line="240" w:lineRule="auto"/>
                    <w:ind w:left="0" w:leftChars="0" w:right="0" w:rightChars="0"/>
                    <w:jc w:val="center"/>
                    <w:rPr>
                      <w:rFonts w:hint="default" w:ascii="Times New Roman"/>
                      <w:color w:val="000000" w:themeColor="text1"/>
                      <w:szCs w:val="21"/>
                      <w14:textFill>
                        <w14:solidFill>
                          <w14:schemeClr w14:val="tx1"/>
                        </w14:solidFill>
                      </w14:textFill>
                    </w:rPr>
                  </w:pPr>
                  <w:r>
                    <w:rPr>
                      <w:rFonts w:hint="default" w:ascii="Times New Roman"/>
                      <w:color w:val="000000" w:themeColor="text1"/>
                      <w:szCs w:val="21"/>
                      <w14:textFill>
                        <w14:solidFill>
                          <w14:schemeClr w14:val="tx1"/>
                        </w14:solidFill>
                      </w14:textFill>
                    </w:rPr>
                    <w:t>112°50′22</w:t>
                  </w:r>
                  <w:r>
                    <w:rPr>
                      <w:rFonts w:hint="eastAsia" w:ascii="Times New Roman"/>
                      <w:color w:val="000000" w:themeColor="text1"/>
                      <w:szCs w:val="21"/>
                      <w:lang w:val="en-US" w:eastAsia="zh-CN"/>
                      <w14:textFill>
                        <w14:solidFill>
                          <w14:schemeClr w14:val="tx1"/>
                        </w14:solidFill>
                      </w14:textFill>
                    </w:rPr>
                    <w:t>.5</w:t>
                  </w:r>
                  <w:r>
                    <w:rPr>
                      <w:rFonts w:hint="default" w:ascii="Times New Roman"/>
                      <w:color w:val="000000" w:themeColor="text1"/>
                      <w:szCs w:val="21"/>
                      <w14:textFill>
                        <w14:solidFill>
                          <w14:schemeClr w14:val="tx1"/>
                        </w14:solidFill>
                      </w14:textFill>
                    </w:rPr>
                    <w:t>″</w:t>
                  </w:r>
                </w:p>
              </w:tc>
              <w:tc>
                <w:tcPr>
                  <w:tcW w:w="807" w:type="pct"/>
                  <w:tcBorders>
                    <w:tl2br w:val="nil"/>
                    <w:tr2bl w:val="nil"/>
                  </w:tcBorders>
                  <w:noWrap w:val="0"/>
                  <w:vAlign w:val="center"/>
                </w:tcPr>
                <w:p w14:paraId="77C18944">
                  <w:pPr>
                    <w:pStyle w:val="96"/>
                    <w:keepNext w:val="0"/>
                    <w:keepLines w:val="0"/>
                    <w:suppressLineNumbers w:val="0"/>
                    <w:spacing w:before="0" w:beforeAutospacing="0" w:after="0" w:afterAutospacing="0" w:line="240" w:lineRule="auto"/>
                    <w:ind w:left="0" w:leftChars="0" w:right="0" w:rightChars="0"/>
                    <w:jc w:val="center"/>
                    <w:rPr>
                      <w:rFonts w:hint="default" w:ascii="Times New Roman"/>
                      <w:color w:val="000000" w:themeColor="text1"/>
                      <w:szCs w:val="21"/>
                      <w14:textFill>
                        <w14:solidFill>
                          <w14:schemeClr w14:val="tx1"/>
                        </w14:solidFill>
                      </w14:textFill>
                    </w:rPr>
                  </w:pPr>
                  <w:r>
                    <w:rPr>
                      <w:rFonts w:hint="default" w:ascii="Times New Roman"/>
                      <w:color w:val="000000" w:themeColor="text1"/>
                      <w:szCs w:val="21"/>
                      <w14:textFill>
                        <w14:solidFill>
                          <w14:schemeClr w14:val="tx1"/>
                        </w14:solidFill>
                      </w14:textFill>
                    </w:rPr>
                    <w:t>36°25′56</w:t>
                  </w:r>
                  <w:r>
                    <w:rPr>
                      <w:rFonts w:hint="eastAsia" w:ascii="Times New Roman"/>
                      <w:color w:val="000000" w:themeColor="text1"/>
                      <w:szCs w:val="21"/>
                      <w:lang w:val="en-US" w:eastAsia="zh-CN"/>
                      <w14:textFill>
                        <w14:solidFill>
                          <w14:schemeClr w14:val="tx1"/>
                        </w14:solidFill>
                      </w14:textFill>
                    </w:rPr>
                    <w:t>.2</w:t>
                  </w:r>
                  <w:r>
                    <w:rPr>
                      <w:rFonts w:hint="default" w:ascii="Times New Roman"/>
                      <w:color w:val="000000" w:themeColor="text1"/>
                      <w:szCs w:val="21"/>
                      <w14:textFill>
                        <w14:solidFill>
                          <w14:schemeClr w14:val="tx1"/>
                        </w14:solidFill>
                      </w14:textFill>
                    </w:rPr>
                    <w:t>″</w:t>
                  </w:r>
                </w:p>
              </w:tc>
              <w:tc>
                <w:tcPr>
                  <w:tcW w:w="625" w:type="pct"/>
                  <w:tcBorders>
                    <w:tl2br w:val="nil"/>
                    <w:tr2bl w:val="nil"/>
                  </w:tcBorders>
                  <w:noWrap w:val="0"/>
                  <w:vAlign w:val="center"/>
                </w:tcPr>
                <w:p w14:paraId="04619385">
                  <w:pPr>
                    <w:pStyle w:val="96"/>
                    <w:keepNext w:val="0"/>
                    <w:keepLines w:val="0"/>
                    <w:suppressLineNumbers w:val="0"/>
                    <w:spacing w:before="0" w:beforeAutospacing="0" w:after="0" w:afterAutospacing="0" w:line="240" w:lineRule="auto"/>
                    <w:ind w:left="0" w:leftChars="0" w:right="0" w:rightChars="0"/>
                    <w:jc w:val="center"/>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1000</w:t>
                  </w:r>
                </w:p>
              </w:tc>
              <w:tc>
                <w:tcPr>
                  <w:tcW w:w="567" w:type="pct"/>
                  <w:tcBorders>
                    <w:tl2br w:val="nil"/>
                    <w:tr2bl w:val="nil"/>
                  </w:tcBorders>
                  <w:noWrap w:val="0"/>
                  <w:vAlign w:val="center"/>
                </w:tcPr>
                <w:p w14:paraId="4C15621D">
                  <w:pPr>
                    <w:pStyle w:val="96"/>
                    <w:keepNext w:val="0"/>
                    <w:keepLines w:val="0"/>
                    <w:suppressLineNumbers w:val="0"/>
                    <w:spacing w:before="0" w:beforeAutospacing="0" w:after="0" w:afterAutospacing="0" w:line="240" w:lineRule="auto"/>
                    <w:ind w:left="0" w:leftChars="0" w:right="0" w:rightChars="0"/>
                    <w:jc w:val="center"/>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240</w:t>
                  </w:r>
                </w:p>
              </w:tc>
              <w:tc>
                <w:tcPr>
                  <w:tcW w:w="568" w:type="pct"/>
                  <w:vMerge w:val="continue"/>
                  <w:tcBorders>
                    <w:tl2br w:val="nil"/>
                    <w:tr2bl w:val="nil"/>
                  </w:tcBorders>
                  <w:noWrap w:val="0"/>
                  <w:vAlign w:val="center"/>
                </w:tcPr>
                <w:p w14:paraId="49DDC60F">
                  <w:pPr>
                    <w:pStyle w:val="96"/>
                    <w:keepNext w:val="0"/>
                    <w:keepLines w:val="0"/>
                    <w:suppressLineNumbers w:val="0"/>
                    <w:spacing w:before="0" w:beforeAutospacing="0" w:after="0" w:afterAutospacing="0" w:line="240" w:lineRule="auto"/>
                    <w:ind w:left="0" w:leftChars="0" w:right="0" w:rightChars="0"/>
                    <w:jc w:val="center"/>
                    <w:rPr>
                      <w:rFonts w:hint="default" w:ascii="Times New Roman"/>
                      <w:color w:val="000000" w:themeColor="text1"/>
                      <w:szCs w:val="21"/>
                      <w14:textFill>
                        <w14:solidFill>
                          <w14:schemeClr w14:val="tx1"/>
                        </w14:solidFill>
                      </w14:textFill>
                    </w:rPr>
                  </w:pPr>
                </w:p>
              </w:tc>
            </w:tr>
            <w:tr w14:paraId="4FB7D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62" w:type="pct"/>
                  <w:tcBorders>
                    <w:tl2br w:val="nil"/>
                    <w:tr2bl w:val="nil"/>
                  </w:tcBorders>
                  <w:noWrap w:val="0"/>
                  <w:vAlign w:val="center"/>
                </w:tcPr>
                <w:p w14:paraId="3D0797F4">
                  <w:pPr>
                    <w:pStyle w:val="96"/>
                    <w:keepNext w:val="0"/>
                    <w:keepLines w:val="0"/>
                    <w:suppressLineNumbers w:val="0"/>
                    <w:spacing w:before="0" w:beforeAutospacing="0" w:after="0" w:afterAutospacing="0" w:line="240" w:lineRule="auto"/>
                    <w:ind w:left="0" w:right="0"/>
                    <w:jc w:val="center"/>
                    <w:rPr>
                      <w:rFonts w:hint="default" w:ascii="Times New Roman"/>
                      <w:color w:val="000000" w:themeColor="text1"/>
                      <w:szCs w:val="21"/>
                      <w14:textFill>
                        <w14:solidFill>
                          <w14:schemeClr w14:val="tx1"/>
                        </w14:solidFill>
                      </w14:textFill>
                    </w:rPr>
                  </w:pPr>
                  <w:r>
                    <w:rPr>
                      <w:rFonts w:hint="default" w:ascii="Times New Roman" w:hAnsi="宋体"/>
                      <w:color w:val="000000" w:themeColor="text1"/>
                      <w:szCs w:val="21"/>
                      <w14:textFill>
                        <w14:solidFill>
                          <w14:schemeClr w14:val="tx1"/>
                        </w14:solidFill>
                      </w14:textFill>
                    </w:rPr>
                    <w:t>河神庙乡集中供水水源</w:t>
                  </w:r>
                </w:p>
              </w:tc>
              <w:tc>
                <w:tcPr>
                  <w:tcW w:w="868" w:type="pct"/>
                  <w:tcBorders>
                    <w:tl2br w:val="nil"/>
                    <w:tr2bl w:val="nil"/>
                  </w:tcBorders>
                  <w:noWrap w:val="0"/>
                  <w:vAlign w:val="center"/>
                </w:tcPr>
                <w:p w14:paraId="73B15F00">
                  <w:pPr>
                    <w:pStyle w:val="96"/>
                    <w:keepNext w:val="0"/>
                    <w:keepLines w:val="0"/>
                    <w:suppressLineNumbers w:val="0"/>
                    <w:spacing w:before="0" w:beforeAutospacing="0" w:after="0" w:afterAutospacing="0" w:line="240" w:lineRule="auto"/>
                    <w:ind w:left="0" w:right="0"/>
                    <w:jc w:val="center"/>
                    <w:rPr>
                      <w:rFonts w:hint="default" w:ascii="Times New Roman"/>
                      <w:color w:val="000000" w:themeColor="text1"/>
                      <w:szCs w:val="21"/>
                      <w14:textFill>
                        <w14:solidFill>
                          <w14:schemeClr w14:val="tx1"/>
                        </w14:solidFill>
                      </w14:textFill>
                    </w:rPr>
                  </w:pPr>
                  <w:r>
                    <w:rPr>
                      <w:rFonts w:hint="default" w:ascii="Times New Roman"/>
                      <w:color w:val="000000" w:themeColor="text1"/>
                      <w:szCs w:val="21"/>
                      <w14:textFill>
                        <w14:solidFill>
                          <w14:schemeClr w14:val="tx1"/>
                        </w14:solidFill>
                      </w14:textFill>
                    </w:rPr>
                    <w:t>112°43′20</w:t>
                  </w:r>
                  <w:r>
                    <w:rPr>
                      <w:rFonts w:hint="eastAsia" w:ascii="Times New Roman"/>
                      <w:color w:val="000000" w:themeColor="text1"/>
                      <w:szCs w:val="21"/>
                      <w:lang w:val="en-US" w:eastAsia="zh-CN"/>
                      <w14:textFill>
                        <w14:solidFill>
                          <w14:schemeClr w14:val="tx1"/>
                        </w14:solidFill>
                      </w14:textFill>
                    </w:rPr>
                    <w:t>.7</w:t>
                  </w:r>
                  <w:r>
                    <w:rPr>
                      <w:rFonts w:hint="default" w:ascii="Times New Roman"/>
                      <w:color w:val="000000" w:themeColor="text1"/>
                      <w:szCs w:val="21"/>
                      <w14:textFill>
                        <w14:solidFill>
                          <w14:schemeClr w14:val="tx1"/>
                        </w14:solidFill>
                      </w14:textFill>
                    </w:rPr>
                    <w:t>″</w:t>
                  </w:r>
                </w:p>
              </w:tc>
              <w:tc>
                <w:tcPr>
                  <w:tcW w:w="807" w:type="pct"/>
                  <w:tcBorders>
                    <w:tl2br w:val="nil"/>
                    <w:tr2bl w:val="nil"/>
                  </w:tcBorders>
                  <w:noWrap w:val="0"/>
                  <w:vAlign w:val="center"/>
                </w:tcPr>
                <w:p w14:paraId="2CAD3933">
                  <w:pPr>
                    <w:pStyle w:val="96"/>
                    <w:keepNext w:val="0"/>
                    <w:keepLines w:val="0"/>
                    <w:suppressLineNumbers w:val="0"/>
                    <w:spacing w:before="0" w:beforeAutospacing="0" w:after="0" w:afterAutospacing="0" w:line="240" w:lineRule="auto"/>
                    <w:ind w:left="0" w:right="0"/>
                    <w:jc w:val="center"/>
                    <w:rPr>
                      <w:rFonts w:hint="default" w:ascii="Times New Roman"/>
                      <w:color w:val="000000" w:themeColor="text1"/>
                      <w:szCs w:val="21"/>
                      <w14:textFill>
                        <w14:solidFill>
                          <w14:schemeClr w14:val="tx1"/>
                        </w14:solidFill>
                      </w14:textFill>
                    </w:rPr>
                  </w:pPr>
                  <w:r>
                    <w:rPr>
                      <w:rFonts w:hint="default" w:ascii="Times New Roman"/>
                      <w:color w:val="000000" w:themeColor="text1"/>
                      <w:szCs w:val="21"/>
                      <w14:textFill>
                        <w14:solidFill>
                          <w14:schemeClr w14:val="tx1"/>
                        </w14:solidFill>
                      </w14:textFill>
                    </w:rPr>
                    <w:t>36°18′26</w:t>
                  </w:r>
                  <w:r>
                    <w:rPr>
                      <w:rFonts w:hint="eastAsia" w:ascii="Times New Roman"/>
                      <w:color w:val="000000" w:themeColor="text1"/>
                      <w:szCs w:val="21"/>
                      <w:lang w:val="en-US" w:eastAsia="zh-CN"/>
                      <w14:textFill>
                        <w14:solidFill>
                          <w14:schemeClr w14:val="tx1"/>
                        </w14:solidFill>
                      </w14:textFill>
                    </w:rPr>
                    <w:t>.3</w:t>
                  </w:r>
                  <w:r>
                    <w:rPr>
                      <w:rFonts w:hint="default" w:ascii="Times New Roman"/>
                      <w:color w:val="000000" w:themeColor="text1"/>
                      <w:szCs w:val="21"/>
                      <w14:textFill>
                        <w14:solidFill>
                          <w14:schemeClr w14:val="tx1"/>
                        </w14:solidFill>
                      </w14:textFill>
                    </w:rPr>
                    <w:t>″</w:t>
                  </w:r>
                </w:p>
              </w:tc>
              <w:tc>
                <w:tcPr>
                  <w:tcW w:w="625" w:type="pct"/>
                  <w:tcBorders>
                    <w:tl2br w:val="nil"/>
                    <w:tr2bl w:val="nil"/>
                  </w:tcBorders>
                  <w:noWrap w:val="0"/>
                  <w:vAlign w:val="center"/>
                </w:tcPr>
                <w:p w14:paraId="4F135193">
                  <w:pPr>
                    <w:pStyle w:val="96"/>
                    <w:keepNext w:val="0"/>
                    <w:keepLines w:val="0"/>
                    <w:suppressLineNumbers w:val="0"/>
                    <w:spacing w:before="0" w:beforeAutospacing="0" w:after="0" w:afterAutospacing="0" w:line="240" w:lineRule="auto"/>
                    <w:ind w:left="0" w:right="0"/>
                    <w:jc w:val="center"/>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8500</w:t>
                  </w:r>
                </w:p>
              </w:tc>
              <w:tc>
                <w:tcPr>
                  <w:tcW w:w="567" w:type="pct"/>
                  <w:tcBorders>
                    <w:tl2br w:val="nil"/>
                    <w:tr2bl w:val="nil"/>
                  </w:tcBorders>
                  <w:noWrap w:val="0"/>
                  <w:vAlign w:val="center"/>
                </w:tcPr>
                <w:p w14:paraId="7CEF095D">
                  <w:pPr>
                    <w:pStyle w:val="96"/>
                    <w:keepNext w:val="0"/>
                    <w:keepLines w:val="0"/>
                    <w:suppressLineNumbers w:val="0"/>
                    <w:spacing w:before="0" w:beforeAutospacing="0" w:after="0" w:afterAutospacing="0" w:line="240" w:lineRule="auto"/>
                    <w:ind w:left="0" w:right="0"/>
                    <w:jc w:val="center"/>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480</w:t>
                  </w:r>
                </w:p>
              </w:tc>
              <w:tc>
                <w:tcPr>
                  <w:tcW w:w="568" w:type="pct"/>
                  <w:vMerge w:val="restart"/>
                  <w:tcBorders>
                    <w:tl2br w:val="nil"/>
                    <w:tr2bl w:val="nil"/>
                  </w:tcBorders>
                  <w:noWrap w:val="0"/>
                  <w:vAlign w:val="center"/>
                </w:tcPr>
                <w:p w14:paraId="0A72A662">
                  <w:pPr>
                    <w:pStyle w:val="96"/>
                    <w:keepNext w:val="0"/>
                    <w:keepLines w:val="0"/>
                    <w:suppressLineNumbers w:val="0"/>
                    <w:spacing w:before="0" w:beforeAutospacing="0" w:after="0" w:afterAutospacing="0" w:line="240" w:lineRule="auto"/>
                    <w:ind w:left="0" w:right="0"/>
                    <w:jc w:val="center"/>
                    <w:rPr>
                      <w:rFonts w:hint="default" w:ascii="Times New Roman"/>
                      <w:color w:val="000000" w:themeColor="text1"/>
                      <w:szCs w:val="21"/>
                      <w14:textFill>
                        <w14:solidFill>
                          <w14:schemeClr w14:val="tx1"/>
                        </w14:solidFill>
                      </w14:textFill>
                    </w:rPr>
                  </w:pPr>
                  <w:r>
                    <w:rPr>
                      <w:rFonts w:hint="default" w:ascii="Times New Roman"/>
                      <w:color w:val="000000" w:themeColor="text1"/>
                      <w:szCs w:val="21"/>
                      <w14:textFill>
                        <w14:solidFill>
                          <w14:schemeClr w14:val="tx1"/>
                        </w14:solidFill>
                      </w14:textFill>
                    </w:rPr>
                    <w:t>千吨万人</w:t>
                  </w:r>
                </w:p>
              </w:tc>
            </w:tr>
            <w:tr w14:paraId="65CF0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62" w:type="pct"/>
                  <w:tcBorders>
                    <w:tl2br w:val="nil"/>
                    <w:tr2bl w:val="nil"/>
                  </w:tcBorders>
                  <w:noWrap w:val="0"/>
                  <w:vAlign w:val="center"/>
                </w:tcPr>
                <w:p w14:paraId="45363864">
                  <w:pPr>
                    <w:pStyle w:val="96"/>
                    <w:keepNext w:val="0"/>
                    <w:keepLines w:val="0"/>
                    <w:suppressLineNumbers w:val="0"/>
                    <w:spacing w:before="0" w:beforeAutospacing="0" w:after="0" w:afterAutospacing="0" w:line="240" w:lineRule="auto"/>
                    <w:ind w:left="0" w:leftChars="0" w:right="0" w:rightChars="0"/>
                    <w:jc w:val="center"/>
                    <w:rPr>
                      <w:rFonts w:hint="default" w:ascii="Times New Roman" w:hAnsi="宋体"/>
                      <w:color w:val="000000" w:themeColor="text1"/>
                      <w:szCs w:val="21"/>
                      <w14:textFill>
                        <w14:solidFill>
                          <w14:schemeClr w14:val="tx1"/>
                        </w14:solidFill>
                      </w14:textFill>
                    </w:rPr>
                  </w:pPr>
                  <w:r>
                    <w:rPr>
                      <w:rFonts w:hint="default" w:ascii="Times New Roman" w:hAnsi="宋体"/>
                      <w:color w:val="000000" w:themeColor="text1"/>
                      <w:szCs w:val="21"/>
                      <w14:textFill>
                        <w14:solidFill>
                          <w14:schemeClr w14:val="tx1"/>
                        </w14:solidFill>
                      </w14:textFill>
                    </w:rPr>
                    <w:t>渔泽镇集中供水水源</w:t>
                  </w:r>
                </w:p>
              </w:tc>
              <w:tc>
                <w:tcPr>
                  <w:tcW w:w="868" w:type="pct"/>
                  <w:tcBorders>
                    <w:tl2br w:val="nil"/>
                    <w:tr2bl w:val="nil"/>
                  </w:tcBorders>
                  <w:noWrap w:val="0"/>
                  <w:vAlign w:val="center"/>
                </w:tcPr>
                <w:p w14:paraId="37C137FF">
                  <w:pPr>
                    <w:pStyle w:val="96"/>
                    <w:keepNext w:val="0"/>
                    <w:keepLines w:val="0"/>
                    <w:suppressLineNumbers w:val="0"/>
                    <w:spacing w:before="0" w:beforeAutospacing="0" w:after="0" w:afterAutospacing="0" w:line="240" w:lineRule="auto"/>
                    <w:ind w:left="0" w:leftChars="0" w:right="0" w:rightChars="0"/>
                    <w:jc w:val="center"/>
                    <w:rPr>
                      <w:rFonts w:hint="default" w:ascii="Times New Roman"/>
                      <w:color w:val="000000" w:themeColor="text1"/>
                      <w:szCs w:val="21"/>
                      <w14:textFill>
                        <w14:solidFill>
                          <w14:schemeClr w14:val="tx1"/>
                        </w14:solidFill>
                      </w14:textFill>
                    </w:rPr>
                  </w:pPr>
                  <w:r>
                    <w:rPr>
                      <w:rFonts w:hint="default" w:ascii="Times New Roman"/>
                      <w:color w:val="000000" w:themeColor="text1"/>
                      <w:szCs w:val="21"/>
                      <w14:textFill>
                        <w14:solidFill>
                          <w14:schemeClr w14:val="tx1"/>
                        </w14:solidFill>
                      </w14:textFill>
                    </w:rPr>
                    <w:t>112°58′48</w:t>
                  </w:r>
                  <w:r>
                    <w:rPr>
                      <w:rFonts w:hint="eastAsia" w:ascii="Times New Roman"/>
                      <w:color w:val="000000" w:themeColor="text1"/>
                      <w:szCs w:val="21"/>
                      <w:lang w:val="en-US" w:eastAsia="zh-CN"/>
                      <w14:textFill>
                        <w14:solidFill>
                          <w14:schemeClr w14:val="tx1"/>
                        </w14:solidFill>
                      </w14:textFill>
                    </w:rPr>
                    <w:t>.6</w:t>
                  </w:r>
                  <w:r>
                    <w:rPr>
                      <w:rFonts w:hint="default" w:ascii="Times New Roman"/>
                      <w:color w:val="000000" w:themeColor="text1"/>
                      <w:szCs w:val="21"/>
                      <w14:textFill>
                        <w14:solidFill>
                          <w14:schemeClr w14:val="tx1"/>
                        </w14:solidFill>
                      </w14:textFill>
                    </w:rPr>
                    <w:t>″</w:t>
                  </w:r>
                </w:p>
              </w:tc>
              <w:tc>
                <w:tcPr>
                  <w:tcW w:w="807" w:type="pct"/>
                  <w:tcBorders>
                    <w:tl2br w:val="nil"/>
                    <w:tr2bl w:val="nil"/>
                  </w:tcBorders>
                  <w:noWrap w:val="0"/>
                  <w:vAlign w:val="center"/>
                </w:tcPr>
                <w:p w14:paraId="1BA63030">
                  <w:pPr>
                    <w:pStyle w:val="96"/>
                    <w:keepNext w:val="0"/>
                    <w:keepLines w:val="0"/>
                    <w:suppressLineNumbers w:val="0"/>
                    <w:spacing w:before="0" w:beforeAutospacing="0" w:after="0" w:afterAutospacing="0" w:line="240" w:lineRule="auto"/>
                    <w:ind w:left="0" w:leftChars="0" w:right="0" w:rightChars="0"/>
                    <w:jc w:val="center"/>
                    <w:rPr>
                      <w:rFonts w:hint="default" w:ascii="Times New Roman"/>
                      <w:color w:val="000000" w:themeColor="text1"/>
                      <w:szCs w:val="21"/>
                      <w14:textFill>
                        <w14:solidFill>
                          <w14:schemeClr w14:val="tx1"/>
                        </w14:solidFill>
                      </w14:textFill>
                    </w:rPr>
                  </w:pPr>
                  <w:r>
                    <w:rPr>
                      <w:rFonts w:hint="default" w:ascii="Times New Roman"/>
                      <w:color w:val="000000" w:themeColor="text1"/>
                      <w:szCs w:val="21"/>
                      <w14:textFill>
                        <w14:solidFill>
                          <w14:schemeClr w14:val="tx1"/>
                        </w14:solidFill>
                      </w14:textFill>
                    </w:rPr>
                    <w:t>36°21′35″</w:t>
                  </w:r>
                </w:p>
              </w:tc>
              <w:tc>
                <w:tcPr>
                  <w:tcW w:w="625" w:type="pct"/>
                  <w:tcBorders>
                    <w:tl2br w:val="nil"/>
                    <w:tr2bl w:val="nil"/>
                  </w:tcBorders>
                  <w:noWrap w:val="0"/>
                  <w:vAlign w:val="center"/>
                </w:tcPr>
                <w:p w14:paraId="21EB6403">
                  <w:pPr>
                    <w:pStyle w:val="96"/>
                    <w:keepNext w:val="0"/>
                    <w:keepLines w:val="0"/>
                    <w:suppressLineNumbers w:val="0"/>
                    <w:spacing w:before="0" w:beforeAutospacing="0" w:after="0" w:afterAutospacing="0" w:line="240" w:lineRule="auto"/>
                    <w:ind w:left="0" w:leftChars="0" w:right="0" w:rightChars="0"/>
                    <w:jc w:val="center"/>
                    <w:rPr>
                      <w:rFonts w:hint="eastAsia" w:ascii="Times New Roman"/>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3000</w:t>
                  </w:r>
                </w:p>
              </w:tc>
              <w:tc>
                <w:tcPr>
                  <w:tcW w:w="567" w:type="pct"/>
                  <w:tcBorders>
                    <w:tl2br w:val="nil"/>
                    <w:tr2bl w:val="nil"/>
                  </w:tcBorders>
                  <w:noWrap w:val="0"/>
                  <w:vAlign w:val="center"/>
                </w:tcPr>
                <w:p w14:paraId="40003207">
                  <w:pPr>
                    <w:pStyle w:val="96"/>
                    <w:keepNext w:val="0"/>
                    <w:keepLines w:val="0"/>
                    <w:suppressLineNumbers w:val="0"/>
                    <w:spacing w:before="0" w:beforeAutospacing="0" w:after="0" w:afterAutospacing="0" w:line="240" w:lineRule="auto"/>
                    <w:ind w:left="0" w:leftChars="0" w:right="0" w:rightChars="0"/>
                    <w:jc w:val="center"/>
                    <w:rPr>
                      <w:rFonts w:hint="eastAsia" w:ascii="Times New Roman"/>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1315</w:t>
                  </w:r>
                </w:p>
              </w:tc>
              <w:tc>
                <w:tcPr>
                  <w:tcW w:w="568" w:type="pct"/>
                  <w:vMerge w:val="continue"/>
                  <w:tcBorders>
                    <w:tl2br w:val="nil"/>
                    <w:tr2bl w:val="nil"/>
                  </w:tcBorders>
                  <w:noWrap w:val="0"/>
                  <w:vAlign w:val="center"/>
                </w:tcPr>
                <w:p w14:paraId="015A8F6F">
                  <w:pPr>
                    <w:pStyle w:val="96"/>
                    <w:keepNext w:val="0"/>
                    <w:keepLines w:val="0"/>
                    <w:suppressLineNumbers w:val="0"/>
                    <w:spacing w:before="0" w:beforeAutospacing="0" w:after="0" w:afterAutospacing="0" w:line="240" w:lineRule="auto"/>
                    <w:ind w:left="0" w:leftChars="0" w:right="0" w:rightChars="0"/>
                    <w:jc w:val="center"/>
                    <w:rPr>
                      <w:rFonts w:hint="default" w:ascii="Times New Roman"/>
                      <w:color w:val="000000" w:themeColor="text1"/>
                      <w:szCs w:val="21"/>
                      <w14:textFill>
                        <w14:solidFill>
                          <w14:schemeClr w14:val="tx1"/>
                        </w14:solidFill>
                      </w14:textFill>
                    </w:rPr>
                  </w:pPr>
                </w:p>
              </w:tc>
            </w:tr>
            <w:tr w14:paraId="273C6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62" w:type="pct"/>
                  <w:tcBorders>
                    <w:tl2br w:val="nil"/>
                    <w:tr2bl w:val="nil"/>
                  </w:tcBorders>
                  <w:noWrap w:val="0"/>
                  <w:vAlign w:val="center"/>
                </w:tcPr>
                <w:p w14:paraId="5DE99B24">
                  <w:pPr>
                    <w:pStyle w:val="96"/>
                    <w:keepNext w:val="0"/>
                    <w:keepLines w:val="0"/>
                    <w:suppressLineNumbers w:val="0"/>
                    <w:spacing w:before="0" w:beforeAutospacing="0" w:after="0" w:afterAutospacing="0" w:line="240" w:lineRule="auto"/>
                    <w:ind w:left="0" w:right="0"/>
                    <w:jc w:val="center"/>
                    <w:rPr>
                      <w:rFonts w:hint="default" w:ascii="Times New Roman" w:hAnsi="宋体"/>
                      <w:color w:val="000000" w:themeColor="text1"/>
                      <w:szCs w:val="21"/>
                      <w14:textFill>
                        <w14:solidFill>
                          <w14:schemeClr w14:val="tx1"/>
                        </w14:solidFill>
                      </w14:textFill>
                    </w:rPr>
                  </w:pPr>
                  <w:r>
                    <w:rPr>
                      <w:rFonts w:hint="default" w:ascii="Times New Roman" w:hAnsi="宋体"/>
                      <w:color w:val="000000" w:themeColor="text1"/>
                      <w:szCs w:val="21"/>
                      <w14:textFill>
                        <w14:solidFill>
                          <w14:schemeClr w14:val="tx1"/>
                        </w14:solidFill>
                      </w14:textFill>
                    </w:rPr>
                    <w:t>麟泉集中供水水源</w:t>
                  </w:r>
                </w:p>
              </w:tc>
              <w:tc>
                <w:tcPr>
                  <w:tcW w:w="868" w:type="pct"/>
                  <w:tcBorders>
                    <w:tl2br w:val="nil"/>
                    <w:tr2bl w:val="nil"/>
                  </w:tcBorders>
                  <w:noWrap w:val="0"/>
                  <w:vAlign w:val="center"/>
                </w:tcPr>
                <w:p w14:paraId="5FAAB3B4">
                  <w:pPr>
                    <w:pStyle w:val="96"/>
                    <w:keepNext w:val="0"/>
                    <w:keepLines w:val="0"/>
                    <w:suppressLineNumbers w:val="0"/>
                    <w:spacing w:before="0" w:beforeAutospacing="0" w:after="0" w:afterAutospacing="0" w:line="240" w:lineRule="auto"/>
                    <w:ind w:left="0" w:right="0"/>
                    <w:jc w:val="center"/>
                    <w:rPr>
                      <w:rFonts w:hint="default" w:ascii="Times New Roman"/>
                      <w:color w:val="000000" w:themeColor="text1"/>
                      <w:szCs w:val="21"/>
                      <w14:textFill>
                        <w14:solidFill>
                          <w14:schemeClr w14:val="tx1"/>
                        </w14:solidFill>
                      </w14:textFill>
                    </w:rPr>
                  </w:pPr>
                  <w:r>
                    <w:rPr>
                      <w:rFonts w:hint="default" w:ascii="Times New Roman"/>
                      <w:color w:val="000000" w:themeColor="text1"/>
                      <w:szCs w:val="21"/>
                      <w14:textFill>
                        <w14:solidFill>
                          <w14:schemeClr w14:val="tx1"/>
                        </w14:solidFill>
                      </w14:textFill>
                    </w:rPr>
                    <w:t>112°54′37″</w:t>
                  </w:r>
                </w:p>
              </w:tc>
              <w:tc>
                <w:tcPr>
                  <w:tcW w:w="807" w:type="pct"/>
                  <w:tcBorders>
                    <w:tl2br w:val="nil"/>
                    <w:tr2bl w:val="nil"/>
                  </w:tcBorders>
                  <w:noWrap w:val="0"/>
                  <w:vAlign w:val="center"/>
                </w:tcPr>
                <w:p w14:paraId="675E2615">
                  <w:pPr>
                    <w:pStyle w:val="96"/>
                    <w:keepNext w:val="0"/>
                    <w:keepLines w:val="0"/>
                    <w:suppressLineNumbers w:val="0"/>
                    <w:spacing w:before="0" w:beforeAutospacing="0" w:after="0" w:afterAutospacing="0" w:line="240" w:lineRule="auto"/>
                    <w:ind w:left="0" w:right="0"/>
                    <w:jc w:val="center"/>
                    <w:rPr>
                      <w:rFonts w:hint="default" w:ascii="Times New Roman"/>
                      <w:color w:val="000000" w:themeColor="text1"/>
                      <w:szCs w:val="21"/>
                      <w14:textFill>
                        <w14:solidFill>
                          <w14:schemeClr w14:val="tx1"/>
                        </w14:solidFill>
                      </w14:textFill>
                    </w:rPr>
                  </w:pPr>
                  <w:r>
                    <w:rPr>
                      <w:rFonts w:hint="default" w:ascii="Times New Roman"/>
                      <w:color w:val="000000" w:themeColor="text1"/>
                      <w:szCs w:val="21"/>
                      <w14:textFill>
                        <w14:solidFill>
                          <w14:schemeClr w14:val="tx1"/>
                        </w14:solidFill>
                      </w14:textFill>
                    </w:rPr>
                    <w:t>36°17′39″</w:t>
                  </w:r>
                </w:p>
              </w:tc>
              <w:tc>
                <w:tcPr>
                  <w:tcW w:w="625" w:type="pct"/>
                  <w:tcBorders>
                    <w:tl2br w:val="nil"/>
                    <w:tr2bl w:val="nil"/>
                  </w:tcBorders>
                  <w:noWrap w:val="0"/>
                  <w:vAlign w:val="center"/>
                </w:tcPr>
                <w:p w14:paraId="33F1B9C6">
                  <w:pPr>
                    <w:pStyle w:val="96"/>
                    <w:keepNext w:val="0"/>
                    <w:keepLines w:val="0"/>
                    <w:suppressLineNumbers w:val="0"/>
                    <w:spacing w:before="0" w:beforeAutospacing="0" w:after="0" w:afterAutospacing="0" w:line="240" w:lineRule="auto"/>
                    <w:ind w:left="0" w:right="0"/>
                    <w:jc w:val="center"/>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11000</w:t>
                  </w:r>
                </w:p>
              </w:tc>
              <w:tc>
                <w:tcPr>
                  <w:tcW w:w="567" w:type="pct"/>
                  <w:tcBorders>
                    <w:tl2br w:val="nil"/>
                    <w:tr2bl w:val="nil"/>
                  </w:tcBorders>
                  <w:noWrap w:val="0"/>
                  <w:vAlign w:val="center"/>
                </w:tcPr>
                <w:p w14:paraId="126A655F">
                  <w:pPr>
                    <w:pStyle w:val="96"/>
                    <w:keepNext w:val="0"/>
                    <w:keepLines w:val="0"/>
                    <w:suppressLineNumbers w:val="0"/>
                    <w:spacing w:before="0" w:beforeAutospacing="0" w:after="0" w:afterAutospacing="0" w:line="240" w:lineRule="auto"/>
                    <w:ind w:left="0" w:right="0"/>
                    <w:jc w:val="center"/>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770</w:t>
                  </w:r>
                </w:p>
              </w:tc>
              <w:tc>
                <w:tcPr>
                  <w:tcW w:w="568" w:type="pct"/>
                  <w:vMerge w:val="continue"/>
                  <w:tcBorders>
                    <w:tl2br w:val="nil"/>
                    <w:tr2bl w:val="nil"/>
                  </w:tcBorders>
                  <w:noWrap w:val="0"/>
                  <w:vAlign w:val="center"/>
                </w:tcPr>
                <w:p w14:paraId="2B87FFAA">
                  <w:pPr>
                    <w:pStyle w:val="96"/>
                    <w:keepNext w:val="0"/>
                    <w:keepLines w:val="0"/>
                    <w:suppressLineNumbers w:val="0"/>
                    <w:spacing w:before="0" w:beforeAutospacing="0" w:after="0" w:afterAutospacing="0" w:line="240" w:lineRule="auto"/>
                    <w:ind w:left="0" w:right="0"/>
                    <w:jc w:val="center"/>
                    <w:rPr>
                      <w:rFonts w:hint="default" w:ascii="Times New Roman"/>
                      <w:color w:val="000000" w:themeColor="text1"/>
                      <w:szCs w:val="21"/>
                      <w14:textFill>
                        <w14:solidFill>
                          <w14:schemeClr w14:val="tx1"/>
                        </w14:solidFill>
                      </w14:textFill>
                    </w:rPr>
                  </w:pPr>
                </w:p>
              </w:tc>
            </w:tr>
            <w:tr w14:paraId="2C674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62" w:type="pct"/>
                  <w:tcBorders>
                    <w:tl2br w:val="nil"/>
                    <w:tr2bl w:val="nil"/>
                  </w:tcBorders>
                  <w:noWrap w:val="0"/>
                  <w:vAlign w:val="center"/>
                </w:tcPr>
                <w:p w14:paraId="3114827E">
                  <w:pPr>
                    <w:pStyle w:val="96"/>
                    <w:keepNext w:val="0"/>
                    <w:keepLines w:val="0"/>
                    <w:suppressLineNumbers w:val="0"/>
                    <w:spacing w:before="0" w:beforeAutospacing="0" w:after="0" w:afterAutospacing="0" w:line="240" w:lineRule="auto"/>
                    <w:ind w:left="0" w:right="0"/>
                    <w:jc w:val="center"/>
                    <w:rPr>
                      <w:rFonts w:hint="default" w:ascii="Times New Roman" w:hAnsi="宋体"/>
                      <w:color w:val="000000" w:themeColor="text1"/>
                      <w:szCs w:val="21"/>
                      <w14:textFill>
                        <w14:solidFill>
                          <w14:schemeClr w14:val="tx1"/>
                        </w14:solidFill>
                      </w14:textFill>
                    </w:rPr>
                  </w:pPr>
                  <w:r>
                    <w:rPr>
                      <w:rFonts w:hint="default" w:ascii="Times New Roman" w:hAnsi="宋体"/>
                      <w:color w:val="000000" w:themeColor="text1"/>
                      <w:szCs w:val="21"/>
                      <w14:textFill>
                        <w14:solidFill>
                          <w14:schemeClr w14:val="tx1"/>
                        </w14:solidFill>
                      </w14:textFill>
                    </w:rPr>
                    <w:t>路村集中供水水源</w:t>
                  </w:r>
                </w:p>
              </w:tc>
              <w:tc>
                <w:tcPr>
                  <w:tcW w:w="868" w:type="pct"/>
                  <w:tcBorders>
                    <w:tl2br w:val="nil"/>
                    <w:tr2bl w:val="nil"/>
                  </w:tcBorders>
                  <w:noWrap w:val="0"/>
                  <w:vAlign w:val="center"/>
                </w:tcPr>
                <w:p w14:paraId="46F0CC29">
                  <w:pPr>
                    <w:pStyle w:val="96"/>
                    <w:keepNext w:val="0"/>
                    <w:keepLines w:val="0"/>
                    <w:suppressLineNumbers w:val="0"/>
                    <w:spacing w:before="0" w:beforeAutospacing="0" w:after="0" w:afterAutospacing="0" w:line="240" w:lineRule="auto"/>
                    <w:ind w:left="0" w:right="0"/>
                    <w:jc w:val="center"/>
                    <w:rPr>
                      <w:rFonts w:hint="default" w:ascii="Times New Roman"/>
                      <w:color w:val="000000" w:themeColor="text1"/>
                      <w:szCs w:val="21"/>
                      <w14:textFill>
                        <w14:solidFill>
                          <w14:schemeClr w14:val="tx1"/>
                        </w14:solidFill>
                      </w14:textFill>
                    </w:rPr>
                  </w:pPr>
                  <w:r>
                    <w:rPr>
                      <w:rFonts w:hint="default" w:ascii="Times New Roman"/>
                      <w:color w:val="000000" w:themeColor="text1"/>
                      <w:szCs w:val="21"/>
                      <w14:textFill>
                        <w14:solidFill>
                          <w14:schemeClr w14:val="tx1"/>
                        </w14:solidFill>
                      </w14:textFill>
                    </w:rPr>
                    <w:t>113°0′8.58″</w:t>
                  </w:r>
                </w:p>
              </w:tc>
              <w:tc>
                <w:tcPr>
                  <w:tcW w:w="807" w:type="pct"/>
                  <w:tcBorders>
                    <w:tl2br w:val="nil"/>
                    <w:tr2bl w:val="nil"/>
                  </w:tcBorders>
                  <w:noWrap w:val="0"/>
                  <w:vAlign w:val="center"/>
                </w:tcPr>
                <w:p w14:paraId="68DCC716">
                  <w:pPr>
                    <w:pStyle w:val="96"/>
                    <w:keepNext w:val="0"/>
                    <w:keepLines w:val="0"/>
                    <w:suppressLineNumbers w:val="0"/>
                    <w:spacing w:before="0" w:beforeAutospacing="0" w:after="0" w:afterAutospacing="0" w:line="240" w:lineRule="auto"/>
                    <w:ind w:left="0" w:right="0"/>
                    <w:jc w:val="center"/>
                    <w:rPr>
                      <w:rFonts w:hint="default" w:ascii="Times New Roman"/>
                      <w:color w:val="000000" w:themeColor="text1"/>
                      <w:szCs w:val="21"/>
                      <w14:textFill>
                        <w14:solidFill>
                          <w14:schemeClr w14:val="tx1"/>
                        </w14:solidFill>
                      </w14:textFill>
                    </w:rPr>
                  </w:pPr>
                  <w:r>
                    <w:rPr>
                      <w:rFonts w:hint="default" w:ascii="Times New Roman"/>
                      <w:color w:val="000000" w:themeColor="text1"/>
                      <w:szCs w:val="21"/>
                      <w14:textFill>
                        <w14:solidFill>
                          <w14:schemeClr w14:val="tx1"/>
                        </w14:solidFill>
                      </w14:textFill>
                    </w:rPr>
                    <w:t>36°18′13.16″</w:t>
                  </w:r>
                </w:p>
              </w:tc>
              <w:tc>
                <w:tcPr>
                  <w:tcW w:w="625" w:type="pct"/>
                  <w:tcBorders>
                    <w:tl2br w:val="nil"/>
                    <w:tr2bl w:val="nil"/>
                  </w:tcBorders>
                  <w:noWrap w:val="0"/>
                  <w:vAlign w:val="center"/>
                </w:tcPr>
                <w:p w14:paraId="2FD9CCC5">
                  <w:pPr>
                    <w:pStyle w:val="96"/>
                    <w:keepNext w:val="0"/>
                    <w:keepLines w:val="0"/>
                    <w:suppressLineNumbers w:val="0"/>
                    <w:spacing w:before="0" w:beforeAutospacing="0" w:after="0" w:afterAutospacing="0" w:line="240" w:lineRule="auto"/>
                    <w:ind w:left="0" w:right="0"/>
                    <w:jc w:val="center"/>
                    <w:rPr>
                      <w:rFonts w:hint="default" w:ascii="Times New Roman"/>
                      <w:color w:val="000000" w:themeColor="text1"/>
                      <w:szCs w:val="21"/>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11000</w:t>
                  </w:r>
                </w:p>
              </w:tc>
              <w:tc>
                <w:tcPr>
                  <w:tcW w:w="567" w:type="pct"/>
                  <w:tcBorders>
                    <w:tl2br w:val="nil"/>
                    <w:tr2bl w:val="nil"/>
                  </w:tcBorders>
                  <w:noWrap w:val="0"/>
                  <w:vAlign w:val="center"/>
                </w:tcPr>
                <w:p w14:paraId="7ED95A52">
                  <w:pPr>
                    <w:pStyle w:val="96"/>
                    <w:keepNext w:val="0"/>
                    <w:keepLines w:val="0"/>
                    <w:suppressLineNumbers w:val="0"/>
                    <w:spacing w:before="0" w:beforeAutospacing="0" w:after="0" w:afterAutospacing="0" w:line="240" w:lineRule="auto"/>
                    <w:ind w:left="0" w:right="0"/>
                    <w:jc w:val="center"/>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482</w:t>
                  </w:r>
                </w:p>
              </w:tc>
              <w:tc>
                <w:tcPr>
                  <w:tcW w:w="568" w:type="pct"/>
                  <w:vMerge w:val="continue"/>
                  <w:tcBorders>
                    <w:tl2br w:val="nil"/>
                    <w:tr2bl w:val="nil"/>
                  </w:tcBorders>
                  <w:noWrap w:val="0"/>
                  <w:vAlign w:val="center"/>
                </w:tcPr>
                <w:p w14:paraId="4BF2E0F4">
                  <w:pPr>
                    <w:pStyle w:val="96"/>
                    <w:keepNext w:val="0"/>
                    <w:keepLines w:val="0"/>
                    <w:suppressLineNumbers w:val="0"/>
                    <w:spacing w:before="0" w:beforeAutospacing="0" w:after="0" w:afterAutospacing="0" w:line="240" w:lineRule="auto"/>
                    <w:ind w:left="0" w:right="0"/>
                    <w:jc w:val="center"/>
                    <w:rPr>
                      <w:rFonts w:hint="default" w:ascii="Times New Roman"/>
                      <w:color w:val="000000" w:themeColor="text1"/>
                      <w:szCs w:val="21"/>
                      <w14:textFill>
                        <w14:solidFill>
                          <w14:schemeClr w14:val="tx1"/>
                        </w14:solidFill>
                      </w14:textFill>
                    </w:rPr>
                  </w:pPr>
                </w:p>
              </w:tc>
            </w:tr>
          </w:tbl>
          <w:p w14:paraId="4BFFAC41">
            <w:pPr>
              <w:keepNext w:val="0"/>
              <w:keepLines w:val="0"/>
              <w:suppressLineNumbers w:val="0"/>
              <w:spacing w:before="0" w:beforeAutospacing="0" w:after="0" w:afterAutospacing="0" w:line="480" w:lineRule="exact"/>
              <w:ind w:left="0" w:right="0" w:firstLine="480" w:firstLineChars="200"/>
              <w:rPr>
                <w:rFonts w:hint="eastAsia"/>
                <w:color w:val="000000" w:themeColor="text1"/>
                <w:sz w:val="24"/>
                <w:szCs w:val="21"/>
                <w:highlight w:val="none"/>
                <w14:textFill>
                  <w14:solidFill>
                    <w14:schemeClr w14:val="tx1"/>
                  </w14:solidFill>
                </w14:textFill>
              </w:rPr>
            </w:pPr>
            <w:r>
              <w:rPr>
                <w:rFonts w:hint="default"/>
                <w:color w:val="000000" w:themeColor="text1"/>
                <w:sz w:val="24"/>
                <w:szCs w:val="21"/>
                <w:highlight w:val="none"/>
                <w14:textFill>
                  <w14:solidFill>
                    <w14:schemeClr w14:val="tx1"/>
                  </w14:solidFill>
                </w14:textFill>
              </w:rPr>
              <w:t>本项目厂址距离屯留</w:t>
            </w:r>
            <w:r>
              <w:rPr>
                <w:rFonts w:hint="eastAsia"/>
                <w:color w:val="000000" w:themeColor="text1"/>
                <w:sz w:val="24"/>
                <w:szCs w:val="21"/>
                <w:highlight w:val="none"/>
                <w14:textFill>
                  <w14:solidFill>
                    <w14:schemeClr w14:val="tx1"/>
                  </w14:solidFill>
                </w14:textFill>
              </w:rPr>
              <w:t>区</w:t>
            </w:r>
            <w:r>
              <w:rPr>
                <w:rFonts w:hint="default"/>
                <w:color w:val="000000" w:themeColor="text1"/>
                <w:sz w:val="24"/>
                <w:szCs w:val="21"/>
                <w:highlight w:val="none"/>
                <w14:textFill>
                  <w14:solidFill>
                    <w14:schemeClr w14:val="tx1"/>
                  </w14:solidFill>
                </w14:textFill>
              </w:rPr>
              <w:t>各乡镇集中供水水源地最近的为</w:t>
            </w:r>
            <w:r>
              <w:rPr>
                <w:rFonts w:hint="eastAsia"/>
                <w:color w:val="000000" w:themeColor="text1"/>
                <w:sz w:val="24"/>
                <w:szCs w:val="21"/>
                <w:highlight w:val="none"/>
                <w14:textFill>
                  <w14:solidFill>
                    <w14:schemeClr w14:val="tx1"/>
                  </w14:solidFill>
                </w14:textFill>
              </w:rPr>
              <w:t>麟泉集中供水水源</w:t>
            </w:r>
            <w:r>
              <w:rPr>
                <w:rFonts w:hint="default"/>
                <w:color w:val="000000" w:themeColor="text1"/>
                <w:sz w:val="24"/>
                <w:szCs w:val="21"/>
                <w:highlight w:val="none"/>
                <w14:textFill>
                  <w14:solidFill>
                    <w14:schemeClr w14:val="tx1"/>
                  </w14:solidFill>
                </w14:textFill>
              </w:rPr>
              <w:t>，距离其一级保护区边界为</w:t>
            </w:r>
            <w:r>
              <w:rPr>
                <w:rFonts w:hint="eastAsia"/>
                <w:color w:val="000000" w:themeColor="text1"/>
                <w:sz w:val="24"/>
                <w:szCs w:val="21"/>
                <w:highlight w:val="none"/>
                <w:lang w:val="en-US" w:eastAsia="zh-CN"/>
                <w14:textFill>
                  <w14:solidFill>
                    <w14:schemeClr w14:val="tx1"/>
                  </w14:solidFill>
                </w14:textFill>
              </w:rPr>
              <w:t>6.6</w:t>
            </w:r>
            <w:r>
              <w:rPr>
                <w:rFonts w:hint="default"/>
                <w:color w:val="000000" w:themeColor="text1"/>
                <w:sz w:val="24"/>
                <w:szCs w:val="21"/>
                <w:highlight w:val="none"/>
                <w14:textFill>
                  <w14:solidFill>
                    <w14:schemeClr w14:val="tx1"/>
                  </w14:solidFill>
                </w14:textFill>
              </w:rPr>
              <w:t>km，距离较远。</w:t>
            </w:r>
            <w:r>
              <w:rPr>
                <w:rFonts w:hint="eastAsia"/>
                <w:color w:val="000000" w:themeColor="text1"/>
                <w:sz w:val="24"/>
                <w:szCs w:val="21"/>
                <w:highlight w:val="none"/>
                <w14:textFill>
                  <w14:solidFill>
                    <w14:schemeClr w14:val="tx1"/>
                  </w14:solidFill>
                </w14:textFill>
              </w:rPr>
              <w:t>本项目与</w:t>
            </w:r>
            <w:bookmarkStart w:id="7" w:name="_Hlk120198576"/>
            <w:r>
              <w:rPr>
                <w:rFonts w:hint="eastAsia"/>
                <w:color w:val="000000" w:themeColor="text1"/>
                <w:sz w:val="24"/>
                <w:szCs w:val="21"/>
                <w:highlight w:val="none"/>
                <w14:textFill>
                  <w14:solidFill>
                    <w14:schemeClr w14:val="tx1"/>
                  </w14:solidFill>
                </w14:textFill>
              </w:rPr>
              <w:t>麟泉集中供水水源保护区</w:t>
            </w:r>
            <w:bookmarkEnd w:id="7"/>
            <w:r>
              <w:rPr>
                <w:rFonts w:hint="eastAsia"/>
                <w:color w:val="000000" w:themeColor="text1"/>
                <w:sz w:val="24"/>
                <w:szCs w:val="21"/>
                <w:highlight w:val="none"/>
                <w14:textFill>
                  <w14:solidFill>
                    <w14:schemeClr w14:val="tx1"/>
                  </w14:solidFill>
                </w14:textFill>
              </w:rPr>
              <w:t>相对位置关系图见附图</w:t>
            </w:r>
            <w:r>
              <w:rPr>
                <w:rFonts w:hint="eastAsia"/>
                <w:color w:val="000000" w:themeColor="text1"/>
                <w:sz w:val="24"/>
                <w:szCs w:val="21"/>
                <w:highlight w:val="none"/>
                <w:lang w:val="en-US" w:eastAsia="zh-CN"/>
                <w14:textFill>
                  <w14:solidFill>
                    <w14:schemeClr w14:val="tx1"/>
                  </w14:solidFill>
                </w14:textFill>
              </w:rPr>
              <w:t>3</w:t>
            </w:r>
            <w:r>
              <w:rPr>
                <w:rFonts w:hint="eastAsia"/>
                <w:color w:val="000000" w:themeColor="text1"/>
                <w:sz w:val="24"/>
                <w:szCs w:val="21"/>
                <w:highlight w:val="none"/>
                <w14:textFill>
                  <w14:solidFill>
                    <w14:schemeClr w14:val="tx1"/>
                  </w14:solidFill>
                </w14:textFill>
              </w:rPr>
              <w:t>。</w:t>
            </w:r>
          </w:p>
          <w:p w14:paraId="7D575FCD">
            <w:pPr>
              <w:pStyle w:val="27"/>
              <w:keepNext w:val="0"/>
              <w:keepLines w:val="0"/>
              <w:suppressLineNumbers w:val="0"/>
              <w:spacing w:before="0" w:beforeAutospacing="0" w:after="0" w:afterAutospacing="0" w:line="480" w:lineRule="exact"/>
              <w:ind w:left="0" w:right="0" w:firstLine="482" w:firstLineChars="200"/>
              <w:rPr>
                <w:rFonts w:hint="default" w:ascii="Times New Roman" w:hAnsi="Times New Roman"/>
                <w:b/>
                <w:bCs w:val="0"/>
                <w:color w:val="000000" w:themeColor="text1"/>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1.3.</w:t>
            </w:r>
            <w:r>
              <w:rPr>
                <w:rFonts w:hint="default" w:ascii="Times New Roman" w:hAnsi="Times New Roman"/>
                <w:b/>
                <w:bCs w:val="0"/>
                <w:color w:val="000000" w:themeColor="text1"/>
                <w14:textFill>
                  <w14:solidFill>
                    <w14:schemeClr w14:val="tx1"/>
                  </w14:solidFill>
                </w14:textFill>
              </w:rPr>
              <w:t>2与</w:t>
            </w:r>
            <w:r>
              <w:rPr>
                <w:rFonts w:hint="eastAsia" w:ascii="Times New Roman" w:hAnsi="Times New Roman"/>
                <w:b/>
                <w:bCs w:val="0"/>
                <w:color w:val="000000" w:themeColor="text1"/>
                <w14:textFill>
                  <w14:solidFill>
                    <w14:schemeClr w14:val="tx1"/>
                  </w14:solidFill>
                </w14:textFill>
              </w:rPr>
              <w:t>辛安</w:t>
            </w:r>
            <w:r>
              <w:rPr>
                <w:rFonts w:hint="default" w:ascii="Times New Roman" w:hAnsi="Times New Roman"/>
                <w:b/>
                <w:bCs w:val="0"/>
                <w:color w:val="000000" w:themeColor="text1"/>
                <w14:textFill>
                  <w14:solidFill>
                    <w14:schemeClr w14:val="tx1"/>
                  </w14:solidFill>
                </w14:textFill>
              </w:rPr>
              <w:t>泉域符合性分析</w:t>
            </w:r>
          </w:p>
          <w:p w14:paraId="1C48A8A3">
            <w:pPr>
              <w:keepNext w:val="0"/>
              <w:keepLines w:val="0"/>
              <w:suppressLineNumbers w:val="0"/>
              <w:spacing w:before="0" w:beforeAutospacing="0" w:after="0" w:afterAutospacing="0" w:line="480" w:lineRule="exact"/>
              <w:ind w:left="0" w:right="0" w:firstLine="480" w:firstLineChars="200"/>
              <w:rPr>
                <w:rFonts w:hint="eastAsia"/>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（1）泉域概况</w:t>
            </w:r>
          </w:p>
          <w:p w14:paraId="77A46BE3">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szCs w:val="21"/>
                <w14:textFill>
                  <w14:solidFill>
                    <w14:schemeClr w14:val="tx1"/>
                  </w14:solidFill>
                </w14:textFill>
              </w:rPr>
            </w:pPr>
            <w:r>
              <w:rPr>
                <w:rFonts w:hint="default"/>
                <w:color w:val="000000" w:themeColor="text1"/>
                <w:sz w:val="24"/>
                <w:szCs w:val="21"/>
                <w14:textFill>
                  <w14:solidFill>
                    <w14:schemeClr w14:val="tx1"/>
                  </w14:solidFill>
                </w14:textFill>
              </w:rPr>
              <w:t>辛安泉出露于潞城市西流村至平顺县北耽车长16km的浊漳河河谷中，可见泉点170余个。辛安村以上较大泉组有林滩泉、西流泉、苇泉、南流泉，称王曲泉群，出露高程615-643m，出露地层为奥套系中统；辛安村以下有实会泉、年流泉等，多出露于寒武系中统，称实会泉群，标高600-615m。多年平均流量11.9m</w:t>
            </w:r>
            <w:r>
              <w:rPr>
                <w:rFonts w:hint="default"/>
                <w:color w:val="000000" w:themeColor="text1"/>
                <w:sz w:val="24"/>
                <w:szCs w:val="21"/>
                <w:vertAlign w:val="superscript"/>
                <w14:textFill>
                  <w14:solidFill>
                    <w14:schemeClr w14:val="tx1"/>
                  </w14:solidFill>
                </w14:textFill>
              </w:rPr>
              <w:t>3</w:t>
            </w:r>
            <w:r>
              <w:rPr>
                <w:rFonts w:hint="default"/>
                <w:color w:val="000000" w:themeColor="text1"/>
                <w:sz w:val="24"/>
                <w:szCs w:val="21"/>
                <w14:textFill>
                  <w14:solidFill>
                    <w14:schemeClr w14:val="tx1"/>
                  </w14:solidFill>
                </w14:textFill>
              </w:rPr>
              <w:t>/s</w:t>
            </w:r>
            <w:r>
              <w:rPr>
                <w:rFonts w:hint="eastAsia"/>
                <w:color w:val="000000" w:themeColor="text1"/>
                <w:sz w:val="24"/>
                <w:szCs w:val="21"/>
                <w:lang w:eastAsia="zh-CN"/>
                <w14:textFill>
                  <w14:solidFill>
                    <w14:schemeClr w14:val="tx1"/>
                  </w14:solidFill>
                </w14:textFill>
              </w:rPr>
              <w:t>（</w:t>
            </w:r>
            <w:r>
              <w:rPr>
                <w:rFonts w:hint="default"/>
                <w:color w:val="000000" w:themeColor="text1"/>
                <w:sz w:val="24"/>
                <w:szCs w:val="21"/>
                <w14:textFill>
                  <w14:solidFill>
                    <w14:schemeClr w14:val="tx1"/>
                  </w14:solidFill>
                </w14:textFill>
              </w:rPr>
              <w:t>1959-1984年</w:t>
            </w:r>
            <w:r>
              <w:rPr>
                <w:rFonts w:hint="eastAsia"/>
                <w:color w:val="000000" w:themeColor="text1"/>
                <w:sz w:val="24"/>
                <w:szCs w:val="21"/>
                <w:lang w:eastAsia="zh-CN"/>
                <w14:textFill>
                  <w14:solidFill>
                    <w14:schemeClr w14:val="tx1"/>
                  </w14:solidFill>
                </w14:textFill>
              </w:rPr>
              <w:t>）</w:t>
            </w:r>
            <w:r>
              <w:rPr>
                <w:rFonts w:hint="default"/>
                <w:color w:val="000000" w:themeColor="text1"/>
                <w:sz w:val="24"/>
                <w:szCs w:val="21"/>
                <w14:textFill>
                  <w14:solidFill>
                    <w14:schemeClr w14:val="tx1"/>
                  </w14:solidFill>
                </w14:textFill>
              </w:rPr>
              <w:t>。</w:t>
            </w:r>
          </w:p>
          <w:p w14:paraId="2CA3DEDE">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szCs w:val="21"/>
                <w14:textFill>
                  <w14:solidFill>
                    <w14:schemeClr w14:val="tx1"/>
                  </w14:solidFill>
                </w14:textFill>
              </w:rPr>
            </w:pPr>
            <w:r>
              <w:rPr>
                <w:rFonts w:hint="default"/>
                <w:color w:val="000000" w:themeColor="text1"/>
                <w:sz w:val="24"/>
                <w:szCs w:val="21"/>
                <w14:textFill>
                  <w14:solidFill>
                    <w14:schemeClr w14:val="tx1"/>
                  </w14:solidFill>
                </w14:textFill>
              </w:rPr>
              <w:t>（</w:t>
            </w:r>
            <w:r>
              <w:rPr>
                <w:rFonts w:hint="eastAsia"/>
                <w:color w:val="000000" w:themeColor="text1"/>
                <w:sz w:val="24"/>
                <w:szCs w:val="21"/>
                <w14:textFill>
                  <w14:solidFill>
                    <w14:schemeClr w14:val="tx1"/>
                  </w14:solidFill>
                </w14:textFill>
              </w:rPr>
              <w:t>2</w:t>
            </w:r>
            <w:r>
              <w:rPr>
                <w:rFonts w:hint="default"/>
                <w:color w:val="000000" w:themeColor="text1"/>
                <w:sz w:val="24"/>
                <w:szCs w:val="21"/>
                <w14:textFill>
                  <w14:solidFill>
                    <w14:schemeClr w14:val="tx1"/>
                  </w14:solidFill>
                </w14:textFill>
              </w:rPr>
              <w:t>）辛安泉域范围</w:t>
            </w:r>
          </w:p>
          <w:p w14:paraId="2CC39579">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szCs w:val="21"/>
                <w14:textFill>
                  <w14:solidFill>
                    <w14:schemeClr w14:val="tx1"/>
                  </w14:solidFill>
                </w14:textFill>
              </w:rPr>
            </w:pPr>
            <w:r>
              <w:rPr>
                <w:rFonts w:hint="default"/>
                <w:color w:val="000000" w:themeColor="text1"/>
                <w:sz w:val="24"/>
                <w:szCs w:val="21"/>
                <w14:textFill>
                  <w14:solidFill>
                    <w14:schemeClr w14:val="tx1"/>
                  </w14:solidFill>
                </w14:textFill>
              </w:rPr>
              <w:t>北部及西部边界：泉域北部、西部在构造上处于沁水向斜核部，地表出露二叠、三叠系地层，寒武、奥陶系地层埋深千米以上，岩溶水呈封闭的滞流状态，因此以浊漳河与汾河及沁河的地表分水岭为泉域边界。自北向南有榆社县人头山-辉教北-子金山-分南南。西部沁县与沁源县行政边界，自北向南基本为自分南南-屯留县八泉-长子县良坪西。</w:t>
            </w:r>
          </w:p>
          <w:p w14:paraId="75239DE7">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szCs w:val="21"/>
                <w14:textFill>
                  <w14:solidFill>
                    <w14:schemeClr w14:val="tx1"/>
                  </w14:solidFill>
                </w14:textFill>
              </w:rPr>
            </w:pPr>
            <w:r>
              <w:rPr>
                <w:rFonts w:hint="default"/>
                <w:color w:val="000000" w:themeColor="text1"/>
                <w:sz w:val="24"/>
                <w:szCs w:val="21"/>
                <w14:textFill>
                  <w14:solidFill>
                    <w14:schemeClr w14:val="tx1"/>
                  </w14:solidFill>
                </w14:textFill>
              </w:rPr>
              <w:t>南部边界：为浊漳河和沁河与丹河的地表分水岭，自西向东基本为长治市与晋城市的行政边界，由老庄沟-色头镇南-金泉山-陵川西马安。</w:t>
            </w:r>
          </w:p>
          <w:p w14:paraId="0415DF7C">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szCs w:val="21"/>
                <w14:textFill>
                  <w14:solidFill>
                    <w14:schemeClr w14:val="tx1"/>
                  </w14:solidFill>
                </w14:textFill>
              </w:rPr>
            </w:pPr>
            <w:r>
              <w:rPr>
                <w:rFonts w:hint="default"/>
                <w:color w:val="000000" w:themeColor="text1"/>
                <w:sz w:val="24"/>
                <w:szCs w:val="21"/>
                <w14:textFill>
                  <w14:solidFill>
                    <w14:schemeClr w14:val="tx1"/>
                  </w14:solidFill>
                </w14:textFill>
              </w:rPr>
              <w:t>东部边界：东北段以清漳河与浊漳河地表分水岭及和神烟地下分水岭与娘子关泉域为界。为晋中地区和顺县、左权县与榆社县、长治市武乡县的行政边界。</w:t>
            </w:r>
          </w:p>
          <w:p w14:paraId="4F11E69F">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szCs w:val="21"/>
                <w14:textFill>
                  <w14:solidFill>
                    <w14:schemeClr w14:val="tx1"/>
                  </w14:solidFill>
                </w14:textFill>
              </w:rPr>
            </w:pPr>
            <w:r>
              <w:rPr>
                <w:rFonts w:hint="default"/>
                <w:color w:val="000000" w:themeColor="text1"/>
                <w:sz w:val="24"/>
                <w:szCs w:val="21"/>
                <w14:textFill>
                  <w14:solidFill>
                    <w14:schemeClr w14:val="tx1"/>
                  </w14:solidFill>
                </w14:textFill>
              </w:rPr>
              <w:t>泉域边界范围内总面积为13500m</w:t>
            </w:r>
            <w:r>
              <w:rPr>
                <w:rFonts w:hint="default"/>
                <w:color w:val="000000" w:themeColor="text1"/>
                <w:sz w:val="24"/>
                <w:szCs w:val="21"/>
                <w:vertAlign w:val="superscript"/>
                <w14:textFill>
                  <w14:solidFill>
                    <w14:schemeClr w14:val="tx1"/>
                  </w14:solidFill>
                </w14:textFill>
              </w:rPr>
              <w:t>2</w:t>
            </w:r>
            <w:r>
              <w:rPr>
                <w:rFonts w:hint="default"/>
                <w:color w:val="000000" w:themeColor="text1"/>
                <w:sz w:val="24"/>
                <w:szCs w:val="21"/>
                <w14:textFill>
                  <w14:solidFill>
                    <w14:schemeClr w14:val="tx1"/>
                  </w14:solidFill>
                </w14:textFill>
              </w:rPr>
              <w:t>，其中碳酸盐岩裸露面积2600km</w:t>
            </w:r>
            <w:r>
              <w:rPr>
                <w:rFonts w:hint="default"/>
                <w:color w:val="000000" w:themeColor="text1"/>
                <w:sz w:val="24"/>
                <w:szCs w:val="21"/>
                <w:vertAlign w:val="superscript"/>
                <w14:textFill>
                  <w14:solidFill>
                    <w14:schemeClr w14:val="tx1"/>
                  </w14:solidFill>
                </w14:textFill>
              </w:rPr>
              <w:t>2</w:t>
            </w:r>
            <w:r>
              <w:rPr>
                <w:rFonts w:hint="default"/>
                <w:color w:val="000000" w:themeColor="text1"/>
                <w:sz w:val="24"/>
                <w:szCs w:val="21"/>
                <w14:textFill>
                  <w14:solidFill>
                    <w14:schemeClr w14:val="tx1"/>
                  </w14:solidFill>
                </w14:textFill>
              </w:rPr>
              <w:t>，碎屑岩面积为6830km</w:t>
            </w:r>
            <w:r>
              <w:rPr>
                <w:rFonts w:hint="default"/>
                <w:color w:val="000000" w:themeColor="text1"/>
                <w:sz w:val="24"/>
                <w:szCs w:val="21"/>
                <w:vertAlign w:val="superscript"/>
                <w14:textFill>
                  <w14:solidFill>
                    <w14:schemeClr w14:val="tx1"/>
                  </w14:solidFill>
                </w14:textFill>
              </w:rPr>
              <w:t>2</w:t>
            </w:r>
            <w:r>
              <w:rPr>
                <w:rFonts w:hint="default"/>
                <w:color w:val="000000" w:themeColor="text1"/>
                <w:sz w:val="24"/>
                <w:szCs w:val="21"/>
                <w14:textFill>
                  <w14:solidFill>
                    <w14:schemeClr w14:val="tx1"/>
                  </w14:solidFill>
                </w14:textFill>
              </w:rPr>
              <w:t>，松散岩面积为4070km</w:t>
            </w:r>
            <w:r>
              <w:rPr>
                <w:rFonts w:hint="default"/>
                <w:color w:val="000000" w:themeColor="text1"/>
                <w:sz w:val="24"/>
                <w:szCs w:val="21"/>
                <w:vertAlign w:val="superscript"/>
                <w14:textFill>
                  <w14:solidFill>
                    <w14:schemeClr w14:val="tx1"/>
                  </w14:solidFill>
                </w14:textFill>
              </w:rPr>
              <w:t>2</w:t>
            </w:r>
            <w:r>
              <w:rPr>
                <w:rFonts w:hint="default"/>
                <w:color w:val="000000" w:themeColor="text1"/>
                <w:sz w:val="24"/>
                <w:szCs w:val="21"/>
                <w14:textFill>
                  <w14:solidFill>
                    <w14:schemeClr w14:val="tx1"/>
                  </w14:solidFill>
                </w14:textFill>
              </w:rPr>
              <w:t>。</w:t>
            </w:r>
          </w:p>
          <w:p w14:paraId="751CB75D">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szCs w:val="21"/>
                <w14:textFill>
                  <w14:solidFill>
                    <w14:schemeClr w14:val="tx1"/>
                  </w14:solidFill>
                </w14:textFill>
              </w:rPr>
            </w:pPr>
            <w:r>
              <w:rPr>
                <w:rFonts w:hint="default"/>
                <w:color w:val="000000" w:themeColor="text1"/>
                <w:sz w:val="24"/>
                <w:szCs w:val="21"/>
                <w14:textFill>
                  <w14:solidFill>
                    <w14:schemeClr w14:val="tx1"/>
                  </w14:solidFill>
                </w14:textFill>
              </w:rPr>
              <w:t>（</w:t>
            </w:r>
            <w:r>
              <w:rPr>
                <w:rFonts w:hint="eastAsia"/>
                <w:color w:val="000000" w:themeColor="text1"/>
                <w:sz w:val="24"/>
                <w:szCs w:val="21"/>
                <w14:textFill>
                  <w14:solidFill>
                    <w14:schemeClr w14:val="tx1"/>
                  </w14:solidFill>
                </w14:textFill>
              </w:rPr>
              <w:t>3</w:t>
            </w:r>
            <w:r>
              <w:rPr>
                <w:rFonts w:hint="default"/>
                <w:color w:val="000000" w:themeColor="text1"/>
                <w:sz w:val="24"/>
                <w:szCs w:val="21"/>
                <w14:textFill>
                  <w14:solidFill>
                    <w14:schemeClr w14:val="tx1"/>
                  </w14:solidFill>
                </w14:textFill>
              </w:rPr>
              <w:t>）泉域重点保护区范围</w:t>
            </w:r>
          </w:p>
          <w:p w14:paraId="7A44BB6C">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szCs w:val="21"/>
                <w14:textFill>
                  <w14:solidFill>
                    <w14:schemeClr w14:val="tx1"/>
                  </w14:solidFill>
                </w14:textFill>
              </w:rPr>
            </w:pPr>
            <w:r>
              <w:rPr>
                <w:rFonts w:hint="default"/>
                <w:color w:val="000000" w:themeColor="text1"/>
                <w:sz w:val="24"/>
                <w:szCs w:val="21"/>
                <w14:textFill>
                  <w14:solidFill>
                    <w14:schemeClr w14:val="tx1"/>
                  </w14:solidFill>
                </w14:textFill>
              </w:rPr>
              <w:t>根据山西省人民政府晋政函[1998]137号“关于山西省泉域边界范围及重点保护区划定的批复”，划定的辛安泉域重点保护区范围：</w:t>
            </w:r>
          </w:p>
          <w:p w14:paraId="6F8E56AF">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szCs w:val="21"/>
                <w14:textFill>
                  <w14:solidFill>
                    <w14:schemeClr w14:val="tx1"/>
                  </w14:solidFill>
                </w14:textFill>
              </w:rPr>
            </w:pPr>
            <w:r>
              <w:rPr>
                <w:rFonts w:hint="default"/>
                <w:color w:val="000000" w:themeColor="text1"/>
                <w:sz w:val="24"/>
                <w:szCs w:val="21"/>
                <w14:textFill>
                  <w14:solidFill>
                    <w14:schemeClr w14:val="tx1"/>
                  </w14:solidFill>
                </w14:textFill>
              </w:rPr>
              <w:t>1）泉水集中出露带和文王山地拿渗漏段，其中泉水集中出露带以浊漳河为轴线，北起黎城县南赵店桥，顺浊漳河谷向下游、至平顺县北耽车，包括河谷两岸地带；西起山西化肥厂排污管道，两侧宽200m，至辛安桥下河道，面积48km</w:t>
            </w:r>
            <w:r>
              <w:rPr>
                <w:rFonts w:hint="default"/>
                <w:color w:val="000000" w:themeColor="text1"/>
                <w:sz w:val="24"/>
                <w:szCs w:val="21"/>
                <w:vertAlign w:val="superscript"/>
                <w14:textFill>
                  <w14:solidFill>
                    <w14:schemeClr w14:val="tx1"/>
                  </w14:solidFill>
                </w14:textFill>
              </w:rPr>
              <w:t>2</w:t>
            </w:r>
            <w:r>
              <w:rPr>
                <w:rFonts w:hint="default"/>
                <w:color w:val="000000" w:themeColor="text1"/>
                <w:sz w:val="24"/>
                <w:szCs w:val="21"/>
                <w14:textFill>
                  <w14:solidFill>
                    <w14:schemeClr w14:val="tx1"/>
                  </w14:solidFill>
                </w14:textFill>
              </w:rPr>
              <w:t>。</w:t>
            </w:r>
          </w:p>
          <w:p w14:paraId="331660C0">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szCs w:val="21"/>
                <w14:textFill>
                  <w14:solidFill>
                    <w14:schemeClr w14:val="tx1"/>
                  </w14:solidFill>
                </w14:textFill>
              </w:rPr>
            </w:pPr>
            <w:r>
              <w:rPr>
                <w:rFonts w:hint="default"/>
                <w:color w:val="000000" w:themeColor="text1"/>
                <w:sz w:val="24"/>
                <w:szCs w:val="21"/>
                <w14:textFill>
                  <w14:solidFill>
                    <w14:schemeClr w14:val="tx1"/>
                  </w14:solidFill>
                </w14:textFill>
              </w:rPr>
              <w:t>2）文王山地垒渗漏段自黄碾南铁路桥上游500m起，顺浊漳河南源主河道，左右两侧各500m，向下游至与浊漳河西源汇流处，面积18km</w:t>
            </w:r>
            <w:r>
              <w:rPr>
                <w:rFonts w:hint="default"/>
                <w:color w:val="000000" w:themeColor="text1"/>
                <w:sz w:val="24"/>
                <w:szCs w:val="21"/>
                <w:vertAlign w:val="superscript"/>
                <w14:textFill>
                  <w14:solidFill>
                    <w14:schemeClr w14:val="tx1"/>
                  </w14:solidFill>
                </w14:textFill>
              </w:rPr>
              <w:t>2</w:t>
            </w:r>
            <w:r>
              <w:rPr>
                <w:rFonts w:hint="default"/>
                <w:color w:val="000000" w:themeColor="text1"/>
                <w:sz w:val="24"/>
                <w:szCs w:val="21"/>
                <w14:textFill>
                  <w14:solidFill>
                    <w14:schemeClr w14:val="tx1"/>
                  </w14:solidFill>
                </w14:textFill>
              </w:rPr>
              <w:t>。</w:t>
            </w:r>
          </w:p>
          <w:p w14:paraId="3BA8151E">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szCs w:val="21"/>
                <w14:textFill>
                  <w14:solidFill>
                    <w14:schemeClr w14:val="tx1"/>
                  </w14:solidFill>
                </w14:textFill>
              </w:rPr>
            </w:pPr>
            <w:r>
              <w:rPr>
                <w:rFonts w:hint="default"/>
                <w:color w:val="000000" w:themeColor="text1"/>
                <w:sz w:val="24"/>
                <w:szCs w:val="21"/>
                <w14:textFill>
                  <w14:solidFill>
                    <w14:schemeClr w14:val="tx1"/>
                  </w14:solidFill>
                </w14:textFill>
              </w:rPr>
              <w:t>两处合计面积为66km</w:t>
            </w:r>
            <w:r>
              <w:rPr>
                <w:rFonts w:hint="default"/>
                <w:color w:val="000000" w:themeColor="text1"/>
                <w:sz w:val="24"/>
                <w:szCs w:val="21"/>
                <w:vertAlign w:val="superscript"/>
                <w14:textFill>
                  <w14:solidFill>
                    <w14:schemeClr w14:val="tx1"/>
                  </w14:solidFill>
                </w14:textFill>
              </w:rPr>
              <w:t>2</w:t>
            </w:r>
            <w:r>
              <w:rPr>
                <w:rFonts w:hint="default"/>
                <w:color w:val="000000" w:themeColor="text1"/>
                <w:sz w:val="24"/>
                <w:szCs w:val="21"/>
                <w14:textFill>
                  <w14:solidFill>
                    <w14:schemeClr w14:val="tx1"/>
                  </w14:solidFill>
                </w14:textFill>
              </w:rPr>
              <w:t>。</w:t>
            </w:r>
          </w:p>
          <w:p w14:paraId="2C5A7729">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szCs w:val="21"/>
                <w14:textFill>
                  <w14:solidFill>
                    <w14:schemeClr w14:val="tx1"/>
                  </w14:solidFill>
                </w14:textFill>
              </w:rPr>
            </w:pPr>
            <w:r>
              <w:rPr>
                <w:rFonts w:hint="default"/>
                <w:color w:val="000000" w:themeColor="text1"/>
                <w:sz w:val="24"/>
                <w:szCs w:val="21"/>
                <w14:textFill>
                  <w14:solidFill>
                    <w14:schemeClr w14:val="tx1"/>
                  </w14:solidFill>
                </w14:textFill>
              </w:rPr>
              <w:t>同时，根据《山西省长治市辛安泉饮用水水源地保护条例》，建立辛安泉饮用水水源地保护区制度。辛安泉饮用水水源地保护区划分为一级保护区、二级保护区，并在保护区外围设立准保护区，实行分级保护与管理。</w:t>
            </w:r>
          </w:p>
          <w:p w14:paraId="58B545EA">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szCs w:val="21"/>
                <w14:textFill>
                  <w14:solidFill>
                    <w14:schemeClr w14:val="tx1"/>
                  </w14:solidFill>
                </w14:textFill>
              </w:rPr>
            </w:pPr>
            <w:r>
              <w:rPr>
                <w:rFonts w:hint="default"/>
                <w:color w:val="000000" w:themeColor="text1"/>
                <w:sz w:val="24"/>
                <w:szCs w:val="21"/>
                <w14:textFill>
                  <w14:solidFill>
                    <w14:schemeClr w14:val="tx1"/>
                  </w14:solidFill>
                </w14:textFill>
              </w:rPr>
              <w:t>辛安泉饮用水水源地一级保护区范围为现有水源井组周边区域，涉及潞城市辛安泉镇西流北村</w:t>
            </w:r>
            <w:r>
              <w:rPr>
                <w:rFonts w:hint="eastAsia"/>
                <w:color w:val="000000" w:themeColor="text1"/>
                <w:sz w:val="24"/>
                <w:szCs w:val="21"/>
                <w:lang w:eastAsia="zh-CN"/>
                <w14:textFill>
                  <w14:solidFill>
                    <w14:schemeClr w14:val="tx1"/>
                  </w14:solidFill>
                </w14:textFill>
              </w:rPr>
              <w:t>（</w:t>
            </w:r>
            <w:r>
              <w:rPr>
                <w:rFonts w:hint="default"/>
                <w:color w:val="000000" w:themeColor="text1"/>
                <w:sz w:val="24"/>
                <w:szCs w:val="21"/>
                <w14:textFill>
                  <w14:solidFill>
                    <w14:schemeClr w14:val="tx1"/>
                  </w14:solidFill>
                </w14:textFill>
              </w:rPr>
              <w:t>西北村</w:t>
            </w:r>
            <w:r>
              <w:rPr>
                <w:rFonts w:hint="eastAsia"/>
                <w:color w:val="000000" w:themeColor="text1"/>
                <w:sz w:val="24"/>
                <w:szCs w:val="21"/>
                <w:lang w:eastAsia="zh-CN"/>
                <w14:textFill>
                  <w14:solidFill>
                    <w14:schemeClr w14:val="tx1"/>
                  </w14:solidFill>
                </w14:textFill>
              </w:rPr>
              <w:t>）</w:t>
            </w:r>
            <w:r>
              <w:rPr>
                <w:rFonts w:hint="default"/>
                <w:color w:val="000000" w:themeColor="text1"/>
                <w:sz w:val="24"/>
                <w:szCs w:val="21"/>
                <w14:textFill>
                  <w14:solidFill>
                    <w14:schemeClr w14:val="tx1"/>
                  </w14:solidFill>
                </w14:textFill>
              </w:rPr>
              <w:t>、西流南村</w:t>
            </w:r>
            <w:r>
              <w:rPr>
                <w:rFonts w:hint="eastAsia"/>
                <w:color w:val="000000" w:themeColor="text1"/>
                <w:sz w:val="24"/>
                <w:szCs w:val="21"/>
                <w:lang w:eastAsia="zh-CN"/>
                <w14:textFill>
                  <w14:solidFill>
                    <w14:schemeClr w14:val="tx1"/>
                  </w14:solidFill>
                </w14:textFill>
              </w:rPr>
              <w:t>（</w:t>
            </w:r>
            <w:r>
              <w:rPr>
                <w:rFonts w:hint="default"/>
                <w:color w:val="000000" w:themeColor="text1"/>
                <w:sz w:val="24"/>
                <w:szCs w:val="21"/>
                <w14:textFill>
                  <w14:solidFill>
                    <w14:schemeClr w14:val="tx1"/>
                  </w14:solidFill>
                </w14:textFill>
              </w:rPr>
              <w:t>西南村</w:t>
            </w:r>
            <w:r>
              <w:rPr>
                <w:rFonts w:hint="eastAsia"/>
                <w:color w:val="000000" w:themeColor="text1"/>
                <w:sz w:val="24"/>
                <w:szCs w:val="21"/>
                <w:lang w:eastAsia="zh-CN"/>
                <w14:textFill>
                  <w14:solidFill>
                    <w14:schemeClr w14:val="tx1"/>
                  </w14:solidFill>
                </w14:textFill>
              </w:rPr>
              <w:t>）</w:t>
            </w:r>
            <w:r>
              <w:rPr>
                <w:rFonts w:hint="default"/>
                <w:color w:val="000000" w:themeColor="text1"/>
                <w:sz w:val="24"/>
                <w:szCs w:val="21"/>
                <w14:textFill>
                  <w14:solidFill>
                    <w14:schemeClr w14:val="tx1"/>
                  </w14:solidFill>
                </w14:textFill>
              </w:rPr>
              <w:t>，黎城县程家山乡北流村，面积3.73平方公里。</w:t>
            </w:r>
          </w:p>
          <w:p w14:paraId="30E25B00">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szCs w:val="21"/>
                <w14:textFill>
                  <w14:solidFill>
                    <w14:schemeClr w14:val="tx1"/>
                  </w14:solidFill>
                </w14:textFill>
              </w:rPr>
            </w:pPr>
            <w:r>
              <w:rPr>
                <w:rFonts w:hint="default"/>
                <w:color w:val="000000" w:themeColor="text1"/>
                <w:sz w:val="24"/>
                <w:szCs w:val="21"/>
                <w14:textFill>
                  <w14:solidFill>
                    <w14:schemeClr w14:val="tx1"/>
                  </w14:solidFill>
                </w14:textFill>
              </w:rPr>
              <w:t>辛安泉饮用水水源地二级保护区范围为东至黎城县隆旺村东-北流村东-南堡村东一线，南至平顺县王曲村北，西至潞城市西流南村</w:t>
            </w:r>
            <w:r>
              <w:rPr>
                <w:rFonts w:hint="eastAsia"/>
                <w:color w:val="000000" w:themeColor="text1"/>
                <w:sz w:val="24"/>
                <w:szCs w:val="21"/>
                <w:lang w:eastAsia="zh-CN"/>
                <w14:textFill>
                  <w14:solidFill>
                    <w14:schemeClr w14:val="tx1"/>
                  </w14:solidFill>
                </w14:textFill>
              </w:rPr>
              <w:t>（</w:t>
            </w:r>
            <w:r>
              <w:rPr>
                <w:rFonts w:hint="default"/>
                <w:color w:val="000000" w:themeColor="text1"/>
                <w:sz w:val="24"/>
                <w:szCs w:val="21"/>
                <w14:textFill>
                  <w14:solidFill>
                    <w14:schemeClr w14:val="tx1"/>
                  </w14:solidFill>
                </w14:textFill>
              </w:rPr>
              <w:t>西南村</w:t>
            </w:r>
            <w:r>
              <w:rPr>
                <w:rFonts w:hint="eastAsia"/>
                <w:color w:val="000000" w:themeColor="text1"/>
                <w:sz w:val="24"/>
                <w:szCs w:val="21"/>
                <w:lang w:eastAsia="zh-CN"/>
                <w14:textFill>
                  <w14:solidFill>
                    <w14:schemeClr w14:val="tx1"/>
                  </w14:solidFill>
                </w14:textFill>
              </w:rPr>
              <w:t>）</w:t>
            </w:r>
            <w:r>
              <w:rPr>
                <w:rFonts w:hint="default"/>
                <w:color w:val="000000" w:themeColor="text1"/>
                <w:sz w:val="24"/>
                <w:szCs w:val="21"/>
                <w14:textFill>
                  <w14:solidFill>
                    <w14:schemeClr w14:val="tx1"/>
                  </w14:solidFill>
                </w14:textFill>
              </w:rPr>
              <w:t>西1.3公里-涧口村西一线，北至潞城市续村南-黎城县东窑上村北一线，面积24.9平方公里。</w:t>
            </w:r>
          </w:p>
          <w:p w14:paraId="34E9622C">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szCs w:val="21"/>
                <w14:textFill>
                  <w14:solidFill>
                    <w14:schemeClr w14:val="tx1"/>
                  </w14:solidFill>
                </w14:textFill>
              </w:rPr>
            </w:pPr>
            <w:r>
              <w:rPr>
                <w:rFonts w:hint="default"/>
                <w:color w:val="000000" w:themeColor="text1"/>
                <w:sz w:val="24"/>
                <w:szCs w:val="21"/>
                <w14:textFill>
                  <w14:solidFill>
                    <w14:schemeClr w14:val="tx1"/>
                  </w14:solidFill>
                </w14:textFill>
              </w:rPr>
              <w:t>辛安泉饮用水水源地准保护区范围为水源地上游辛安泉域灰岩裸露补给区，涉及城区、郊区、长治县、潞城市、壶关县、平顺县、黎城县、武乡县、襄垣县，面积约1260平方公里。</w:t>
            </w:r>
          </w:p>
          <w:p w14:paraId="312ED1B7">
            <w:pPr>
              <w:pStyle w:val="27"/>
              <w:keepNext w:val="0"/>
              <w:keepLines w:val="0"/>
              <w:suppressLineNumbers w:val="0"/>
              <w:spacing w:before="0" w:beforeAutospacing="0" w:after="0" w:afterAutospacing="0" w:line="480" w:lineRule="exact"/>
              <w:ind w:left="0" w:right="0" w:firstLine="480" w:firstLineChars="200"/>
              <w:jc w:val="both"/>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kern w:val="2"/>
                <w14:textFill>
                  <w14:solidFill>
                    <w14:schemeClr w14:val="tx1"/>
                  </w14:solidFill>
                </w14:textFill>
              </w:rPr>
              <w:t>本项目拟选厂址处于辛安泉域内，但不在泉域的重点保护范围之内，</w:t>
            </w:r>
            <w:r>
              <w:rPr>
                <w:rFonts w:hint="default" w:ascii="Times New Roman" w:hAnsi="Times New Roman"/>
                <w:color w:val="000000" w:themeColor="text1"/>
                <w:kern w:val="2"/>
                <w:highlight w:val="none"/>
                <w14:textFill>
                  <w14:solidFill>
                    <w14:schemeClr w14:val="tx1"/>
                  </w14:solidFill>
                </w14:textFill>
              </w:rPr>
              <w:t>距离重点泉域保护区边界约</w:t>
            </w:r>
            <w:r>
              <w:rPr>
                <w:rFonts w:hint="eastAsia"/>
                <w:color w:val="000000" w:themeColor="text1"/>
                <w:kern w:val="2"/>
                <w:highlight w:val="none"/>
                <w:lang w:val="en-US" w:eastAsia="zh-CN"/>
                <w14:textFill>
                  <w14:solidFill>
                    <w14:schemeClr w14:val="tx1"/>
                  </w14:solidFill>
                </w14:textFill>
              </w:rPr>
              <w:t>18</w:t>
            </w:r>
            <w:r>
              <w:rPr>
                <w:rFonts w:hint="default" w:ascii="Times New Roman" w:hAnsi="Times New Roman"/>
                <w:color w:val="000000" w:themeColor="text1"/>
                <w:kern w:val="2"/>
                <w:highlight w:val="none"/>
                <w14:textFill>
                  <w14:solidFill>
                    <w14:schemeClr w14:val="tx1"/>
                  </w14:solidFill>
                </w14:textFill>
              </w:rPr>
              <w:t>km，</w:t>
            </w:r>
            <w:r>
              <w:rPr>
                <w:rFonts w:hint="default" w:ascii="Times New Roman" w:hAnsi="Times New Roman"/>
                <w:color w:val="000000" w:themeColor="text1"/>
                <w:kern w:val="2"/>
                <w14:textFill>
                  <w14:solidFill>
                    <w14:schemeClr w14:val="tx1"/>
                  </w14:solidFill>
                </w14:textFill>
              </w:rPr>
              <w:t>且不在</w:t>
            </w:r>
            <w:r>
              <w:rPr>
                <w:rFonts w:hint="default"/>
                <w:color w:val="000000" w:themeColor="text1"/>
                <w:szCs w:val="21"/>
                <w14:textFill>
                  <w14:solidFill>
                    <w14:schemeClr w14:val="tx1"/>
                  </w14:solidFill>
                </w14:textFill>
              </w:rPr>
              <w:t>辛安泉饮用水水源地</w:t>
            </w:r>
            <w:r>
              <w:rPr>
                <w:rFonts w:hint="default" w:ascii="Times New Roman" w:hAnsi="Times New Roman"/>
                <w:color w:val="000000" w:themeColor="text1"/>
                <w:kern w:val="2"/>
                <w14:textFill>
                  <w14:solidFill>
                    <w14:schemeClr w14:val="tx1"/>
                  </w14:solidFill>
                </w14:textFill>
              </w:rPr>
              <w:t>一级、二级、准保护区内。相对位置关系详见</w:t>
            </w:r>
            <w:r>
              <w:rPr>
                <w:rFonts w:hint="eastAsia" w:ascii="Times New Roman" w:hAnsi="Times New Roman"/>
                <w:color w:val="000000" w:themeColor="text1"/>
                <w:kern w:val="2"/>
                <w14:textFill>
                  <w14:solidFill>
                    <w14:schemeClr w14:val="tx1"/>
                  </w14:solidFill>
                </w14:textFill>
              </w:rPr>
              <w:t>附图</w:t>
            </w:r>
            <w:r>
              <w:rPr>
                <w:rFonts w:hint="eastAsia"/>
                <w:color w:val="000000" w:themeColor="text1"/>
                <w:kern w:val="2"/>
                <w:lang w:val="en-US" w:eastAsia="zh-CN"/>
                <w14:textFill>
                  <w14:solidFill>
                    <w14:schemeClr w14:val="tx1"/>
                  </w14:solidFill>
                </w14:textFill>
              </w:rPr>
              <w:t>8</w:t>
            </w:r>
            <w:r>
              <w:rPr>
                <w:rFonts w:hint="default" w:ascii="Times New Roman" w:hAnsi="Times New Roman"/>
                <w:color w:val="000000" w:themeColor="text1"/>
                <w14:textFill>
                  <w14:solidFill>
                    <w14:schemeClr w14:val="tx1"/>
                  </w14:solidFill>
                </w14:textFill>
              </w:rPr>
              <w:t>。</w:t>
            </w:r>
          </w:p>
          <w:p w14:paraId="09CAC8B3">
            <w:pPr>
              <w:keepNext w:val="0"/>
              <w:keepLines w:val="0"/>
              <w:suppressLineNumbers w:val="0"/>
              <w:autoSpaceDE w:val="0"/>
              <w:autoSpaceDN w:val="0"/>
              <w:adjustRightInd w:val="0"/>
              <w:snapToGrid w:val="0"/>
              <w:spacing w:before="0" w:beforeAutospacing="0" w:after="0" w:afterAutospacing="0" w:line="480" w:lineRule="exact"/>
              <w:ind w:left="0" w:right="0" w:firstLine="482" w:firstLineChars="200"/>
              <w:rPr>
                <w:rFonts w:hint="default"/>
                <w:b/>
                <w:bCs/>
                <w:color w:val="000000" w:themeColor="text1"/>
                <w:sz w:val="24"/>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1.3.</w:t>
            </w:r>
            <w:r>
              <w:rPr>
                <w:rFonts w:hint="default"/>
                <w:b/>
                <w:bCs/>
                <w:color w:val="000000" w:themeColor="text1"/>
                <w:sz w:val="24"/>
                <w14:textFill>
                  <w14:solidFill>
                    <w14:schemeClr w14:val="tx1"/>
                  </w14:solidFill>
                </w14:textFill>
              </w:rPr>
              <w:t>3与《屯留区国土空间总体规划</w:t>
            </w:r>
            <w:r>
              <w:rPr>
                <w:rFonts w:hint="eastAsia"/>
                <w:b/>
                <w:bCs/>
                <w:color w:val="000000" w:themeColor="text1"/>
                <w:sz w:val="24"/>
                <w14:textFill>
                  <w14:solidFill>
                    <w14:schemeClr w14:val="tx1"/>
                  </w14:solidFill>
                </w14:textFill>
              </w:rPr>
              <w:t>（2021-2035年）</w:t>
            </w:r>
            <w:r>
              <w:rPr>
                <w:rFonts w:hint="default"/>
                <w:b/>
                <w:bCs/>
                <w:color w:val="000000" w:themeColor="text1"/>
                <w:sz w:val="24"/>
                <w14:textFill>
                  <w14:solidFill>
                    <w14:schemeClr w14:val="tx1"/>
                  </w14:solidFill>
                </w14:textFill>
              </w:rPr>
              <w:t>》符合性分析</w:t>
            </w:r>
          </w:p>
          <w:p w14:paraId="7B1E5E79">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（1）规划范围</w:t>
            </w:r>
          </w:p>
          <w:p w14:paraId="1D8E29E5">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规划范围为屯留区行政辖区内全部国土空间，包括全区和中心城区两个层次。</w:t>
            </w:r>
          </w:p>
          <w:p w14:paraId="23F607A5">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（2）规划期限</w:t>
            </w:r>
          </w:p>
          <w:p w14:paraId="16BD2F35">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规划期限为2021-2035年，基准年为2020年，近期目标为2025年，远期目标为2035年，远景展望至2050年。</w:t>
            </w:r>
          </w:p>
          <w:p w14:paraId="57F8FAC3">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（3）功能定位</w:t>
            </w:r>
          </w:p>
          <w:p w14:paraId="69A72DAC">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规划屯留区功能定位为：有机循环农业示范区、以煤基新材。</w:t>
            </w:r>
          </w:p>
          <w:p w14:paraId="6EB821F9">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料为主导的资源型城市转型升级示范区、以康体休闲为特色的现代化太行山水名城，合力保障长治市建设全国资源型城市转型升级示范区、现代化太行山水名城。</w:t>
            </w:r>
          </w:p>
          <w:p w14:paraId="41B5150C">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（4）三区三线划定</w:t>
            </w:r>
          </w:p>
          <w:p w14:paraId="65598ADE">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1）耕地与永久基本农田</w:t>
            </w:r>
          </w:p>
          <w:p w14:paraId="0CCF85DC">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全区划定不低于513.00平方千米（76.95万亩）的耕地和不低于444.27平方千米（66.64万亩）的永久基本农田。</w:t>
            </w:r>
          </w:p>
          <w:p w14:paraId="1B5699FC">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落实最严格的耕地保护制度，对永久基本农田实行特殊保护，坚决防止永久基本农田“非农化”，积极开展永久基本农田储备区划定并严格管理。</w:t>
            </w:r>
          </w:p>
          <w:p w14:paraId="4974BBEB">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2）生态保护红线</w:t>
            </w:r>
          </w:p>
          <w:p w14:paraId="013A17A2">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全区划定生态保护红线总面积不少于20.64平方千米，占全区国土面积的1.73%，全部为整合优化后的自然保护地。</w:t>
            </w:r>
          </w:p>
          <w:p w14:paraId="1121A8ED">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稳固太行山区生态安全屏障，增强水源涵养、水土保持和生物多样性等生态系统服务功能，加强生物多样性保护优先区域和珍稀濒危野生动植物集中分布地保护，注重保护重要生态空间，严格控制人为活动尤其是开发建设活动对生态系统的破坏。</w:t>
            </w:r>
          </w:p>
          <w:p w14:paraId="680E8194">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3）城镇开发边界</w:t>
            </w:r>
          </w:p>
          <w:p w14:paraId="2B53E409">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全区城镇开发边界控制在24.75平方千米（3.71万亩），占全区总面积的2.08%。</w:t>
            </w:r>
          </w:p>
          <w:p w14:paraId="42B8712A">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集中建设区重点保障生产、生活、生态和安全空间需求。在城镇开发边界内实施战略留白，为长远发展谋划预留战略空间。</w:t>
            </w:r>
          </w:p>
          <w:p w14:paraId="2877588E">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hAnsi="宋体"/>
                <w:b w:val="0"/>
                <w:bCs/>
                <w:color w:val="000000" w:themeColor="text1"/>
                <w:kern w:val="0"/>
                <w:sz w:val="24"/>
                <w14:textFill>
                  <w14:solidFill>
                    <w14:schemeClr w14:val="tx1"/>
                  </w14:solidFill>
                </w14:textFill>
              </w:rPr>
              <w:t>本</w:t>
            </w:r>
            <w:r>
              <w:rPr>
                <w:rFonts w:hint="eastAsia" w:hAnsi="宋体"/>
                <w:b w:val="0"/>
                <w:bCs/>
                <w:color w:val="000000" w:themeColor="text1"/>
                <w:kern w:val="0"/>
                <w:sz w:val="24"/>
                <w14:textFill>
                  <w14:solidFill>
                    <w14:schemeClr w14:val="tx1"/>
                  </w14:solidFill>
                </w14:textFill>
              </w:rPr>
              <w:t>项目</w:t>
            </w:r>
            <w:r>
              <w:rPr>
                <w:rFonts w:hint="eastAsia"/>
                <w:b w:val="0"/>
                <w:bCs/>
                <w:color w:val="000000" w:themeColor="text1"/>
                <w:sz w:val="24"/>
                <w14:textFill>
                  <w14:solidFill>
                    <w14:schemeClr w14:val="tx1"/>
                  </w14:solidFill>
                </w14:textFill>
              </w:rPr>
              <w:t>位于</w:t>
            </w:r>
            <w:r>
              <w:rPr>
                <w:rFonts w:hint="eastAsia" w:cs="Times New Roman"/>
                <w:color w:val="000000" w:themeColor="text1"/>
                <w:sz w:val="24"/>
                <w:szCs w:val="24"/>
                <w:highlight w:val="none"/>
                <w:lang w:val="en-US" w:eastAsia="zh-CN"/>
                <w14:textFill>
                  <w14:solidFill>
                    <w14:schemeClr w14:val="tx1"/>
                  </w14:solidFill>
                </w14:textFill>
              </w:rPr>
              <w:t>长治市</w:t>
            </w:r>
            <w:r>
              <w:rPr>
                <w:rFonts w:hint="default" w:ascii="Times New Roman" w:hAnsi="Times New Roman" w:cs="Times New Roman"/>
                <w:color w:val="000000" w:themeColor="text1"/>
                <w:sz w:val="24"/>
                <w:szCs w:val="24"/>
                <w:highlight w:val="none"/>
                <w:lang w:val="en-US"/>
                <w14:textFill>
                  <w14:solidFill>
                    <w14:schemeClr w14:val="tx1"/>
                  </w14:solidFill>
                </w14:textFill>
              </w:rPr>
              <w:t>屯留区路村乡前苏村</w:t>
            </w:r>
            <w:r>
              <w:rPr>
                <w:rFonts w:hint="eastAsia" w:cs="Times New Roman"/>
                <w:color w:val="000000" w:themeColor="text1"/>
                <w:sz w:val="24"/>
                <w:szCs w:val="24"/>
                <w:highlight w:val="none"/>
                <w:lang w:val="en-US" w:eastAsia="zh-CN"/>
                <w14:textFill>
                  <w14:solidFill>
                    <w14:schemeClr w14:val="tx1"/>
                  </w14:solidFill>
                </w14:textFill>
              </w:rPr>
              <w:t>村北，富健达洗煤厂现有厂区内，</w:t>
            </w:r>
            <w:r>
              <w:rPr>
                <w:rFonts w:hint="eastAsia"/>
                <w:color w:val="000000" w:themeColor="text1"/>
                <w:sz w:val="24"/>
                <w:lang w:val="en-US" w:eastAsia="zh-CN"/>
                <w14:textFill>
                  <w14:solidFill>
                    <w14:schemeClr w14:val="tx1"/>
                  </w14:solidFill>
                </w14:textFill>
              </w:rPr>
              <w:t>占地类型为工业用地，</w:t>
            </w:r>
            <w:r>
              <w:rPr>
                <w:rFonts w:hint="eastAsia"/>
                <w:color w:val="000000" w:themeColor="text1"/>
                <w:sz w:val="24"/>
                <w14:textFill>
                  <w14:solidFill>
                    <w14:schemeClr w14:val="tx1"/>
                  </w14:solidFill>
                </w14:textFill>
              </w:rPr>
              <w:t>不占用永久基本农田，不在生态保护红线范围内，</w:t>
            </w:r>
            <w:r>
              <w:rPr>
                <w:rFonts w:hint="eastAsia"/>
                <w:color w:val="000000" w:themeColor="text1"/>
                <w:sz w:val="24"/>
                <w:lang w:val="en-US" w:eastAsia="zh-CN"/>
                <w14:textFill>
                  <w14:solidFill>
                    <w14:schemeClr w14:val="tx1"/>
                  </w14:solidFill>
                </w14:textFill>
              </w:rPr>
              <w:t>不属于</w:t>
            </w:r>
            <w:r>
              <w:rPr>
                <w:rFonts w:hint="eastAsia"/>
                <w:color w:val="000000" w:themeColor="text1"/>
                <w:sz w:val="24"/>
                <w14:textFill>
                  <w14:solidFill>
                    <w14:schemeClr w14:val="tx1"/>
                  </w14:solidFill>
                </w14:textFill>
              </w:rPr>
              <w:t>城镇开发边界。本项目与屯留区国土空间控制线规划图相对位置关系图见附图</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eastAsia" w:cs="Times New Roman"/>
                <w:color w:val="000000" w:themeColor="text1"/>
                <w:sz w:val="24"/>
                <w:lang w:val="en-US" w:eastAsia="zh-CN"/>
                <w14:textFill>
                  <w14:solidFill>
                    <w14:schemeClr w14:val="tx1"/>
                  </w14:solidFill>
                </w14:textFill>
              </w:rPr>
              <w:t>0</w:t>
            </w:r>
            <w:r>
              <w:rPr>
                <w:rFonts w:hint="default"/>
                <w:color w:val="000000" w:themeColor="text1"/>
                <w:sz w:val="24"/>
                <w14:textFill>
                  <w14:solidFill>
                    <w14:schemeClr w14:val="tx1"/>
                  </w14:solidFill>
                </w14:textFill>
              </w:rPr>
              <w:t>。</w:t>
            </w:r>
          </w:p>
          <w:p w14:paraId="3703AC2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both"/>
              <w:textAlignment w:val="auto"/>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1.3.</w:t>
            </w:r>
            <w:r>
              <w:rPr>
                <w:rFonts w:hint="eastAsia"/>
                <w:b/>
                <w:bCs/>
                <w:color w:val="000000" w:themeColor="text1"/>
                <w:sz w:val="24"/>
                <w:highlight w:val="none"/>
                <w:lang w:val="en-US" w:eastAsia="zh-CN"/>
                <w14:textFill>
                  <w14:solidFill>
                    <w14:schemeClr w14:val="tx1"/>
                  </w14:solidFill>
                </w14:textFill>
              </w:rPr>
              <w:t>4</w:t>
            </w:r>
            <w:r>
              <w:rPr>
                <w:rFonts w:hint="eastAsia" w:ascii="Times New Roman" w:cs="Times New Roman"/>
                <w:b/>
                <w:bCs/>
                <w:color w:val="000000" w:themeColor="text1"/>
                <w:sz w:val="24"/>
                <w:szCs w:val="24"/>
                <w:highlight w:val="none"/>
                <w:lang w:val="en-US" w:eastAsia="zh-CN"/>
                <w14:textFill>
                  <w14:solidFill>
                    <w14:schemeClr w14:val="tx1"/>
                  </w14:solidFill>
                </w14:textFill>
              </w:rPr>
              <w:t>与长治市生态环境局关于贯彻落实《长治市大气和水污染物排放管控要求》的通知（长环函〔2023〕106号）符合性分析</w:t>
            </w:r>
          </w:p>
          <w:p w14:paraId="64CD76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表</w:t>
            </w:r>
            <w:r>
              <w:rPr>
                <w:rFonts w:hint="default" w:ascii="Times New Roman" w:hAnsi="Times New Roman" w:eastAsia="宋体" w:cs="Times New Roman"/>
                <w:b/>
                <w:bCs/>
                <w:color w:val="000000" w:themeColor="text1"/>
                <w:sz w:val="21"/>
                <w:szCs w:val="21"/>
                <w14:textFill>
                  <w14:solidFill>
                    <w14:schemeClr w14:val="tx1"/>
                  </w14:solidFill>
                </w14:textFill>
              </w:rPr>
              <w:t>1</w:t>
            </w:r>
            <w:r>
              <w:rPr>
                <w:rFonts w:hint="eastAsia"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w:t>
            </w:r>
            <w:r>
              <w:rPr>
                <w:rFonts w:hint="eastAsia" w:cs="Times New Roman"/>
                <w:b/>
                <w:bCs/>
                <w:color w:val="000000" w:themeColor="text1"/>
                <w:sz w:val="21"/>
                <w:szCs w:val="21"/>
                <w:highlight w:val="none"/>
                <w:shd w:val="clear" w:color="auto" w:fill="auto"/>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 xml:space="preserve">  项目与长环函〔2023〕106号符合性分析</w:t>
            </w:r>
          </w:p>
          <w:tbl>
            <w:tblPr>
              <w:tblStyle w:val="31"/>
              <w:tblW w:w="80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3381"/>
              <w:gridCol w:w="3034"/>
              <w:gridCol w:w="930"/>
            </w:tblGrid>
            <w:tr w14:paraId="53B2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l2br w:val="nil"/>
                    <w:tr2bl w:val="nil"/>
                  </w:tcBorders>
                  <w:noWrap w:val="0"/>
                  <w:vAlign w:val="center"/>
                </w:tcPr>
                <w:p w14:paraId="7ACC91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shd w:val="clear" w:color="auto" w:fill="auto"/>
                      <w:vertAlign w:val="baseline"/>
                      <w:lang w:val="en-US" w:eastAsia="zh-CN"/>
                      <w14:textFill>
                        <w14:solidFill>
                          <w14:schemeClr w14:val="tx1"/>
                        </w14:solidFill>
                      </w14:textFill>
                    </w:rPr>
                    <w:t>序号</w:t>
                  </w:r>
                </w:p>
              </w:tc>
              <w:tc>
                <w:tcPr>
                  <w:tcW w:w="2107" w:type="pct"/>
                  <w:tcBorders>
                    <w:tl2br w:val="nil"/>
                    <w:tr2bl w:val="nil"/>
                  </w:tcBorders>
                  <w:noWrap w:val="0"/>
                  <w:vAlign w:val="center"/>
                </w:tcPr>
                <w:p w14:paraId="2723D7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auto"/>
                    <w:rPr>
                      <w:rFonts w:hint="default" w:ascii="Times New Roman" w:hAnsi="Times New Roman" w:eastAsia="宋体" w:cs="Times New Roman"/>
                      <w:b/>
                      <w:bCs/>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shd w:val="clear" w:color="auto" w:fill="auto"/>
                      <w:vertAlign w:val="baseline"/>
                      <w:lang w:val="en-US" w:eastAsia="zh-CN"/>
                      <w14:textFill>
                        <w14:solidFill>
                          <w14:schemeClr w14:val="tx1"/>
                        </w14:solidFill>
                      </w14:textFill>
                    </w:rPr>
                    <w:t>文件中砖瓦石材行业</w:t>
                  </w:r>
                  <w:r>
                    <w:rPr>
                      <w:rFonts w:hint="default" w:ascii="Times New Roman" w:hAnsi="Times New Roman" w:cs="Times New Roman"/>
                      <w:b/>
                      <w:bCs/>
                      <w:color w:val="000000" w:themeColor="text1"/>
                      <w:sz w:val="21"/>
                      <w:szCs w:val="21"/>
                      <w:highlight w:val="none"/>
                      <w:shd w:val="clear" w:color="auto" w:fill="auto"/>
                      <w:vertAlign w:val="baseline"/>
                      <w:lang w:val="en-US" w:eastAsia="zh-CN"/>
                      <w14:textFill>
                        <w14:solidFill>
                          <w14:schemeClr w14:val="tx1"/>
                        </w14:solidFill>
                      </w14:textFill>
                    </w:rPr>
                    <w:t>要求</w:t>
                  </w:r>
                </w:p>
              </w:tc>
              <w:tc>
                <w:tcPr>
                  <w:tcW w:w="1891" w:type="pct"/>
                  <w:tcBorders>
                    <w:tl2br w:val="nil"/>
                    <w:tr2bl w:val="nil"/>
                  </w:tcBorders>
                  <w:noWrap w:val="0"/>
                  <w:vAlign w:val="center"/>
                </w:tcPr>
                <w:p w14:paraId="55B4AC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auto"/>
                    <w:rPr>
                      <w:rFonts w:hint="default" w:ascii="Times New Roman" w:hAnsi="Times New Roman" w:eastAsia="宋体" w:cs="Times New Roman"/>
                      <w:b/>
                      <w:bCs/>
                      <w:color w:val="000000" w:themeColor="text1"/>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shd w:val="clear" w:color="auto" w:fill="auto"/>
                      <w:vertAlign w:val="baseline"/>
                      <w:lang w:val="en-US" w:eastAsia="zh-CN"/>
                      <w14:textFill>
                        <w14:solidFill>
                          <w14:schemeClr w14:val="tx1"/>
                        </w14:solidFill>
                      </w14:textFill>
                    </w:rPr>
                    <w:t>项目情况</w:t>
                  </w:r>
                </w:p>
              </w:tc>
              <w:tc>
                <w:tcPr>
                  <w:tcW w:w="579" w:type="pct"/>
                  <w:tcBorders>
                    <w:tl2br w:val="nil"/>
                    <w:tr2bl w:val="nil"/>
                  </w:tcBorders>
                  <w:noWrap w:val="0"/>
                  <w:vAlign w:val="center"/>
                </w:tcPr>
                <w:p w14:paraId="28B7E7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shd w:val="clear" w:color="auto" w:fill="auto"/>
                      <w:vertAlign w:val="baseline"/>
                      <w:lang w:val="en-US" w:eastAsia="zh-CN"/>
                      <w14:textFill>
                        <w14:solidFill>
                          <w14:schemeClr w14:val="tx1"/>
                        </w14:solidFill>
                      </w14:textFill>
                    </w:rPr>
                    <w:t>符合性</w:t>
                  </w:r>
                </w:p>
              </w:tc>
            </w:tr>
            <w:tr w14:paraId="1B71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l2br w:val="nil"/>
                    <w:tr2bl w:val="nil"/>
                  </w:tcBorders>
                  <w:noWrap w:val="0"/>
                  <w:vAlign w:val="center"/>
                </w:tcPr>
                <w:p w14:paraId="3AED9E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1</w:t>
                  </w:r>
                </w:p>
              </w:tc>
              <w:tc>
                <w:tcPr>
                  <w:tcW w:w="2107" w:type="pct"/>
                  <w:tcBorders>
                    <w:tl2br w:val="nil"/>
                    <w:tr2bl w:val="nil"/>
                  </w:tcBorders>
                  <w:noWrap w:val="0"/>
                  <w:vAlign w:val="center"/>
                </w:tcPr>
                <w:p w14:paraId="29EF5C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储存：</w:t>
                  </w:r>
                </w:p>
                <w:p w14:paraId="3BC2EE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块状物料全部密闭或封闭储存。并对物料采取覆盖、喷淋（雾）等抑尘措施。料场出口要设置车轮清洗和车身清洁设施，或采取其他有效控制措施</w:t>
                  </w: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w:t>
                  </w:r>
                </w:p>
              </w:tc>
              <w:tc>
                <w:tcPr>
                  <w:tcW w:w="1891" w:type="pct"/>
                  <w:tcBorders>
                    <w:tl2br w:val="nil"/>
                    <w:tr2bl w:val="nil"/>
                  </w:tcBorders>
                  <w:noWrap w:val="0"/>
                  <w:vAlign w:val="center"/>
                </w:tcPr>
                <w:p w14:paraId="1F5060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项目原料主要为煤矸石，煤矸石来源为富健达洗煤厂和厂区西侧约3km处的余吾煤矿，均由全封闭厢式车运送至本项目原料堆放区，煤矸石由装载机送入给料机料仓。原料堆放区位于全封闭生产车间内东侧，顶部设置喷雾洒水</w:t>
                  </w:r>
                  <w:r>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抑尘措施</w:t>
                  </w:r>
                  <w:r>
                    <w:rPr>
                      <w:rFonts w:hint="eastAsia"/>
                      <w:color w:val="000000" w:themeColor="text1"/>
                      <w:sz w:val="21"/>
                      <w:szCs w:val="21"/>
                      <w:highlight w:val="none"/>
                      <w:lang w:val="en-US" w:eastAsia="zh-CN"/>
                      <w14:textFill>
                        <w14:solidFill>
                          <w14:schemeClr w14:val="tx1"/>
                        </w14:solidFill>
                      </w14:textFill>
                    </w:rPr>
                    <w:t>，出入厂区设置洗车平台。</w:t>
                  </w:r>
                </w:p>
              </w:tc>
              <w:tc>
                <w:tcPr>
                  <w:tcW w:w="579" w:type="pct"/>
                  <w:tcBorders>
                    <w:tl2br w:val="nil"/>
                    <w:tr2bl w:val="nil"/>
                  </w:tcBorders>
                  <w:noWrap w:val="0"/>
                  <w:vAlign w:val="center"/>
                </w:tcPr>
                <w:p w14:paraId="4C00DC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符合</w:t>
                  </w:r>
                </w:p>
              </w:tc>
            </w:tr>
            <w:tr w14:paraId="4687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l2br w:val="nil"/>
                    <w:tr2bl w:val="nil"/>
                  </w:tcBorders>
                  <w:noWrap w:val="0"/>
                  <w:vAlign w:val="center"/>
                </w:tcPr>
                <w:p w14:paraId="6168A1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2</w:t>
                  </w:r>
                </w:p>
              </w:tc>
              <w:tc>
                <w:tcPr>
                  <w:tcW w:w="2107" w:type="pct"/>
                  <w:tcBorders>
                    <w:tl2br w:val="nil"/>
                    <w:tr2bl w:val="nil"/>
                  </w:tcBorders>
                  <w:noWrap w:val="0"/>
                  <w:vAlign w:val="center"/>
                </w:tcPr>
                <w:p w14:paraId="7DA218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装卸：</w:t>
                  </w:r>
                </w:p>
                <w:p w14:paraId="46D777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装卸车时要采取加湿抑尘或喷淋等有效抑尘措施。</w:t>
                  </w:r>
                </w:p>
                <w:p w14:paraId="489300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2.物料输送落料点要配备集气罩或喷雾等抑尘措施。料场出口设置车轮和车身清洗设施。</w:t>
                  </w:r>
                </w:p>
              </w:tc>
              <w:tc>
                <w:tcPr>
                  <w:tcW w:w="1891" w:type="pct"/>
                  <w:tcBorders>
                    <w:tl2br w:val="nil"/>
                    <w:tr2bl w:val="nil"/>
                  </w:tcBorders>
                  <w:noWrap w:val="0"/>
                  <w:vAlign w:val="center"/>
                </w:tcPr>
                <w:p w14:paraId="7AC489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装卸车时设置移动雾炮</w:t>
                  </w:r>
                  <w:r>
                    <w:rPr>
                      <w:rFonts w:hint="eastAsia" w:cs="Times New Roman"/>
                      <w:color w:val="000000" w:themeColor="text1"/>
                      <w:sz w:val="21"/>
                      <w:szCs w:val="21"/>
                      <w:highlight w:val="none"/>
                      <w:shd w:val="clear" w:color="auto" w:fill="auto"/>
                      <w:vertAlign w:val="baseline"/>
                      <w:lang w:val="en-US" w:eastAsia="zh-CN"/>
                      <w14:textFill>
                        <w14:solidFill>
                          <w14:schemeClr w14:val="tx1"/>
                        </w14:solidFill>
                      </w14:textFill>
                    </w:rPr>
                    <w:t>机抑尘</w:t>
                  </w:r>
                  <w:r>
                    <w:rPr>
                      <w:rFonts w:hint="eastAsia"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。落料通过</w:t>
                  </w:r>
                  <w:r>
                    <w:rPr>
                      <w:rFonts w:hint="eastAsia" w:cs="Times New Roman"/>
                      <w:color w:val="000000" w:themeColor="text1"/>
                      <w:sz w:val="21"/>
                      <w:szCs w:val="21"/>
                      <w:highlight w:val="none"/>
                      <w:shd w:val="clear" w:color="auto" w:fill="auto"/>
                      <w:vertAlign w:val="baseline"/>
                      <w:lang w:val="en-US" w:eastAsia="zh-CN"/>
                      <w14:textFill>
                        <w14:solidFill>
                          <w14:schemeClr w14:val="tx1"/>
                        </w14:solidFill>
                      </w14:textFill>
                    </w:rPr>
                    <w:t>全</w:t>
                  </w:r>
                  <w:r>
                    <w:rPr>
                      <w:rFonts w:hint="eastAsia"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封闭皮带输送机转载，</w:t>
                  </w:r>
                  <w:r>
                    <w:rPr>
                      <w:rFonts w:hint="eastAsia"/>
                      <w:color w:val="000000" w:themeColor="text1"/>
                      <w:sz w:val="21"/>
                      <w:szCs w:val="21"/>
                      <w:highlight w:val="none"/>
                      <w:lang w:val="en-US" w:eastAsia="zh-CN"/>
                      <w14:textFill>
                        <w14:solidFill>
                          <w14:schemeClr w14:val="tx1"/>
                        </w14:solidFill>
                      </w14:textFill>
                    </w:rPr>
                    <w:t>出入厂区设置洗车平台。</w:t>
                  </w:r>
                </w:p>
              </w:tc>
              <w:tc>
                <w:tcPr>
                  <w:tcW w:w="579" w:type="pct"/>
                  <w:tcBorders>
                    <w:tl2br w:val="nil"/>
                    <w:tr2bl w:val="nil"/>
                  </w:tcBorders>
                  <w:noWrap w:val="0"/>
                  <w:vAlign w:val="center"/>
                </w:tcPr>
                <w:p w14:paraId="4507A1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21"/>
                      <w:szCs w:val="21"/>
                      <w:highlight w:val="none"/>
                      <w:shd w:val="clear" w:color="auto" w:fill="auto"/>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符合</w:t>
                  </w:r>
                </w:p>
              </w:tc>
            </w:tr>
            <w:tr w14:paraId="2296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l2br w:val="nil"/>
                    <w:tr2bl w:val="nil"/>
                  </w:tcBorders>
                  <w:noWrap w:val="0"/>
                  <w:vAlign w:val="center"/>
                </w:tcPr>
                <w:p w14:paraId="0C772D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3</w:t>
                  </w:r>
                </w:p>
              </w:tc>
              <w:tc>
                <w:tcPr>
                  <w:tcW w:w="2107" w:type="pct"/>
                  <w:tcBorders>
                    <w:tl2br w:val="nil"/>
                    <w:tr2bl w:val="nil"/>
                  </w:tcBorders>
                  <w:noWrap w:val="0"/>
                  <w:vAlign w:val="center"/>
                </w:tcPr>
                <w:p w14:paraId="052DCC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转运：</w:t>
                  </w:r>
                </w:p>
                <w:p w14:paraId="0669E8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粉状物料全部密闭或封闭</w:t>
                  </w: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储存，采用密闭皮带、封闭通廊或密闭车厢等方式输送，并配备除尘设施，或采取喷淋（雾）等抑尘措施。</w:t>
                  </w:r>
                </w:p>
                <w:p w14:paraId="0657B7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2.厂区道路要硬化。道路采取清扫、洒水等措施，保持清洁</w:t>
                  </w: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w:t>
                  </w:r>
                </w:p>
              </w:tc>
              <w:tc>
                <w:tcPr>
                  <w:tcW w:w="1891" w:type="pct"/>
                  <w:tcBorders>
                    <w:tl2br w:val="nil"/>
                    <w:tr2bl w:val="nil"/>
                  </w:tcBorders>
                  <w:noWrap w:val="0"/>
                  <w:vAlign w:val="center"/>
                </w:tcPr>
                <w:p w14:paraId="54BCED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成品</w:t>
                  </w:r>
                  <w:r>
                    <w:rPr>
                      <w:rFonts w:hint="eastAsia" w:cs="Times New Roman"/>
                      <w:color w:val="000000" w:themeColor="text1"/>
                      <w:sz w:val="21"/>
                      <w:szCs w:val="21"/>
                      <w:highlight w:val="none"/>
                      <w:shd w:val="clear" w:color="auto" w:fill="auto"/>
                      <w:vertAlign w:val="baseline"/>
                      <w:lang w:val="en-US" w:eastAsia="zh-CN"/>
                      <w14:textFill>
                        <w14:solidFill>
                          <w14:schemeClr w14:val="tx1"/>
                        </w14:solidFill>
                      </w14:textFill>
                    </w:rPr>
                    <w:t>机制砂储存于本项目</w:t>
                  </w:r>
                  <w:r>
                    <w:rPr>
                      <w:rFonts w:hint="eastAsia"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成品</w:t>
                  </w:r>
                  <w:r>
                    <w:rPr>
                      <w:rFonts w:hint="eastAsia" w:cs="Times New Roman"/>
                      <w:color w:val="000000" w:themeColor="text1"/>
                      <w:sz w:val="21"/>
                      <w:szCs w:val="21"/>
                      <w:highlight w:val="none"/>
                      <w:shd w:val="clear" w:color="auto" w:fill="auto"/>
                      <w:vertAlign w:val="baseline"/>
                      <w:lang w:val="en-US" w:eastAsia="zh-CN"/>
                      <w14:textFill>
                        <w14:solidFill>
                          <w14:schemeClr w14:val="tx1"/>
                        </w14:solidFill>
                      </w14:textFill>
                    </w:rPr>
                    <w:t>堆放区</w:t>
                  </w:r>
                  <w:r>
                    <w:rPr>
                      <w:rFonts w:hint="eastAsia"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w:t>
                  </w:r>
                  <w:r>
                    <w:rPr>
                      <w:rFonts w:hint="eastAsia" w:cs="Times New Roman"/>
                      <w:color w:val="000000" w:themeColor="text1"/>
                      <w:sz w:val="21"/>
                      <w:szCs w:val="21"/>
                      <w:highlight w:val="none"/>
                      <w:shd w:val="clear" w:color="auto" w:fill="auto"/>
                      <w:vertAlign w:val="baseline"/>
                      <w:lang w:val="en-US" w:eastAsia="zh-CN"/>
                      <w14:textFill>
                        <w14:solidFill>
                          <w14:schemeClr w14:val="tx1"/>
                        </w14:solidFill>
                      </w14:textFill>
                    </w:rPr>
                    <w:t>成品堆放区位于本项目全封闭生产车间内西侧，物料采用</w:t>
                  </w:r>
                  <w:r>
                    <w:rPr>
                      <w:rFonts w:hint="eastAsia"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全封闭皮带输送</w:t>
                  </w:r>
                  <w:r>
                    <w:rPr>
                      <w:rFonts w:hint="eastAsia" w:cs="Times New Roman"/>
                      <w:color w:val="000000" w:themeColor="text1"/>
                      <w:sz w:val="21"/>
                      <w:szCs w:val="21"/>
                      <w:highlight w:val="none"/>
                      <w:shd w:val="clear" w:color="auto" w:fill="auto"/>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厂区道路</w:t>
                  </w: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全部</w:t>
                  </w:r>
                  <w:r>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硬化</w:t>
                  </w: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，定期洒水抑尘</w:t>
                  </w:r>
                  <w:r>
                    <w:rPr>
                      <w:rFonts w:hint="eastAsia" w:cs="Times New Roman"/>
                      <w:color w:val="000000" w:themeColor="text1"/>
                      <w:sz w:val="21"/>
                      <w:szCs w:val="21"/>
                      <w:highlight w:val="none"/>
                      <w:shd w:val="clear" w:color="auto" w:fill="auto"/>
                      <w:vertAlign w:val="baseline"/>
                      <w:lang w:val="en-US" w:eastAsia="zh-CN"/>
                      <w14:textFill>
                        <w14:solidFill>
                          <w14:schemeClr w14:val="tx1"/>
                        </w14:solidFill>
                      </w14:textFill>
                    </w:rPr>
                    <w:t>。</w:t>
                  </w:r>
                </w:p>
              </w:tc>
              <w:tc>
                <w:tcPr>
                  <w:tcW w:w="579" w:type="pct"/>
                  <w:tcBorders>
                    <w:tl2br w:val="nil"/>
                    <w:tr2bl w:val="nil"/>
                  </w:tcBorders>
                  <w:noWrap w:val="0"/>
                  <w:vAlign w:val="center"/>
                </w:tcPr>
                <w:p w14:paraId="42FD05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符合</w:t>
                  </w:r>
                </w:p>
              </w:tc>
            </w:tr>
            <w:tr w14:paraId="0CBA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l2br w:val="nil"/>
                    <w:tr2bl w:val="nil"/>
                  </w:tcBorders>
                  <w:noWrap w:val="0"/>
                  <w:vAlign w:val="center"/>
                </w:tcPr>
                <w:p w14:paraId="009692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4</w:t>
                  </w:r>
                </w:p>
              </w:tc>
              <w:tc>
                <w:tcPr>
                  <w:tcW w:w="2107" w:type="pct"/>
                  <w:tcBorders>
                    <w:tl2br w:val="nil"/>
                    <w:tr2bl w:val="nil"/>
                  </w:tcBorders>
                  <w:noWrap w:val="0"/>
                  <w:vAlign w:val="center"/>
                </w:tcPr>
                <w:p w14:paraId="1D20C1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工艺过程</w:t>
                  </w: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w:t>
                  </w:r>
                </w:p>
                <w:p w14:paraId="1D2368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1.生产工艺产尘点要采取密闭、封闭或设置集气罩等措施。</w:t>
                  </w:r>
                </w:p>
                <w:p w14:paraId="7DD50F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2.产尘点及及车间不得有可见烟（粉）尘外逸。料棚配备喷雾抑尘设施，料棚出入口安装自动门。</w:t>
                  </w:r>
                </w:p>
              </w:tc>
              <w:tc>
                <w:tcPr>
                  <w:tcW w:w="1891" w:type="pct"/>
                  <w:tcBorders>
                    <w:tl2br w:val="nil"/>
                    <w:tr2bl w:val="nil"/>
                  </w:tcBorders>
                  <w:noWrap w:val="0"/>
                  <w:vAlign w:val="center"/>
                </w:tcPr>
                <w:p w14:paraId="3AA052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t>给料机上方安装1个</w:t>
                  </w:r>
                  <w:r>
                    <w:rPr>
                      <w:rFonts w:hint="eastAsia" w:cs="Times New Roman"/>
                      <w:color w:val="000000" w:themeColor="text1"/>
                      <w:spacing w:val="0"/>
                      <w:kern w:val="2"/>
                      <w:sz w:val="21"/>
                      <w:szCs w:val="21"/>
                      <w:highlight w:val="none"/>
                      <w:vertAlign w:val="baseline"/>
                      <w:lang w:val="en-US" w:eastAsia="zh-CN" w:bidi="ar-SA"/>
                      <w14:textFill>
                        <w14:solidFill>
                          <w14:schemeClr w14:val="tx1"/>
                        </w14:solidFill>
                      </w14:textFill>
                    </w:rPr>
                    <w:t>顶吸式</w:t>
                  </w:r>
                  <w:r>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t>集气罩，颚式破碎机为全封闭式，上方设置集气管道，废气收集后共同引入1台布袋除尘器（TA001）处理后，由1根15m高排气筒（DA001）排放</w:t>
                  </w:r>
                  <w:r>
                    <w:rPr>
                      <w:rFonts w:hint="eastAsia"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双级破碎</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机</w:t>
                  </w:r>
                  <w:r>
                    <w:rPr>
                      <w:rFonts w:hint="eastAsia" w:cs="Times New Roman"/>
                      <w:color w:val="000000" w:themeColor="text1"/>
                      <w:kern w:val="2"/>
                      <w:sz w:val="21"/>
                      <w:szCs w:val="21"/>
                      <w:highlight w:val="none"/>
                      <w:lang w:val="en-US" w:eastAsia="zh-CN" w:bidi="ar-SA"/>
                      <w14:textFill>
                        <w14:solidFill>
                          <w14:schemeClr w14:val="tx1"/>
                        </w14:solidFill>
                      </w14:textFill>
                    </w:rPr>
                    <w:t>、筛分机均</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为全封闭式，上方设置集气管道，废气收集后共同引入1台布袋除尘器（TA002）处理后，由1根15m高排气筒（DA002）排放</w:t>
                  </w:r>
                  <w:r>
                    <w:rPr>
                      <w:rFonts w:hint="eastAsia" w:cs="Times New Roman"/>
                      <w:color w:val="000000" w:themeColor="text1"/>
                      <w:sz w:val="21"/>
                      <w:szCs w:val="21"/>
                      <w:highlight w:val="none"/>
                      <w:shd w:val="clear" w:color="auto" w:fill="auto"/>
                      <w:vertAlign w:val="baseli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原料和成品</w:t>
                  </w:r>
                  <w:r>
                    <w:rPr>
                      <w:rFonts w:hint="eastAsia" w:cs="Times New Roman"/>
                      <w:color w:val="000000" w:themeColor="text1"/>
                      <w:sz w:val="21"/>
                      <w:szCs w:val="21"/>
                      <w:highlight w:val="none"/>
                      <w:shd w:val="clear" w:color="auto" w:fill="auto"/>
                      <w:vertAlign w:val="baseline"/>
                      <w:lang w:val="en-US" w:eastAsia="zh-CN"/>
                      <w14:textFill>
                        <w14:solidFill>
                          <w14:schemeClr w14:val="tx1"/>
                        </w14:solidFill>
                      </w14:textFill>
                    </w:rPr>
                    <w:t>堆放区顶部安装</w:t>
                  </w: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喷雾抑尘设施，</w:t>
                  </w:r>
                  <w:r>
                    <w:rPr>
                      <w:rFonts w:hint="eastAsia" w:cs="Times New Roman"/>
                      <w:color w:val="000000" w:themeColor="text1"/>
                      <w:sz w:val="21"/>
                      <w:szCs w:val="21"/>
                      <w:highlight w:val="none"/>
                      <w:shd w:val="clear" w:color="auto" w:fill="auto"/>
                      <w:vertAlign w:val="baseline"/>
                      <w:lang w:val="en-US" w:eastAsia="zh-CN"/>
                      <w14:textFill>
                        <w14:solidFill>
                          <w14:schemeClr w14:val="tx1"/>
                        </w14:solidFill>
                      </w14:textFill>
                    </w:rPr>
                    <w:t>车辆</w:t>
                  </w: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出入口安装</w:t>
                  </w:r>
                  <w:r>
                    <w:rPr>
                      <w:rFonts w:hint="eastAsia" w:cs="Times New Roman"/>
                      <w:color w:val="000000" w:themeColor="text1"/>
                      <w:spacing w:val="0"/>
                      <w:kern w:val="2"/>
                      <w:sz w:val="21"/>
                      <w:szCs w:val="21"/>
                      <w:highlight w:val="none"/>
                      <w:lang w:val="en-US" w:eastAsia="zh-CN" w:bidi="ar-SA"/>
                      <w14:textFill>
                        <w14:solidFill>
                          <w14:schemeClr w14:val="tx1"/>
                        </w14:solidFill>
                      </w14:textFill>
                    </w:rPr>
                    <w:t>自动感应密闭门</w:t>
                  </w:r>
                  <w:r>
                    <w:rPr>
                      <w:rFonts w:hint="eastAsia" w:cs="Times New Roman"/>
                      <w:color w:val="000000" w:themeColor="text1"/>
                      <w:sz w:val="21"/>
                      <w:szCs w:val="21"/>
                      <w:highlight w:val="none"/>
                      <w:shd w:val="clear" w:color="auto" w:fill="auto"/>
                      <w:vertAlign w:val="baseline"/>
                      <w:lang w:val="en-US" w:eastAsia="zh-CN"/>
                      <w14:textFill>
                        <w14:solidFill>
                          <w14:schemeClr w14:val="tx1"/>
                        </w14:solidFill>
                      </w14:textFill>
                    </w:rPr>
                    <w:t>。</w:t>
                  </w:r>
                </w:p>
              </w:tc>
              <w:tc>
                <w:tcPr>
                  <w:tcW w:w="579" w:type="pct"/>
                  <w:tcBorders>
                    <w:tl2br w:val="nil"/>
                    <w:tr2bl w:val="nil"/>
                  </w:tcBorders>
                  <w:noWrap w:val="0"/>
                  <w:vAlign w:val="center"/>
                </w:tcPr>
                <w:p w14:paraId="456D79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符合</w:t>
                  </w:r>
                </w:p>
              </w:tc>
            </w:tr>
            <w:tr w14:paraId="2882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l2br w:val="nil"/>
                    <w:tr2bl w:val="nil"/>
                  </w:tcBorders>
                  <w:noWrap w:val="0"/>
                  <w:vAlign w:val="center"/>
                </w:tcPr>
                <w:p w14:paraId="4CDF99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5</w:t>
                  </w:r>
                </w:p>
              </w:tc>
              <w:tc>
                <w:tcPr>
                  <w:tcW w:w="2107" w:type="pct"/>
                  <w:tcBorders>
                    <w:tl2br w:val="nil"/>
                    <w:tr2bl w:val="nil"/>
                  </w:tcBorders>
                  <w:noWrap w:val="0"/>
                  <w:vAlign w:val="center"/>
                </w:tcPr>
                <w:p w14:paraId="723FBE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道路运输</w:t>
                  </w: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w:t>
                  </w:r>
                </w:p>
                <w:p w14:paraId="5A2E4A5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shd w:val="clear" w:fill="auto"/>
                      <w:vertAlign w:val="baseline"/>
                      <w:lang w:val="en-US" w:eastAsia="zh-CN" w:bidi="ar-SA"/>
                      <w14:textFill>
                        <w14:solidFill>
                          <w14:schemeClr w14:val="tx1"/>
                        </w14:solidFill>
                      </w14:textFill>
                    </w:rPr>
                    <w:t>1.</w:t>
                  </w: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块状物料及产品运输必须苫盖，采取密闭运输，严禁沿路抛洒逸散。</w:t>
                  </w:r>
                </w:p>
                <w:p w14:paraId="290D2E1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shd w:val="clear" w:fill="auto"/>
                      <w:vertAlign w:val="baseline"/>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鼓励现有企业建设全封闭的厂内车辆运输通道，连通原料储仓和产品储库，力争实现车辆从进厂到出厂全封闭行驶。</w:t>
                  </w:r>
                </w:p>
                <w:p w14:paraId="55B871C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3.厂区内道路及厂区至主干公路的道路必须硬化，要铺设沥青路面，道路两侧设置绿化带，采用吸尘车或洒水车进行喷洒抑尘、道路洗扫，厂区、道路两侧及路面不得有明显积尘。</w:t>
                  </w:r>
                </w:p>
                <w:p w14:paraId="6E9FD0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4.要将进出厂道路与交通干线连接点上下各2km范围内的道路纳入卫生责任区，建立清洗制度，每日开展道路清洗工作，根据洗扫范围购置1-2辆新能源喷雾降尘车和2-3辆新能源洗扫吸尘车。</w:t>
                  </w:r>
                </w:p>
              </w:tc>
              <w:tc>
                <w:tcPr>
                  <w:tcW w:w="1891" w:type="pct"/>
                  <w:tcBorders>
                    <w:tl2br w:val="nil"/>
                    <w:tr2bl w:val="nil"/>
                  </w:tcBorders>
                  <w:noWrap w:val="0"/>
                  <w:vAlign w:val="center"/>
                </w:tcPr>
                <w:p w14:paraId="157EEB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cs="Times New Roman"/>
                      <w:color w:val="000000" w:themeColor="text1"/>
                      <w:sz w:val="21"/>
                      <w:szCs w:val="21"/>
                      <w:highlight w:val="none"/>
                      <w:shd w:val="clear" w:color="auto" w:fill="auto"/>
                      <w:vertAlign w:val="baseline"/>
                      <w:lang w:val="en-US" w:eastAsia="zh-CN"/>
                      <w14:textFill>
                        <w14:solidFill>
                          <w14:schemeClr w14:val="tx1"/>
                        </w14:solidFill>
                      </w14:textFill>
                    </w:rPr>
                    <w:t>原料煤矸石</w:t>
                  </w: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及产品运输采用</w:t>
                  </w:r>
                  <w:r>
                    <w:rPr>
                      <w:rFonts w:hint="eastAsia" w:cs="Times New Roman"/>
                      <w:color w:val="000000" w:themeColor="text1"/>
                      <w:sz w:val="21"/>
                      <w:szCs w:val="21"/>
                      <w:highlight w:val="none"/>
                      <w:shd w:val="clear" w:color="auto" w:fill="auto"/>
                      <w:vertAlign w:val="baseline"/>
                      <w:lang w:val="en-US" w:eastAsia="zh-CN"/>
                      <w14:textFill>
                        <w14:solidFill>
                          <w14:schemeClr w14:val="tx1"/>
                        </w14:solidFill>
                      </w14:textFill>
                    </w:rPr>
                    <w:t>封闭式厢式车</w:t>
                  </w: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篷布遮盖，密闭运输，严禁沿路抛洒逸散，连通原料储仓和产品储库，实现了车辆从进厂到出厂全封闭行驶，厂区道路硬化，道路两侧设置绿化带，采用吸尘车或洒水车进行喷洒抑尘、道路洗扫；进出厂道路与交通干线连接点上下各2km范围内的道路为本单位卫生责任区，每日开展道路清洗工作，厂区配备新能源喷雾降尘设施以及新能源洗扫吸尘设施</w:t>
                  </w:r>
                  <w:r>
                    <w:rPr>
                      <w:rFonts w:hint="eastAsia" w:cs="Times New Roman"/>
                      <w:color w:val="000000" w:themeColor="text1"/>
                      <w:sz w:val="21"/>
                      <w:szCs w:val="21"/>
                      <w:highlight w:val="none"/>
                      <w:shd w:val="clear" w:color="auto" w:fill="auto"/>
                      <w:vertAlign w:val="baseline"/>
                      <w:lang w:val="en-US" w:eastAsia="zh-CN"/>
                      <w14:textFill>
                        <w14:solidFill>
                          <w14:schemeClr w14:val="tx1"/>
                        </w14:solidFill>
                      </w14:textFill>
                    </w:rPr>
                    <w:t>。</w:t>
                  </w:r>
                </w:p>
              </w:tc>
              <w:tc>
                <w:tcPr>
                  <w:tcW w:w="579" w:type="pct"/>
                  <w:tcBorders>
                    <w:tl2br w:val="nil"/>
                    <w:tr2bl w:val="nil"/>
                  </w:tcBorders>
                  <w:noWrap w:val="0"/>
                  <w:vAlign w:val="center"/>
                </w:tcPr>
                <w:p w14:paraId="7CBEF6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符合</w:t>
                  </w:r>
                </w:p>
              </w:tc>
            </w:tr>
            <w:tr w14:paraId="3B518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l2br w:val="nil"/>
                    <w:tr2bl w:val="nil"/>
                  </w:tcBorders>
                  <w:noWrap w:val="0"/>
                  <w:vAlign w:val="center"/>
                </w:tcPr>
                <w:p w14:paraId="35AB7F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6</w:t>
                  </w:r>
                </w:p>
              </w:tc>
              <w:tc>
                <w:tcPr>
                  <w:tcW w:w="2107" w:type="pct"/>
                  <w:tcBorders>
                    <w:tl2br w:val="nil"/>
                    <w:tr2bl w:val="nil"/>
                  </w:tcBorders>
                  <w:noWrap w:val="0"/>
                  <w:vAlign w:val="center"/>
                </w:tcPr>
                <w:p w14:paraId="20985B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在厂区或物料棚出入口设置车辆冲洗平台，要淘汰现有的简易冲洗平台，设置具有保温、烘干等功能的现代化冲洗平台，冲洗平台的长度和高度要确保货运重卡车辆的车身和车轮全部冲洗到位，货运车辆进、出厂区必须进行轮胎和车身清洗，车辆冲洗时间要在100秒以上，有效将车轮及车身全部冲洗干净，确保车身整洁、车轮干净，不带泥带灰上路</w:t>
                  </w: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w:t>
                  </w:r>
                </w:p>
              </w:tc>
              <w:tc>
                <w:tcPr>
                  <w:tcW w:w="1891" w:type="pct"/>
                  <w:tcBorders>
                    <w:tl2br w:val="nil"/>
                    <w:tr2bl w:val="nil"/>
                  </w:tcBorders>
                  <w:noWrap w:val="0"/>
                  <w:vAlign w:val="center"/>
                </w:tcPr>
                <w:p w14:paraId="101243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洗车平台</w:t>
                  </w:r>
                  <w:r>
                    <w:rPr>
                      <w:rFonts w:hint="default" w:ascii="Times New Roman" w:hAnsi="Times New Roman" w:eastAsia="宋体" w:cs="Times New Roman"/>
                      <w:color w:val="000000" w:themeColor="text1"/>
                      <w:sz w:val="21"/>
                      <w:szCs w:val="21"/>
                      <w:highlight w:val="none"/>
                      <w14:textFill>
                        <w14:solidFill>
                          <w14:schemeClr w14:val="tx1"/>
                        </w14:solidFill>
                      </w14:textFill>
                    </w:rPr>
                    <w:t>位于厂区</w:t>
                  </w:r>
                  <w:r>
                    <w:rPr>
                      <w:rFonts w:hint="eastAsia" w:cs="Times New Roman"/>
                      <w:color w:val="000000" w:themeColor="text1"/>
                      <w:sz w:val="21"/>
                      <w:szCs w:val="21"/>
                      <w:highlight w:val="none"/>
                      <w:lang w:val="en-US" w:eastAsia="zh-CN"/>
                      <w14:textFill>
                        <w14:solidFill>
                          <w14:schemeClr w14:val="tx1"/>
                        </w14:solidFill>
                      </w14:textFill>
                    </w:rPr>
                    <w:t>西侧出</w:t>
                  </w:r>
                  <w:r>
                    <w:rPr>
                      <w:rFonts w:hint="default" w:ascii="Times New Roman" w:hAnsi="Times New Roman" w:eastAsia="宋体" w:cs="Times New Roman"/>
                      <w:color w:val="000000" w:themeColor="text1"/>
                      <w:sz w:val="21"/>
                      <w:szCs w:val="21"/>
                      <w:highlight w:val="none"/>
                      <w14:textFill>
                        <w14:solidFill>
                          <w14:schemeClr w14:val="tx1"/>
                        </w14:solidFill>
                      </w14:textFill>
                    </w:rPr>
                    <w:t>入口处，内设水泵，高压水枪等可覆盖全部车身的冲洗设备，对出厂车辆的车身及轮胎进行清洗；设置沉淀池</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冬季池体有保温措施</w:t>
                  </w:r>
                  <w:r>
                    <w:rPr>
                      <w:rFonts w:hint="eastAsia" w:cs="Times New Roman"/>
                      <w:color w:val="000000" w:themeColor="text1"/>
                      <w:sz w:val="21"/>
                      <w:szCs w:val="21"/>
                      <w:highlight w:val="none"/>
                      <w:lang w:val="en-US" w:eastAsia="zh-CN"/>
                      <w14:textFill>
                        <w14:solidFill>
                          <w14:schemeClr w14:val="tx1"/>
                        </w14:solidFill>
                      </w14:textFill>
                    </w:rPr>
                    <w:t>。</w:t>
                  </w:r>
                </w:p>
              </w:tc>
              <w:tc>
                <w:tcPr>
                  <w:tcW w:w="579" w:type="pct"/>
                  <w:tcBorders>
                    <w:tl2br w:val="nil"/>
                    <w:tr2bl w:val="nil"/>
                  </w:tcBorders>
                  <w:noWrap w:val="0"/>
                  <w:vAlign w:val="center"/>
                </w:tcPr>
                <w:p w14:paraId="2585A5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符合</w:t>
                  </w:r>
                </w:p>
              </w:tc>
            </w:tr>
            <w:tr w14:paraId="229B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l2br w:val="nil"/>
                    <w:tr2bl w:val="nil"/>
                  </w:tcBorders>
                  <w:noWrap w:val="0"/>
                  <w:vAlign w:val="center"/>
                </w:tcPr>
                <w:p w14:paraId="2634A9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7</w:t>
                  </w:r>
                </w:p>
              </w:tc>
              <w:tc>
                <w:tcPr>
                  <w:tcW w:w="2107" w:type="pct"/>
                  <w:tcBorders>
                    <w:tl2br w:val="nil"/>
                    <w:tr2bl w:val="nil"/>
                  </w:tcBorders>
                  <w:noWrap w:val="0"/>
                  <w:vAlign w:val="center"/>
                </w:tcPr>
                <w:p w14:paraId="36136F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建设门禁系统和视频监控系统，监控运输车辆进出厂区情况。物料公路运输和厂内运输全部使用国六及以上排放标准的载货车辆或新能源车辆，逐步全部更换为新能源车辆；厂内非道路移动机械全部使用国四及以上排放标准或新能源车辆，逐步全部更换为新能源车辆</w:t>
                  </w:r>
                  <w:r>
                    <w:rPr>
                      <w:rFonts w:hint="eastAsia"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w:t>
                  </w:r>
                </w:p>
              </w:tc>
              <w:tc>
                <w:tcPr>
                  <w:tcW w:w="1891" w:type="pct"/>
                  <w:tcBorders>
                    <w:tl2br w:val="nil"/>
                    <w:tr2bl w:val="nil"/>
                  </w:tcBorders>
                  <w:noWrap w:val="0"/>
                  <w:vAlign w:val="center"/>
                </w:tcPr>
                <w:p w14:paraId="737222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原料</w:t>
                  </w:r>
                  <w:r>
                    <w:rPr>
                      <w:rFonts w:hint="eastAsia" w:cs="Times New Roman"/>
                      <w:color w:val="000000" w:themeColor="text1"/>
                      <w:sz w:val="21"/>
                      <w:szCs w:val="21"/>
                      <w:highlight w:val="none"/>
                      <w:shd w:val="clear" w:color="auto" w:fill="auto"/>
                      <w:vertAlign w:val="baseline"/>
                      <w:lang w:val="en-US" w:eastAsia="zh-CN"/>
                      <w14:textFill>
                        <w14:solidFill>
                          <w14:schemeClr w14:val="tx1"/>
                        </w14:solidFill>
                      </w14:textFill>
                    </w:rPr>
                    <w:t>堆放区</w:t>
                  </w:r>
                  <w:r>
                    <w:rPr>
                      <w:rFonts w:hint="eastAsia"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w:t>
                  </w:r>
                  <w:r>
                    <w:rPr>
                      <w:rFonts w:hint="eastAsia" w:cs="Times New Roman"/>
                      <w:color w:val="000000" w:themeColor="text1"/>
                      <w:sz w:val="21"/>
                      <w:szCs w:val="21"/>
                      <w:highlight w:val="none"/>
                      <w:shd w:val="clear" w:color="auto" w:fill="auto"/>
                      <w:vertAlign w:val="baseline"/>
                      <w:lang w:val="en-US" w:eastAsia="zh-CN"/>
                      <w14:textFill>
                        <w14:solidFill>
                          <w14:schemeClr w14:val="tx1"/>
                        </w14:solidFill>
                      </w14:textFill>
                    </w:rPr>
                    <w:t>成品堆放区、</w:t>
                  </w:r>
                  <w:r>
                    <w:rPr>
                      <w:rFonts w:hint="eastAsia"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生产车间，厂区布设视频监控，设置门禁系统；运输车辆必须为国六排放标准或者新能源车辆</w:t>
                  </w:r>
                  <w:r>
                    <w:rPr>
                      <w:rFonts w:hint="eastAsia" w:cs="Times New Roman"/>
                      <w:color w:val="000000" w:themeColor="text1"/>
                      <w:sz w:val="21"/>
                      <w:szCs w:val="21"/>
                      <w:highlight w:val="none"/>
                      <w:shd w:val="clear" w:color="auto" w:fill="auto"/>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auto"/>
                      <w:vertAlign w:val="baseline"/>
                      <w:lang w:val="en-US" w:eastAsia="zh-CN"/>
                      <w14:textFill>
                        <w14:solidFill>
                          <w14:schemeClr w14:val="tx1"/>
                        </w14:solidFill>
                      </w14:textFill>
                    </w:rPr>
                    <w:t>厂内非道路移动机械全部使用国四及以上排放标准或新能源车辆</w:t>
                  </w:r>
                  <w:r>
                    <w:rPr>
                      <w:rFonts w:hint="eastAsia" w:cs="Times New Roman"/>
                      <w:color w:val="000000" w:themeColor="text1"/>
                      <w:sz w:val="21"/>
                      <w:szCs w:val="21"/>
                      <w:highlight w:val="none"/>
                      <w:shd w:val="clear" w:color="auto" w:fill="auto"/>
                      <w:vertAlign w:val="baseline"/>
                      <w:lang w:val="en-US" w:eastAsia="zh-CN"/>
                      <w14:textFill>
                        <w14:solidFill>
                          <w14:schemeClr w14:val="tx1"/>
                        </w14:solidFill>
                      </w14:textFill>
                    </w:rPr>
                    <w:t>。</w:t>
                  </w:r>
                </w:p>
              </w:tc>
              <w:tc>
                <w:tcPr>
                  <w:tcW w:w="579" w:type="pct"/>
                  <w:tcBorders>
                    <w:tl2br w:val="nil"/>
                    <w:tr2bl w:val="nil"/>
                  </w:tcBorders>
                  <w:noWrap w:val="0"/>
                  <w:vAlign w:val="center"/>
                </w:tcPr>
                <w:p w14:paraId="11403B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符合</w:t>
                  </w:r>
                </w:p>
              </w:tc>
            </w:tr>
          </w:tbl>
          <w:p w14:paraId="794BAEB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2" w:firstLineChars="200"/>
              <w:textAlignment w:val="auto"/>
              <w:rPr>
                <w:rFonts w:hint="default" w:eastAsia="宋体"/>
                <w:b/>
                <w:bCs/>
                <w:color w:val="000000" w:themeColor="text1"/>
                <w:sz w:val="24"/>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1.3.</w:t>
            </w:r>
            <w:r>
              <w:rPr>
                <w:rFonts w:hint="eastAsia"/>
                <w:b/>
                <w:bCs/>
                <w:color w:val="000000" w:themeColor="text1"/>
                <w:sz w:val="24"/>
                <w:lang w:val="en-US" w:eastAsia="zh-CN"/>
                <w14:textFill>
                  <w14:solidFill>
                    <w14:schemeClr w14:val="tx1"/>
                  </w14:solidFill>
                </w14:textFill>
              </w:rPr>
              <w:t>5与《关于推进机制砂石行业高质量发展的若干意见》（工信部联原〔2019〕239号）的符合性分析</w:t>
            </w:r>
          </w:p>
          <w:p w14:paraId="12F33B9E">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表</w:t>
            </w:r>
            <w:r>
              <w:rPr>
                <w:rFonts w:hint="default" w:ascii="Times New Roman" w:hAnsi="Times New Roman" w:eastAsia="宋体" w:cs="Times New Roman"/>
                <w:b/>
                <w:bCs/>
                <w:color w:val="000000" w:themeColor="text1"/>
                <w:sz w:val="21"/>
                <w:szCs w:val="21"/>
                <w14:textFill>
                  <w14:solidFill>
                    <w14:schemeClr w14:val="tx1"/>
                  </w14:solidFill>
                </w14:textFill>
              </w:rPr>
              <w:t>1</w:t>
            </w:r>
            <w:r>
              <w:rPr>
                <w:rFonts w:hint="eastAsia"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w:t>
            </w:r>
            <w:r>
              <w:rPr>
                <w:rFonts w:hint="eastAsia" w:cs="Times New Roman"/>
                <w:b/>
                <w:bCs/>
                <w:color w:val="000000" w:themeColor="text1"/>
                <w:sz w:val="21"/>
                <w:szCs w:val="21"/>
                <w:highlight w:val="none"/>
                <w:shd w:val="clear" w:color="auto" w:fill="auto"/>
                <w:lang w:val="en-US" w:eastAsia="zh-CN"/>
                <w14:textFill>
                  <w14:solidFill>
                    <w14:schemeClr w14:val="tx1"/>
                  </w14:solidFill>
                </w14:textFill>
              </w:rPr>
              <w:t>3</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  与“工信部联原[2019]239号”符合性分析一览表</w:t>
            </w:r>
          </w:p>
          <w:tbl>
            <w:tblPr>
              <w:tblStyle w:val="30"/>
              <w:tblW w:w="8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3994"/>
              <w:gridCol w:w="2426"/>
              <w:gridCol w:w="893"/>
            </w:tblGrid>
            <w:tr w14:paraId="4B7F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5" w:type="pct"/>
                  <w:gridSpan w:val="2"/>
                  <w:tcBorders>
                    <w:tl2br w:val="nil"/>
                    <w:tr2bl w:val="nil"/>
                  </w:tcBorders>
                  <w:noWrap w:val="0"/>
                  <w:vAlign w:val="center"/>
                </w:tcPr>
                <w:p w14:paraId="1746841E">
                  <w:pPr>
                    <w:pStyle w:val="99"/>
                    <w:keepNext w:val="0"/>
                    <w:keepLines w:val="0"/>
                    <w:suppressLineNumbers w:val="0"/>
                    <w:bidi w:val="0"/>
                    <w:spacing w:beforeAutospacing="0" w:afterAutospacing="0"/>
                    <w:ind w:left="0" w:right="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文件要求</w:t>
                  </w:r>
                </w:p>
              </w:tc>
              <w:tc>
                <w:tcPr>
                  <w:tcW w:w="1516" w:type="pct"/>
                  <w:tcBorders>
                    <w:tl2br w:val="nil"/>
                    <w:tr2bl w:val="nil"/>
                  </w:tcBorders>
                  <w:noWrap w:val="0"/>
                  <w:vAlign w:val="center"/>
                </w:tcPr>
                <w:p w14:paraId="630831FF">
                  <w:pPr>
                    <w:pStyle w:val="99"/>
                    <w:keepNext w:val="0"/>
                    <w:keepLines w:val="0"/>
                    <w:suppressLineNumbers w:val="0"/>
                    <w:bidi w:val="0"/>
                    <w:spacing w:beforeAutospacing="0" w:afterAutospacing="0"/>
                    <w:ind w:left="0" w:right="0"/>
                    <w:jc w:val="center"/>
                    <w:rPr>
                      <w:rFonts w:hint="default"/>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本</w:t>
                  </w:r>
                  <w:r>
                    <w:rPr>
                      <w:rFonts w:hint="default"/>
                      <w:b/>
                      <w:bCs/>
                      <w:color w:val="000000" w:themeColor="text1"/>
                      <w14:textFill>
                        <w14:solidFill>
                          <w14:schemeClr w14:val="tx1"/>
                        </w14:solidFill>
                      </w14:textFill>
                    </w:rPr>
                    <w:t>项目情况</w:t>
                  </w:r>
                </w:p>
              </w:tc>
              <w:tc>
                <w:tcPr>
                  <w:tcW w:w="558" w:type="pct"/>
                  <w:tcBorders>
                    <w:tl2br w:val="nil"/>
                    <w:tr2bl w:val="nil"/>
                  </w:tcBorders>
                  <w:noWrap w:val="0"/>
                  <w:vAlign w:val="center"/>
                </w:tcPr>
                <w:p w14:paraId="6BE68081">
                  <w:pPr>
                    <w:pStyle w:val="99"/>
                    <w:keepNext w:val="0"/>
                    <w:keepLines w:val="0"/>
                    <w:suppressLineNumbers w:val="0"/>
                    <w:bidi w:val="0"/>
                    <w:spacing w:beforeAutospacing="0" w:afterAutospacing="0"/>
                    <w:ind w:left="0" w:right="0"/>
                    <w:rPr>
                      <w:rFonts w:hint="eastAsia"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符合性</w:t>
                  </w:r>
                </w:p>
              </w:tc>
            </w:tr>
            <w:tr w14:paraId="7B753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5" w:type="pct"/>
                  <w:gridSpan w:val="2"/>
                  <w:tcBorders>
                    <w:tl2br w:val="nil"/>
                    <w:tr2bl w:val="nil"/>
                  </w:tcBorders>
                  <w:noWrap w:val="0"/>
                  <w:vAlign w:val="center"/>
                </w:tcPr>
                <w:p w14:paraId="3A4DB9E5">
                  <w:pPr>
                    <w:pStyle w:val="99"/>
                    <w:keepNext w:val="0"/>
                    <w:keepLines w:val="0"/>
                    <w:suppressLineNumbers w:val="0"/>
                    <w:bidi w:val="0"/>
                    <w:spacing w:beforeAutospacing="0" w:afterAutospacing="0"/>
                    <w:ind w:left="0" w:right="0"/>
                    <w:jc w:val="both"/>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一、总体要求发展目标：到2025年，形成较为完善合理的机制砂石供应保障体系，产品质量符合GB/T14684《建设用砂》等有关要求，以Ⅰ类产品为代表的高品质机制砂石比例大幅提升，年产1000万吨及以上的</w:t>
                  </w:r>
                  <w:r>
                    <w:rPr>
                      <w:rFonts w:hint="eastAsia"/>
                      <w:color w:val="000000" w:themeColor="text1"/>
                      <w14:textFill>
                        <w14:solidFill>
                          <w14:schemeClr w14:val="tx1"/>
                        </w14:solidFill>
                      </w14:textFill>
                    </w:rPr>
                    <w:t>超</w:t>
                  </w:r>
                  <w:r>
                    <w:rPr>
                      <w:rFonts w:hint="default"/>
                      <w:color w:val="000000" w:themeColor="text1"/>
                      <w14:textFill>
                        <w14:solidFill>
                          <w14:schemeClr w14:val="tx1"/>
                        </w14:solidFill>
                      </w14:textFill>
                    </w:rPr>
                    <w:t>大型机制砂石企业产能占比达到40%，利用尾矿、废石、建筑垃圾等生产的机制砂石占比明显提高，</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公转铁、公转水</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运输取得明显进展</w:t>
                  </w:r>
                </w:p>
              </w:tc>
              <w:tc>
                <w:tcPr>
                  <w:tcW w:w="1516" w:type="pct"/>
                  <w:tcBorders>
                    <w:tl2br w:val="nil"/>
                    <w:tr2bl w:val="nil"/>
                  </w:tcBorders>
                  <w:noWrap w:val="0"/>
                  <w:vAlign w:val="center"/>
                </w:tcPr>
                <w:p w14:paraId="5A0096D2">
                  <w:pPr>
                    <w:pStyle w:val="99"/>
                    <w:keepNext w:val="0"/>
                    <w:keepLines w:val="0"/>
                    <w:suppressLineNumbers w:val="0"/>
                    <w:bidi w:val="0"/>
                    <w:spacing w:beforeAutospacing="0" w:afterAutospacing="0"/>
                    <w:ind w:left="0" w:right="0"/>
                    <w:jc w:val="both"/>
                    <w:rPr>
                      <w:rFonts w:hint="eastAsia" w:eastAsia="宋体"/>
                      <w:color w:val="000000" w:themeColor="text1"/>
                      <w:lang w:val="en-US" w:eastAsia="zh-CN"/>
                      <w14:textFill>
                        <w14:solidFill>
                          <w14:schemeClr w14:val="tx1"/>
                        </w14:solidFill>
                      </w14:textFill>
                    </w:rPr>
                  </w:pPr>
                  <w:r>
                    <w:rPr>
                      <w:rFonts w:hint="default"/>
                      <w:color w:val="000000" w:themeColor="text1"/>
                      <w:kern w:val="0"/>
                      <w:szCs w:val="21"/>
                      <w14:textFill>
                        <w14:solidFill>
                          <w14:schemeClr w14:val="tx1"/>
                        </w14:solidFill>
                      </w14:textFill>
                    </w:rPr>
                    <w:t>本项目为</w:t>
                  </w:r>
                  <w:r>
                    <w:rPr>
                      <w:rFonts w:hint="eastAsia"/>
                      <w:color w:val="000000" w:themeColor="text1"/>
                      <w:kern w:val="0"/>
                      <w:szCs w:val="21"/>
                      <w14:textFill>
                        <w14:solidFill>
                          <w14:schemeClr w14:val="tx1"/>
                        </w14:solidFill>
                      </w14:textFill>
                    </w:rPr>
                    <w:t>利用</w:t>
                  </w:r>
                  <w:r>
                    <w:rPr>
                      <w:rFonts w:hint="default"/>
                      <w:color w:val="000000" w:themeColor="text1"/>
                      <w:kern w:val="0"/>
                      <w:szCs w:val="21"/>
                      <w14:textFill>
                        <w14:solidFill>
                          <w14:schemeClr w14:val="tx1"/>
                        </w14:solidFill>
                      </w14:textFill>
                    </w:rPr>
                    <w:t>煤</w:t>
                  </w:r>
                  <w:r>
                    <w:rPr>
                      <w:rFonts w:hint="eastAsia"/>
                      <w:color w:val="000000" w:themeColor="text1"/>
                      <w:kern w:val="0"/>
                      <w:szCs w:val="21"/>
                      <w14:textFill>
                        <w14:solidFill>
                          <w14:schemeClr w14:val="tx1"/>
                        </w14:solidFill>
                      </w14:textFill>
                    </w:rPr>
                    <w:t>矸</w:t>
                  </w:r>
                  <w:r>
                    <w:rPr>
                      <w:rFonts w:hint="default"/>
                      <w:color w:val="000000" w:themeColor="text1"/>
                      <w:kern w:val="0"/>
                      <w:szCs w:val="21"/>
                      <w14:textFill>
                        <w14:solidFill>
                          <w14:schemeClr w14:val="tx1"/>
                        </w14:solidFill>
                      </w14:textFill>
                    </w:rPr>
                    <w:t>石生产机制砂，产品质量要求符合《建设用砂》(GB/T14684)</w:t>
                  </w:r>
                  <w:r>
                    <w:rPr>
                      <w:rFonts w:hint="eastAsia"/>
                      <w:color w:val="000000" w:themeColor="text1"/>
                      <w:kern w:val="0"/>
                      <w:szCs w:val="21"/>
                      <w:lang w:val="en-US" w:eastAsia="zh-CN"/>
                      <w14:textFill>
                        <w14:solidFill>
                          <w14:schemeClr w14:val="tx1"/>
                        </w14:solidFill>
                      </w14:textFill>
                    </w:rPr>
                    <w:t>中</w:t>
                  </w:r>
                  <w:r>
                    <w:rPr>
                      <w:rFonts w:hint="default"/>
                      <w:color w:val="000000" w:themeColor="text1"/>
                      <w:kern w:val="0"/>
                      <w:szCs w:val="21"/>
                      <w14:textFill>
                        <w14:solidFill>
                          <w14:schemeClr w14:val="tx1"/>
                        </w14:solidFill>
                      </w14:textFill>
                    </w:rPr>
                    <w:t>IⅡ类产品标准</w:t>
                  </w:r>
                  <w:r>
                    <w:rPr>
                      <w:rFonts w:hint="eastAsia"/>
                      <w:color w:val="000000" w:themeColor="text1"/>
                      <w:kern w:val="0"/>
                      <w:szCs w:val="21"/>
                      <w:lang w:eastAsia="zh-CN"/>
                      <w14:textFill>
                        <w14:solidFill>
                          <w14:schemeClr w14:val="tx1"/>
                        </w14:solidFill>
                      </w14:textFill>
                    </w:rPr>
                    <w:t>。</w:t>
                  </w:r>
                </w:p>
              </w:tc>
              <w:tc>
                <w:tcPr>
                  <w:tcW w:w="558" w:type="pct"/>
                  <w:tcBorders>
                    <w:tl2br w:val="nil"/>
                    <w:tr2bl w:val="nil"/>
                  </w:tcBorders>
                  <w:noWrap w:val="0"/>
                  <w:vAlign w:val="center"/>
                </w:tcPr>
                <w:p w14:paraId="3D1B90C0">
                  <w:pPr>
                    <w:pStyle w:val="99"/>
                    <w:keepNext w:val="0"/>
                    <w:keepLines w:val="0"/>
                    <w:suppressLineNumbers w:val="0"/>
                    <w:bidi w:val="0"/>
                    <w:spacing w:beforeAutospacing="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D3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vMerge w:val="restart"/>
                  <w:tcBorders>
                    <w:tl2br w:val="nil"/>
                    <w:tr2bl w:val="nil"/>
                  </w:tcBorders>
                  <w:noWrap w:val="0"/>
                  <w:vAlign w:val="center"/>
                </w:tcPr>
                <w:p w14:paraId="7757558C">
                  <w:pPr>
                    <w:pStyle w:val="99"/>
                    <w:keepNext w:val="0"/>
                    <w:keepLines w:val="0"/>
                    <w:suppressLineNumbers w:val="0"/>
                    <w:bidi w:val="0"/>
                    <w:spacing w:beforeAutospacing="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二、多措并举保障市场供应</w:t>
                  </w:r>
                </w:p>
              </w:tc>
              <w:tc>
                <w:tcPr>
                  <w:tcW w:w="2496" w:type="pct"/>
                  <w:tcBorders>
                    <w:tl2br w:val="nil"/>
                    <w:tr2bl w:val="nil"/>
                  </w:tcBorders>
                  <w:noWrap w:val="0"/>
                  <w:vAlign w:val="center"/>
                </w:tcPr>
                <w:p w14:paraId="33E482E1">
                  <w:pPr>
                    <w:pStyle w:val="99"/>
                    <w:keepNext w:val="0"/>
                    <w:keepLines w:val="0"/>
                    <w:suppressLineNumbers w:val="0"/>
                    <w:bidi w:val="0"/>
                    <w:spacing w:beforeAutospacing="0" w:afterAutospacing="0"/>
                    <w:ind w:left="0" w:right="0"/>
                    <w:jc w:val="both"/>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统筹协调布局。根据“十四五”投资建设需要，统筹考虑矿产资源、市场需求、交通物流等因素，按照安全、环保、功能区等方面要求，科学规划、合理布局，建立国内合理的机制砂石供应体系，既保障供给，又防止“一哄而上”造成产能过剩。市、县区域合理布局服务当地的砂石加工基地或集散中心。</w:t>
                  </w:r>
                </w:p>
              </w:tc>
              <w:tc>
                <w:tcPr>
                  <w:tcW w:w="1516" w:type="pct"/>
                  <w:tcBorders>
                    <w:tl2br w:val="nil"/>
                    <w:tr2bl w:val="nil"/>
                  </w:tcBorders>
                  <w:noWrap w:val="0"/>
                  <w:vAlign w:val="center"/>
                </w:tcPr>
                <w:p w14:paraId="4A362DD9">
                  <w:pPr>
                    <w:pStyle w:val="99"/>
                    <w:keepNext w:val="0"/>
                    <w:keepLines w:val="0"/>
                    <w:suppressLineNumbers w:val="0"/>
                    <w:bidi w:val="0"/>
                    <w:spacing w:beforeAutospacing="0" w:afterAutospacing="0"/>
                    <w:ind w:left="0" w:right="0"/>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本项目位于长治市屯留区路村乡前苏村村北，富健达洗煤厂现有厂区内，</w:t>
                  </w:r>
                  <w:r>
                    <w:rPr>
                      <w:rFonts w:hint="eastAsia"/>
                      <w:color w:val="000000" w:themeColor="text1"/>
                      <w:kern w:val="0"/>
                      <w:szCs w:val="21"/>
                      <w14:textFill>
                        <w14:solidFill>
                          <w14:schemeClr w14:val="tx1"/>
                        </w14:solidFill>
                      </w14:textFill>
                    </w:rPr>
                    <w:t>距离屯留区建成区约</w:t>
                  </w:r>
                  <w:r>
                    <w:rPr>
                      <w:rFonts w:hint="eastAsia"/>
                      <w:color w:val="000000" w:themeColor="text1"/>
                      <w:kern w:val="0"/>
                      <w:szCs w:val="21"/>
                      <w:lang w:val="en-US" w:eastAsia="zh-CN"/>
                      <w14:textFill>
                        <w14:solidFill>
                          <w14:schemeClr w14:val="tx1"/>
                        </w14:solidFill>
                      </w14:textFill>
                    </w:rPr>
                    <w:t>2.5</w:t>
                  </w:r>
                  <w:r>
                    <w:rPr>
                      <w:rFonts w:hint="eastAsia"/>
                      <w:color w:val="000000" w:themeColor="text1"/>
                      <w:kern w:val="0"/>
                      <w:szCs w:val="21"/>
                      <w14:textFill>
                        <w14:solidFill>
                          <w14:schemeClr w14:val="tx1"/>
                        </w14:solidFill>
                      </w14:textFill>
                    </w:rPr>
                    <w:t>km，属于屯留区快速发展区域，本项目周边众多在建工程项目，可缓解区域内</w:t>
                  </w:r>
                  <w:r>
                    <w:rPr>
                      <w:rFonts w:hint="eastAsia"/>
                      <w:color w:val="000000" w:themeColor="text1"/>
                      <w:kern w:val="0"/>
                      <w:szCs w:val="21"/>
                      <w:lang w:val="en-US" w:eastAsia="zh-CN"/>
                      <w14:textFill>
                        <w14:solidFill>
                          <w14:schemeClr w14:val="tx1"/>
                        </w14:solidFill>
                      </w14:textFill>
                    </w:rPr>
                    <w:t>机制砂</w:t>
                  </w:r>
                  <w:r>
                    <w:rPr>
                      <w:rFonts w:hint="eastAsia"/>
                      <w:color w:val="000000" w:themeColor="text1"/>
                      <w:kern w:val="0"/>
                      <w:szCs w:val="21"/>
                      <w14:textFill>
                        <w14:solidFill>
                          <w14:schemeClr w14:val="tx1"/>
                        </w14:solidFill>
                      </w14:textFill>
                    </w:rPr>
                    <w:t>需求压力</w:t>
                  </w:r>
                </w:p>
              </w:tc>
              <w:tc>
                <w:tcPr>
                  <w:tcW w:w="558" w:type="pct"/>
                  <w:tcBorders>
                    <w:tl2br w:val="nil"/>
                    <w:tr2bl w:val="nil"/>
                  </w:tcBorders>
                  <w:noWrap w:val="0"/>
                  <w:vAlign w:val="center"/>
                </w:tcPr>
                <w:p w14:paraId="7438E72F">
                  <w:pPr>
                    <w:pStyle w:val="99"/>
                    <w:keepNext w:val="0"/>
                    <w:keepLines w:val="0"/>
                    <w:suppressLineNumbers w:val="0"/>
                    <w:bidi w:val="0"/>
                    <w:spacing w:beforeAutospacing="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358A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vMerge w:val="continue"/>
                  <w:tcBorders>
                    <w:tl2br w:val="nil"/>
                    <w:tr2bl w:val="nil"/>
                  </w:tcBorders>
                  <w:noWrap w:val="0"/>
                  <w:vAlign w:val="center"/>
                </w:tcPr>
                <w:p w14:paraId="42440987">
                  <w:pPr>
                    <w:pStyle w:val="99"/>
                    <w:keepNext w:val="0"/>
                    <w:keepLines w:val="0"/>
                    <w:suppressLineNumbers w:val="0"/>
                    <w:bidi w:val="0"/>
                    <w:spacing w:beforeAutospacing="0" w:afterAutospacing="0"/>
                    <w:ind w:left="0" w:right="0"/>
                    <w:jc w:val="both"/>
                    <w:rPr>
                      <w:rFonts w:hint="default"/>
                      <w:color w:val="000000" w:themeColor="text1"/>
                      <w14:textFill>
                        <w14:solidFill>
                          <w14:schemeClr w14:val="tx1"/>
                        </w14:solidFill>
                      </w14:textFill>
                    </w:rPr>
                  </w:pPr>
                </w:p>
              </w:tc>
              <w:tc>
                <w:tcPr>
                  <w:tcW w:w="2496" w:type="pct"/>
                  <w:tcBorders>
                    <w:tl2br w:val="nil"/>
                    <w:tr2bl w:val="nil"/>
                  </w:tcBorders>
                  <w:noWrap w:val="0"/>
                  <w:vAlign w:val="center"/>
                </w:tcPr>
                <w:p w14:paraId="000EE3CA">
                  <w:pPr>
                    <w:pStyle w:val="99"/>
                    <w:keepNext w:val="0"/>
                    <w:keepLines w:val="0"/>
                    <w:suppressLineNumbers w:val="0"/>
                    <w:bidi w:val="0"/>
                    <w:spacing w:beforeAutospacing="0" w:afterAutospacing="0"/>
                    <w:ind w:left="0" w:right="0"/>
                    <w:jc w:val="both"/>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拓展砂石来源。规范砂石资源管理，鼓励利用废石以及铁、钼、钒钛等矿山的尾矿生产机制砂石，节约天然资源，提高产业固体废物综合利用水平。支持就地取材，利用开山、道路、隧洞、场地平整等建设工程产生的砂石料生产机制砂石，减少长距离运输外来砂石，满足建设需要。发展“互联网+砂石骨料”，构建机制砂石电子商务平台，完善支撑服务体系，培育适合砂石产业的O2O、C2B等电商模式，实现砂石电子商务交易中的信息交流、市场交易、物流配送、支付结算、售后服务等功能。</w:t>
                  </w:r>
                </w:p>
              </w:tc>
              <w:tc>
                <w:tcPr>
                  <w:tcW w:w="1516" w:type="pct"/>
                  <w:tcBorders>
                    <w:tl2br w:val="nil"/>
                    <w:tr2bl w:val="nil"/>
                  </w:tcBorders>
                  <w:noWrap w:val="0"/>
                  <w:vAlign w:val="center"/>
                </w:tcPr>
                <w:p w14:paraId="54F7C793">
                  <w:pPr>
                    <w:pStyle w:val="99"/>
                    <w:keepNext w:val="0"/>
                    <w:keepLines w:val="0"/>
                    <w:suppressLineNumbers w:val="0"/>
                    <w:bidi w:val="0"/>
                    <w:spacing w:beforeAutospacing="0" w:afterAutospacing="0"/>
                    <w:ind w:left="0" w:right="0"/>
                    <w:jc w:val="both"/>
                    <w:rPr>
                      <w:rFonts w:hint="eastAsia" w:eastAsia="宋体"/>
                      <w:color w:val="000000" w:themeColor="text1"/>
                      <w:lang w:eastAsia="zh-CN"/>
                      <w14:textFill>
                        <w14:solidFill>
                          <w14:schemeClr w14:val="tx1"/>
                        </w14:solidFill>
                      </w14:textFill>
                    </w:rPr>
                  </w:pPr>
                  <w:r>
                    <w:rPr>
                      <w:rFonts w:hint="eastAsia"/>
                      <w:color w:val="000000" w:themeColor="text1"/>
                      <w:highlight w:val="none"/>
                      <w14:textFill>
                        <w14:solidFill>
                          <w14:schemeClr w14:val="tx1"/>
                        </w14:solidFill>
                      </w14:textFill>
                    </w:rPr>
                    <w:t>本项目为</w:t>
                  </w:r>
                  <w:r>
                    <w:rPr>
                      <w:rFonts w:hint="eastAsia"/>
                      <w:color w:val="000000" w:themeColor="text1"/>
                      <w:kern w:val="0"/>
                      <w:szCs w:val="21"/>
                      <w14:textFill>
                        <w14:solidFill>
                          <w14:schemeClr w14:val="tx1"/>
                        </w14:solidFill>
                      </w14:textFill>
                    </w:rPr>
                    <w:t>利用</w:t>
                  </w:r>
                  <w:r>
                    <w:rPr>
                      <w:rFonts w:hint="default"/>
                      <w:color w:val="000000" w:themeColor="text1"/>
                      <w:kern w:val="0"/>
                      <w:szCs w:val="21"/>
                      <w14:textFill>
                        <w14:solidFill>
                          <w14:schemeClr w14:val="tx1"/>
                        </w14:solidFill>
                      </w14:textFill>
                    </w:rPr>
                    <w:t>煤</w:t>
                  </w:r>
                  <w:r>
                    <w:rPr>
                      <w:rFonts w:hint="eastAsia"/>
                      <w:color w:val="000000" w:themeColor="text1"/>
                      <w:kern w:val="0"/>
                      <w:szCs w:val="21"/>
                      <w14:textFill>
                        <w14:solidFill>
                          <w14:schemeClr w14:val="tx1"/>
                        </w14:solidFill>
                      </w14:textFill>
                    </w:rPr>
                    <w:t>矸</w:t>
                  </w:r>
                  <w:r>
                    <w:rPr>
                      <w:rFonts w:hint="default"/>
                      <w:color w:val="000000" w:themeColor="text1"/>
                      <w:kern w:val="0"/>
                      <w:szCs w:val="21"/>
                      <w14:textFill>
                        <w14:solidFill>
                          <w14:schemeClr w14:val="tx1"/>
                        </w14:solidFill>
                      </w14:textFill>
                    </w:rPr>
                    <w:t>石生产机制砂</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煤矸石来源为厂区内富健达洗煤厂和厂区西侧约3km处的余吾煤矿，</w:t>
                  </w:r>
                  <w:r>
                    <w:rPr>
                      <w:rFonts w:hint="eastAsia"/>
                      <w:color w:val="000000" w:themeColor="text1"/>
                      <w:kern w:val="0"/>
                      <w:szCs w:val="21"/>
                      <w14:textFill>
                        <w14:solidFill>
                          <w14:schemeClr w14:val="tx1"/>
                        </w14:solidFill>
                      </w14:textFill>
                    </w:rPr>
                    <w:t>属于固体废物综合利用，</w:t>
                  </w:r>
                  <w:r>
                    <w:rPr>
                      <w:rFonts w:hint="eastAsia"/>
                      <w:color w:val="000000" w:themeColor="text1"/>
                      <w:kern w:val="0"/>
                      <w:szCs w:val="21"/>
                      <w:lang w:val="en-US" w:eastAsia="zh-CN"/>
                      <w14:textFill>
                        <w14:solidFill>
                          <w14:schemeClr w14:val="tx1"/>
                        </w14:solidFill>
                      </w14:textFill>
                    </w:rPr>
                    <w:t>成品机制砂外售屯留区周边商砼搅拌站，</w:t>
                  </w:r>
                  <w:r>
                    <w:rPr>
                      <w:rFonts w:hint="eastAsia"/>
                      <w:color w:val="000000" w:themeColor="text1"/>
                      <w:highlight w:val="none"/>
                      <w14:textFill>
                        <w14:solidFill>
                          <w14:schemeClr w14:val="tx1"/>
                        </w14:solidFill>
                      </w14:textFill>
                    </w:rPr>
                    <w:t>最远运距约</w:t>
                  </w: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14:textFill>
                        <w14:solidFill>
                          <w14:schemeClr w14:val="tx1"/>
                        </w14:solidFill>
                      </w14:textFill>
                    </w:rPr>
                    <w:t>km，</w:t>
                  </w:r>
                  <w:r>
                    <w:rPr>
                      <w:rFonts w:hint="eastAsia"/>
                      <w:color w:val="000000" w:themeColor="text1"/>
                      <w:highlight w:val="none"/>
                      <w:lang w:val="en-US" w:eastAsia="zh-CN"/>
                      <w14:textFill>
                        <w14:solidFill>
                          <w14:schemeClr w14:val="tx1"/>
                        </w14:solidFill>
                      </w14:textFill>
                    </w:rPr>
                    <w:t>沿路敏感目标是周围村庄（前苏村、西河北村、官庄村等）</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运输车辆采用厢式车运输，篷布苫盖，路过村庄禁止鸣笛，限制车速，夜间禁止运输。</w:t>
                  </w:r>
                </w:p>
              </w:tc>
              <w:tc>
                <w:tcPr>
                  <w:tcW w:w="558" w:type="pct"/>
                  <w:tcBorders>
                    <w:tl2br w:val="nil"/>
                    <w:tr2bl w:val="nil"/>
                  </w:tcBorders>
                  <w:noWrap w:val="0"/>
                  <w:vAlign w:val="center"/>
                </w:tcPr>
                <w:p w14:paraId="1E33EED2">
                  <w:pPr>
                    <w:pStyle w:val="99"/>
                    <w:keepNext w:val="0"/>
                    <w:keepLines w:val="0"/>
                    <w:suppressLineNumbers w:val="0"/>
                    <w:bidi w:val="0"/>
                    <w:spacing w:beforeAutospacing="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65BD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vMerge w:val="continue"/>
                  <w:tcBorders>
                    <w:tl2br w:val="nil"/>
                    <w:tr2bl w:val="nil"/>
                  </w:tcBorders>
                  <w:noWrap w:val="0"/>
                  <w:vAlign w:val="center"/>
                </w:tcPr>
                <w:p w14:paraId="7DC709B5">
                  <w:pPr>
                    <w:pStyle w:val="99"/>
                    <w:keepNext w:val="0"/>
                    <w:keepLines w:val="0"/>
                    <w:suppressLineNumbers w:val="0"/>
                    <w:bidi w:val="0"/>
                    <w:spacing w:beforeAutospacing="0" w:afterAutospacing="0"/>
                    <w:ind w:left="0" w:right="0"/>
                    <w:jc w:val="both"/>
                    <w:rPr>
                      <w:rFonts w:hint="default"/>
                      <w:color w:val="000000" w:themeColor="text1"/>
                      <w14:textFill>
                        <w14:solidFill>
                          <w14:schemeClr w14:val="tx1"/>
                        </w14:solidFill>
                      </w14:textFill>
                    </w:rPr>
                  </w:pPr>
                </w:p>
              </w:tc>
              <w:tc>
                <w:tcPr>
                  <w:tcW w:w="2496" w:type="pct"/>
                  <w:tcBorders>
                    <w:tl2br w:val="nil"/>
                    <w:tr2bl w:val="nil"/>
                  </w:tcBorders>
                  <w:noWrap w:val="0"/>
                  <w:vAlign w:val="center"/>
                </w:tcPr>
                <w:p w14:paraId="1D49F0FE">
                  <w:pPr>
                    <w:pStyle w:val="99"/>
                    <w:keepNext w:val="0"/>
                    <w:keepLines w:val="0"/>
                    <w:suppressLineNumbers w:val="0"/>
                    <w:bidi w:val="0"/>
                    <w:spacing w:beforeAutospacing="0" w:afterAutospacing="0"/>
                    <w:ind w:left="0" w:right="0"/>
                    <w:jc w:val="both"/>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加强运输保障。推进机制砂石中长距离运输“公转铁、公转水”，减少公路运输量，增加铁路运输量，完善内河水运网络和港口集疏运体系建设。在充分利用铁路专用线、城市铁路货场和岸线码头运输能力的同时，推进铁路专用线建设，对年运量150万吨以上的机制砂石企业，应按规定建设铁路专用线。有序发展多式联运，加强不同运输方式间的有效衔接，大力发展集装箱铁公联运，切实提高机制砂石运输能力。加快建设封闭式运输皮带廊道，逐步减少散货露天装卸量。利用信息化手段对砂石运输实现全程监管，构建绿色物流和绿色供应链。加强运输车辆检测，防止超限超载车辆出场（站）上路。</w:t>
                  </w:r>
                </w:p>
              </w:tc>
              <w:tc>
                <w:tcPr>
                  <w:tcW w:w="1516" w:type="pct"/>
                  <w:tcBorders>
                    <w:tl2br w:val="nil"/>
                    <w:tr2bl w:val="nil"/>
                  </w:tcBorders>
                  <w:noWrap w:val="0"/>
                  <w:vAlign w:val="center"/>
                </w:tcPr>
                <w:p w14:paraId="74D5781E">
                  <w:pPr>
                    <w:pStyle w:val="99"/>
                    <w:keepNext w:val="0"/>
                    <w:keepLines w:val="0"/>
                    <w:suppressLineNumbers w:val="0"/>
                    <w:bidi w:val="0"/>
                    <w:spacing w:beforeAutospacing="0" w:afterAutospacing="0"/>
                    <w:ind w:left="0" w:right="0"/>
                    <w:jc w:val="both"/>
                    <w:rPr>
                      <w:rFonts w:hint="eastAsia" w:eastAsia="宋体"/>
                      <w:color w:val="000000" w:themeColor="text1"/>
                      <w:lang w:eastAsia="zh-CN"/>
                      <w14:textFill>
                        <w14:solidFill>
                          <w14:schemeClr w14:val="tx1"/>
                        </w14:solidFill>
                      </w14:textFill>
                    </w:rPr>
                  </w:pPr>
                  <w:r>
                    <w:rPr>
                      <w:rFonts w:hint="eastAsia"/>
                      <w:color w:val="000000" w:themeColor="text1"/>
                      <w:highlight w:val="none"/>
                      <w14:textFill>
                        <w14:solidFill>
                          <w14:schemeClr w14:val="tx1"/>
                        </w14:solidFill>
                      </w14:textFill>
                    </w:rPr>
                    <w:t>本项目为</w:t>
                  </w:r>
                  <w:r>
                    <w:rPr>
                      <w:rFonts w:hint="eastAsia"/>
                      <w:color w:val="000000" w:themeColor="text1"/>
                      <w:kern w:val="0"/>
                      <w:szCs w:val="21"/>
                      <w14:textFill>
                        <w14:solidFill>
                          <w14:schemeClr w14:val="tx1"/>
                        </w14:solidFill>
                      </w14:textFill>
                    </w:rPr>
                    <w:t>利用</w:t>
                  </w:r>
                  <w:r>
                    <w:rPr>
                      <w:rFonts w:hint="default"/>
                      <w:color w:val="000000" w:themeColor="text1"/>
                      <w:kern w:val="0"/>
                      <w:szCs w:val="21"/>
                      <w14:textFill>
                        <w14:solidFill>
                          <w14:schemeClr w14:val="tx1"/>
                        </w14:solidFill>
                      </w14:textFill>
                    </w:rPr>
                    <w:t>煤</w:t>
                  </w:r>
                  <w:r>
                    <w:rPr>
                      <w:rFonts w:hint="eastAsia"/>
                      <w:color w:val="000000" w:themeColor="text1"/>
                      <w:kern w:val="0"/>
                      <w:szCs w:val="21"/>
                      <w14:textFill>
                        <w14:solidFill>
                          <w14:schemeClr w14:val="tx1"/>
                        </w14:solidFill>
                      </w14:textFill>
                    </w:rPr>
                    <w:t>矸</w:t>
                  </w:r>
                  <w:r>
                    <w:rPr>
                      <w:rFonts w:hint="default"/>
                      <w:color w:val="000000" w:themeColor="text1"/>
                      <w:kern w:val="0"/>
                      <w:szCs w:val="21"/>
                      <w14:textFill>
                        <w14:solidFill>
                          <w14:schemeClr w14:val="tx1"/>
                        </w14:solidFill>
                      </w14:textFill>
                    </w:rPr>
                    <w:t>石生产机制砂</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煤矸石来源为厂区内富健达洗煤厂和厂区西侧约3km处的余吾煤矿，年处理煤矸石120万吨</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运输距离最长约为3km，公路运输较为便捷，沿路为少量村庄和工业企业，成品机制砂外售屯留区周边商砼搅拌站。</w:t>
                  </w:r>
                  <w:r>
                    <w:rPr>
                      <w:rFonts w:hint="eastAsia"/>
                      <w:color w:val="000000" w:themeColor="text1"/>
                      <w:highlight w:val="none"/>
                      <w14:textFill>
                        <w14:solidFill>
                          <w14:schemeClr w14:val="tx1"/>
                        </w14:solidFill>
                      </w14:textFill>
                    </w:rPr>
                    <w:t>评价要求厂内所有物料及生产工序均在全封闭厂房内进行，物料转运均设置封闭式的运输皮带，杜绝散货露天装卸；项目建成后加强对运输车辆的管理，防止超限超载车辆出场上路</w:t>
                  </w:r>
                  <w:r>
                    <w:rPr>
                      <w:rFonts w:hint="eastAsia"/>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shd w:val="clear" w:color="auto" w:fill="auto"/>
                      <w:vertAlign w:val="baseline"/>
                      <w:lang w:val="en-US" w:eastAsia="zh-CN"/>
                      <w14:textFill>
                        <w14:solidFill>
                          <w14:schemeClr w14:val="tx1"/>
                        </w14:solidFill>
                      </w14:textFill>
                    </w:rPr>
                    <w:t>运输车辆使用国六标准以上的运输车辆或新能源清洁燃料车辆</w:t>
                  </w:r>
                  <w:r>
                    <w:rPr>
                      <w:rFonts w:hint="eastAsia" w:cs="Times New Roman"/>
                      <w:color w:val="000000" w:themeColor="text1"/>
                      <w:sz w:val="21"/>
                      <w:szCs w:val="21"/>
                      <w:highlight w:val="none"/>
                      <w:shd w:val="clear" w:color="auto" w:fill="auto"/>
                      <w:vertAlign w:val="baseline"/>
                      <w:lang w:val="en-US" w:eastAsia="zh-CN"/>
                      <w14:textFill>
                        <w14:solidFill>
                          <w14:schemeClr w14:val="tx1"/>
                        </w14:solidFill>
                      </w14:textFill>
                    </w:rPr>
                    <w:t>。</w:t>
                  </w:r>
                </w:p>
              </w:tc>
              <w:tc>
                <w:tcPr>
                  <w:tcW w:w="558" w:type="pct"/>
                  <w:tcBorders>
                    <w:tl2br w:val="nil"/>
                    <w:tr2bl w:val="nil"/>
                  </w:tcBorders>
                  <w:noWrap w:val="0"/>
                  <w:vAlign w:val="center"/>
                </w:tcPr>
                <w:p w14:paraId="30C9F335">
                  <w:pPr>
                    <w:pStyle w:val="99"/>
                    <w:keepNext w:val="0"/>
                    <w:keepLines w:val="0"/>
                    <w:suppressLineNumbers w:val="0"/>
                    <w:bidi w:val="0"/>
                    <w:spacing w:beforeAutospacing="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C93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5" w:type="pct"/>
                  <w:gridSpan w:val="2"/>
                  <w:tcBorders>
                    <w:tl2br w:val="nil"/>
                    <w:tr2bl w:val="nil"/>
                  </w:tcBorders>
                  <w:noWrap w:val="0"/>
                  <w:vAlign w:val="center"/>
                </w:tcPr>
                <w:p w14:paraId="255A6734">
                  <w:pPr>
                    <w:pStyle w:val="99"/>
                    <w:keepNext w:val="0"/>
                    <w:keepLines w:val="0"/>
                    <w:suppressLineNumbers w:val="0"/>
                    <w:bidi w:val="0"/>
                    <w:spacing w:beforeAutospacing="0" w:afterAutospacing="0"/>
                    <w:ind w:left="0" w:right="0"/>
                    <w:jc w:val="both"/>
                    <w:rPr>
                      <w:rFonts w:hint="eastAsia" w:eastAsia="宋体"/>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三、加快技术创新提高质量水平</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严格质量管控：强化企业主体责任，完善质量管理体系，加强过程质量控制，严格执行相关标准，鼓励企业建立检测中心，配备合格的质量检验设备和专业质检人员。对成品料分类或分仓储存。加强对原料的品质监测和控制能力，严格控制有毒杂质含量</w:t>
                  </w:r>
                  <w:r>
                    <w:rPr>
                      <w:rFonts w:hint="eastAsia"/>
                      <w:color w:val="000000" w:themeColor="text1"/>
                      <w:lang w:eastAsia="zh-CN"/>
                      <w14:textFill>
                        <w14:solidFill>
                          <w14:schemeClr w14:val="tx1"/>
                        </w14:solidFill>
                      </w14:textFill>
                    </w:rPr>
                    <w:t>。</w:t>
                  </w:r>
                </w:p>
              </w:tc>
              <w:tc>
                <w:tcPr>
                  <w:tcW w:w="1516" w:type="pct"/>
                  <w:tcBorders>
                    <w:tl2br w:val="nil"/>
                    <w:tr2bl w:val="nil"/>
                  </w:tcBorders>
                  <w:noWrap w:val="0"/>
                  <w:vAlign w:val="center"/>
                </w:tcPr>
                <w:p w14:paraId="5240BDB2">
                  <w:pPr>
                    <w:pStyle w:val="99"/>
                    <w:keepNext w:val="0"/>
                    <w:keepLines w:val="0"/>
                    <w:suppressLineNumbers w:val="0"/>
                    <w:bidi w:val="0"/>
                    <w:spacing w:beforeAutospacing="0" w:afterAutospacing="0"/>
                    <w:ind w:left="0" w:right="0"/>
                    <w:jc w:val="both"/>
                    <w:rPr>
                      <w:rFonts w:hint="eastAsia" w:eastAsia="宋体"/>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企业定期委托质量检测部门对产品质量进行检测，确保出厂产品质量符合相应质量标准。对原料、成品分区储存</w:t>
                  </w:r>
                  <w:r>
                    <w:rPr>
                      <w:rFonts w:hint="eastAsia"/>
                      <w:color w:val="000000" w:themeColor="text1"/>
                      <w:lang w:eastAsia="zh-CN"/>
                      <w14:textFill>
                        <w14:solidFill>
                          <w14:schemeClr w14:val="tx1"/>
                        </w14:solidFill>
                      </w14:textFill>
                    </w:rPr>
                    <w:t>。</w:t>
                  </w:r>
                </w:p>
              </w:tc>
              <w:tc>
                <w:tcPr>
                  <w:tcW w:w="558" w:type="pct"/>
                  <w:tcBorders>
                    <w:tl2br w:val="nil"/>
                    <w:tr2bl w:val="nil"/>
                  </w:tcBorders>
                  <w:noWrap w:val="0"/>
                  <w:vAlign w:val="center"/>
                </w:tcPr>
                <w:p w14:paraId="6E7EF842">
                  <w:pPr>
                    <w:pStyle w:val="99"/>
                    <w:keepNext w:val="0"/>
                    <w:keepLines w:val="0"/>
                    <w:suppressLineNumbers w:val="0"/>
                    <w:bidi w:val="0"/>
                    <w:spacing w:beforeAutospacing="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A36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5" w:type="pct"/>
                  <w:gridSpan w:val="2"/>
                  <w:tcBorders>
                    <w:tl2br w:val="nil"/>
                    <w:tr2bl w:val="nil"/>
                  </w:tcBorders>
                  <w:noWrap w:val="0"/>
                  <w:vAlign w:val="center"/>
                </w:tcPr>
                <w:p w14:paraId="0FBD80D8">
                  <w:pPr>
                    <w:pStyle w:val="99"/>
                    <w:keepNext w:val="0"/>
                    <w:keepLines w:val="0"/>
                    <w:suppressLineNumbers w:val="0"/>
                    <w:bidi w:val="0"/>
                    <w:spacing w:beforeAutospacing="0" w:afterAutospacing="0"/>
                    <w:ind w:left="0" w:right="0"/>
                    <w:jc w:val="both"/>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四</w:t>
                  </w:r>
                  <w:r>
                    <w:rPr>
                      <w:rFonts w:hint="default"/>
                      <w:color w:val="000000" w:themeColor="text1"/>
                      <w14:textFill>
                        <w14:solidFill>
                          <w14:schemeClr w14:val="tx1"/>
                        </w14:solidFill>
                      </w14:textFill>
                    </w:rPr>
                    <w:t>、推进绿色发展提升本质安全</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发展绿色制造</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机制砂石企业要坚持绿色低碳循环发展，按照相关规范要求建设绿色矿山。生产线配套建设抑尘收尘、水处理和降噪等污染防治以及水土保持设施，对设备、产品采取棚化密封或其他有效覆盖措施，推进清洁生产，严控无组织排放，满足达标排放等环保要求。对工艺废水、细粉和沉淀泥浆等加强回收再利用，鼓励利用生产过程中的伴生石粉生产绿色建材，实现近零排放。提高设备整体能效、节水水平，降低单位产品的综合能耗、水</w:t>
                  </w:r>
                  <w:r>
                    <w:rPr>
                      <w:rFonts w:hint="eastAsia"/>
                      <w:color w:val="000000" w:themeColor="text1"/>
                      <w14:textFill>
                        <w14:solidFill>
                          <w14:schemeClr w14:val="tx1"/>
                        </w14:solidFill>
                      </w14:textFill>
                    </w:rPr>
                    <w:t>耗，鼓励有条件的企业实施输送带势能发电、开展合同节水管理。</w:t>
                  </w:r>
                </w:p>
              </w:tc>
              <w:tc>
                <w:tcPr>
                  <w:tcW w:w="1516" w:type="pct"/>
                  <w:tcBorders>
                    <w:tl2br w:val="nil"/>
                    <w:tr2bl w:val="nil"/>
                  </w:tcBorders>
                  <w:noWrap w:val="0"/>
                  <w:vAlign w:val="center"/>
                </w:tcPr>
                <w:p w14:paraId="00A95D5F">
                  <w:pPr>
                    <w:pStyle w:val="99"/>
                    <w:keepNext w:val="0"/>
                    <w:keepLines w:val="0"/>
                    <w:suppressLineNumbers w:val="0"/>
                    <w:bidi w:val="0"/>
                    <w:spacing w:beforeAutospacing="0" w:afterAutospacing="0"/>
                    <w:ind w:left="0" w:right="0"/>
                    <w:jc w:val="both"/>
                    <w:rPr>
                      <w:rFonts w:hint="eastAsia" w:eastAsia="宋体"/>
                      <w:color w:val="000000" w:themeColor="text1"/>
                      <w:lang w:eastAsia="zh-CN"/>
                      <w14:textFill>
                        <w14:solidFill>
                          <w14:schemeClr w14:val="tx1"/>
                        </w14:solidFill>
                      </w14:textFill>
                    </w:rPr>
                  </w:pPr>
                  <w:r>
                    <w:rPr>
                      <w:rFonts w:hint="default"/>
                      <w:color w:val="000000" w:themeColor="text1"/>
                      <w:kern w:val="0"/>
                      <w:szCs w:val="21"/>
                      <w14:textFill>
                        <w14:solidFill>
                          <w14:schemeClr w14:val="tx1"/>
                        </w14:solidFill>
                      </w14:textFill>
                    </w:rPr>
                    <w:t>本项目</w:t>
                  </w:r>
                  <w:r>
                    <w:rPr>
                      <w:rFonts w:hint="eastAsia"/>
                      <w:color w:val="000000" w:themeColor="text1"/>
                      <w:kern w:val="0"/>
                      <w:szCs w:val="21"/>
                      <w14:textFill>
                        <w14:solidFill>
                          <w14:schemeClr w14:val="tx1"/>
                        </w14:solidFill>
                      </w14:textFill>
                    </w:rPr>
                    <w:t>在</w:t>
                  </w:r>
                  <w:r>
                    <w:rPr>
                      <w:rFonts w:hint="default"/>
                      <w:color w:val="000000" w:themeColor="text1"/>
                      <w:kern w:val="0"/>
                      <w:szCs w:val="21"/>
                      <w14:textFill>
                        <w14:solidFill>
                          <w14:schemeClr w14:val="tx1"/>
                        </w14:solidFill>
                      </w14:textFill>
                    </w:rPr>
                    <w:t>各产尘点配套</w:t>
                  </w:r>
                  <w:r>
                    <w:rPr>
                      <w:rFonts w:hint="eastAsia"/>
                      <w:color w:val="000000" w:themeColor="text1"/>
                      <w:kern w:val="0"/>
                      <w:szCs w:val="21"/>
                      <w14:textFill>
                        <w14:solidFill>
                          <w14:schemeClr w14:val="tx1"/>
                        </w14:solidFill>
                      </w14:textFill>
                    </w:rPr>
                    <w:t>除尘</w:t>
                  </w:r>
                  <w:r>
                    <w:rPr>
                      <w:rFonts w:hint="default"/>
                      <w:color w:val="000000" w:themeColor="text1"/>
                      <w:kern w:val="0"/>
                      <w:szCs w:val="21"/>
                      <w14:textFill>
                        <w14:solidFill>
                          <w14:schemeClr w14:val="tx1"/>
                        </w14:solidFill>
                      </w14:textFill>
                    </w:rPr>
                    <w:t>措施</w:t>
                  </w:r>
                  <w:r>
                    <w:rPr>
                      <w:rFonts w:hint="default"/>
                      <w:color w:val="000000" w:themeColor="text1"/>
                      <w:highlight w:val="none"/>
                      <w14:textFill>
                        <w14:solidFill>
                          <w14:schemeClr w14:val="tx1"/>
                        </w14:solidFill>
                      </w14:textFill>
                    </w:rPr>
                    <w:t>，</w:t>
                  </w:r>
                  <w:r>
                    <w:rPr>
                      <w:rFonts w:hint="eastAsia"/>
                      <w:color w:val="000000" w:themeColor="text1"/>
                      <w14:textFill>
                        <w14:solidFill>
                          <w14:schemeClr w14:val="tx1"/>
                        </w14:solidFill>
                      </w14:textFill>
                    </w:rPr>
                    <w:t>各储库均为全封闭且配套喷雾抑尘措施，</w:t>
                  </w:r>
                  <w:r>
                    <w:rPr>
                      <w:rFonts w:hint="default"/>
                      <w:color w:val="000000" w:themeColor="text1"/>
                      <w14:textFill>
                        <w14:solidFill>
                          <w14:schemeClr w14:val="tx1"/>
                        </w14:solidFill>
                      </w14:textFill>
                    </w:rPr>
                    <w:t>生产废水</w:t>
                  </w:r>
                  <w:r>
                    <w:rPr>
                      <w:rFonts w:hint="eastAsia"/>
                      <w:color w:val="000000" w:themeColor="text1"/>
                      <w:lang w:val="en-US" w:eastAsia="zh-CN"/>
                      <w14:textFill>
                        <w14:solidFill>
                          <w14:schemeClr w14:val="tx1"/>
                        </w14:solidFill>
                      </w14:textFill>
                    </w:rPr>
                    <w:t>循环使用</w:t>
                  </w:r>
                  <w:r>
                    <w:rPr>
                      <w:rFonts w:hint="default"/>
                      <w:color w:val="000000" w:themeColor="text1"/>
                      <w14:textFill>
                        <w14:solidFill>
                          <w14:schemeClr w14:val="tx1"/>
                        </w14:solidFill>
                      </w14:textFill>
                    </w:rPr>
                    <w:t>，各生产设备均置于封闭性车间</w:t>
                  </w:r>
                  <w:r>
                    <w:rPr>
                      <w:rFonts w:hint="eastAsia"/>
                      <w:color w:val="000000" w:themeColor="text1"/>
                      <w:lang w:val="en-US" w:eastAsia="zh-CN"/>
                      <w14:textFill>
                        <w14:solidFill>
                          <w14:schemeClr w14:val="tx1"/>
                        </w14:solidFill>
                      </w14:textFill>
                    </w:rPr>
                    <w:t>内</w:t>
                  </w:r>
                  <w:r>
                    <w:rPr>
                      <w:rFonts w:hint="default"/>
                      <w:color w:val="000000" w:themeColor="text1"/>
                      <w14:textFill>
                        <w14:solidFill>
                          <w14:schemeClr w14:val="tx1"/>
                        </w14:solidFill>
                      </w14:textFill>
                    </w:rPr>
                    <w:t>，生产过程中收集的粉尘、废水等均</w:t>
                  </w:r>
                  <w:r>
                    <w:rPr>
                      <w:rFonts w:hint="eastAsia"/>
                      <w:color w:val="000000" w:themeColor="text1"/>
                      <w14:textFill>
                        <w14:solidFill>
                          <w14:schemeClr w14:val="tx1"/>
                        </w14:solidFill>
                      </w14:textFill>
                    </w:rPr>
                    <w:t>合理处置</w:t>
                  </w:r>
                  <w:r>
                    <w:rPr>
                      <w:rFonts w:hint="default"/>
                      <w:color w:val="000000" w:themeColor="text1"/>
                      <w14:textFill>
                        <w14:solidFill>
                          <w14:schemeClr w14:val="tx1"/>
                        </w14:solidFill>
                      </w14:textFill>
                    </w:rPr>
                    <w:t>。项目选用行业先进节能、节水设备</w:t>
                  </w:r>
                  <w:r>
                    <w:rPr>
                      <w:rFonts w:hint="eastAsia"/>
                      <w:color w:val="000000" w:themeColor="text1"/>
                      <w:lang w:eastAsia="zh-CN"/>
                      <w14:textFill>
                        <w14:solidFill>
                          <w14:schemeClr w14:val="tx1"/>
                        </w14:solidFill>
                      </w14:textFill>
                    </w:rPr>
                    <w:t>。</w:t>
                  </w:r>
                </w:p>
              </w:tc>
              <w:tc>
                <w:tcPr>
                  <w:tcW w:w="558" w:type="pct"/>
                  <w:tcBorders>
                    <w:tl2br w:val="nil"/>
                    <w:tr2bl w:val="nil"/>
                  </w:tcBorders>
                  <w:noWrap w:val="0"/>
                  <w:vAlign w:val="center"/>
                </w:tcPr>
                <w:p w14:paraId="7B9AC90F">
                  <w:pPr>
                    <w:pStyle w:val="99"/>
                    <w:keepNext w:val="0"/>
                    <w:keepLines w:val="0"/>
                    <w:suppressLineNumbers w:val="0"/>
                    <w:bidi w:val="0"/>
                    <w:spacing w:beforeAutospacing="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752C0BE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2" w:firstLineChars="200"/>
              <w:jc w:val="both"/>
              <w:textAlignment w:val="auto"/>
              <w:rPr>
                <w:rFonts w:hint="default" w:cs="Times New Roman"/>
                <w:b/>
                <w:bCs/>
                <w:color w:val="000000" w:themeColor="text1"/>
                <w:kern w:val="0"/>
                <w:sz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1.3.</w:t>
            </w:r>
            <w:r>
              <w:rPr>
                <w:rFonts w:hint="eastAsia" w:cs="Times New Roman"/>
                <w:b/>
                <w:bCs/>
                <w:color w:val="000000" w:themeColor="text1"/>
                <w:kern w:val="0"/>
                <w:sz w:val="24"/>
                <w:highlight w:val="none"/>
                <w:lang w:val="en-US" w:eastAsia="zh-CN"/>
                <w14:textFill>
                  <w14:solidFill>
                    <w14:schemeClr w14:val="tx1"/>
                  </w14:solidFill>
                </w14:textFill>
              </w:rPr>
              <w:t>6</w:t>
            </w:r>
            <w:r>
              <w:rPr>
                <w:rFonts w:hint="eastAsia"/>
                <w:b/>
                <w:bCs/>
                <w:color w:val="000000" w:themeColor="text1"/>
                <w:sz w:val="24"/>
                <w14:textFill>
                  <w14:solidFill>
                    <w14:schemeClr w14:val="tx1"/>
                  </w14:solidFill>
                </w14:textFill>
              </w:rPr>
              <w:t>与《煤矸石综合管理办法》（2014年修订版</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14:textFill>
                  <w14:solidFill>
                    <w14:schemeClr w14:val="tx1"/>
                  </w14:solidFill>
                </w14:textFill>
              </w:rPr>
              <w:t>符合性分析</w:t>
            </w:r>
          </w:p>
          <w:p w14:paraId="274E103E">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表</w:t>
            </w:r>
            <w:r>
              <w:rPr>
                <w:rFonts w:hint="default" w:ascii="Times New Roman" w:hAnsi="Times New Roman" w:eastAsia="宋体" w:cs="Times New Roman"/>
                <w:b/>
                <w:bCs/>
                <w:color w:val="000000" w:themeColor="text1"/>
                <w:sz w:val="21"/>
                <w:szCs w:val="21"/>
                <w14:textFill>
                  <w14:solidFill>
                    <w14:schemeClr w14:val="tx1"/>
                  </w14:solidFill>
                </w14:textFill>
              </w:rPr>
              <w:t>1</w:t>
            </w:r>
            <w:r>
              <w:rPr>
                <w:rFonts w:hint="eastAsia"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w:t>
            </w:r>
            <w:r>
              <w:rPr>
                <w:rFonts w:hint="eastAsia" w:cs="Times New Roman"/>
                <w:b/>
                <w:bCs/>
                <w:color w:val="000000" w:themeColor="text1"/>
                <w:sz w:val="21"/>
                <w:szCs w:val="21"/>
                <w:highlight w:val="none"/>
                <w:shd w:val="clear" w:color="auto" w:fill="auto"/>
                <w:lang w:val="en-US" w:eastAsia="zh-CN"/>
                <w14:textFill>
                  <w14:solidFill>
                    <w14:schemeClr w14:val="tx1"/>
                  </w14:solidFill>
                </w14:textFill>
              </w:rPr>
              <w:t>4</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  与《煤矸石综合管理办法》符合性分析一览表</w:t>
            </w:r>
          </w:p>
          <w:tbl>
            <w:tblPr>
              <w:tblStyle w:val="30"/>
              <w:tblW w:w="8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3412"/>
              <w:gridCol w:w="3022"/>
              <w:gridCol w:w="876"/>
            </w:tblGrid>
            <w:tr w14:paraId="72FC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 w:type="pct"/>
                  <w:tcBorders>
                    <w:tl2br w:val="nil"/>
                    <w:tr2bl w:val="nil"/>
                  </w:tcBorders>
                  <w:noWrap w:val="0"/>
                  <w:vAlign w:val="center"/>
                </w:tcPr>
                <w:p w14:paraId="5291A222">
                  <w:pPr>
                    <w:pStyle w:val="99"/>
                    <w:keepNext w:val="0"/>
                    <w:keepLines w:val="0"/>
                    <w:suppressLineNumbers w:val="0"/>
                    <w:bidi w:val="0"/>
                    <w:spacing w:beforeAutospacing="0" w:afterAutospacing="0"/>
                    <w:ind w:left="0" w:right="0"/>
                    <w:jc w:val="center"/>
                    <w:rPr>
                      <w:rFonts w:hint="eastAsia"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序号</w:t>
                  </w:r>
                </w:p>
              </w:tc>
              <w:tc>
                <w:tcPr>
                  <w:tcW w:w="2132" w:type="pct"/>
                  <w:tcBorders>
                    <w:tl2br w:val="nil"/>
                    <w:tr2bl w:val="nil"/>
                  </w:tcBorders>
                  <w:noWrap w:val="0"/>
                  <w:vAlign w:val="center"/>
                </w:tcPr>
                <w:p w14:paraId="03DFD7DC">
                  <w:pPr>
                    <w:pStyle w:val="99"/>
                    <w:keepNext w:val="0"/>
                    <w:keepLines w:val="0"/>
                    <w:suppressLineNumbers w:val="0"/>
                    <w:bidi w:val="0"/>
                    <w:spacing w:beforeAutospacing="0" w:afterAutospacing="0"/>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文件要求</w:t>
                  </w:r>
                </w:p>
              </w:tc>
              <w:tc>
                <w:tcPr>
                  <w:tcW w:w="1888" w:type="pct"/>
                  <w:tcBorders>
                    <w:tl2br w:val="nil"/>
                    <w:tr2bl w:val="nil"/>
                  </w:tcBorders>
                  <w:noWrap w:val="0"/>
                  <w:vAlign w:val="center"/>
                </w:tcPr>
                <w:p w14:paraId="571549DF">
                  <w:pPr>
                    <w:pStyle w:val="99"/>
                    <w:keepNext w:val="0"/>
                    <w:keepLines w:val="0"/>
                    <w:suppressLineNumbers w:val="0"/>
                    <w:bidi w:val="0"/>
                    <w:spacing w:beforeAutospacing="0" w:afterAutospacing="0"/>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项目情况</w:t>
                  </w:r>
                </w:p>
              </w:tc>
              <w:tc>
                <w:tcPr>
                  <w:tcW w:w="547" w:type="pct"/>
                  <w:tcBorders>
                    <w:tl2br w:val="nil"/>
                    <w:tr2bl w:val="nil"/>
                  </w:tcBorders>
                  <w:noWrap w:val="0"/>
                  <w:vAlign w:val="center"/>
                </w:tcPr>
                <w:p w14:paraId="6A6D80E6">
                  <w:pPr>
                    <w:pStyle w:val="99"/>
                    <w:keepNext w:val="0"/>
                    <w:keepLines w:val="0"/>
                    <w:suppressLineNumbers w:val="0"/>
                    <w:bidi w:val="0"/>
                    <w:spacing w:beforeAutospacing="0" w:afterAutospacing="0"/>
                    <w:ind w:left="0" w:right="0"/>
                    <w:rPr>
                      <w:rFonts w:hint="eastAsia"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符合性</w:t>
                  </w:r>
                </w:p>
              </w:tc>
            </w:tr>
            <w:tr w14:paraId="588F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31" w:type="pct"/>
                  <w:tcBorders>
                    <w:tl2br w:val="nil"/>
                    <w:tr2bl w:val="nil"/>
                  </w:tcBorders>
                  <w:noWrap w:val="0"/>
                  <w:vAlign w:val="center"/>
                </w:tcPr>
                <w:p w14:paraId="7C6D079C">
                  <w:pPr>
                    <w:pStyle w:val="99"/>
                    <w:keepNext w:val="0"/>
                    <w:keepLines w:val="0"/>
                    <w:suppressLineNumbers w:val="0"/>
                    <w:bidi w:val="0"/>
                    <w:spacing w:beforeAutospacing="0" w:afterAutospacing="0"/>
                    <w:ind w:left="0" w:right="0"/>
                    <w:jc w:val="center"/>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w:t>
                  </w:r>
                </w:p>
              </w:tc>
              <w:tc>
                <w:tcPr>
                  <w:tcW w:w="2132" w:type="pct"/>
                  <w:tcBorders>
                    <w:tl2br w:val="nil"/>
                    <w:tr2bl w:val="nil"/>
                  </w:tcBorders>
                  <w:noWrap w:val="0"/>
                  <w:vAlign w:val="center"/>
                </w:tcPr>
                <w:p w14:paraId="25173646">
                  <w:pPr>
                    <w:keepNext w:val="0"/>
                    <w:keepLines w:val="0"/>
                    <w:widowControl/>
                    <w:suppressLineNumbers w:val="0"/>
                    <w:spacing w:before="0" w:beforeAutospacing="0" w:after="0" w:afterAutospacing="0"/>
                    <w:ind w:left="0" w:right="0"/>
                    <w:jc w:val="both"/>
                    <w:rPr>
                      <w:rFonts w:hint="default"/>
                      <w:b w:val="0"/>
                      <w:bCs w:val="0"/>
                      <w:color w:val="000000" w:themeColor="text1"/>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利用煤</w:t>
                  </w:r>
                  <w:r>
                    <w:rPr>
                      <w:rFonts w:hint="eastAsia"/>
                      <w:color w:val="000000" w:themeColor="text1"/>
                      <w:kern w:val="0"/>
                      <w:sz w:val="21"/>
                      <w:szCs w:val="21"/>
                      <w14:textFill>
                        <w14:solidFill>
                          <w14:schemeClr w14:val="tx1"/>
                        </w14:solidFill>
                      </w14:textFill>
                    </w:rPr>
                    <w:t>矸</w:t>
                  </w:r>
                  <w:r>
                    <w:rPr>
                      <w:rFonts w:hint="default"/>
                      <w:color w:val="000000" w:themeColor="text1"/>
                      <w:kern w:val="0"/>
                      <w:sz w:val="21"/>
                      <w:szCs w:val="21"/>
                      <w14:textFill>
                        <w14:solidFill>
                          <w14:schemeClr w14:val="tx1"/>
                        </w14:solidFill>
                      </w14:textFill>
                    </w:rPr>
                    <w:t>石生产的建筑材料或其他与煤</w:t>
                  </w:r>
                  <w:r>
                    <w:rPr>
                      <w:rFonts w:hint="eastAsia"/>
                      <w:color w:val="000000" w:themeColor="text1"/>
                      <w:kern w:val="0"/>
                      <w:sz w:val="21"/>
                      <w:szCs w:val="21"/>
                      <w14:textFill>
                        <w14:solidFill>
                          <w14:schemeClr w14:val="tx1"/>
                        </w14:solidFill>
                      </w14:textFill>
                    </w:rPr>
                    <w:t>矸</w:t>
                  </w:r>
                  <w:r>
                    <w:rPr>
                      <w:rFonts w:hint="default"/>
                      <w:color w:val="000000" w:themeColor="text1"/>
                      <w:kern w:val="0"/>
                      <w:sz w:val="21"/>
                      <w:szCs w:val="21"/>
                      <w14:textFill>
                        <w14:solidFill>
                          <w14:schemeClr w14:val="tx1"/>
                        </w14:solidFill>
                      </w14:textFill>
                    </w:rPr>
                    <w:t>石综合利用相关的产品</w:t>
                  </w:r>
                  <w:r>
                    <w:rPr>
                      <w:rFonts w:hint="eastAsia"/>
                      <w:color w:val="000000" w:themeColor="text1"/>
                      <w:kern w:val="0"/>
                      <w:sz w:val="21"/>
                      <w:szCs w:val="21"/>
                      <w14:textFill>
                        <w14:solidFill>
                          <w14:schemeClr w14:val="tx1"/>
                        </w14:solidFill>
                      </w14:textFill>
                    </w:rPr>
                    <w:t>，</w:t>
                  </w:r>
                  <w:r>
                    <w:rPr>
                      <w:rFonts w:hint="default"/>
                      <w:color w:val="000000" w:themeColor="text1"/>
                      <w:kern w:val="0"/>
                      <w:sz w:val="21"/>
                      <w:szCs w:val="21"/>
                      <w14:textFill>
                        <w14:solidFill>
                          <w14:schemeClr w14:val="tx1"/>
                        </w14:solidFill>
                      </w14:textFill>
                    </w:rPr>
                    <w:t>应当符合国家或行业有关质量、环境、节能和安全标准</w:t>
                  </w:r>
                </w:p>
              </w:tc>
              <w:tc>
                <w:tcPr>
                  <w:tcW w:w="1888" w:type="pct"/>
                  <w:tcBorders>
                    <w:tl2br w:val="nil"/>
                    <w:tr2bl w:val="nil"/>
                  </w:tcBorders>
                  <w:noWrap w:val="0"/>
                  <w:vAlign w:val="center"/>
                </w:tcPr>
                <w:p w14:paraId="0B9F72DA">
                  <w:pPr>
                    <w:keepNext w:val="0"/>
                    <w:keepLines w:val="0"/>
                    <w:widowControl/>
                    <w:suppressLineNumbers w:val="0"/>
                    <w:spacing w:before="0" w:beforeAutospacing="0" w:after="0" w:afterAutospacing="0"/>
                    <w:ind w:left="0" w:right="0"/>
                    <w:jc w:val="both"/>
                    <w:rPr>
                      <w:rFonts w:hint="eastAsia" w:eastAsia="宋体"/>
                      <w:b w:val="0"/>
                      <w:bCs w:val="0"/>
                      <w:color w:val="000000" w:themeColor="text1"/>
                      <w:sz w:val="21"/>
                      <w:szCs w:val="21"/>
                      <w:lang w:val="en-US" w:eastAsia="zh-CN"/>
                      <w14:textFill>
                        <w14:solidFill>
                          <w14:schemeClr w14:val="tx1"/>
                        </w14:solidFill>
                      </w14:textFill>
                    </w:rPr>
                  </w:pPr>
                  <w:r>
                    <w:rPr>
                      <w:rFonts w:hint="default"/>
                      <w:color w:val="000000" w:themeColor="text1"/>
                      <w:kern w:val="0"/>
                      <w:sz w:val="21"/>
                      <w:szCs w:val="21"/>
                      <w14:textFill>
                        <w14:solidFill>
                          <w14:schemeClr w14:val="tx1"/>
                        </w14:solidFill>
                      </w14:textFill>
                    </w:rPr>
                    <w:t>本项目利用煤</w:t>
                  </w:r>
                  <w:r>
                    <w:rPr>
                      <w:rFonts w:hint="eastAsia"/>
                      <w:color w:val="000000" w:themeColor="text1"/>
                      <w:kern w:val="0"/>
                      <w:sz w:val="21"/>
                      <w:szCs w:val="21"/>
                      <w14:textFill>
                        <w14:solidFill>
                          <w14:schemeClr w14:val="tx1"/>
                        </w14:solidFill>
                      </w14:textFill>
                    </w:rPr>
                    <w:t>矸</w:t>
                  </w:r>
                  <w:r>
                    <w:rPr>
                      <w:rFonts w:hint="default"/>
                      <w:color w:val="000000" w:themeColor="text1"/>
                      <w:kern w:val="0"/>
                      <w:sz w:val="21"/>
                      <w:szCs w:val="21"/>
                      <w14:textFill>
                        <w14:solidFill>
                          <w14:schemeClr w14:val="tx1"/>
                        </w14:solidFill>
                      </w14:textFill>
                    </w:rPr>
                    <w:t>石</w:t>
                  </w:r>
                  <w:r>
                    <w:rPr>
                      <w:rFonts w:hint="eastAsia"/>
                      <w:color w:val="000000" w:themeColor="text1"/>
                      <w:kern w:val="0"/>
                      <w:sz w:val="21"/>
                      <w:szCs w:val="21"/>
                      <w14:textFill>
                        <w14:solidFill>
                          <w14:schemeClr w14:val="tx1"/>
                        </w14:solidFill>
                      </w14:textFill>
                    </w:rPr>
                    <w:t>生产机制砂，产品质量符合GB/T14684《建设用砂》等有关要求，生产废水全部回用，废气达标排放，固废合理处置</w:t>
                  </w:r>
                  <w:r>
                    <w:rPr>
                      <w:rFonts w:hint="eastAsia"/>
                      <w:color w:val="000000" w:themeColor="text1"/>
                      <w:kern w:val="0"/>
                      <w:sz w:val="21"/>
                      <w:szCs w:val="21"/>
                      <w:lang w:eastAsia="zh-CN"/>
                      <w14:textFill>
                        <w14:solidFill>
                          <w14:schemeClr w14:val="tx1"/>
                        </w14:solidFill>
                      </w14:textFill>
                    </w:rPr>
                    <w:t>。</w:t>
                  </w:r>
                </w:p>
              </w:tc>
              <w:tc>
                <w:tcPr>
                  <w:tcW w:w="547" w:type="pct"/>
                  <w:tcBorders>
                    <w:tl2br w:val="nil"/>
                    <w:tr2bl w:val="nil"/>
                  </w:tcBorders>
                  <w:noWrap w:val="0"/>
                  <w:vAlign w:val="center"/>
                </w:tcPr>
                <w:p w14:paraId="00C5B62F">
                  <w:pPr>
                    <w:keepNext w:val="0"/>
                    <w:keepLines w:val="0"/>
                    <w:widowControl/>
                    <w:suppressLineNumbers w:val="0"/>
                    <w:spacing w:before="0" w:beforeAutospacing="0" w:after="0" w:afterAutospacing="0"/>
                    <w:ind w:left="0" w:right="0"/>
                    <w:jc w:val="center"/>
                    <w:rPr>
                      <w:rFonts w:hint="eastAsia"/>
                      <w:b w:val="0"/>
                      <w:bCs w:val="0"/>
                      <w:color w:val="000000" w:themeColor="text1"/>
                      <w:sz w:val="21"/>
                      <w:szCs w:val="21"/>
                      <w:lang w:val="en-US" w:eastAsia="zh-CN"/>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3326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 w:type="pct"/>
                  <w:tcBorders>
                    <w:tl2br w:val="nil"/>
                    <w:tr2bl w:val="nil"/>
                  </w:tcBorders>
                  <w:noWrap w:val="0"/>
                  <w:vAlign w:val="center"/>
                </w:tcPr>
                <w:p w14:paraId="2D040493">
                  <w:pPr>
                    <w:pStyle w:val="99"/>
                    <w:keepNext w:val="0"/>
                    <w:keepLines w:val="0"/>
                    <w:suppressLineNumbers w:val="0"/>
                    <w:bidi w:val="0"/>
                    <w:spacing w:beforeAutospacing="0" w:afterAutospacing="0"/>
                    <w:ind w:left="0" w:right="0"/>
                    <w:jc w:val="center"/>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w:t>
                  </w:r>
                </w:p>
              </w:tc>
              <w:tc>
                <w:tcPr>
                  <w:tcW w:w="2132" w:type="pct"/>
                  <w:tcBorders>
                    <w:tl2br w:val="nil"/>
                    <w:tr2bl w:val="nil"/>
                  </w:tcBorders>
                  <w:noWrap w:val="0"/>
                  <w:vAlign w:val="center"/>
                </w:tcPr>
                <w:p w14:paraId="2C06AEF9">
                  <w:pPr>
                    <w:keepNext w:val="0"/>
                    <w:keepLines w:val="0"/>
                    <w:widowControl/>
                    <w:suppressLineNumbers w:val="0"/>
                    <w:spacing w:before="0" w:beforeAutospacing="0" w:after="0" w:afterAutospacing="0"/>
                    <w:ind w:left="0" w:right="0"/>
                    <w:jc w:val="both"/>
                    <w:rPr>
                      <w:rFonts w:hint="default"/>
                      <w:b w:val="0"/>
                      <w:bCs w:val="0"/>
                      <w:color w:val="000000" w:themeColor="text1"/>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国家鼓励煤</w:t>
                  </w:r>
                  <w:r>
                    <w:rPr>
                      <w:rFonts w:hint="eastAsia"/>
                      <w:color w:val="000000" w:themeColor="text1"/>
                      <w:kern w:val="0"/>
                      <w:sz w:val="21"/>
                      <w:szCs w:val="21"/>
                      <w14:textFill>
                        <w14:solidFill>
                          <w14:schemeClr w14:val="tx1"/>
                        </w14:solidFill>
                      </w14:textFill>
                    </w:rPr>
                    <w:t>矸</w:t>
                  </w:r>
                  <w:r>
                    <w:rPr>
                      <w:rFonts w:hint="default"/>
                      <w:color w:val="000000" w:themeColor="text1"/>
                      <w:kern w:val="0"/>
                      <w:sz w:val="21"/>
                      <w:szCs w:val="21"/>
                      <w14:textFill>
                        <w14:solidFill>
                          <w14:schemeClr w14:val="tx1"/>
                        </w14:solidFill>
                      </w14:textFill>
                    </w:rPr>
                    <w:t>石大宗利用和高附加值利用</w:t>
                  </w:r>
                  <w:r>
                    <w:rPr>
                      <w:rFonts w:hint="eastAsia"/>
                      <w:color w:val="000000" w:themeColor="text1"/>
                      <w:kern w:val="0"/>
                      <w:sz w:val="21"/>
                      <w:szCs w:val="21"/>
                      <w14:textFill>
                        <w14:solidFill>
                          <w14:schemeClr w14:val="tx1"/>
                        </w14:solidFill>
                      </w14:textFill>
                    </w:rPr>
                    <w:t>，</w:t>
                  </w:r>
                  <w:r>
                    <w:rPr>
                      <w:rFonts w:hint="default"/>
                      <w:color w:val="000000" w:themeColor="text1"/>
                      <w:kern w:val="0"/>
                      <w:sz w:val="21"/>
                      <w:szCs w:val="21"/>
                      <w14:textFill>
                        <w14:solidFill>
                          <w14:schemeClr w14:val="tx1"/>
                        </w14:solidFill>
                      </w14:textFill>
                    </w:rPr>
                    <w:t>煤</w:t>
                  </w:r>
                  <w:r>
                    <w:rPr>
                      <w:rFonts w:hint="eastAsia"/>
                      <w:color w:val="000000" w:themeColor="text1"/>
                      <w:kern w:val="0"/>
                      <w:sz w:val="21"/>
                      <w:szCs w:val="21"/>
                      <w14:textFill>
                        <w14:solidFill>
                          <w14:schemeClr w14:val="tx1"/>
                        </w14:solidFill>
                      </w14:textFill>
                    </w:rPr>
                    <w:t>矸</w:t>
                  </w:r>
                  <w:r>
                    <w:rPr>
                      <w:rFonts w:hint="default"/>
                      <w:color w:val="000000" w:themeColor="text1"/>
                      <w:kern w:val="0"/>
                      <w:sz w:val="21"/>
                      <w:szCs w:val="21"/>
                      <w14:textFill>
                        <w14:solidFill>
                          <w14:schemeClr w14:val="tx1"/>
                        </w14:solidFill>
                      </w14:textFill>
                    </w:rPr>
                    <w:t>石生产建筑材料</w:t>
                  </w:r>
                  <w:r>
                    <w:rPr>
                      <w:rFonts w:hint="eastAsia"/>
                      <w:color w:val="000000" w:themeColor="text1"/>
                      <w:kern w:val="0"/>
                      <w:sz w:val="21"/>
                      <w:szCs w:val="21"/>
                      <w14:textFill>
                        <w14:solidFill>
                          <w14:schemeClr w14:val="tx1"/>
                        </w14:solidFill>
                      </w14:textFill>
                    </w:rPr>
                    <w:t>，</w:t>
                  </w:r>
                  <w:r>
                    <w:rPr>
                      <w:rFonts w:hint="default"/>
                      <w:color w:val="000000" w:themeColor="text1"/>
                      <w:kern w:val="0"/>
                      <w:sz w:val="21"/>
                      <w:szCs w:val="21"/>
                      <w14:textFill>
                        <w14:solidFill>
                          <w14:schemeClr w14:val="tx1"/>
                        </w14:solidFill>
                      </w14:textFill>
                    </w:rPr>
                    <w:t>从煤</w:t>
                  </w:r>
                  <w:r>
                    <w:rPr>
                      <w:rFonts w:hint="eastAsia"/>
                      <w:color w:val="000000" w:themeColor="text1"/>
                      <w:kern w:val="0"/>
                      <w:sz w:val="21"/>
                      <w:szCs w:val="21"/>
                      <w14:textFill>
                        <w14:solidFill>
                          <w14:schemeClr w14:val="tx1"/>
                        </w14:solidFill>
                      </w14:textFill>
                    </w:rPr>
                    <w:t>矸</w:t>
                  </w:r>
                  <w:r>
                    <w:rPr>
                      <w:rFonts w:hint="default"/>
                      <w:color w:val="000000" w:themeColor="text1"/>
                      <w:kern w:val="0"/>
                      <w:sz w:val="21"/>
                      <w:szCs w:val="21"/>
                      <w14:textFill>
                        <w14:solidFill>
                          <w14:schemeClr w14:val="tx1"/>
                        </w14:solidFill>
                      </w14:textFill>
                    </w:rPr>
                    <w:t>石中回收矿产品</w:t>
                  </w:r>
                </w:p>
              </w:tc>
              <w:tc>
                <w:tcPr>
                  <w:tcW w:w="1888" w:type="pct"/>
                  <w:tcBorders>
                    <w:tl2br w:val="nil"/>
                    <w:tr2bl w:val="nil"/>
                  </w:tcBorders>
                  <w:noWrap w:val="0"/>
                  <w:vAlign w:val="center"/>
                </w:tcPr>
                <w:p w14:paraId="682761C4">
                  <w:pPr>
                    <w:keepNext w:val="0"/>
                    <w:keepLines w:val="0"/>
                    <w:widowControl/>
                    <w:suppressLineNumbers w:val="0"/>
                    <w:spacing w:before="0" w:beforeAutospacing="0" w:after="0" w:afterAutospacing="0"/>
                    <w:ind w:left="0" w:right="0"/>
                    <w:jc w:val="both"/>
                    <w:rPr>
                      <w:rFonts w:hint="eastAsia" w:eastAsia="宋体"/>
                      <w:b w:val="0"/>
                      <w:bCs w:val="0"/>
                      <w:color w:val="000000" w:themeColor="text1"/>
                      <w:sz w:val="21"/>
                      <w:szCs w:val="21"/>
                      <w:lang w:val="en-US" w:eastAsia="zh-CN"/>
                      <w14:textFill>
                        <w14:solidFill>
                          <w14:schemeClr w14:val="tx1"/>
                        </w14:solidFill>
                      </w14:textFill>
                    </w:rPr>
                  </w:pPr>
                  <w:r>
                    <w:rPr>
                      <w:rFonts w:hint="eastAsia"/>
                      <w:color w:val="000000" w:themeColor="text1"/>
                      <w:kern w:val="0"/>
                      <w:sz w:val="21"/>
                      <w:szCs w:val="21"/>
                      <w14:textFill>
                        <w14:solidFill>
                          <w14:schemeClr w14:val="tx1"/>
                        </w14:solidFill>
                      </w14:textFill>
                    </w:rPr>
                    <w:t>将煤矸石加工成机制砂，符合国家鼓励政策</w:t>
                  </w:r>
                  <w:r>
                    <w:rPr>
                      <w:rFonts w:hint="eastAsia"/>
                      <w:color w:val="000000" w:themeColor="text1"/>
                      <w:kern w:val="0"/>
                      <w:sz w:val="21"/>
                      <w:szCs w:val="21"/>
                      <w:lang w:eastAsia="zh-CN"/>
                      <w14:textFill>
                        <w14:solidFill>
                          <w14:schemeClr w14:val="tx1"/>
                        </w14:solidFill>
                      </w14:textFill>
                    </w:rPr>
                    <w:t>。</w:t>
                  </w:r>
                </w:p>
              </w:tc>
              <w:tc>
                <w:tcPr>
                  <w:tcW w:w="547" w:type="pct"/>
                  <w:tcBorders>
                    <w:tl2br w:val="nil"/>
                    <w:tr2bl w:val="nil"/>
                  </w:tcBorders>
                  <w:noWrap w:val="0"/>
                  <w:vAlign w:val="center"/>
                </w:tcPr>
                <w:p w14:paraId="33110690">
                  <w:pPr>
                    <w:keepNext w:val="0"/>
                    <w:keepLines w:val="0"/>
                    <w:widowControl/>
                    <w:suppressLineNumbers w:val="0"/>
                    <w:spacing w:before="0" w:beforeAutospacing="0" w:after="0" w:afterAutospacing="0"/>
                    <w:ind w:left="0" w:right="0"/>
                    <w:jc w:val="center"/>
                    <w:rPr>
                      <w:rFonts w:hint="eastAsia"/>
                      <w:b w:val="0"/>
                      <w:bCs w:val="0"/>
                      <w:color w:val="000000" w:themeColor="text1"/>
                      <w:sz w:val="21"/>
                      <w:szCs w:val="21"/>
                      <w:lang w:val="en-US" w:eastAsia="zh-CN"/>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bl>
          <w:p w14:paraId="3BA4FFA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2" w:firstLineChars="200"/>
              <w:jc w:val="both"/>
              <w:textAlignment w:val="auto"/>
              <w:rPr>
                <w:rFonts w:hint="default" w:cs="Times New Roman"/>
                <w:b/>
                <w:bCs/>
                <w:color w:val="000000" w:themeColor="text1"/>
                <w:kern w:val="0"/>
                <w:sz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1.3.</w:t>
            </w:r>
            <w:r>
              <w:rPr>
                <w:rFonts w:hint="eastAsia" w:cs="Times New Roman"/>
                <w:b/>
                <w:bCs/>
                <w:color w:val="000000" w:themeColor="text1"/>
                <w:kern w:val="0"/>
                <w:sz w:val="24"/>
                <w:highlight w:val="none"/>
                <w:lang w:val="en-US" w:eastAsia="zh-CN"/>
                <w14:textFill>
                  <w14:solidFill>
                    <w14:schemeClr w14:val="tx1"/>
                  </w14:solidFill>
                </w14:textFill>
              </w:rPr>
              <w:t>7</w:t>
            </w:r>
            <w:r>
              <w:rPr>
                <w:rFonts w:hint="eastAsia"/>
                <w:b/>
                <w:bCs/>
                <w:color w:val="000000" w:themeColor="text1"/>
                <w:sz w:val="24"/>
                <w14:textFill>
                  <w14:solidFill>
                    <w14:schemeClr w14:val="tx1"/>
                  </w14:solidFill>
                </w14:textFill>
              </w:rPr>
              <w:t>与山西省人民政府办公厅《关于印发山西省推进多式联运发展优化调整运输结构工作实施方案（2</w:t>
            </w:r>
            <w:r>
              <w:rPr>
                <w:rFonts w:hint="default"/>
                <w:b/>
                <w:bCs/>
                <w:color w:val="000000" w:themeColor="text1"/>
                <w:sz w:val="24"/>
                <w14:textFill>
                  <w14:solidFill>
                    <w14:schemeClr w14:val="tx1"/>
                  </w14:solidFill>
                </w14:textFill>
              </w:rPr>
              <w:t>022-2025</w:t>
            </w:r>
            <w:r>
              <w:rPr>
                <w:rFonts w:hint="eastAsia"/>
                <w:b/>
                <w:bCs/>
                <w:color w:val="000000" w:themeColor="text1"/>
                <w:sz w:val="24"/>
                <w14:textFill>
                  <w14:solidFill>
                    <w14:schemeClr w14:val="tx1"/>
                  </w14:solidFill>
                </w14:textFill>
              </w:rPr>
              <w:t>年）的通知》的符合性分析</w:t>
            </w:r>
          </w:p>
          <w:p w14:paraId="43CBC2F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jc w:val="both"/>
              <w:textAlignment w:val="auto"/>
              <w:rPr>
                <w:rFonts w:hint="eastAsia" w:cs="Times New Roman"/>
                <w:b/>
                <w:bCs/>
                <w:color w:val="000000" w:themeColor="text1"/>
                <w:kern w:val="0"/>
                <w:sz w:val="24"/>
                <w:highlight w:val="none"/>
                <w:lang w:val="en-US" w:eastAsia="zh-CN"/>
                <w14:textFill>
                  <w14:solidFill>
                    <w14:schemeClr w14:val="tx1"/>
                  </w14:solidFill>
                </w14:textFill>
              </w:rPr>
            </w:pPr>
            <w:r>
              <w:rPr>
                <w:rFonts w:hint="eastAsia"/>
                <w:color w:val="000000" w:themeColor="text1"/>
                <w:sz w:val="24"/>
                <w14:textFill>
                  <w14:solidFill>
                    <w14:schemeClr w14:val="tx1"/>
                  </w14:solidFill>
                </w14:textFill>
              </w:rPr>
              <w:t>20</w:t>
            </w:r>
            <w:r>
              <w:rPr>
                <w:rFonts w:hint="default"/>
                <w:color w:val="000000" w:themeColor="text1"/>
                <w:sz w:val="24"/>
                <w14:textFill>
                  <w14:solidFill>
                    <w14:schemeClr w14:val="tx1"/>
                  </w14:solidFill>
                </w14:textFill>
              </w:rPr>
              <w:t>22</w:t>
            </w:r>
            <w:r>
              <w:rPr>
                <w:rFonts w:hint="eastAsia"/>
                <w:color w:val="000000" w:themeColor="text1"/>
                <w:sz w:val="24"/>
                <w14:textFill>
                  <w14:solidFill>
                    <w14:schemeClr w14:val="tx1"/>
                  </w14:solidFill>
                </w14:textFill>
              </w:rPr>
              <w:t>年</w:t>
            </w:r>
            <w:r>
              <w:rPr>
                <w:rFonts w:hint="default"/>
                <w:color w:val="000000" w:themeColor="text1"/>
                <w:sz w:val="24"/>
                <w14:textFill>
                  <w14:solidFill>
                    <w14:schemeClr w14:val="tx1"/>
                  </w14:solidFill>
                </w14:textFill>
              </w:rPr>
              <w:t>11</w:t>
            </w:r>
            <w:r>
              <w:rPr>
                <w:rFonts w:hint="eastAsia"/>
                <w:color w:val="000000" w:themeColor="text1"/>
                <w:sz w:val="24"/>
                <w14:textFill>
                  <w14:solidFill>
                    <w14:schemeClr w14:val="tx1"/>
                  </w14:solidFill>
                </w14:textFill>
              </w:rPr>
              <w:t>月</w:t>
            </w:r>
            <w:r>
              <w:rPr>
                <w:rFonts w:hint="default"/>
                <w:color w:val="000000" w:themeColor="text1"/>
                <w:sz w:val="24"/>
                <w14:textFill>
                  <w14:solidFill>
                    <w14:schemeClr w14:val="tx1"/>
                  </w14:solidFill>
                </w14:textFill>
              </w:rPr>
              <w:t>8</w:t>
            </w:r>
            <w:r>
              <w:rPr>
                <w:rFonts w:hint="eastAsia"/>
                <w:color w:val="000000" w:themeColor="text1"/>
                <w:sz w:val="24"/>
                <w14:textFill>
                  <w14:solidFill>
                    <w14:schemeClr w14:val="tx1"/>
                  </w14:solidFill>
                </w14:textFill>
              </w:rPr>
              <w:t>日山西省人民政府办公厅晋政办发[20</w:t>
            </w:r>
            <w:r>
              <w:rPr>
                <w:rFonts w:hint="default"/>
                <w:color w:val="000000" w:themeColor="text1"/>
                <w:sz w:val="24"/>
                <w14:textFill>
                  <w14:solidFill>
                    <w14:schemeClr w14:val="tx1"/>
                  </w14:solidFill>
                </w14:textFill>
              </w:rPr>
              <w:t>22</w:t>
            </w:r>
            <w:r>
              <w:rPr>
                <w:rFonts w:hint="eastAsia"/>
                <w:color w:val="000000" w:themeColor="text1"/>
                <w:sz w:val="24"/>
                <w14:textFill>
                  <w14:solidFill>
                    <w14:schemeClr w14:val="tx1"/>
                  </w14:solidFill>
                </w14:textFill>
              </w:rPr>
              <w:t>]</w:t>
            </w:r>
            <w:r>
              <w:rPr>
                <w:rFonts w:hint="default"/>
                <w:color w:val="000000" w:themeColor="text1"/>
                <w:sz w:val="24"/>
                <w14:textFill>
                  <w14:solidFill>
                    <w14:schemeClr w14:val="tx1"/>
                  </w14:solidFill>
                </w14:textFill>
              </w:rPr>
              <w:t>88</w:t>
            </w:r>
            <w:r>
              <w:rPr>
                <w:rFonts w:hint="eastAsia"/>
                <w:color w:val="000000" w:themeColor="text1"/>
                <w:sz w:val="24"/>
                <w14:textFill>
                  <w14:solidFill>
                    <w14:schemeClr w14:val="tx1"/>
                  </w14:solidFill>
                </w14:textFill>
              </w:rPr>
              <w:t>号“关于印发山西省推进多式联运发展优化调整运输结构工作实施方案（2022-2025年）的通知”，文中提到：进一步加快运输结构调整，推动大宗物资“公转铁”，鼓励工矿企业等实施大宗货物公转铁”、“散改集”，中长距离运输时主要采用铁路运输，短距离运输时优先采用封闭式皮带廊道或新能源车。加快推动铁路专用线建设，新建或迁建煤炭、矿石、焦炭等大宗货物年运量150万吨以上的物流园区、工矿企业及粮食储备库等，原则上要接入铁路专用线或管道。推动太原、大同、临汾等无水港与沿海港口深度合作、联动发展，探索推广大宗固体废物公铁协同联运模式。</w:t>
            </w:r>
          </w:p>
          <w:p w14:paraId="5B9F86F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jc w:val="both"/>
              <w:textAlignment w:val="auto"/>
              <w:rPr>
                <w:rFonts w:hint="eastAsia" w:cs="Times New Roman"/>
                <w:b/>
                <w:bCs/>
                <w:color w:val="000000" w:themeColor="text1"/>
                <w:kern w:val="0"/>
                <w:sz w:val="24"/>
                <w:highlight w:val="none"/>
                <w:lang w:val="en-US" w:eastAsia="zh-CN"/>
                <w14:textFill>
                  <w14:solidFill>
                    <w14:schemeClr w14:val="tx1"/>
                  </w14:solidFill>
                </w14:textFill>
              </w:rPr>
            </w:pPr>
            <w:r>
              <w:rPr>
                <w:rFonts w:hint="eastAsia"/>
                <w:color w:val="000000" w:themeColor="text1"/>
                <w:sz w:val="24"/>
                <w14:textFill>
                  <w14:solidFill>
                    <w14:schemeClr w14:val="tx1"/>
                  </w14:solidFill>
                </w14:textFill>
              </w:rPr>
              <w:t>本项目利用煤炭开采、洗煤厂固废</w:t>
            </w:r>
            <w:r>
              <w:rPr>
                <w:rFonts w:hint="eastAsia"/>
                <w:color w:val="000000" w:themeColor="text1"/>
                <w:sz w:val="24"/>
                <w:lang w:val="en-US" w:eastAsia="zh-CN"/>
                <w14:textFill>
                  <w14:solidFill>
                    <w14:schemeClr w14:val="tx1"/>
                  </w14:solidFill>
                </w14:textFill>
              </w:rPr>
              <w:t>煤矸</w:t>
            </w:r>
            <w:r>
              <w:rPr>
                <w:rFonts w:hint="eastAsia"/>
                <w:color w:val="000000" w:themeColor="text1"/>
                <w:sz w:val="24"/>
                <w14:textFill>
                  <w14:solidFill>
                    <w14:schemeClr w14:val="tx1"/>
                  </w14:solidFill>
                </w14:textFill>
              </w:rPr>
              <w:t>石，节约天然资源，提高产业固体废物综合利用水平，属于废弃资源</w:t>
            </w:r>
            <w:r>
              <w:rPr>
                <w:rFonts w:hint="eastAsia"/>
                <w:color w:val="000000" w:themeColor="text1"/>
                <w:sz w:val="24"/>
                <w:lang w:val="en-US" w:eastAsia="zh-CN"/>
                <w14:textFill>
                  <w14:solidFill>
                    <w14:schemeClr w14:val="tx1"/>
                  </w14:solidFill>
                </w14:textFill>
              </w:rPr>
              <w:t>综合</w:t>
            </w:r>
            <w:r>
              <w:rPr>
                <w:rFonts w:hint="eastAsia"/>
                <w:color w:val="000000" w:themeColor="text1"/>
                <w:sz w:val="24"/>
                <w14:textFill>
                  <w14:solidFill>
                    <w14:schemeClr w14:val="tx1"/>
                  </w14:solidFill>
                </w14:textFill>
              </w:rPr>
              <w:t>利用，本质上不属于上述文件中提到的“新建或迁建煤炭、矿石、焦炭等项目”；本项目所用煤矸石主要来源于</w:t>
            </w:r>
            <w:r>
              <w:rPr>
                <w:rFonts w:hint="eastAsia"/>
                <w:color w:val="000000" w:themeColor="text1"/>
                <w:sz w:val="24"/>
                <w:lang w:val="en-US" w:eastAsia="zh-CN"/>
                <w14:textFill>
                  <w14:solidFill>
                    <w14:schemeClr w14:val="tx1"/>
                  </w14:solidFill>
                </w14:textFill>
              </w:rPr>
              <w:t>厂区内富健达洗煤厂和厂区西侧约3km处的余吾煤矿，</w:t>
            </w:r>
            <w:r>
              <w:rPr>
                <w:rFonts w:hint="eastAsia"/>
                <w:color w:val="000000" w:themeColor="text1"/>
                <w:sz w:val="24"/>
                <w14:textFill>
                  <w14:solidFill>
                    <w14:schemeClr w14:val="tx1"/>
                  </w14:solidFill>
                </w14:textFill>
              </w:rPr>
              <w:t>均属于短距离运输</w:t>
            </w:r>
            <w:r>
              <w:rPr>
                <w:rFonts w:hint="eastAsia"/>
                <w:color w:val="000000" w:themeColor="text1"/>
                <w:sz w:val="24"/>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由全封闭厢式车运至本项目原料堆放区</w:t>
            </w:r>
            <w:r>
              <w:rPr>
                <w:rFonts w:hint="eastAsia"/>
                <w:color w:val="000000" w:themeColor="text1"/>
                <w:sz w:val="24"/>
                <w:szCs w:val="24"/>
                <w:lang w:eastAsia="zh-CN"/>
                <w14:textFill>
                  <w14:solidFill>
                    <w14:schemeClr w14:val="tx1"/>
                  </w14:solidFill>
                </w14:textFill>
              </w:rPr>
              <w:t>。</w:t>
            </w:r>
            <w:r>
              <w:rPr>
                <w:rFonts w:hint="eastAsia"/>
                <w:color w:val="000000" w:themeColor="text1"/>
                <w:sz w:val="24"/>
                <w14:textFill>
                  <w14:solidFill>
                    <w14:schemeClr w14:val="tx1"/>
                  </w14:solidFill>
                </w14:textFill>
              </w:rPr>
              <w:t>根据实地调查，本项目所在地暂不具备接入铁路专线的条件。本项目原则上符合“山西省推进多式联运发展优化调整运输结构工作实施方案（2022-2025年）的通知”要求。</w:t>
            </w:r>
          </w:p>
          <w:p w14:paraId="3E2468F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2" w:firstLineChars="200"/>
              <w:jc w:val="both"/>
              <w:textAlignment w:val="auto"/>
              <w:rPr>
                <w:rFonts w:hint="eastAsia" w:cs="Times New Roman"/>
                <w:b/>
                <w:bCs/>
                <w:color w:val="000000" w:themeColor="text1"/>
                <w:kern w:val="0"/>
                <w:sz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1.3.</w:t>
            </w:r>
            <w:r>
              <w:rPr>
                <w:rFonts w:hint="eastAsia" w:cs="Times New Roman"/>
                <w:b/>
                <w:bCs/>
                <w:color w:val="000000" w:themeColor="text1"/>
                <w:kern w:val="0"/>
                <w:sz w:val="24"/>
                <w:highlight w:val="none"/>
                <w:lang w:val="en-US" w:eastAsia="zh-CN"/>
                <w14:textFill>
                  <w14:solidFill>
                    <w14:schemeClr w14:val="tx1"/>
                  </w14:solidFill>
                </w14:textFill>
              </w:rPr>
              <w:t>8</w:t>
            </w:r>
            <w:r>
              <w:rPr>
                <w:rFonts w:hint="default"/>
                <w:b/>
                <w:bCs/>
                <w:color w:val="000000" w:themeColor="text1"/>
                <w:kern w:val="0"/>
                <w:sz w:val="24"/>
                <w:highlight w:val="none"/>
                <w14:textFill>
                  <w14:solidFill>
                    <w14:schemeClr w14:val="tx1"/>
                  </w14:solidFill>
                </w14:textFill>
              </w:rPr>
              <w:t>与屯留区禁煤区符合性分析</w:t>
            </w:r>
          </w:p>
          <w:p w14:paraId="7DE1904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default"/>
                <w:color w:val="000000" w:themeColor="text1"/>
                <w:kern w:val="0"/>
                <w:sz w:val="24"/>
                <w:highlight w:val="none"/>
                <w14:textFill>
                  <w14:solidFill>
                    <w14:schemeClr w14:val="tx1"/>
                  </w14:solidFill>
                </w14:textFill>
              </w:rPr>
            </w:pPr>
            <w:r>
              <w:rPr>
                <w:rFonts w:hint="default"/>
                <w:color w:val="000000" w:themeColor="text1"/>
                <w:kern w:val="0"/>
                <w:sz w:val="24"/>
                <w:highlight w:val="none"/>
                <w14:textFill>
                  <w14:solidFill>
                    <w14:schemeClr w14:val="tx1"/>
                  </w14:solidFill>
                </w14:textFill>
              </w:rPr>
              <w:t>根据《屯留县人民政府关于在麟绛县（县城建成区）、康庄工业区管理中心实施禁煤的通知》（屯政发[2017]72号），屯留区禁煤区相关规定为：</w:t>
            </w:r>
          </w:p>
          <w:p w14:paraId="209856E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default"/>
                <w:color w:val="000000" w:themeColor="text1"/>
                <w:kern w:val="0"/>
                <w:sz w:val="24"/>
                <w:highlight w:val="none"/>
                <w14:textFill>
                  <w14:solidFill>
                    <w14:schemeClr w14:val="tx1"/>
                  </w14:solidFill>
                </w14:textFill>
              </w:rPr>
            </w:pPr>
            <w:r>
              <w:rPr>
                <w:rFonts w:hint="default"/>
                <w:color w:val="000000" w:themeColor="text1"/>
                <w:kern w:val="0"/>
                <w:sz w:val="24"/>
                <w:highlight w:val="none"/>
                <w14:textFill>
                  <w14:solidFill>
                    <w14:schemeClr w14:val="tx1"/>
                  </w14:solidFill>
                </w14:textFill>
              </w:rPr>
              <w:t>（1）麟绛镇（县城建成区）禁煤区域：北至绛河北岸，南至城际路，东至东环路、久安路，西至禹王路、金威佳园，包括麟绛镇西街、南街、东街、东脑、西堰、东堰、郭村7个行政村。</w:t>
            </w:r>
          </w:p>
          <w:p w14:paraId="1697DE8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（2）康庄工业区禁煤区域：常珍、康庄、高头寺、东史、西史、北栗、市泽、常金、驼坊、桃园、市泽庄11个行政村。</w:t>
            </w:r>
          </w:p>
          <w:p w14:paraId="2997E16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（3）禁煤对象：麟绛镇（县城建成区）、康庄工业区内所有党政机关、企事业单位和商业、服务业等10蒸吨及以下燃煤锅炉、所有居民的生产和生活用煤。</w:t>
            </w:r>
          </w:p>
          <w:p w14:paraId="5B4FFFF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（4）禁煤区内全面禁止经营、运输、使用燃煤，各类涉煤生产企业和经营单位必须停止生产和经营行为，将生产、经营场地迁移至禁煤区域以外。</w:t>
            </w:r>
          </w:p>
          <w:p w14:paraId="1260631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根据《屯留县人民政府关于在麟绛县（县城建成区）、康庄工业区管理中心实施禁煤的通知》（屯政发[2017]72号）和《屯留县人民政府关于进一步扩大禁煤区范围的通知》（屯政发[2018]53号），屯留区禁煤区相关规定为：</w:t>
            </w:r>
          </w:p>
          <w:p w14:paraId="56FD4C0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1）麟绛镇禁煤区域：在原屯留县人民政府《关于在麟绛镇（县城建成区）、康庄工业区管理中心禁煤的通告》（屯政通字[2017]5号）7个行政村禁煤区的基础上，进一步扩大禁煤区范围，包括：东藕、中藕、西藕、堰漕、水泉、沙庄、刘家坪、西莲、河北脑、西河北、东河北11个行政村。</w:t>
            </w:r>
          </w:p>
          <w:p w14:paraId="07ED24B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（2）上村镇禁煤区域：上村村。</w:t>
            </w:r>
          </w:p>
          <w:p w14:paraId="0BA5716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（3）渔泽镇禁煤区域：东古、南渔泽、北渔泽、崔蒙、顾车5个行政村。</w:t>
            </w:r>
          </w:p>
          <w:p w14:paraId="7A24910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（4）李高乡禁煤区域</w:t>
            </w:r>
            <w:r>
              <w:rPr>
                <w:rFonts w:hint="eastAsia"/>
                <w:color w:val="000000" w:themeColor="text1"/>
                <w:kern w:val="0"/>
                <w:sz w:val="24"/>
                <w:lang w:eastAsia="zh-CN"/>
                <w14:textFill>
                  <w14:solidFill>
                    <w14:schemeClr w14:val="tx1"/>
                  </w14:solidFill>
                </w14:textFill>
              </w:rPr>
              <w:t>：</w:t>
            </w:r>
            <w:r>
              <w:rPr>
                <w:rFonts w:hint="default"/>
                <w:color w:val="000000" w:themeColor="text1"/>
                <w:kern w:val="0"/>
                <w:sz w:val="24"/>
                <w14:textFill>
                  <w14:solidFill>
                    <w14:schemeClr w14:val="tx1"/>
                  </w14:solidFill>
                </w14:textFill>
              </w:rPr>
              <w:t>东李高、西李高、下李高、东六余、西六余、王公庄、古城沟、东魏村8个行政村。</w:t>
            </w:r>
          </w:p>
          <w:p w14:paraId="7169E06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（5）禁煤对象：麟绛镇、上村镇、渔泽镇、李高乡涉及清洁取暖区域内的所有党政机关、企事业单位和商业、服务业等10蒸吨及以下燃煤锅炉、所有居民的生产和生活用煤。</w:t>
            </w:r>
          </w:p>
          <w:p w14:paraId="2FDF653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（6）禁煤区范围内除煤电、集中供热和原料用煤企业外，全面禁止经营、运输、使用燃煤，各类涉煤生产企业和经营单位必须停止生产和经营行为，将生产、经营场地迁移至禁煤区域以外。</w:t>
            </w:r>
          </w:p>
          <w:p w14:paraId="3D5B3BD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default"/>
                <w:color w:val="000000" w:themeColor="text1"/>
                <w:kern w:val="0"/>
                <w:sz w:val="24"/>
                <w14:textFill>
                  <w14:solidFill>
                    <w14:schemeClr w14:val="tx1"/>
                  </w14:solidFill>
                </w14:textFill>
              </w:rPr>
            </w:pPr>
            <w:r>
              <w:rPr>
                <w:rFonts w:hint="default" w:hAnsi="宋体"/>
                <w:b w:val="0"/>
                <w:bCs/>
                <w:color w:val="000000" w:themeColor="text1"/>
                <w:kern w:val="0"/>
                <w:sz w:val="24"/>
                <w14:textFill>
                  <w14:solidFill>
                    <w14:schemeClr w14:val="tx1"/>
                  </w14:solidFill>
                </w14:textFill>
              </w:rPr>
              <w:t>本</w:t>
            </w:r>
            <w:r>
              <w:rPr>
                <w:rFonts w:hint="eastAsia" w:hAnsi="宋体"/>
                <w:b w:val="0"/>
                <w:bCs/>
                <w:color w:val="000000" w:themeColor="text1"/>
                <w:kern w:val="0"/>
                <w:sz w:val="24"/>
                <w14:textFill>
                  <w14:solidFill>
                    <w14:schemeClr w14:val="tx1"/>
                  </w14:solidFill>
                </w14:textFill>
              </w:rPr>
              <w:t>项目</w:t>
            </w:r>
            <w:r>
              <w:rPr>
                <w:rFonts w:hint="eastAsia"/>
                <w:b w:val="0"/>
                <w:bCs/>
                <w:color w:val="000000" w:themeColor="text1"/>
                <w:sz w:val="24"/>
                <w14:textFill>
                  <w14:solidFill>
                    <w14:schemeClr w14:val="tx1"/>
                  </w14:solidFill>
                </w14:textFill>
              </w:rPr>
              <w:t>位于</w:t>
            </w:r>
            <w:r>
              <w:rPr>
                <w:rFonts w:hint="eastAsia" w:cs="Times New Roman"/>
                <w:color w:val="000000" w:themeColor="text1"/>
                <w:sz w:val="24"/>
                <w:szCs w:val="24"/>
                <w:highlight w:val="none"/>
                <w:lang w:val="en-US" w:eastAsia="zh-CN"/>
                <w14:textFill>
                  <w14:solidFill>
                    <w14:schemeClr w14:val="tx1"/>
                  </w14:solidFill>
                </w14:textFill>
              </w:rPr>
              <w:t>长治市</w:t>
            </w:r>
            <w:r>
              <w:rPr>
                <w:rFonts w:hint="default" w:ascii="Times New Roman" w:hAnsi="Times New Roman" w:cs="Times New Roman"/>
                <w:color w:val="000000" w:themeColor="text1"/>
                <w:sz w:val="24"/>
                <w:szCs w:val="24"/>
                <w:highlight w:val="none"/>
                <w:lang w:val="en-US"/>
                <w14:textFill>
                  <w14:solidFill>
                    <w14:schemeClr w14:val="tx1"/>
                  </w14:solidFill>
                </w14:textFill>
              </w:rPr>
              <w:t>屯留区路村乡前苏村</w:t>
            </w:r>
            <w:r>
              <w:rPr>
                <w:rFonts w:hint="eastAsia" w:cs="Times New Roman"/>
                <w:color w:val="000000" w:themeColor="text1"/>
                <w:sz w:val="24"/>
                <w:szCs w:val="24"/>
                <w:highlight w:val="none"/>
                <w:lang w:val="en-US" w:eastAsia="zh-CN"/>
                <w14:textFill>
                  <w14:solidFill>
                    <w14:schemeClr w14:val="tx1"/>
                  </w14:solidFill>
                </w14:textFill>
              </w:rPr>
              <w:t>村北，富健达洗煤厂现有厂区内，</w:t>
            </w:r>
            <w:r>
              <w:rPr>
                <w:rFonts w:hint="eastAsia"/>
                <w:color w:val="000000" w:themeColor="text1"/>
                <w:kern w:val="0"/>
                <w:sz w:val="24"/>
                <w14:textFill>
                  <w14:solidFill>
                    <w14:schemeClr w14:val="tx1"/>
                  </w14:solidFill>
                </w14:textFill>
              </w:rPr>
              <w:t>不在上述屯留区禁煤区范围内</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屯留区禁煤区划分示意图见附图1</w:t>
            </w:r>
            <w:r>
              <w:rPr>
                <w:rFonts w:hint="eastAsia"/>
                <w:color w:val="000000" w:themeColor="text1"/>
                <w:kern w:val="0"/>
                <w:sz w:val="24"/>
                <w:lang w:val="en-US" w:eastAsia="zh-CN"/>
                <w14:textFill>
                  <w14:solidFill>
                    <w14:schemeClr w14:val="tx1"/>
                  </w14:solidFill>
                </w14:textFill>
              </w:rPr>
              <w:t>2</w:t>
            </w:r>
            <w:r>
              <w:rPr>
                <w:rFonts w:hint="default"/>
                <w:color w:val="000000" w:themeColor="text1"/>
                <w:kern w:val="0"/>
                <w:sz w:val="24"/>
                <w14:textFill>
                  <w14:solidFill>
                    <w14:schemeClr w14:val="tx1"/>
                  </w14:solidFill>
                </w14:textFill>
              </w:rPr>
              <w:t>。</w:t>
            </w:r>
          </w:p>
          <w:p w14:paraId="23CA9D5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2" w:firstLineChars="200"/>
              <w:jc w:val="both"/>
              <w:textAlignment w:val="auto"/>
              <w:rPr>
                <w:rFonts w:hint="default" w:eastAsia="宋体"/>
                <w:b/>
                <w:bCs/>
                <w:color w:val="000000" w:themeColor="text1"/>
                <w:sz w:val="24"/>
                <w:szCs w:val="21"/>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1.3.</w:t>
            </w:r>
            <w:r>
              <w:rPr>
                <w:rFonts w:hint="eastAsia" w:cs="Times New Roman"/>
                <w:b/>
                <w:bCs/>
                <w:color w:val="000000" w:themeColor="text1"/>
                <w:kern w:val="0"/>
                <w:sz w:val="24"/>
                <w:highlight w:val="none"/>
                <w:lang w:val="en-US" w:eastAsia="zh-CN"/>
                <w14:textFill>
                  <w14:solidFill>
                    <w14:schemeClr w14:val="tx1"/>
                  </w14:solidFill>
                </w14:textFill>
              </w:rPr>
              <w:t>9</w:t>
            </w:r>
            <w:r>
              <w:rPr>
                <w:rFonts w:hint="eastAsia"/>
                <w:b/>
                <w:bCs/>
                <w:color w:val="000000" w:themeColor="text1"/>
                <w:sz w:val="24"/>
                <w14:textFill>
                  <w14:solidFill>
                    <w14:schemeClr w14:val="tx1"/>
                  </w14:solidFill>
                </w14:textFill>
              </w:rPr>
              <w:t>选址可行性分析</w:t>
            </w:r>
          </w:p>
          <w:p w14:paraId="310FF13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本项目为利用煤矸石生产机制砂，选址位于</w:t>
            </w:r>
            <w:r>
              <w:rPr>
                <w:rFonts w:hint="eastAsia"/>
                <w:b w:val="0"/>
                <w:bCs/>
                <w:color w:val="000000" w:themeColor="text1"/>
                <w:sz w:val="24"/>
                <w14:textFill>
                  <w14:solidFill>
                    <w14:schemeClr w14:val="tx1"/>
                  </w14:solidFill>
                </w14:textFill>
              </w:rPr>
              <w:t>位于</w:t>
            </w:r>
            <w:r>
              <w:rPr>
                <w:rFonts w:hint="eastAsia" w:cs="Times New Roman"/>
                <w:color w:val="000000" w:themeColor="text1"/>
                <w:sz w:val="24"/>
                <w:szCs w:val="24"/>
                <w:highlight w:val="none"/>
                <w:lang w:val="en-US" w:eastAsia="zh-CN"/>
                <w14:textFill>
                  <w14:solidFill>
                    <w14:schemeClr w14:val="tx1"/>
                  </w14:solidFill>
                </w14:textFill>
              </w:rPr>
              <w:t>长治市</w:t>
            </w:r>
            <w:r>
              <w:rPr>
                <w:rFonts w:hint="default" w:ascii="Times New Roman" w:hAnsi="Times New Roman" w:cs="Times New Roman"/>
                <w:color w:val="000000" w:themeColor="text1"/>
                <w:sz w:val="24"/>
                <w:szCs w:val="24"/>
                <w:highlight w:val="none"/>
                <w:lang w:val="en-US"/>
                <w14:textFill>
                  <w14:solidFill>
                    <w14:schemeClr w14:val="tx1"/>
                  </w14:solidFill>
                </w14:textFill>
              </w:rPr>
              <w:t>屯留区路村乡前苏村</w:t>
            </w:r>
            <w:r>
              <w:rPr>
                <w:rFonts w:hint="eastAsia" w:cs="Times New Roman"/>
                <w:color w:val="000000" w:themeColor="text1"/>
                <w:sz w:val="24"/>
                <w:szCs w:val="24"/>
                <w:highlight w:val="none"/>
                <w:lang w:val="en-US" w:eastAsia="zh-CN"/>
                <w14:textFill>
                  <w14:solidFill>
                    <w14:schemeClr w14:val="tx1"/>
                  </w14:solidFill>
                </w14:textFill>
              </w:rPr>
              <w:t>村北，富健达洗煤厂现有厂区内，</w:t>
            </w:r>
            <w:r>
              <w:rPr>
                <w:rFonts w:hint="eastAsia"/>
                <w:color w:val="000000" w:themeColor="text1"/>
                <w:sz w:val="24"/>
                <w:lang w:val="en-US" w:eastAsia="zh-CN"/>
                <w14:textFill>
                  <w14:solidFill>
                    <w14:schemeClr w14:val="tx1"/>
                  </w14:solidFill>
                </w14:textFill>
              </w:rPr>
              <w:t>占地类型为工业</w:t>
            </w:r>
            <w:r>
              <w:rPr>
                <w:rFonts w:hint="eastAsia"/>
                <w:color w:val="000000" w:themeColor="text1"/>
                <w:sz w:val="24"/>
                <w14:textFill>
                  <w14:solidFill>
                    <w14:schemeClr w14:val="tx1"/>
                  </w14:solidFill>
                </w14:textFill>
              </w:rPr>
              <w:t>用地。</w:t>
            </w:r>
          </w:p>
          <w:p w14:paraId="7EA155F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根据前述分析可知，本项目选址符合</w:t>
            </w:r>
            <w:r>
              <w:rPr>
                <w:rFonts w:hint="eastAsia"/>
                <w:color w:val="000000" w:themeColor="text1"/>
                <w:sz w:val="24"/>
                <w:lang w:val="en-US" w:eastAsia="zh-CN"/>
                <w14:textFill>
                  <w14:solidFill>
                    <w14:schemeClr w14:val="tx1"/>
                  </w14:solidFill>
                </w14:textFill>
              </w:rPr>
              <w:t>生态环境分区</w:t>
            </w:r>
            <w:r>
              <w:rPr>
                <w:rFonts w:hint="eastAsia"/>
                <w:color w:val="000000" w:themeColor="text1"/>
                <w:sz w:val="24"/>
                <w14:textFill>
                  <w14:solidFill>
                    <w14:schemeClr w14:val="tx1"/>
                  </w14:solidFill>
                </w14:textFill>
              </w:rPr>
              <w:t>的管控要求，不涉及集中式饮用水水源保护区、准保护区，符合当地国土空间总体规划，场地不与辛安泉域重点保护区重叠。本项目不属于高污染、高耗水、高耗能项目，且项目运营期无废水外排，固废收集后合理处置，大气污染物主要为颗粒物，严格采取环评要求的环保措施后，可达标排放，对区域环境空气及敏感目标影响较小。</w:t>
            </w:r>
          </w:p>
          <w:p w14:paraId="408C3E2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综上所述，本项目选址、规模、性质符合国家和山西省有关环境保护法律法规、标准、政策、规范，本项目选址可行。</w:t>
            </w:r>
          </w:p>
          <w:p w14:paraId="24FC6C56">
            <w:pPr>
              <w:pStyle w:val="17"/>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color w:val="000000" w:themeColor="text1"/>
                <w:lang w:eastAsia="zh-CN"/>
                <w14:textFill>
                  <w14:solidFill>
                    <w14:schemeClr w14:val="tx1"/>
                  </w14:solidFill>
                </w14:textFill>
              </w:rPr>
            </w:pPr>
          </w:p>
          <w:p w14:paraId="3D6A57A8">
            <w:pPr>
              <w:keepNext w:val="0"/>
              <w:keepLines w:val="0"/>
              <w:suppressLineNumbers w:val="0"/>
              <w:spacing w:before="0" w:beforeAutospacing="0" w:after="0" w:afterAutospacing="0"/>
              <w:ind w:left="0" w:right="0"/>
              <w:rPr>
                <w:rFonts w:hint="eastAsia"/>
                <w:color w:val="000000" w:themeColor="text1"/>
                <w:lang w:eastAsia="zh-CN"/>
                <w14:textFill>
                  <w14:solidFill>
                    <w14:schemeClr w14:val="tx1"/>
                  </w14:solidFill>
                </w14:textFill>
              </w:rPr>
            </w:pPr>
          </w:p>
          <w:p w14:paraId="2C4ADB4B">
            <w:pPr>
              <w:keepNext w:val="0"/>
              <w:keepLines w:val="0"/>
              <w:suppressLineNumbers w:val="0"/>
              <w:spacing w:before="0" w:beforeAutospacing="0" w:after="0" w:afterAutospacing="0"/>
              <w:ind w:left="0" w:right="0"/>
              <w:rPr>
                <w:rFonts w:hint="eastAsia"/>
                <w:color w:val="000000" w:themeColor="text1"/>
                <w:lang w:eastAsia="zh-CN"/>
                <w14:textFill>
                  <w14:solidFill>
                    <w14:schemeClr w14:val="tx1"/>
                  </w14:solidFill>
                </w14:textFill>
              </w:rPr>
            </w:pPr>
          </w:p>
          <w:p w14:paraId="549640ED">
            <w:pPr>
              <w:keepNext w:val="0"/>
              <w:keepLines w:val="0"/>
              <w:suppressLineNumbers w:val="0"/>
              <w:spacing w:before="0" w:beforeAutospacing="0" w:after="0" w:afterAutospacing="0"/>
              <w:ind w:left="0" w:right="0"/>
              <w:rPr>
                <w:rFonts w:hint="eastAsia"/>
                <w:color w:val="000000" w:themeColor="text1"/>
                <w:lang w:eastAsia="zh-CN"/>
                <w14:textFill>
                  <w14:solidFill>
                    <w14:schemeClr w14:val="tx1"/>
                  </w14:solidFill>
                </w14:textFill>
              </w:rPr>
            </w:pPr>
          </w:p>
          <w:p w14:paraId="333EE9B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color w:val="000000" w:themeColor="text1"/>
                <w:sz w:val="24"/>
                <w14:textFill>
                  <w14:solidFill>
                    <w14:schemeClr w14:val="tx1"/>
                  </w14:solidFill>
                </w14:textFill>
              </w:rPr>
            </w:pPr>
          </w:p>
          <w:p w14:paraId="1D112BA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color w:val="000000" w:themeColor="text1"/>
                <w:sz w:val="24"/>
                <w14:textFill>
                  <w14:solidFill>
                    <w14:schemeClr w14:val="tx1"/>
                  </w14:solidFill>
                </w14:textFill>
              </w:rPr>
            </w:pPr>
          </w:p>
          <w:p w14:paraId="2645E731">
            <w:pPr>
              <w:keepNext w:val="0"/>
              <w:keepLines w:val="0"/>
              <w:suppressLineNumbers w:val="0"/>
              <w:spacing w:before="0" w:beforeAutospacing="0" w:after="0" w:afterAutospacing="0" w:line="240" w:lineRule="auto"/>
              <w:ind w:left="0" w:right="0"/>
              <w:rPr>
                <w:rFonts w:hint="default"/>
                <w:color w:val="000000" w:themeColor="text1"/>
                <w:lang w:val="en-US" w:eastAsia="zh-CN"/>
                <w14:textFill>
                  <w14:solidFill>
                    <w14:schemeClr w14:val="tx1"/>
                  </w14:solidFill>
                </w14:textFill>
              </w:rPr>
            </w:pPr>
          </w:p>
          <w:p w14:paraId="636E8F6F">
            <w:pPr>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p>
        </w:tc>
      </w:tr>
    </w:tbl>
    <w:p w14:paraId="6FBFBF94">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14:paraId="38CA6AE1">
      <w:pPr>
        <w:rPr>
          <w:color w:val="000000" w:themeColor="text1"/>
          <w:highlight w:val="none"/>
          <w14:textFill>
            <w14:solidFill>
              <w14:schemeClr w14:val="tx1"/>
            </w14:solidFill>
          </w14:textFill>
        </w:rPr>
        <w:sectPr>
          <w:headerReference r:id="rId4" w:type="default"/>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4D2546A2">
      <w:pPr>
        <w:pStyle w:val="22"/>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bookmarkStart w:id="8" w:name="_Toc21071"/>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二、建设项目工程分析</w:t>
      </w:r>
      <w:bookmarkEnd w:id="8"/>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4"/>
        <w:gridCol w:w="8405"/>
      </w:tblGrid>
      <w:tr w14:paraId="47B6BF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654" w:type="dxa"/>
            <w:vAlign w:val="center"/>
          </w:tcPr>
          <w:p w14:paraId="2FC525E8">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pacing w:val="0"/>
                <w:sz w:val="21"/>
                <w:szCs w:val="21"/>
                <w:highlight w:val="none"/>
                <w14:textFill>
                  <w14:solidFill>
                    <w14:schemeClr w14:val="tx1"/>
                  </w14:solidFill>
                </w14:textFill>
              </w:rPr>
            </w:pPr>
            <w:r>
              <w:rPr>
                <w:rFonts w:hint="default" w:ascii="Times New Roman" w:hAnsi="Times New Roman" w:cs="Times New Roman"/>
                <w:b/>
                <w:bCs/>
                <w:color w:val="000000" w:themeColor="text1"/>
                <w:spacing w:val="0"/>
                <w:sz w:val="21"/>
                <w:szCs w:val="21"/>
                <w:highlight w:val="none"/>
                <w14:textFill>
                  <w14:solidFill>
                    <w14:schemeClr w14:val="tx1"/>
                  </w14:solidFill>
                </w14:textFill>
              </w:rPr>
              <w:t>建设内容</w:t>
            </w:r>
          </w:p>
        </w:tc>
        <w:tc>
          <w:tcPr>
            <w:tcW w:w="8405" w:type="dxa"/>
          </w:tcPr>
          <w:p w14:paraId="0FC481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cs="Times New Roman"/>
                <w:b/>
                <w:bCs w:val="0"/>
                <w:color w:val="000000" w:themeColor="text1"/>
                <w:spacing w:val="0"/>
                <w:sz w:val="24"/>
                <w:szCs w:val="24"/>
                <w:highlight w:val="none"/>
                <w:lang w:val="en-US" w:eastAsia="zh-CN"/>
                <w14:textFill>
                  <w14:solidFill>
                    <w14:schemeClr w14:val="tx1"/>
                  </w14:solidFill>
                </w14:textFill>
              </w:rPr>
            </w:pPr>
            <w:r>
              <w:rPr>
                <w:rFonts w:hint="eastAsia" w:cs="Times New Roman"/>
                <w:b/>
                <w:bCs w:val="0"/>
                <w:color w:val="000000" w:themeColor="text1"/>
                <w:spacing w:val="0"/>
                <w:sz w:val="24"/>
                <w:szCs w:val="24"/>
                <w:highlight w:val="none"/>
                <w:lang w:val="en-US" w:eastAsia="zh-CN"/>
                <w14:textFill>
                  <w14:solidFill>
                    <w14:schemeClr w14:val="tx1"/>
                  </w14:solidFill>
                </w14:textFill>
              </w:rPr>
              <w:t>2.1</w:t>
            </w:r>
            <w:r>
              <w:rPr>
                <w:rFonts w:hint="default" w:cs="Times New Roman"/>
                <w:b/>
                <w:bCs w:val="0"/>
                <w:color w:val="000000" w:themeColor="text1"/>
                <w:spacing w:val="0"/>
                <w:sz w:val="24"/>
                <w:szCs w:val="24"/>
                <w:highlight w:val="none"/>
                <w:lang w:val="en-US" w:eastAsia="zh-CN"/>
                <w14:textFill>
                  <w14:solidFill>
                    <w14:schemeClr w14:val="tx1"/>
                  </w14:solidFill>
                </w14:textFill>
              </w:rPr>
              <w:t>工程组成</w:t>
            </w:r>
          </w:p>
          <w:p w14:paraId="5058D298">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cs="Times New Roman"/>
                <w:color w:val="000000" w:themeColor="text1"/>
                <w:spacing w:val="0"/>
                <w:sz w:val="24"/>
                <w:szCs w:val="20"/>
                <w:highlight w:val="none"/>
                <w:lang w:val="en-US" w:eastAsia="zh-CN"/>
                <w14:textFill>
                  <w14:solidFill>
                    <w14:schemeClr w14:val="tx1"/>
                  </w14:solidFill>
                </w14:textFill>
              </w:rPr>
            </w:pPr>
            <w:r>
              <w:rPr>
                <w:rFonts w:hint="eastAsia" w:cs="Times New Roman"/>
                <w:color w:val="000000" w:themeColor="text1"/>
                <w:spacing w:val="0"/>
                <w:sz w:val="24"/>
                <w:szCs w:val="20"/>
                <w:highlight w:val="none"/>
                <w:lang w:val="en-US" w:eastAsia="zh-CN"/>
                <w14:textFill>
                  <w14:solidFill>
                    <w14:schemeClr w14:val="tx1"/>
                  </w14:solidFill>
                </w14:textFill>
              </w:rPr>
              <w:t>本项目位于富健达洗煤厂厂区内，根据现场踏勘，富健达洗煤厂现为停产状态，厂区内现有1座精煤棚，1座中煤和原煤棚，1座破碎筛分车间，2座洗选车间，1座煤矸石棚，3座办公区，1座浓缩池，1座事故池，1座初期雨水池和1座危废贮存库，厂区西侧出入口设置1座地磅及1座全自动洗车平台。</w:t>
            </w:r>
          </w:p>
          <w:p w14:paraId="7B7B5F2C">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cs="Times New Roman"/>
                <w:color w:val="000000" w:themeColor="text1"/>
                <w:spacing w:val="0"/>
                <w:sz w:val="24"/>
                <w:szCs w:val="20"/>
                <w:highlight w:val="none"/>
                <w:lang w:val="en-US" w:eastAsia="zh-CN"/>
                <w14:textFill>
                  <w14:solidFill>
                    <w14:schemeClr w14:val="tx1"/>
                  </w14:solidFill>
                </w14:textFill>
              </w:rPr>
            </w:pPr>
            <w:r>
              <w:rPr>
                <w:rFonts w:hint="eastAsia" w:cs="Times New Roman"/>
                <w:color w:val="000000" w:themeColor="text1"/>
                <w:spacing w:val="0"/>
                <w:sz w:val="24"/>
                <w:szCs w:val="20"/>
                <w:highlight w:val="none"/>
                <w:lang w:val="en-US" w:eastAsia="zh-CN"/>
                <w14:textFill>
                  <w14:solidFill>
                    <w14:schemeClr w14:val="tx1"/>
                  </w14:solidFill>
                </w14:textFill>
              </w:rPr>
              <w:t>本项目租赁富健达洗煤厂厂区北侧占地，占地原为煤矸石棚，占地面积约4000m</w:t>
            </w:r>
            <w:r>
              <w:rPr>
                <w:rFonts w:hint="eastAsia" w:cs="Times New Roman"/>
                <w:color w:val="000000" w:themeColor="text1"/>
                <w:spacing w:val="0"/>
                <w:sz w:val="24"/>
                <w:szCs w:val="20"/>
                <w:highlight w:val="none"/>
                <w:vertAlign w:val="superscript"/>
                <w:lang w:val="en-US" w:eastAsia="zh-CN"/>
                <w14:textFill>
                  <w14:solidFill>
                    <w14:schemeClr w14:val="tx1"/>
                  </w14:solidFill>
                </w14:textFill>
              </w:rPr>
              <w:t>2</w:t>
            </w:r>
            <w:r>
              <w:rPr>
                <w:rFonts w:hint="eastAsia" w:cs="Times New Roman"/>
                <w:color w:val="000000" w:themeColor="text1"/>
                <w:spacing w:val="0"/>
                <w:sz w:val="24"/>
                <w:szCs w:val="20"/>
                <w:highlight w:val="none"/>
                <w:lang w:val="en-US" w:eastAsia="zh-CN"/>
                <w14:textFill>
                  <w14:solidFill>
                    <w14:schemeClr w14:val="tx1"/>
                  </w14:solidFill>
                </w14:textFill>
              </w:rPr>
              <w:t>，本次环评拟拆除现有煤矸石棚和危废贮存库，并重新建设1座全封闭式钢结构生产车间，</w:t>
            </w:r>
            <w:r>
              <w:rPr>
                <w:rFonts w:hint="eastAsia" w:cs="Times New Roman"/>
                <w:color w:val="000000" w:themeColor="text1"/>
                <w:spacing w:val="0"/>
                <w:sz w:val="24"/>
                <w:szCs w:val="20"/>
                <w:highlight w:val="none"/>
                <w:vertAlign w:val="baseline"/>
                <w:lang w:val="en-US" w:eastAsia="zh-CN"/>
                <w14:textFill>
                  <w14:solidFill>
                    <w14:schemeClr w14:val="tx1"/>
                  </w14:solidFill>
                </w14:textFill>
              </w:rPr>
              <w:t>厂区西北侧2间库房改造成2座危废贮存点，1#危废贮存点为本项目使用，2#危废贮存点为富健达洗煤厂使用，</w:t>
            </w:r>
            <w:r>
              <w:rPr>
                <w:rFonts w:hint="eastAsia" w:cs="Times New Roman"/>
                <w:color w:val="000000" w:themeColor="text1"/>
                <w:spacing w:val="0"/>
                <w:sz w:val="24"/>
                <w:szCs w:val="20"/>
                <w:highlight w:val="none"/>
                <w:lang w:val="en-US" w:eastAsia="zh-CN"/>
                <w14:textFill>
                  <w14:solidFill>
                    <w14:schemeClr w14:val="tx1"/>
                  </w14:solidFill>
                </w14:textFill>
              </w:rPr>
              <w:t>厂区内</w:t>
            </w:r>
            <w:r>
              <w:rPr>
                <w:rFonts w:hint="eastAsia" w:cs="Times New Roman"/>
                <w:color w:val="000000" w:themeColor="text1"/>
                <w:spacing w:val="0"/>
                <w:sz w:val="24"/>
                <w:szCs w:val="20"/>
                <w:highlight w:val="none"/>
                <w:vertAlign w:val="baseline"/>
                <w:lang w:val="en-US" w:eastAsia="zh-CN"/>
                <w14:textFill>
                  <w14:solidFill>
                    <w14:schemeClr w14:val="tx1"/>
                  </w14:solidFill>
                </w14:textFill>
              </w:rPr>
              <w:t>其他构筑物均保留</w:t>
            </w:r>
            <w:r>
              <w:rPr>
                <w:rFonts w:hint="eastAsia" w:cs="Times New Roman"/>
                <w:color w:val="000000" w:themeColor="text1"/>
                <w:spacing w:val="0"/>
                <w:sz w:val="24"/>
                <w:szCs w:val="20"/>
                <w:highlight w:val="none"/>
                <w:lang w:val="en-US" w:eastAsia="zh-CN"/>
                <w14:textFill>
                  <w14:solidFill>
                    <w14:schemeClr w14:val="tx1"/>
                  </w14:solidFill>
                </w14:textFill>
              </w:rPr>
              <w:t>。</w:t>
            </w:r>
          </w:p>
          <w:p w14:paraId="27CDB57C">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cs="Times New Roman"/>
                <w:color w:val="000000" w:themeColor="text1"/>
                <w:spacing w:val="0"/>
                <w:sz w:val="24"/>
                <w:szCs w:val="20"/>
                <w:highlight w:val="none"/>
                <w:lang w:val="en-US" w:eastAsia="zh-CN"/>
                <w14:textFill>
                  <w14:solidFill>
                    <w14:schemeClr w14:val="tx1"/>
                  </w14:solidFill>
                </w14:textFill>
              </w:rPr>
            </w:pPr>
            <w:r>
              <w:rPr>
                <w:rFonts w:hint="eastAsia" w:cs="Times New Roman"/>
                <w:color w:val="000000" w:themeColor="text1"/>
                <w:spacing w:val="0"/>
                <w:sz w:val="24"/>
                <w:szCs w:val="20"/>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pacing w:val="0"/>
                <w:sz w:val="24"/>
                <w:szCs w:val="20"/>
                <w:highlight w:val="none"/>
                <w:lang w:val="en-US" w:eastAsia="zh-CN"/>
                <w14:textFill>
                  <w14:solidFill>
                    <w14:schemeClr w14:val="tx1"/>
                  </w14:solidFill>
                </w14:textFill>
              </w:rPr>
              <w:t>项目组成</w:t>
            </w:r>
            <w:r>
              <w:rPr>
                <w:rFonts w:hint="default" w:ascii="Times New Roman" w:hAnsi="Times New Roman" w:eastAsia="宋体" w:cs="Times New Roman"/>
                <w:color w:val="000000" w:themeColor="text1"/>
                <w:spacing w:val="0"/>
                <w:sz w:val="24"/>
                <w:szCs w:val="20"/>
                <w:highlight w:val="none"/>
                <w14:textFill>
                  <w14:solidFill>
                    <w14:schemeClr w14:val="tx1"/>
                  </w14:solidFill>
                </w14:textFill>
              </w:rPr>
              <w:t>内容见表</w:t>
            </w:r>
            <w:r>
              <w:rPr>
                <w:rFonts w:hint="default" w:ascii="Times New Roman" w:hAnsi="Times New Roman" w:eastAsia="宋体" w:cs="Times New Roman"/>
                <w:color w:val="000000" w:themeColor="text1"/>
                <w:spacing w:val="0"/>
                <w:sz w:val="24"/>
                <w:szCs w:val="20"/>
                <w:highlight w:val="none"/>
                <w:lang w:val="en-US" w:eastAsia="zh-CN"/>
                <w14:textFill>
                  <w14:solidFill>
                    <w14:schemeClr w14:val="tx1"/>
                  </w14:solidFill>
                </w14:textFill>
              </w:rPr>
              <w:t>2</w:t>
            </w:r>
            <w:r>
              <w:rPr>
                <w:rFonts w:hint="eastAsia" w:cs="Times New Roman"/>
                <w:color w:val="000000" w:themeColor="text1"/>
                <w:spacing w:val="0"/>
                <w:sz w:val="24"/>
                <w:szCs w:val="20"/>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4"/>
                <w:szCs w:val="20"/>
                <w:highlight w:val="none"/>
                <w14:textFill>
                  <w14:solidFill>
                    <w14:schemeClr w14:val="tx1"/>
                  </w14:solidFill>
                </w14:textFill>
              </w:rPr>
              <w:t>-1</w:t>
            </w:r>
            <w:r>
              <w:rPr>
                <w:rFonts w:hint="eastAsia" w:cs="Times New Roman"/>
                <w:color w:val="000000" w:themeColor="text1"/>
                <w:spacing w:val="0"/>
                <w:sz w:val="24"/>
                <w:szCs w:val="20"/>
                <w:highlight w:val="none"/>
                <w:lang w:eastAsia="zh-CN"/>
                <w14:textFill>
                  <w14:solidFill>
                    <w14:schemeClr w14:val="tx1"/>
                  </w14:solidFill>
                </w14:textFill>
              </w:rPr>
              <w:t>，</w:t>
            </w:r>
            <w:r>
              <w:rPr>
                <w:rFonts w:hint="eastAsia" w:cs="Times New Roman"/>
                <w:color w:val="000000" w:themeColor="text1"/>
                <w:spacing w:val="0"/>
                <w:sz w:val="24"/>
                <w:szCs w:val="20"/>
                <w:highlight w:val="none"/>
                <w:lang w:val="en-US" w:eastAsia="zh-CN"/>
                <w14:textFill>
                  <w14:solidFill>
                    <w14:schemeClr w14:val="tx1"/>
                  </w14:solidFill>
                </w14:textFill>
              </w:rPr>
              <w:t>依托工程见表2.1-2。</w:t>
            </w:r>
          </w:p>
          <w:p w14:paraId="1F49FE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baseline"/>
              <w:rPr>
                <w:rFonts w:hint="default" w:ascii="Times New Roman" w:hAnsi="Times New Roman" w:eastAsia="黑体" w:cs="Times New Roman"/>
                <w:iCs/>
                <w:snapToGrid w:val="0"/>
                <w:color w:val="000000" w:themeColor="text1"/>
                <w:spacing w:val="0"/>
                <w:kern w:val="0"/>
                <w:sz w:val="21"/>
                <w:szCs w:val="20"/>
                <w:highlight w:val="none"/>
                <w:lang w:val="en-US" w:eastAsia="zh-CN" w:bidi="ar-SA"/>
                <w14:textFill>
                  <w14:solidFill>
                    <w14:schemeClr w14:val="tx1"/>
                  </w14:solidFill>
                </w14:textFill>
              </w:rPr>
            </w:pPr>
            <w:r>
              <w:rPr>
                <w:rFonts w:hint="default" w:ascii="Times New Roman" w:hAnsi="Times New Roman" w:eastAsia="宋体" w:cs="Times New Roman"/>
                <w:b/>
                <w:bCs/>
                <w:iCs/>
                <w:snapToGrid w:val="0"/>
                <w:color w:val="000000" w:themeColor="text1"/>
                <w:spacing w:val="0"/>
                <w:kern w:val="0"/>
                <w:sz w:val="21"/>
                <w:szCs w:val="21"/>
                <w:highlight w:val="none"/>
                <w:lang w:val="en-US" w:eastAsia="zh-CN" w:bidi="ar-SA"/>
                <w14:textFill>
                  <w14:solidFill>
                    <w14:schemeClr w14:val="tx1"/>
                  </w14:solidFill>
                </w14:textFill>
              </w:rPr>
              <w:t>表2.</w:t>
            </w:r>
            <w:r>
              <w:rPr>
                <w:rFonts w:hint="eastAsia" w:cs="Times New Roman"/>
                <w:b/>
                <w:bCs/>
                <w:iCs/>
                <w:snapToGrid w:val="0"/>
                <w:color w:val="000000" w:themeColor="text1"/>
                <w:spacing w:val="0"/>
                <w:kern w:val="0"/>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b/>
                <w:bCs/>
                <w:iCs/>
                <w:snapToGrid w:val="0"/>
                <w:color w:val="000000" w:themeColor="text1"/>
                <w:spacing w:val="0"/>
                <w:kern w:val="0"/>
                <w:sz w:val="21"/>
                <w:szCs w:val="21"/>
                <w:highlight w:val="none"/>
                <w:lang w:val="en-US" w:eastAsia="zh-CN" w:bidi="ar-SA"/>
                <w14:textFill>
                  <w14:solidFill>
                    <w14:schemeClr w14:val="tx1"/>
                  </w14:solidFill>
                </w14:textFill>
              </w:rPr>
              <w:t>-1  工程主要建设内容一览表</w:t>
            </w:r>
          </w:p>
          <w:tbl>
            <w:tblPr>
              <w:tblStyle w:val="30"/>
              <w:tblW w:w="8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1"/>
              <w:gridCol w:w="450"/>
              <w:gridCol w:w="1092"/>
              <w:gridCol w:w="5388"/>
              <w:gridCol w:w="919"/>
            </w:tblGrid>
            <w:tr w14:paraId="22CA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1" w:type="dxa"/>
                  <w:gridSpan w:val="2"/>
                  <w:tcBorders>
                    <w:tl2br w:val="nil"/>
                    <w:tr2bl w:val="nil"/>
                  </w:tcBorders>
                  <w:vAlign w:val="center"/>
                </w:tcPr>
                <w:p w14:paraId="3E1D53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类别</w:t>
                  </w:r>
                </w:p>
              </w:tc>
              <w:tc>
                <w:tcPr>
                  <w:tcW w:w="1092" w:type="dxa"/>
                  <w:tcBorders>
                    <w:tl2br w:val="nil"/>
                    <w:tr2bl w:val="nil"/>
                  </w:tcBorders>
                  <w:vAlign w:val="center"/>
                </w:tcPr>
                <w:p w14:paraId="498ACA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项目</w:t>
                  </w:r>
                </w:p>
              </w:tc>
              <w:tc>
                <w:tcPr>
                  <w:tcW w:w="5388" w:type="dxa"/>
                  <w:tcBorders>
                    <w:tl2br w:val="nil"/>
                    <w:tr2bl w:val="nil"/>
                  </w:tcBorders>
                  <w:vAlign w:val="center"/>
                </w:tcPr>
                <w:p w14:paraId="4311BA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建设内容</w:t>
                  </w:r>
                </w:p>
              </w:tc>
              <w:tc>
                <w:tcPr>
                  <w:tcW w:w="919" w:type="dxa"/>
                  <w:tcBorders>
                    <w:tl2br w:val="nil"/>
                    <w:tr2bl w:val="nil"/>
                  </w:tcBorders>
                  <w:vAlign w:val="center"/>
                </w:tcPr>
                <w:p w14:paraId="5DBDCB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备注</w:t>
                  </w:r>
                </w:p>
              </w:tc>
            </w:tr>
            <w:tr w14:paraId="33BA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1" w:type="dxa"/>
                  <w:gridSpan w:val="2"/>
                  <w:tcBorders>
                    <w:tl2br w:val="nil"/>
                    <w:tr2bl w:val="nil"/>
                  </w:tcBorders>
                  <w:vAlign w:val="center"/>
                </w:tcPr>
                <w:p w14:paraId="227F5C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主体</w:t>
                  </w:r>
                </w:p>
                <w:p w14:paraId="21DCEB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工程</w:t>
                  </w:r>
                </w:p>
              </w:tc>
              <w:tc>
                <w:tcPr>
                  <w:tcW w:w="1092" w:type="dxa"/>
                  <w:tcBorders>
                    <w:tl2br w:val="nil"/>
                    <w:tr2bl w:val="nil"/>
                  </w:tcBorders>
                  <w:vAlign w:val="center"/>
                </w:tcPr>
                <w:p w14:paraId="26A3C4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生产车间</w:t>
                  </w:r>
                </w:p>
              </w:tc>
              <w:tc>
                <w:tcPr>
                  <w:tcW w:w="5388" w:type="dxa"/>
                  <w:tcBorders>
                    <w:tl2br w:val="nil"/>
                    <w:tr2bl w:val="nil"/>
                  </w:tcBorders>
                  <w:vAlign w:val="center"/>
                </w:tcPr>
                <w:p w14:paraId="309322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位于厂区北侧，占地面积6500</w:t>
                  </w:r>
                  <w:r>
                    <w:rPr>
                      <w:rFonts w:hint="default" w:ascii="Times New Roman" w:hAnsi="Times New Roman" w:cs="Times New Roman"/>
                      <w:color w:val="000000" w:themeColor="text1"/>
                      <w:spacing w:val="0"/>
                      <w:szCs w:val="21"/>
                      <w:highlight w:val="none"/>
                      <w14:textFill>
                        <w14:solidFill>
                          <w14:schemeClr w14:val="tx1"/>
                        </w14:solidFill>
                      </w14:textFill>
                    </w:rPr>
                    <w:t>m</w:t>
                  </w:r>
                  <w:r>
                    <w:rPr>
                      <w:rFonts w:hint="default" w:ascii="Times New Roman" w:hAnsi="Times New Roman" w:cs="Times New Roman"/>
                      <w:color w:val="000000" w:themeColor="text1"/>
                      <w:spacing w:val="0"/>
                      <w:szCs w:val="21"/>
                      <w:highlight w:val="none"/>
                      <w:vertAlign w:val="superscript"/>
                      <w14:textFill>
                        <w14:solidFill>
                          <w14:schemeClr w14:val="tx1"/>
                        </w14:solidFill>
                      </w14:textFill>
                    </w:rPr>
                    <w:t>2</w:t>
                  </w:r>
                  <w:r>
                    <w:rPr>
                      <w:rFonts w:hint="default" w:ascii="Times New Roman" w:hAnsi="Times New Roman" w:cs="Times New Roman"/>
                      <w:color w:val="000000" w:themeColor="text1"/>
                      <w:spacing w:val="0"/>
                      <w:kern w:val="0"/>
                      <w:szCs w:val="21"/>
                      <w:highlight w:val="none"/>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全封闭</w:t>
                  </w:r>
                  <w:r>
                    <w:rPr>
                      <w:rFonts w:hint="default"/>
                      <w:color w:val="000000" w:themeColor="text1"/>
                      <w:kern w:val="0"/>
                      <w:sz w:val="21"/>
                      <w:szCs w:val="21"/>
                      <w14:textFill>
                        <w14:solidFill>
                          <w14:schemeClr w14:val="tx1"/>
                        </w14:solidFill>
                      </w14:textFill>
                    </w:rPr>
                    <w:t>钢结构，</w:t>
                  </w:r>
                  <w:r>
                    <w:rPr>
                      <w:rFonts w:hint="eastAsia"/>
                      <w:color w:val="000000" w:themeColor="text1"/>
                      <w:kern w:val="0"/>
                      <w:sz w:val="21"/>
                      <w:szCs w:val="21"/>
                      <w:lang w:val="en-US" w:eastAsia="zh-CN"/>
                      <w14:textFill>
                        <w14:solidFill>
                          <w14:schemeClr w14:val="tx1"/>
                        </w14:solidFill>
                      </w14:textFill>
                    </w:rPr>
                    <w:t>地面硬化</w:t>
                  </w:r>
                  <w:r>
                    <w:rPr>
                      <w:rFonts w:hint="eastAsia"/>
                      <w:color w:val="000000" w:themeColor="text1"/>
                      <w:szCs w:val="21"/>
                      <w:lang w:eastAsia="zh-CN"/>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车间内设有1条年处理120万吨煤矸石生产线，配套设置1台</w:t>
                  </w:r>
                  <w:r>
                    <w:rPr>
                      <w:rFonts w:hint="default"/>
                      <w:color w:val="000000" w:themeColor="text1"/>
                      <w:kern w:val="0"/>
                      <w:sz w:val="21"/>
                      <w:szCs w:val="21"/>
                      <w14:textFill>
                        <w14:solidFill>
                          <w14:schemeClr w14:val="tx1"/>
                        </w14:solidFill>
                      </w14:textFill>
                    </w:rPr>
                    <w:t>给料机、</w:t>
                  </w:r>
                  <w:r>
                    <w:rPr>
                      <w:rFonts w:hint="eastAsia"/>
                      <w:color w:val="000000" w:themeColor="text1"/>
                      <w:kern w:val="0"/>
                      <w:sz w:val="21"/>
                      <w:szCs w:val="21"/>
                      <w:lang w:val="en-US" w:eastAsia="zh-CN"/>
                      <w14:textFill>
                        <w14:solidFill>
                          <w14:schemeClr w14:val="tx1"/>
                        </w14:solidFill>
                      </w14:textFill>
                    </w:rPr>
                    <w:t>1台颚式破碎机、2台双级破碎机、2台</w:t>
                  </w:r>
                  <w:r>
                    <w:rPr>
                      <w:rFonts w:hint="eastAsia"/>
                      <w:color w:val="000000" w:themeColor="text1"/>
                      <w:kern w:val="0"/>
                      <w:sz w:val="21"/>
                      <w:szCs w:val="21"/>
                      <w:lang w:eastAsia="zh-CN"/>
                      <w14:textFill>
                        <w14:solidFill>
                          <w14:schemeClr w14:val="tx1"/>
                        </w14:solidFill>
                      </w14:textFill>
                    </w:rPr>
                    <w:t>筛分机</w:t>
                  </w:r>
                  <w:r>
                    <w:rPr>
                      <w:rFonts w:hint="eastAsia"/>
                      <w:color w:val="000000" w:themeColor="text1"/>
                      <w:kern w:val="0"/>
                      <w:sz w:val="21"/>
                      <w:szCs w:val="21"/>
                      <w:lang w:val="en-US" w:eastAsia="zh-CN"/>
                      <w14:textFill>
                        <w14:solidFill>
                          <w14:schemeClr w14:val="tx1"/>
                        </w14:solidFill>
                      </w14:textFill>
                    </w:rPr>
                    <w:t>及全封闭皮带输送机</w:t>
                  </w:r>
                </w:p>
              </w:tc>
              <w:tc>
                <w:tcPr>
                  <w:tcW w:w="919" w:type="dxa"/>
                  <w:tcBorders>
                    <w:tl2br w:val="nil"/>
                    <w:tr2bl w:val="nil"/>
                  </w:tcBorders>
                  <w:vAlign w:val="center"/>
                </w:tcPr>
                <w:p w14:paraId="2C1270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新建</w:t>
                  </w:r>
                </w:p>
              </w:tc>
            </w:tr>
            <w:tr w14:paraId="68DE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1" w:type="dxa"/>
                  <w:gridSpan w:val="2"/>
                  <w:vMerge w:val="restart"/>
                  <w:tcBorders>
                    <w:tl2br w:val="nil"/>
                    <w:tr2bl w:val="nil"/>
                  </w:tcBorders>
                  <w:vAlign w:val="center"/>
                </w:tcPr>
                <w:p w14:paraId="555575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储运</w:t>
                  </w:r>
                </w:p>
                <w:p w14:paraId="0573C4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工程</w:t>
                  </w:r>
                </w:p>
              </w:tc>
              <w:tc>
                <w:tcPr>
                  <w:tcW w:w="1092" w:type="dxa"/>
                  <w:tcBorders>
                    <w:tl2br w:val="nil"/>
                    <w:tr2bl w:val="nil"/>
                  </w:tcBorders>
                  <w:vAlign w:val="center"/>
                </w:tcPr>
                <w:p w14:paraId="14D478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原料堆放区</w:t>
                  </w:r>
                </w:p>
              </w:tc>
              <w:tc>
                <w:tcPr>
                  <w:tcW w:w="5388" w:type="dxa"/>
                  <w:tcBorders>
                    <w:tl2br w:val="nil"/>
                    <w:tr2bl w:val="nil"/>
                  </w:tcBorders>
                  <w:vAlign w:val="center"/>
                </w:tcPr>
                <w:p w14:paraId="712640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eastAsia="宋体" w:cs="Times New Roman"/>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位于全封闭生产车间内东侧，占地面积约2800</w:t>
                  </w:r>
                  <w:r>
                    <w:rPr>
                      <w:rFonts w:hint="default" w:ascii="Times New Roman" w:hAnsi="Times New Roman" w:cs="Times New Roman"/>
                      <w:color w:val="000000" w:themeColor="text1"/>
                      <w:spacing w:val="0"/>
                      <w:szCs w:val="21"/>
                      <w:highlight w:val="none"/>
                      <w14:textFill>
                        <w14:solidFill>
                          <w14:schemeClr w14:val="tx1"/>
                        </w14:solidFill>
                      </w14:textFill>
                    </w:rPr>
                    <w:t>m</w:t>
                  </w:r>
                  <w:r>
                    <w:rPr>
                      <w:rFonts w:hint="default" w:ascii="Times New Roman" w:hAnsi="Times New Roman" w:cs="Times New Roman"/>
                      <w:color w:val="000000" w:themeColor="text1"/>
                      <w:spacing w:val="0"/>
                      <w:szCs w:val="21"/>
                      <w:highlight w:val="none"/>
                      <w:vertAlign w:val="superscript"/>
                      <w14:textFill>
                        <w14:solidFill>
                          <w14:schemeClr w14:val="tx1"/>
                        </w14:solidFill>
                      </w14:textFill>
                    </w:rPr>
                    <w:t>2</w:t>
                  </w:r>
                  <w:r>
                    <w:rPr>
                      <w:rFonts w:hint="default" w:ascii="Times New Roman" w:hAnsi="Times New Roman" w:cs="Times New Roman"/>
                      <w:color w:val="000000" w:themeColor="text1"/>
                      <w:spacing w:val="0"/>
                      <w:kern w:val="0"/>
                      <w:szCs w:val="21"/>
                      <w:highlight w:val="none"/>
                      <w14:textFill>
                        <w14:solidFill>
                          <w14:schemeClr w14:val="tx1"/>
                        </w14:solidFill>
                      </w14:textFill>
                    </w:rPr>
                    <w:t>，</w:t>
                  </w:r>
                  <w:r>
                    <w:rPr>
                      <w:rFonts w:hint="eastAsia" w:cs="Times New Roman"/>
                      <w:color w:val="000000" w:themeColor="text1"/>
                      <w:spacing w:val="0"/>
                      <w:kern w:val="0"/>
                      <w:szCs w:val="21"/>
                      <w:highlight w:val="none"/>
                      <w:lang w:val="en-US" w:eastAsia="zh-CN"/>
                      <w14:textFill>
                        <w14:solidFill>
                          <w14:schemeClr w14:val="tx1"/>
                        </w14:solidFill>
                      </w14:textFill>
                    </w:rPr>
                    <w:t>用于煤矸石的堆放，堆放区顶部设置喷雾洒水抑尘装置，</w:t>
                  </w:r>
                  <w:r>
                    <w:rPr>
                      <w:rFonts w:hint="eastAsia"/>
                      <w:color w:val="000000" w:themeColor="text1"/>
                      <w:kern w:val="0"/>
                      <w:sz w:val="21"/>
                      <w:szCs w:val="21"/>
                      <w:lang w:val="en-US" w:eastAsia="zh-CN"/>
                      <w14:textFill>
                        <w14:solidFill>
                          <w14:schemeClr w14:val="tx1"/>
                        </w14:solidFill>
                      </w14:textFill>
                    </w:rPr>
                    <w:t>地面硬化</w:t>
                  </w:r>
                </w:p>
              </w:tc>
              <w:tc>
                <w:tcPr>
                  <w:tcW w:w="919" w:type="dxa"/>
                  <w:tcBorders>
                    <w:tl2br w:val="nil"/>
                    <w:tr2bl w:val="nil"/>
                  </w:tcBorders>
                  <w:vAlign w:val="center"/>
                </w:tcPr>
                <w:p w14:paraId="286A8E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新建</w:t>
                  </w:r>
                </w:p>
              </w:tc>
            </w:tr>
            <w:tr w14:paraId="5BE6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1" w:type="dxa"/>
                  <w:gridSpan w:val="2"/>
                  <w:vMerge w:val="continue"/>
                  <w:tcBorders>
                    <w:tl2br w:val="nil"/>
                    <w:tr2bl w:val="nil"/>
                  </w:tcBorders>
                  <w:vAlign w:val="center"/>
                </w:tcPr>
                <w:p w14:paraId="2DD1BC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1092" w:type="dxa"/>
                  <w:tcBorders>
                    <w:tl2br w:val="nil"/>
                    <w:tr2bl w:val="nil"/>
                  </w:tcBorders>
                  <w:vAlign w:val="center"/>
                </w:tcPr>
                <w:p w14:paraId="5B164C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成品堆放区</w:t>
                  </w:r>
                </w:p>
              </w:tc>
              <w:tc>
                <w:tcPr>
                  <w:tcW w:w="5388" w:type="dxa"/>
                  <w:tcBorders>
                    <w:tl2br w:val="nil"/>
                    <w:tr2bl w:val="nil"/>
                  </w:tcBorders>
                  <w:vAlign w:val="center"/>
                </w:tcPr>
                <w:p w14:paraId="1ED315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位于生产车间内西侧，占地面积约2700</w:t>
                  </w:r>
                  <w:r>
                    <w:rPr>
                      <w:rFonts w:hint="default" w:ascii="Times New Roman" w:hAnsi="Times New Roman" w:cs="Times New Roman"/>
                      <w:color w:val="000000" w:themeColor="text1"/>
                      <w:spacing w:val="0"/>
                      <w:szCs w:val="21"/>
                      <w:highlight w:val="none"/>
                      <w14:textFill>
                        <w14:solidFill>
                          <w14:schemeClr w14:val="tx1"/>
                        </w14:solidFill>
                      </w14:textFill>
                    </w:rPr>
                    <w:t>m</w:t>
                  </w:r>
                  <w:r>
                    <w:rPr>
                      <w:rFonts w:hint="default" w:ascii="Times New Roman" w:hAnsi="Times New Roman" w:cs="Times New Roman"/>
                      <w:color w:val="000000" w:themeColor="text1"/>
                      <w:spacing w:val="0"/>
                      <w:szCs w:val="21"/>
                      <w:highlight w:val="none"/>
                      <w:vertAlign w:val="superscript"/>
                      <w14:textFill>
                        <w14:solidFill>
                          <w14:schemeClr w14:val="tx1"/>
                        </w14:solidFill>
                      </w14:textFill>
                    </w:rPr>
                    <w:t>2</w:t>
                  </w:r>
                  <w:r>
                    <w:rPr>
                      <w:rFonts w:hint="default" w:ascii="Times New Roman" w:hAnsi="Times New Roman" w:cs="Times New Roman"/>
                      <w:color w:val="000000" w:themeColor="text1"/>
                      <w:spacing w:val="0"/>
                      <w:kern w:val="0"/>
                      <w:szCs w:val="21"/>
                      <w:highlight w:val="none"/>
                      <w14:textFill>
                        <w14:solidFill>
                          <w14:schemeClr w14:val="tx1"/>
                        </w14:solidFill>
                      </w14:textFill>
                    </w:rPr>
                    <w:t>，</w:t>
                  </w:r>
                  <w:r>
                    <w:rPr>
                      <w:rFonts w:hint="eastAsia" w:cs="Times New Roman"/>
                      <w:color w:val="000000" w:themeColor="text1"/>
                      <w:spacing w:val="0"/>
                      <w:kern w:val="0"/>
                      <w:szCs w:val="21"/>
                      <w:highlight w:val="none"/>
                      <w:lang w:val="en-US" w:eastAsia="zh-CN"/>
                      <w14:textFill>
                        <w14:solidFill>
                          <w14:schemeClr w14:val="tx1"/>
                        </w14:solidFill>
                      </w14:textFill>
                    </w:rPr>
                    <w:t>用于机制砂的堆放，堆放区顶部设置喷雾洒水抑尘装置，</w:t>
                  </w:r>
                  <w:r>
                    <w:rPr>
                      <w:rFonts w:hint="eastAsia"/>
                      <w:color w:val="000000" w:themeColor="text1"/>
                      <w:kern w:val="0"/>
                      <w:sz w:val="21"/>
                      <w:szCs w:val="21"/>
                      <w:lang w:val="en-US" w:eastAsia="zh-CN"/>
                      <w14:textFill>
                        <w14:solidFill>
                          <w14:schemeClr w14:val="tx1"/>
                        </w14:solidFill>
                      </w14:textFill>
                    </w:rPr>
                    <w:t>地面硬化</w:t>
                  </w:r>
                </w:p>
              </w:tc>
              <w:tc>
                <w:tcPr>
                  <w:tcW w:w="919" w:type="dxa"/>
                  <w:tcBorders>
                    <w:tl2br w:val="nil"/>
                    <w:tr2bl w:val="nil"/>
                  </w:tcBorders>
                  <w:vAlign w:val="center"/>
                </w:tcPr>
                <w:p w14:paraId="401ED2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新建</w:t>
                  </w:r>
                </w:p>
              </w:tc>
            </w:tr>
            <w:tr w14:paraId="4423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1" w:type="dxa"/>
                  <w:gridSpan w:val="2"/>
                  <w:vMerge w:val="restart"/>
                  <w:tcBorders>
                    <w:tl2br w:val="nil"/>
                    <w:tr2bl w:val="nil"/>
                  </w:tcBorders>
                  <w:vAlign w:val="center"/>
                </w:tcPr>
                <w:p w14:paraId="656B4B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辅助</w:t>
                  </w:r>
                </w:p>
                <w:p w14:paraId="25993A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工程</w:t>
                  </w:r>
                </w:p>
              </w:tc>
              <w:tc>
                <w:tcPr>
                  <w:tcW w:w="1092" w:type="dxa"/>
                  <w:tcBorders>
                    <w:tl2br w:val="nil"/>
                    <w:tr2bl w:val="nil"/>
                  </w:tcBorders>
                  <w:vAlign w:val="center"/>
                </w:tcPr>
                <w:p w14:paraId="4787CE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办公区</w:t>
                  </w:r>
                </w:p>
              </w:tc>
              <w:tc>
                <w:tcPr>
                  <w:tcW w:w="5388" w:type="dxa"/>
                  <w:tcBorders>
                    <w:tl2br w:val="nil"/>
                    <w:tr2bl w:val="nil"/>
                  </w:tcBorders>
                  <w:vAlign w:val="center"/>
                </w:tcPr>
                <w:p w14:paraId="7FCFF5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利用现有厂区西北侧的办公区，占地面积350</w:t>
                  </w:r>
                  <w:r>
                    <w:rPr>
                      <w:rFonts w:hint="default" w:ascii="Times New Roman" w:hAnsi="Times New Roman" w:cs="Times New Roman"/>
                      <w:color w:val="000000" w:themeColor="text1"/>
                      <w:spacing w:val="0"/>
                      <w:szCs w:val="21"/>
                      <w:highlight w:val="none"/>
                      <w14:textFill>
                        <w14:solidFill>
                          <w14:schemeClr w14:val="tx1"/>
                        </w14:solidFill>
                      </w14:textFill>
                    </w:rPr>
                    <w:t>m</w:t>
                  </w:r>
                  <w:r>
                    <w:rPr>
                      <w:rFonts w:hint="default" w:ascii="Times New Roman" w:hAnsi="Times New Roman" w:cs="Times New Roman"/>
                      <w:color w:val="000000" w:themeColor="text1"/>
                      <w:spacing w:val="0"/>
                      <w:szCs w:val="21"/>
                      <w:highlight w:val="none"/>
                      <w:vertAlign w:val="superscript"/>
                      <w14:textFill>
                        <w14:solidFill>
                          <w14:schemeClr w14:val="tx1"/>
                        </w14:solidFill>
                      </w14:textFill>
                    </w:rPr>
                    <w:t>2</w:t>
                  </w:r>
                </w:p>
              </w:tc>
              <w:tc>
                <w:tcPr>
                  <w:tcW w:w="919" w:type="dxa"/>
                  <w:tcBorders>
                    <w:tl2br w:val="nil"/>
                    <w:tr2bl w:val="nil"/>
                  </w:tcBorders>
                  <w:vAlign w:val="center"/>
                </w:tcPr>
                <w:p w14:paraId="234C4E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依托</w:t>
                  </w:r>
                </w:p>
                <w:p w14:paraId="600EE7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现有</w:t>
                  </w:r>
                </w:p>
              </w:tc>
            </w:tr>
            <w:tr w14:paraId="5520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1" w:type="dxa"/>
                  <w:gridSpan w:val="2"/>
                  <w:vMerge w:val="continue"/>
                  <w:tcBorders>
                    <w:tl2br w:val="nil"/>
                    <w:tr2bl w:val="nil"/>
                  </w:tcBorders>
                  <w:vAlign w:val="center"/>
                </w:tcPr>
                <w:p w14:paraId="0CE9F2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1092" w:type="dxa"/>
                  <w:tcBorders>
                    <w:tl2br w:val="nil"/>
                    <w:tr2bl w:val="nil"/>
                  </w:tcBorders>
                  <w:vAlign w:val="center"/>
                </w:tcPr>
                <w:p w14:paraId="2DA4D6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地磅</w:t>
                  </w:r>
                </w:p>
              </w:tc>
              <w:tc>
                <w:tcPr>
                  <w:tcW w:w="5388" w:type="dxa"/>
                  <w:tcBorders>
                    <w:tl2br w:val="nil"/>
                    <w:tr2bl w:val="nil"/>
                  </w:tcBorders>
                  <w:vAlign w:val="center"/>
                </w:tcPr>
                <w:p w14:paraId="173041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利用现有厂区西侧出入口的地磅</w:t>
                  </w:r>
                </w:p>
              </w:tc>
              <w:tc>
                <w:tcPr>
                  <w:tcW w:w="919" w:type="dxa"/>
                  <w:tcBorders>
                    <w:tl2br w:val="nil"/>
                    <w:tr2bl w:val="nil"/>
                  </w:tcBorders>
                  <w:vAlign w:val="center"/>
                </w:tcPr>
                <w:p w14:paraId="29B347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依托现有</w:t>
                  </w:r>
                </w:p>
              </w:tc>
            </w:tr>
            <w:tr w14:paraId="76F47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1" w:type="dxa"/>
                  <w:gridSpan w:val="2"/>
                  <w:vMerge w:val="continue"/>
                  <w:tcBorders>
                    <w:tl2br w:val="nil"/>
                    <w:tr2bl w:val="nil"/>
                  </w:tcBorders>
                  <w:vAlign w:val="center"/>
                </w:tcPr>
                <w:p w14:paraId="472107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1092" w:type="dxa"/>
                  <w:tcBorders>
                    <w:tl2br w:val="nil"/>
                    <w:tr2bl w:val="nil"/>
                  </w:tcBorders>
                  <w:vAlign w:val="center"/>
                </w:tcPr>
                <w:p w14:paraId="15AD5C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洗车平台</w:t>
                  </w:r>
                </w:p>
              </w:tc>
              <w:tc>
                <w:tcPr>
                  <w:tcW w:w="5388" w:type="dxa"/>
                  <w:tcBorders>
                    <w:tl2br w:val="nil"/>
                    <w:tr2bl w:val="nil"/>
                  </w:tcBorders>
                  <w:vAlign w:val="center"/>
                </w:tcPr>
                <w:p w14:paraId="25BEEA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厂区西侧出入口处设有1座</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全自动洗车平台，具有保温、烘干功能，平台两侧内壁及底部设高压喷淋水喷头，清洗水压高于1.0MPa，单台车辆冲洗时间不低于100s；并配套设置1座容积为20m</w:t>
                  </w:r>
                  <w:r>
                    <w:rPr>
                      <w:rFonts w:hint="eastAsia" w:ascii="Times New Roman" w:hAnsi="Times New Roman" w:eastAsia="宋体" w:cs="Times New Roman"/>
                      <w:color w:val="000000" w:themeColor="text1"/>
                      <w:spacing w:val="0"/>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的洗车废水沉淀池（10m</w:t>
                  </w:r>
                  <w:r>
                    <w:rPr>
                      <w:rFonts w:hint="eastAsia" w:ascii="Times New Roman" w:hAnsi="Times New Roman" w:eastAsia="宋体" w:cs="Times New Roman"/>
                      <w:color w:val="000000" w:themeColor="text1"/>
                      <w:spacing w:val="0"/>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收集池+5m</w:t>
                  </w:r>
                  <w:r>
                    <w:rPr>
                      <w:rFonts w:hint="eastAsia" w:ascii="Times New Roman" w:hAnsi="Times New Roman" w:eastAsia="宋体" w:cs="Times New Roman"/>
                      <w:color w:val="000000" w:themeColor="text1"/>
                      <w:spacing w:val="0"/>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沉淀池+5m</w:t>
                  </w:r>
                  <w:r>
                    <w:rPr>
                      <w:rFonts w:hint="eastAsia" w:ascii="Times New Roman" w:hAnsi="Times New Roman" w:eastAsia="宋体" w:cs="Times New Roman"/>
                      <w:color w:val="000000" w:themeColor="text1"/>
                      <w:spacing w:val="0"/>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清水池）</w:t>
                  </w:r>
                  <w:r>
                    <w:rPr>
                      <w:rFonts w:hint="eastAsia" w:cs="Times New Roman"/>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水池之间有溢流口相连。洗车台前设有抖车台并配套建设有站房设置吹干装置（冬季采用热风，热源为电加热）保证冰冻季节正常使用</w:t>
                  </w:r>
                </w:p>
              </w:tc>
              <w:tc>
                <w:tcPr>
                  <w:tcW w:w="919" w:type="dxa"/>
                  <w:tcBorders>
                    <w:tl2br w:val="nil"/>
                    <w:tr2bl w:val="nil"/>
                  </w:tcBorders>
                  <w:vAlign w:val="center"/>
                </w:tcPr>
                <w:p w14:paraId="1FE1EA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依托现有</w:t>
                  </w:r>
                </w:p>
              </w:tc>
            </w:tr>
            <w:tr w14:paraId="009C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1" w:type="dxa"/>
                  <w:gridSpan w:val="2"/>
                  <w:vMerge w:val="restart"/>
                  <w:tcBorders>
                    <w:tl2br w:val="nil"/>
                    <w:tr2bl w:val="nil"/>
                  </w:tcBorders>
                  <w:vAlign w:val="center"/>
                </w:tcPr>
                <w:p w14:paraId="78CCDC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公用</w:t>
                  </w:r>
                </w:p>
                <w:p w14:paraId="7C13EC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工程</w:t>
                  </w:r>
                </w:p>
              </w:tc>
              <w:tc>
                <w:tcPr>
                  <w:tcW w:w="1092" w:type="dxa"/>
                  <w:tcBorders>
                    <w:tl2br w:val="nil"/>
                    <w:tr2bl w:val="nil"/>
                  </w:tcBorders>
                  <w:vAlign w:val="center"/>
                </w:tcPr>
                <w:p w14:paraId="0EA7E3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供水</w:t>
                  </w:r>
                </w:p>
              </w:tc>
              <w:tc>
                <w:tcPr>
                  <w:tcW w:w="5388" w:type="dxa"/>
                  <w:tcBorders>
                    <w:tl2br w:val="nil"/>
                    <w:tr2bl w:val="nil"/>
                  </w:tcBorders>
                  <w:vAlign w:val="center"/>
                </w:tcPr>
                <w:p w14:paraId="5E0AE6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由厂区自备水井提供</w:t>
                  </w:r>
                </w:p>
              </w:tc>
              <w:tc>
                <w:tcPr>
                  <w:tcW w:w="919" w:type="dxa"/>
                  <w:tcBorders>
                    <w:tl2br w:val="nil"/>
                    <w:tr2bl w:val="nil"/>
                  </w:tcBorders>
                  <w:vAlign w:val="center"/>
                </w:tcPr>
                <w:p w14:paraId="610234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依托现有</w:t>
                  </w:r>
                </w:p>
              </w:tc>
            </w:tr>
            <w:tr w14:paraId="3DBE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1" w:type="dxa"/>
                  <w:gridSpan w:val="2"/>
                  <w:vMerge w:val="continue"/>
                  <w:tcBorders>
                    <w:tl2br w:val="nil"/>
                    <w:tr2bl w:val="nil"/>
                  </w:tcBorders>
                  <w:vAlign w:val="center"/>
                </w:tcPr>
                <w:p w14:paraId="03AF06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092" w:type="dxa"/>
                  <w:tcBorders>
                    <w:tl2br w:val="nil"/>
                    <w:tr2bl w:val="nil"/>
                  </w:tcBorders>
                  <w:vAlign w:val="center"/>
                </w:tcPr>
                <w:p w14:paraId="5E8D7D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供电</w:t>
                  </w:r>
                </w:p>
              </w:tc>
              <w:tc>
                <w:tcPr>
                  <w:tcW w:w="5388" w:type="dxa"/>
                  <w:tcBorders>
                    <w:tl2br w:val="nil"/>
                    <w:tr2bl w:val="nil"/>
                  </w:tcBorders>
                  <w:vAlign w:val="center"/>
                </w:tcPr>
                <w:p w14:paraId="2EC805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新建</w:t>
                  </w: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1台</w:t>
                  </w:r>
                  <w:r>
                    <w:rPr>
                      <w:rFonts w:hint="eastAsia" w:cs="Times New Roman"/>
                      <w:color w:val="000000" w:themeColor="text1"/>
                      <w:spacing w:val="0"/>
                      <w:kern w:val="2"/>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00KVA变压器</w:t>
                  </w:r>
                </w:p>
              </w:tc>
              <w:tc>
                <w:tcPr>
                  <w:tcW w:w="919" w:type="dxa"/>
                  <w:tcBorders>
                    <w:tl2br w:val="nil"/>
                    <w:tr2bl w:val="nil"/>
                  </w:tcBorders>
                  <w:vAlign w:val="center"/>
                </w:tcPr>
                <w:p w14:paraId="16306D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新建</w:t>
                  </w:r>
                </w:p>
              </w:tc>
            </w:tr>
            <w:tr w14:paraId="5FB6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1" w:type="dxa"/>
                  <w:gridSpan w:val="2"/>
                  <w:vMerge w:val="continue"/>
                  <w:tcBorders>
                    <w:tl2br w:val="nil"/>
                    <w:tr2bl w:val="nil"/>
                  </w:tcBorders>
                  <w:vAlign w:val="center"/>
                </w:tcPr>
                <w:p w14:paraId="3E1547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092" w:type="dxa"/>
                  <w:tcBorders>
                    <w:tl2br w:val="nil"/>
                    <w:tr2bl w:val="nil"/>
                  </w:tcBorders>
                  <w:vAlign w:val="center"/>
                </w:tcPr>
                <w:p w14:paraId="5AC3BB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供</w:t>
                  </w:r>
                  <w:r>
                    <w:rPr>
                      <w:rFonts w:hint="eastAsia" w:cs="Times New Roman"/>
                      <w:color w:val="000000" w:themeColor="text1"/>
                      <w:spacing w:val="0"/>
                      <w:sz w:val="21"/>
                      <w:szCs w:val="21"/>
                      <w:highlight w:val="none"/>
                      <w:lang w:val="en-US" w:eastAsia="zh-CN"/>
                      <w14:textFill>
                        <w14:solidFill>
                          <w14:schemeClr w14:val="tx1"/>
                        </w14:solidFill>
                      </w14:textFill>
                    </w:rPr>
                    <w:t>暖</w:t>
                  </w:r>
                </w:p>
              </w:tc>
              <w:tc>
                <w:tcPr>
                  <w:tcW w:w="5388" w:type="dxa"/>
                  <w:tcBorders>
                    <w:tl2br w:val="nil"/>
                    <w:tr2bl w:val="nil"/>
                  </w:tcBorders>
                  <w:vAlign w:val="center"/>
                </w:tcPr>
                <w:p w14:paraId="3C996A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生产区冬季不采暖，生活区采暖使用电采暖</w:t>
                  </w:r>
                </w:p>
              </w:tc>
              <w:tc>
                <w:tcPr>
                  <w:tcW w:w="919" w:type="dxa"/>
                  <w:tcBorders>
                    <w:tl2br w:val="nil"/>
                    <w:tr2bl w:val="nil"/>
                  </w:tcBorders>
                  <w:vAlign w:val="center"/>
                </w:tcPr>
                <w:p w14:paraId="299469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依托现有</w:t>
                  </w:r>
                </w:p>
              </w:tc>
            </w:tr>
            <w:tr w14:paraId="6B8A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1" w:type="dxa"/>
                  <w:vMerge w:val="restart"/>
                  <w:tcBorders>
                    <w:tl2br w:val="nil"/>
                    <w:tr2bl w:val="nil"/>
                  </w:tcBorders>
                  <w:vAlign w:val="center"/>
                </w:tcPr>
                <w:p w14:paraId="314AEDD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环保</w:t>
                  </w:r>
                </w:p>
                <w:p w14:paraId="27799C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工程</w:t>
                  </w:r>
                </w:p>
              </w:tc>
              <w:tc>
                <w:tcPr>
                  <w:tcW w:w="450" w:type="dxa"/>
                  <w:vMerge w:val="restart"/>
                  <w:tcBorders>
                    <w:tl2br w:val="nil"/>
                    <w:tr2bl w:val="nil"/>
                  </w:tcBorders>
                  <w:vAlign w:val="center"/>
                </w:tcPr>
                <w:p w14:paraId="1623C4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废气</w:t>
                  </w:r>
                </w:p>
              </w:tc>
              <w:tc>
                <w:tcPr>
                  <w:tcW w:w="1092" w:type="dxa"/>
                  <w:tcBorders>
                    <w:tl2br w:val="nil"/>
                    <w:tr2bl w:val="nil"/>
                  </w:tcBorders>
                  <w:shd w:val="clear" w:color="auto" w:fill="auto"/>
                  <w:vAlign w:val="center"/>
                </w:tcPr>
                <w:p w14:paraId="6F5662C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道路</w:t>
                  </w:r>
                  <w:r>
                    <w:rPr>
                      <w:rFonts w:hint="default"/>
                      <w:color w:val="000000" w:themeColor="text1"/>
                      <w:sz w:val="21"/>
                      <w:szCs w:val="21"/>
                      <w:highlight w:val="none"/>
                      <w14:textFill>
                        <w14:solidFill>
                          <w14:schemeClr w14:val="tx1"/>
                        </w14:solidFill>
                      </w14:textFill>
                    </w:rPr>
                    <w:t>运输</w:t>
                  </w:r>
                  <w:r>
                    <w:rPr>
                      <w:rFonts w:hint="eastAsia"/>
                      <w:color w:val="000000" w:themeColor="text1"/>
                      <w:sz w:val="21"/>
                      <w:szCs w:val="21"/>
                      <w:highlight w:val="none"/>
                      <w:lang w:val="en-US" w:eastAsia="zh-CN"/>
                      <w14:textFill>
                        <w14:solidFill>
                          <w14:schemeClr w14:val="tx1"/>
                        </w14:solidFill>
                      </w14:textFill>
                    </w:rPr>
                    <w:t>废气</w:t>
                  </w:r>
                </w:p>
              </w:tc>
              <w:tc>
                <w:tcPr>
                  <w:tcW w:w="5388" w:type="dxa"/>
                  <w:tcBorders>
                    <w:tl2br w:val="nil"/>
                    <w:tr2bl w:val="nil"/>
                  </w:tcBorders>
                  <w:shd w:val="clear" w:color="auto" w:fill="auto"/>
                  <w:vAlign w:val="center"/>
                </w:tcPr>
                <w:p w14:paraId="1A71AD6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依托</w:t>
                  </w:r>
                  <w:r>
                    <w:rPr>
                      <w:rFonts w:hint="default"/>
                      <w:color w:val="000000" w:themeColor="text1"/>
                      <w:sz w:val="21"/>
                      <w:szCs w:val="21"/>
                      <w:highlight w:val="none"/>
                      <w14:textFill>
                        <w14:solidFill>
                          <w14:schemeClr w14:val="tx1"/>
                        </w14:solidFill>
                      </w14:textFill>
                    </w:rPr>
                    <w:t>厂区</w:t>
                  </w:r>
                  <w:r>
                    <w:rPr>
                      <w:rFonts w:hint="eastAsia"/>
                      <w:color w:val="000000" w:themeColor="text1"/>
                      <w:sz w:val="21"/>
                      <w:szCs w:val="21"/>
                      <w:highlight w:val="none"/>
                      <w:lang w:val="en-US" w:eastAsia="zh-CN"/>
                      <w14:textFill>
                        <w14:solidFill>
                          <w14:schemeClr w14:val="tx1"/>
                        </w14:solidFill>
                      </w14:textFill>
                    </w:rPr>
                    <w:t>西侧</w:t>
                  </w:r>
                  <w:r>
                    <w:rPr>
                      <w:rFonts w:hint="default"/>
                      <w:color w:val="000000" w:themeColor="text1"/>
                      <w:sz w:val="21"/>
                      <w:szCs w:val="21"/>
                      <w:highlight w:val="none"/>
                      <w14:textFill>
                        <w14:solidFill>
                          <w14:schemeClr w14:val="tx1"/>
                        </w14:solidFill>
                      </w14:textFill>
                    </w:rPr>
                    <w:t>出入口</w:t>
                  </w:r>
                  <w:r>
                    <w:rPr>
                      <w:rFonts w:hint="eastAsia"/>
                      <w:color w:val="000000" w:themeColor="text1"/>
                      <w:spacing w:val="6"/>
                      <w:sz w:val="21"/>
                      <w:szCs w:val="21"/>
                      <w:highlight w:val="none"/>
                      <w:lang w:val="en-US" w:eastAsia="zh-CN"/>
                      <w14:textFill>
                        <w14:solidFill>
                          <w14:schemeClr w14:val="tx1"/>
                        </w14:solidFill>
                      </w14:textFill>
                    </w:rPr>
                    <w:t>现有</w:t>
                  </w:r>
                  <w:r>
                    <w:rPr>
                      <w:rFonts w:hint="default"/>
                      <w:color w:val="000000" w:themeColor="text1"/>
                      <w:spacing w:val="6"/>
                      <w:sz w:val="21"/>
                      <w:szCs w:val="21"/>
                      <w:highlight w:val="none"/>
                      <w14:textFill>
                        <w14:solidFill>
                          <w14:schemeClr w14:val="tx1"/>
                        </w14:solidFill>
                      </w14:textFill>
                    </w:rPr>
                    <w:t>洗车平台，对进出车辆进行冲洗，路面定时洒水抑尘，定期对道路清理，保持清洁，在运输过程中要求运输车辆采用封闭厢式车运输，</w:t>
                  </w:r>
                  <w:r>
                    <w:rPr>
                      <w:rFonts w:hint="eastAsia"/>
                      <w:color w:val="000000" w:themeColor="text1"/>
                      <w:spacing w:val="6"/>
                      <w:sz w:val="21"/>
                      <w:szCs w:val="21"/>
                      <w:highlight w:val="none"/>
                      <w:lang w:val="en-US" w:eastAsia="zh-CN"/>
                      <w14:textFill>
                        <w14:solidFill>
                          <w14:schemeClr w14:val="tx1"/>
                        </w14:solidFill>
                      </w14:textFill>
                    </w:rPr>
                    <w:t>篷布苫盖，</w:t>
                  </w:r>
                  <w:r>
                    <w:rPr>
                      <w:rFonts w:hint="default"/>
                      <w:color w:val="000000" w:themeColor="text1"/>
                      <w:spacing w:val="6"/>
                      <w:sz w:val="21"/>
                      <w:szCs w:val="21"/>
                      <w:highlight w:val="none"/>
                      <w14:textFill>
                        <w14:solidFill>
                          <w14:schemeClr w14:val="tx1"/>
                        </w14:solidFill>
                      </w14:textFill>
                    </w:rPr>
                    <w:t>防止物料洒落</w:t>
                  </w:r>
                </w:p>
              </w:tc>
              <w:tc>
                <w:tcPr>
                  <w:tcW w:w="919" w:type="dxa"/>
                  <w:tcBorders>
                    <w:tl2br w:val="nil"/>
                    <w:tr2bl w:val="nil"/>
                  </w:tcBorders>
                  <w:vAlign w:val="center"/>
                </w:tcPr>
                <w:p w14:paraId="55DA7F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eastAsia" w:cs="Times New Roman"/>
                      <w:bCs/>
                      <w:color w:val="000000" w:themeColor="text1"/>
                      <w:spacing w:val="0"/>
                      <w:sz w:val="21"/>
                      <w:szCs w:val="21"/>
                      <w:highlight w:val="none"/>
                      <w:lang w:val="en-US" w:eastAsia="zh-CN"/>
                      <w14:textFill>
                        <w14:solidFill>
                          <w14:schemeClr w14:val="tx1"/>
                        </w14:solidFill>
                      </w14:textFill>
                    </w:rPr>
                    <w:t>新建</w:t>
                  </w:r>
                </w:p>
              </w:tc>
            </w:tr>
            <w:tr w14:paraId="1D24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1" w:type="dxa"/>
                  <w:vMerge w:val="continue"/>
                  <w:tcBorders>
                    <w:tl2br w:val="nil"/>
                    <w:tr2bl w:val="nil"/>
                  </w:tcBorders>
                  <w:vAlign w:val="center"/>
                </w:tcPr>
                <w:p w14:paraId="60243D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c>
                <w:tcPr>
                  <w:tcW w:w="450" w:type="dxa"/>
                  <w:vMerge w:val="continue"/>
                  <w:tcBorders>
                    <w:tl2br w:val="nil"/>
                    <w:tr2bl w:val="nil"/>
                  </w:tcBorders>
                  <w:vAlign w:val="center"/>
                </w:tcPr>
                <w:p w14:paraId="7C2297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p>
              </w:tc>
              <w:tc>
                <w:tcPr>
                  <w:tcW w:w="1092" w:type="dxa"/>
                  <w:tcBorders>
                    <w:tl2br w:val="nil"/>
                    <w:tr2bl w:val="nil"/>
                  </w:tcBorders>
                  <w:shd w:val="clear" w:color="auto" w:fill="auto"/>
                  <w:vAlign w:val="center"/>
                </w:tcPr>
                <w:p w14:paraId="5E222FD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s="Times New Roman"/>
                      <w:b w:val="0"/>
                      <w:bCs/>
                      <w:color w:val="000000" w:themeColor="text1"/>
                      <w:spacing w:val="0"/>
                      <w:kern w:val="28"/>
                      <w:sz w:val="21"/>
                      <w:szCs w:val="21"/>
                      <w:highlight w:val="none"/>
                      <w:lang w:val="en-US" w:eastAsia="zh-CN" w:bidi="ar-SA"/>
                      <w14:textFill>
                        <w14:solidFill>
                          <w14:schemeClr w14:val="tx1"/>
                        </w14:solidFill>
                      </w14:textFill>
                    </w:rPr>
                    <w:t>原料及成品</w:t>
                  </w:r>
                  <w:r>
                    <w:rPr>
                      <w:rFonts w:hint="default"/>
                      <w:color w:val="000000" w:themeColor="text1"/>
                      <w:sz w:val="21"/>
                      <w:szCs w:val="21"/>
                      <w:highlight w:val="none"/>
                      <w14:textFill>
                        <w14:solidFill>
                          <w14:schemeClr w14:val="tx1"/>
                        </w14:solidFill>
                      </w14:textFill>
                    </w:rPr>
                    <w:t>堆放、装卸</w:t>
                  </w:r>
                  <w:r>
                    <w:rPr>
                      <w:rFonts w:hint="eastAsia"/>
                      <w:color w:val="000000" w:themeColor="text1"/>
                      <w:sz w:val="21"/>
                      <w:szCs w:val="21"/>
                      <w:highlight w:val="none"/>
                      <w:lang w:val="en-US" w:eastAsia="zh-CN"/>
                      <w14:textFill>
                        <w14:solidFill>
                          <w14:schemeClr w14:val="tx1"/>
                        </w14:solidFill>
                      </w14:textFill>
                    </w:rPr>
                    <w:t>废气</w:t>
                  </w:r>
                </w:p>
              </w:tc>
              <w:tc>
                <w:tcPr>
                  <w:tcW w:w="5388" w:type="dxa"/>
                  <w:tcBorders>
                    <w:tl2br w:val="nil"/>
                    <w:tr2bl w:val="nil"/>
                  </w:tcBorders>
                  <w:shd w:val="clear" w:color="auto" w:fill="auto"/>
                  <w:vAlign w:val="center"/>
                </w:tcPr>
                <w:p w14:paraId="0B78D86D">
                  <w:pPr>
                    <w:keepNext w:val="0"/>
                    <w:keepLines w:val="0"/>
                    <w:pageBreakBefore w:val="0"/>
                    <w:suppressLineNumbers w:val="0"/>
                    <w:tabs>
                      <w:tab w:val="left" w:pos="720"/>
                    </w:tabs>
                    <w:kinsoku/>
                    <w:wordWrap/>
                    <w:overflowPunct/>
                    <w:topLinePunct w:val="0"/>
                    <w:autoSpaceDE/>
                    <w:autoSpaceDN/>
                    <w:bidi w:val="0"/>
                    <w:spacing w:before="0" w:beforeAutospacing="0" w:after="0" w:afterAutospacing="0" w:line="240" w:lineRule="auto"/>
                    <w:ind w:left="0" w:right="0"/>
                    <w:jc w:val="both"/>
                    <w:textAlignment w:val="auto"/>
                    <w:rPr>
                      <w:rFonts w:hint="eastAsia"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olor w:val="000000" w:themeColor="text1"/>
                      <w:spacing w:val="4"/>
                      <w:sz w:val="21"/>
                      <w:szCs w:val="21"/>
                      <w:highlight w:val="none"/>
                      <w:lang w:val="en-US" w:eastAsia="zh-CN"/>
                      <w14:textFill>
                        <w14:solidFill>
                          <w14:schemeClr w14:val="tx1"/>
                        </w14:solidFill>
                      </w14:textFill>
                    </w:rPr>
                    <w:t>原料和成品全部堆放在全封闭车间内，车间内</w:t>
                  </w:r>
                  <w:r>
                    <w:rPr>
                      <w:rFonts w:hint="default"/>
                      <w:color w:val="000000" w:themeColor="text1"/>
                      <w:spacing w:val="4"/>
                      <w:sz w:val="21"/>
                      <w:szCs w:val="21"/>
                      <w:highlight w:val="none"/>
                      <w14:textFill>
                        <w14:solidFill>
                          <w14:schemeClr w14:val="tx1"/>
                        </w14:solidFill>
                      </w14:textFill>
                    </w:rPr>
                    <w:t>地面</w:t>
                  </w:r>
                  <w:r>
                    <w:rPr>
                      <w:rFonts w:hint="eastAsia"/>
                      <w:color w:val="000000" w:themeColor="text1"/>
                      <w:spacing w:val="4"/>
                      <w:sz w:val="21"/>
                      <w:szCs w:val="21"/>
                      <w:highlight w:val="none"/>
                      <w:lang w:val="en-US" w:eastAsia="zh-CN"/>
                      <w14:textFill>
                        <w14:solidFill>
                          <w14:schemeClr w14:val="tx1"/>
                        </w14:solidFill>
                      </w14:textFill>
                    </w:rPr>
                    <w:t>全部</w:t>
                  </w:r>
                  <w:r>
                    <w:rPr>
                      <w:rFonts w:hint="default"/>
                      <w:color w:val="000000" w:themeColor="text1"/>
                      <w:spacing w:val="4"/>
                      <w:sz w:val="21"/>
                      <w:szCs w:val="21"/>
                      <w:highlight w:val="none"/>
                      <w14:textFill>
                        <w14:solidFill>
                          <w14:schemeClr w14:val="tx1"/>
                        </w14:solidFill>
                      </w14:textFill>
                    </w:rPr>
                    <w:t>硬化，</w:t>
                  </w:r>
                  <w:r>
                    <w:rPr>
                      <w:rFonts w:hint="eastAsia"/>
                      <w:color w:val="000000" w:themeColor="text1"/>
                      <w:spacing w:val="4"/>
                      <w:sz w:val="21"/>
                      <w:szCs w:val="21"/>
                      <w:highlight w:val="none"/>
                      <w:lang w:val="en-US" w:eastAsia="zh-CN"/>
                      <w14:textFill>
                        <w14:solidFill>
                          <w14:schemeClr w14:val="tx1"/>
                        </w14:solidFill>
                      </w14:textFill>
                    </w:rPr>
                    <w:t>原料、成品堆放区顶部均安装</w:t>
                  </w:r>
                  <w:r>
                    <w:rPr>
                      <w:rFonts w:hint="default"/>
                      <w:color w:val="000000" w:themeColor="text1"/>
                      <w:spacing w:val="4"/>
                      <w:sz w:val="21"/>
                      <w:szCs w:val="21"/>
                      <w:highlight w:val="none"/>
                      <w14:textFill>
                        <w14:solidFill>
                          <w14:schemeClr w14:val="tx1"/>
                        </w14:solidFill>
                      </w14:textFill>
                    </w:rPr>
                    <w:t>喷雾</w:t>
                  </w:r>
                  <w:r>
                    <w:rPr>
                      <w:rFonts w:hint="eastAsia"/>
                      <w:color w:val="000000" w:themeColor="text1"/>
                      <w:spacing w:val="4"/>
                      <w:sz w:val="21"/>
                      <w:szCs w:val="21"/>
                      <w:highlight w:val="none"/>
                      <w:lang w:val="en-US" w:eastAsia="zh-CN"/>
                      <w14:textFill>
                        <w14:solidFill>
                          <w14:schemeClr w14:val="tx1"/>
                        </w14:solidFill>
                      </w14:textFill>
                    </w:rPr>
                    <w:t>洒水抑尘</w:t>
                  </w:r>
                  <w:r>
                    <w:rPr>
                      <w:rFonts w:hint="default"/>
                      <w:color w:val="000000" w:themeColor="text1"/>
                      <w:spacing w:val="4"/>
                      <w:sz w:val="21"/>
                      <w:szCs w:val="21"/>
                      <w:highlight w:val="none"/>
                      <w14:textFill>
                        <w14:solidFill>
                          <w14:schemeClr w14:val="tx1"/>
                        </w14:solidFill>
                      </w14:textFill>
                    </w:rPr>
                    <w:t>装置，定时喷洒；装卸时使用</w:t>
                  </w:r>
                  <w:r>
                    <w:rPr>
                      <w:rFonts w:hint="eastAsia"/>
                      <w:color w:val="000000" w:themeColor="text1"/>
                      <w:spacing w:val="4"/>
                      <w:sz w:val="21"/>
                      <w:szCs w:val="21"/>
                      <w:highlight w:val="none"/>
                      <w:lang w:val="en-US" w:eastAsia="zh-CN"/>
                      <w14:textFill>
                        <w14:solidFill>
                          <w14:schemeClr w14:val="tx1"/>
                        </w14:solidFill>
                      </w14:textFill>
                    </w:rPr>
                    <w:t>移动</w:t>
                  </w:r>
                  <w:r>
                    <w:rPr>
                      <w:rFonts w:hint="default"/>
                      <w:color w:val="000000" w:themeColor="text1"/>
                      <w:spacing w:val="4"/>
                      <w:sz w:val="21"/>
                      <w:szCs w:val="21"/>
                      <w:highlight w:val="none"/>
                      <w14:textFill>
                        <w14:solidFill>
                          <w14:schemeClr w14:val="tx1"/>
                        </w14:solidFill>
                      </w14:textFill>
                    </w:rPr>
                    <w:t>雾炮机进行喷洒抑尘；安装</w:t>
                  </w:r>
                  <w:r>
                    <w:rPr>
                      <w:rFonts w:hint="eastAsia"/>
                      <w:color w:val="000000" w:themeColor="text1"/>
                      <w:spacing w:val="4"/>
                      <w:sz w:val="21"/>
                      <w:szCs w:val="21"/>
                      <w:highlight w:val="none"/>
                      <w:lang w:val="en-US" w:eastAsia="zh-CN"/>
                      <w14:textFill>
                        <w14:solidFill>
                          <w14:schemeClr w14:val="tx1"/>
                        </w14:solidFill>
                      </w14:textFill>
                    </w:rPr>
                    <w:t>自动感应</w:t>
                  </w:r>
                  <w:r>
                    <w:rPr>
                      <w:rFonts w:hint="default"/>
                      <w:color w:val="000000" w:themeColor="text1"/>
                      <w:spacing w:val="4"/>
                      <w:sz w:val="21"/>
                      <w:szCs w:val="21"/>
                      <w:highlight w:val="none"/>
                      <w14:textFill>
                        <w14:solidFill>
                          <w14:schemeClr w14:val="tx1"/>
                        </w14:solidFill>
                      </w14:textFill>
                    </w:rPr>
                    <w:t>密闭门</w:t>
                  </w:r>
                  <w:r>
                    <w:rPr>
                      <w:rFonts w:hint="eastAsia"/>
                      <w:color w:val="000000" w:themeColor="text1"/>
                      <w:spacing w:val="4"/>
                      <w:sz w:val="21"/>
                      <w:szCs w:val="21"/>
                      <w:highlight w:val="none"/>
                      <w:lang w:eastAsia="zh-CN"/>
                      <w14:textFill>
                        <w14:solidFill>
                          <w14:schemeClr w14:val="tx1"/>
                        </w14:solidFill>
                      </w14:textFill>
                    </w:rPr>
                    <w:t>，</w:t>
                  </w:r>
                  <w:r>
                    <w:rPr>
                      <w:rFonts w:hint="eastAsia" w:cs="Times New Roman"/>
                      <w:color w:val="000000" w:themeColor="text1"/>
                      <w:spacing w:val="0"/>
                      <w:kern w:val="2"/>
                      <w:sz w:val="21"/>
                      <w:szCs w:val="21"/>
                      <w:highlight w:val="none"/>
                      <w:lang w:val="en-US" w:eastAsia="zh-CN" w:bidi="ar-SA"/>
                      <w14:textFill>
                        <w14:solidFill>
                          <w14:schemeClr w14:val="tx1"/>
                        </w14:solidFill>
                      </w14:textFill>
                    </w:rPr>
                    <w:t>同时加设扬尘在线监测和视频监控设施，并与生态环境部门联网</w:t>
                  </w:r>
                </w:p>
              </w:tc>
              <w:tc>
                <w:tcPr>
                  <w:tcW w:w="919" w:type="dxa"/>
                  <w:tcBorders>
                    <w:tl2br w:val="nil"/>
                    <w:tr2bl w:val="nil"/>
                  </w:tcBorders>
                  <w:vAlign w:val="center"/>
                </w:tcPr>
                <w:p w14:paraId="222561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eastAsia" w:cs="Times New Roman"/>
                      <w:bCs/>
                      <w:color w:val="000000" w:themeColor="text1"/>
                      <w:spacing w:val="0"/>
                      <w:sz w:val="21"/>
                      <w:szCs w:val="21"/>
                      <w:highlight w:val="none"/>
                      <w:lang w:val="en-US" w:eastAsia="zh-CN"/>
                      <w14:textFill>
                        <w14:solidFill>
                          <w14:schemeClr w14:val="tx1"/>
                        </w14:solidFill>
                      </w14:textFill>
                    </w:rPr>
                    <w:t>新建</w:t>
                  </w:r>
                </w:p>
              </w:tc>
            </w:tr>
            <w:tr w14:paraId="5D87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1" w:type="dxa"/>
                  <w:vMerge w:val="continue"/>
                  <w:tcBorders>
                    <w:tl2br w:val="nil"/>
                    <w:tr2bl w:val="nil"/>
                  </w:tcBorders>
                  <w:vAlign w:val="center"/>
                </w:tcPr>
                <w:p w14:paraId="6DE115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50" w:type="dxa"/>
                  <w:vMerge w:val="continue"/>
                  <w:tcBorders>
                    <w:tl2br w:val="nil"/>
                    <w:tr2bl w:val="nil"/>
                  </w:tcBorders>
                  <w:vAlign w:val="center"/>
                </w:tcPr>
                <w:p w14:paraId="124A93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p>
              </w:tc>
              <w:tc>
                <w:tcPr>
                  <w:tcW w:w="1092" w:type="dxa"/>
                  <w:tcBorders>
                    <w:tl2br w:val="nil"/>
                    <w:tr2bl w:val="nil"/>
                  </w:tcBorders>
                  <w:shd w:val="clear" w:color="auto" w:fill="auto"/>
                  <w:vAlign w:val="center"/>
                </w:tcPr>
                <w:p w14:paraId="4929A1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给料、破碎废气</w:t>
                  </w:r>
                </w:p>
              </w:tc>
              <w:tc>
                <w:tcPr>
                  <w:tcW w:w="5388" w:type="dxa"/>
                  <w:tcBorders>
                    <w:tl2br w:val="nil"/>
                    <w:tr2bl w:val="nil"/>
                  </w:tcBorders>
                  <w:shd w:val="clear" w:color="auto" w:fill="auto"/>
                  <w:vAlign w:val="center"/>
                </w:tcPr>
                <w:p w14:paraId="644B60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both"/>
                    <w:textAlignment w:val="auto"/>
                    <w:rPr>
                      <w:rFonts w:hint="eastAsia" w:ascii="Times New Roman" w:hAnsi="Times New Roman" w:eastAsia="宋体" w:cs="Times New Roman"/>
                      <w:color w:val="000000" w:themeColor="text1"/>
                      <w:spacing w:val="0"/>
                      <w:kern w:val="2"/>
                      <w:sz w:val="21"/>
                      <w:szCs w:val="21"/>
                      <w:highlight w:val="yellow"/>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t>给料机上方安装1个</w:t>
                  </w:r>
                  <w:r>
                    <w:rPr>
                      <w:rFonts w:hint="eastAsia" w:cs="Times New Roman"/>
                      <w:color w:val="000000" w:themeColor="text1"/>
                      <w:spacing w:val="0"/>
                      <w:kern w:val="2"/>
                      <w:sz w:val="21"/>
                      <w:szCs w:val="21"/>
                      <w:highlight w:val="none"/>
                      <w:vertAlign w:val="baseline"/>
                      <w:lang w:val="en-US" w:eastAsia="zh-CN" w:bidi="ar-SA"/>
                      <w14:textFill>
                        <w14:solidFill>
                          <w14:schemeClr w14:val="tx1"/>
                        </w14:solidFill>
                      </w14:textFill>
                    </w:rPr>
                    <w:t>顶吸式</w:t>
                  </w:r>
                  <w:r>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t>集气罩，颚式破碎机为全封闭式，上方设置集气管道，废气收集后共同引入1台布袋除尘器（TA001）处理后，由1根15m高排气筒（DA001）排放</w:t>
                  </w:r>
                </w:p>
              </w:tc>
              <w:tc>
                <w:tcPr>
                  <w:tcW w:w="919" w:type="dxa"/>
                  <w:tcBorders>
                    <w:tl2br w:val="nil"/>
                    <w:tr2bl w:val="nil"/>
                  </w:tcBorders>
                  <w:vAlign w:val="center"/>
                </w:tcPr>
                <w:p w14:paraId="6C67B5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eastAsia" w:cs="Times New Roman"/>
                      <w:bCs/>
                      <w:color w:val="000000" w:themeColor="text1"/>
                      <w:spacing w:val="0"/>
                      <w:sz w:val="21"/>
                      <w:szCs w:val="21"/>
                      <w:highlight w:val="none"/>
                      <w:lang w:val="en-US" w:eastAsia="zh-CN"/>
                      <w14:textFill>
                        <w14:solidFill>
                          <w14:schemeClr w14:val="tx1"/>
                        </w14:solidFill>
                      </w14:textFill>
                    </w:rPr>
                    <w:t>新建</w:t>
                  </w:r>
                </w:p>
              </w:tc>
            </w:tr>
            <w:tr w14:paraId="10F8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1" w:type="dxa"/>
                  <w:vMerge w:val="continue"/>
                  <w:tcBorders>
                    <w:tl2br w:val="nil"/>
                    <w:tr2bl w:val="nil"/>
                  </w:tcBorders>
                  <w:vAlign w:val="center"/>
                </w:tcPr>
                <w:p w14:paraId="70D029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50" w:type="dxa"/>
                  <w:vMerge w:val="continue"/>
                  <w:tcBorders>
                    <w:tl2br w:val="nil"/>
                    <w:tr2bl w:val="nil"/>
                  </w:tcBorders>
                  <w:vAlign w:val="center"/>
                </w:tcPr>
                <w:p w14:paraId="592CA7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p>
              </w:tc>
              <w:tc>
                <w:tcPr>
                  <w:tcW w:w="1092" w:type="dxa"/>
                  <w:tcBorders>
                    <w:tl2br w:val="nil"/>
                    <w:tr2bl w:val="nil"/>
                  </w:tcBorders>
                  <w:shd w:val="clear" w:color="auto" w:fill="auto"/>
                  <w:vAlign w:val="center"/>
                </w:tcPr>
                <w:p w14:paraId="61AAE1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制砂、筛分废气</w:t>
                  </w:r>
                </w:p>
              </w:tc>
              <w:tc>
                <w:tcPr>
                  <w:tcW w:w="5388" w:type="dxa"/>
                  <w:tcBorders>
                    <w:tl2br w:val="nil"/>
                    <w:tr2bl w:val="nil"/>
                  </w:tcBorders>
                  <w:shd w:val="clear" w:color="auto" w:fill="auto"/>
                  <w:vAlign w:val="center"/>
                </w:tcPr>
                <w:p w14:paraId="11AC291B">
                  <w:pPr>
                    <w:keepNext w:val="0"/>
                    <w:keepLines w:val="0"/>
                    <w:suppressLineNumbers w:val="0"/>
                    <w:spacing w:before="0" w:beforeAutospacing="0" w:after="0" w:afterAutospacing="0"/>
                    <w:ind w:left="0" w:leftChars="0" w:right="0" w:rightChars="0"/>
                    <w:jc w:val="both"/>
                    <w:rPr>
                      <w:rFonts w:hint="default"/>
                      <w:color w:val="000000" w:themeColor="text1"/>
                      <w:sz w:val="21"/>
                      <w:szCs w:val="21"/>
                      <w:highlight w:val="yellow"/>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双级破碎机</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筛分机</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为全封闭式，上方设置集气管道，废气收集后共同引入1台布袋除尘器（TA002）处理后，由1根15m高排气筒（DA002）排放</w:t>
                  </w:r>
                </w:p>
              </w:tc>
              <w:tc>
                <w:tcPr>
                  <w:tcW w:w="919" w:type="dxa"/>
                  <w:tcBorders>
                    <w:tl2br w:val="nil"/>
                    <w:tr2bl w:val="nil"/>
                  </w:tcBorders>
                  <w:vAlign w:val="center"/>
                </w:tcPr>
                <w:p w14:paraId="27EEEC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Cs/>
                      <w:color w:val="000000" w:themeColor="text1"/>
                      <w:spacing w:val="0"/>
                      <w:sz w:val="21"/>
                      <w:szCs w:val="21"/>
                      <w:highlight w:val="none"/>
                      <w:lang w:val="en-US" w:eastAsia="zh-CN"/>
                      <w14:textFill>
                        <w14:solidFill>
                          <w14:schemeClr w14:val="tx1"/>
                        </w14:solidFill>
                      </w14:textFill>
                    </w:rPr>
                  </w:pPr>
                  <w:r>
                    <w:rPr>
                      <w:rFonts w:hint="eastAsia" w:cs="Times New Roman"/>
                      <w:bCs/>
                      <w:color w:val="000000" w:themeColor="text1"/>
                      <w:spacing w:val="0"/>
                      <w:sz w:val="21"/>
                      <w:szCs w:val="21"/>
                      <w:highlight w:val="none"/>
                      <w:lang w:val="en-US" w:eastAsia="zh-CN"/>
                      <w14:textFill>
                        <w14:solidFill>
                          <w14:schemeClr w14:val="tx1"/>
                        </w14:solidFill>
                      </w14:textFill>
                    </w:rPr>
                    <w:t>新建</w:t>
                  </w:r>
                </w:p>
              </w:tc>
            </w:tr>
            <w:tr w14:paraId="0EA1D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1" w:type="dxa"/>
                  <w:vMerge w:val="continue"/>
                  <w:tcBorders>
                    <w:tl2br w:val="nil"/>
                    <w:tr2bl w:val="nil"/>
                  </w:tcBorders>
                  <w:vAlign w:val="center"/>
                </w:tcPr>
                <w:p w14:paraId="6D9B05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50" w:type="dxa"/>
                  <w:vMerge w:val="continue"/>
                  <w:tcBorders>
                    <w:tl2br w:val="nil"/>
                    <w:tr2bl w:val="nil"/>
                  </w:tcBorders>
                  <w:vAlign w:val="center"/>
                </w:tcPr>
                <w:p w14:paraId="742B98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092" w:type="dxa"/>
                  <w:tcBorders>
                    <w:tl2br w:val="nil"/>
                    <w:tr2bl w:val="nil"/>
                  </w:tcBorders>
                  <w:vAlign w:val="center"/>
                </w:tcPr>
                <w:p w14:paraId="2471A8A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pacing w:val="0"/>
                      <w:kern w:val="28"/>
                      <w:sz w:val="21"/>
                      <w:szCs w:val="21"/>
                      <w:highlight w:val="none"/>
                      <w:lang w:val="en-US" w:eastAsia="zh-CN" w:bidi="ar-SA"/>
                      <w14:textFill>
                        <w14:solidFill>
                          <w14:schemeClr w14:val="tx1"/>
                        </w14:solidFill>
                      </w14:textFill>
                    </w:rPr>
                  </w:pPr>
                  <w:r>
                    <w:rPr>
                      <w:rFonts w:hint="default"/>
                      <w:bCs/>
                      <w:color w:val="000000" w:themeColor="text1"/>
                      <w:sz w:val="21"/>
                      <w:szCs w:val="21"/>
                      <w:highlight w:val="none"/>
                      <w14:textFill>
                        <w14:solidFill>
                          <w14:schemeClr w14:val="tx1"/>
                        </w14:solidFill>
                      </w14:textFill>
                    </w:rPr>
                    <w:t>物料</w:t>
                  </w:r>
                  <w:r>
                    <w:rPr>
                      <w:rFonts w:hint="eastAsia"/>
                      <w:bCs/>
                      <w:color w:val="000000" w:themeColor="text1"/>
                      <w:sz w:val="21"/>
                      <w:szCs w:val="21"/>
                      <w:highlight w:val="none"/>
                      <w:lang w:val="en-US" w:eastAsia="zh-CN"/>
                      <w14:textFill>
                        <w14:solidFill>
                          <w14:schemeClr w14:val="tx1"/>
                        </w14:solidFill>
                      </w14:textFill>
                    </w:rPr>
                    <w:t>运输</w:t>
                  </w:r>
                  <w:r>
                    <w:rPr>
                      <w:rFonts w:hint="default"/>
                      <w:bCs/>
                      <w:color w:val="000000" w:themeColor="text1"/>
                      <w:sz w:val="21"/>
                      <w:szCs w:val="21"/>
                      <w:highlight w:val="none"/>
                      <w14:textFill>
                        <w14:solidFill>
                          <w14:schemeClr w14:val="tx1"/>
                        </w14:solidFill>
                      </w14:textFill>
                    </w:rPr>
                    <w:t>转载粉尘</w:t>
                  </w:r>
                </w:p>
              </w:tc>
              <w:tc>
                <w:tcPr>
                  <w:tcW w:w="5388" w:type="dxa"/>
                  <w:tcBorders>
                    <w:tl2br w:val="nil"/>
                    <w:tr2bl w:val="nil"/>
                  </w:tcBorders>
                  <w:vAlign w:val="center"/>
                </w:tcPr>
                <w:p w14:paraId="3EEA3F5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spacing w:val="0"/>
                      <w:kern w:val="2"/>
                      <w:sz w:val="21"/>
                      <w:szCs w:val="21"/>
                      <w:highlight w:val="none"/>
                      <w:lang w:val="en-US" w:eastAsia="zh-CN" w:bidi="ar-SA"/>
                      <w14:textFill>
                        <w14:solidFill>
                          <w14:schemeClr w14:val="tx1"/>
                        </w14:solidFill>
                      </w14:textFill>
                    </w:rPr>
                    <w:t>采用全封</w:t>
                  </w:r>
                  <w:r>
                    <w:rPr>
                      <w:rFonts w:hint="eastAsia" w:ascii="Times New Roman" w:hAnsi="Times New Roman" w:cs="Times New Roman"/>
                      <w:b w:val="0"/>
                      <w:bCs/>
                      <w:color w:val="000000" w:themeColor="text1"/>
                      <w:spacing w:val="0"/>
                      <w:kern w:val="2"/>
                      <w:sz w:val="21"/>
                      <w:szCs w:val="21"/>
                      <w:highlight w:val="none"/>
                      <w:lang w:val="en-GB" w:eastAsia="zh-CN" w:bidi="ar-SA"/>
                      <w14:textFill>
                        <w14:solidFill>
                          <w14:schemeClr w14:val="tx1"/>
                        </w14:solidFill>
                      </w14:textFill>
                    </w:rPr>
                    <w:t>闭皮带</w:t>
                  </w:r>
                  <w:r>
                    <w:rPr>
                      <w:rFonts w:hint="eastAsia" w:ascii="Times New Roman" w:hAnsi="Times New Roman" w:cs="Times New Roman"/>
                      <w:b w:val="0"/>
                      <w:bCs/>
                      <w:color w:val="000000" w:themeColor="text1"/>
                      <w:spacing w:val="0"/>
                      <w:kern w:val="2"/>
                      <w:sz w:val="21"/>
                      <w:szCs w:val="21"/>
                      <w:highlight w:val="none"/>
                      <w:lang w:val="en-US" w:eastAsia="zh-CN" w:bidi="ar-SA"/>
                      <w14:textFill>
                        <w14:solidFill>
                          <w14:schemeClr w14:val="tx1"/>
                        </w14:solidFill>
                      </w14:textFill>
                    </w:rPr>
                    <w:t>输送，降低落料点高度，在原料堆放处、皮带转运跌落点处设固定式雾化喷头</w:t>
                  </w:r>
                </w:p>
              </w:tc>
              <w:tc>
                <w:tcPr>
                  <w:tcW w:w="919" w:type="dxa"/>
                  <w:tcBorders>
                    <w:tl2br w:val="nil"/>
                    <w:tr2bl w:val="nil"/>
                  </w:tcBorders>
                  <w:vAlign w:val="center"/>
                </w:tcPr>
                <w:p w14:paraId="5881BD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bCs/>
                      <w:color w:val="000000" w:themeColor="text1"/>
                      <w:spacing w:val="0"/>
                      <w:sz w:val="21"/>
                      <w:szCs w:val="21"/>
                      <w:highlight w:val="none"/>
                      <w:lang w:val="en-US" w:eastAsia="zh-CN"/>
                      <w14:textFill>
                        <w14:solidFill>
                          <w14:schemeClr w14:val="tx1"/>
                        </w14:solidFill>
                      </w14:textFill>
                    </w:rPr>
                    <w:t>新建</w:t>
                  </w:r>
                </w:p>
              </w:tc>
            </w:tr>
            <w:tr w14:paraId="08BD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1" w:type="dxa"/>
                  <w:vMerge w:val="continue"/>
                  <w:tcBorders>
                    <w:tl2br w:val="nil"/>
                    <w:tr2bl w:val="nil"/>
                  </w:tcBorders>
                  <w:vAlign w:val="center"/>
                </w:tcPr>
                <w:p w14:paraId="46B337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50" w:type="dxa"/>
                  <w:vMerge w:val="restart"/>
                  <w:tcBorders>
                    <w:tl2br w:val="nil"/>
                    <w:tr2bl w:val="nil"/>
                  </w:tcBorders>
                  <w:vAlign w:val="center"/>
                </w:tcPr>
                <w:p w14:paraId="7AD30A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废水</w:t>
                  </w:r>
                </w:p>
              </w:tc>
              <w:tc>
                <w:tcPr>
                  <w:tcW w:w="1092" w:type="dxa"/>
                  <w:tcBorders>
                    <w:tl2br w:val="nil"/>
                    <w:tr2bl w:val="nil"/>
                  </w:tcBorders>
                  <w:vAlign w:val="center"/>
                </w:tcPr>
                <w:p w14:paraId="22D803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生活污水</w:t>
                  </w:r>
                </w:p>
              </w:tc>
              <w:tc>
                <w:tcPr>
                  <w:tcW w:w="5388" w:type="dxa"/>
                  <w:tcBorders>
                    <w:tl2br w:val="nil"/>
                    <w:tr2bl w:val="nil"/>
                  </w:tcBorders>
                  <w:vAlign w:val="center"/>
                </w:tcPr>
                <w:p w14:paraId="53E79F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排入厂区现有旱厕，定时清掏，不外排</w:t>
                  </w:r>
                </w:p>
              </w:tc>
              <w:tc>
                <w:tcPr>
                  <w:tcW w:w="919" w:type="dxa"/>
                  <w:tcBorders>
                    <w:tl2br w:val="nil"/>
                    <w:tr2bl w:val="nil"/>
                  </w:tcBorders>
                  <w:vAlign w:val="center"/>
                </w:tcPr>
                <w:p w14:paraId="468DB3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bCs/>
                      <w:color w:val="000000" w:themeColor="text1"/>
                      <w:spacing w:val="0"/>
                      <w:sz w:val="21"/>
                      <w:szCs w:val="21"/>
                      <w:highlight w:val="none"/>
                      <w:lang w:val="en-US" w:eastAsia="zh-CN"/>
                      <w14:textFill>
                        <w14:solidFill>
                          <w14:schemeClr w14:val="tx1"/>
                        </w14:solidFill>
                      </w14:textFill>
                    </w:rPr>
                    <w:t>依托现有构筑物（新建）</w:t>
                  </w:r>
                </w:p>
              </w:tc>
            </w:tr>
            <w:tr w14:paraId="589B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1" w:type="dxa"/>
                  <w:vMerge w:val="continue"/>
                  <w:tcBorders>
                    <w:tl2br w:val="nil"/>
                    <w:tr2bl w:val="nil"/>
                  </w:tcBorders>
                  <w:vAlign w:val="center"/>
                </w:tcPr>
                <w:p w14:paraId="648662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50" w:type="dxa"/>
                  <w:vMerge w:val="continue"/>
                  <w:tcBorders>
                    <w:tl2br w:val="nil"/>
                    <w:tr2bl w:val="nil"/>
                  </w:tcBorders>
                  <w:vAlign w:val="center"/>
                </w:tcPr>
                <w:p w14:paraId="2F46F9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092" w:type="dxa"/>
                  <w:tcBorders>
                    <w:tl2br w:val="nil"/>
                    <w:tr2bl w:val="nil"/>
                  </w:tcBorders>
                  <w:vAlign w:val="center"/>
                </w:tcPr>
                <w:p w14:paraId="08565C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14:textFill>
                        <w14:solidFill>
                          <w14:schemeClr w14:val="tx1"/>
                        </w14:solidFill>
                      </w14:textFill>
                    </w:rPr>
                    <w:t>洗车废水</w:t>
                  </w:r>
                </w:p>
              </w:tc>
              <w:tc>
                <w:tcPr>
                  <w:tcW w:w="5388" w:type="dxa"/>
                  <w:tcBorders>
                    <w:tl2br w:val="nil"/>
                    <w:tr2bl w:val="nil"/>
                  </w:tcBorders>
                  <w:vAlign w:val="center"/>
                </w:tcPr>
                <w:p w14:paraId="43246AA3">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依托厂区内现有洗车平台</w:t>
                  </w:r>
                  <w:r>
                    <w:rPr>
                      <w:rFonts w:hint="eastAsia" w:cs="Times New Roman"/>
                      <w:color w:val="000000" w:themeColor="text1"/>
                      <w:spacing w:val="0"/>
                      <w:kern w:val="2"/>
                      <w:sz w:val="21"/>
                      <w:szCs w:val="21"/>
                      <w:highlight w:val="none"/>
                      <w:vertAlign w:val="baseline"/>
                      <w:lang w:val="en-US" w:eastAsia="zh-CN" w:bidi="ar-SA"/>
                      <w14:textFill>
                        <w14:solidFill>
                          <w14:schemeClr w14:val="tx1"/>
                        </w14:solidFill>
                      </w14:textFill>
                    </w:rPr>
                    <w:t>，</w:t>
                  </w:r>
                  <w:r>
                    <w:rPr>
                      <w:rFonts w:hint="eastAsia" w:cs="Times New Roman"/>
                      <w:color w:val="000000" w:themeColor="text1"/>
                      <w:spacing w:val="0"/>
                      <w:sz w:val="21"/>
                      <w:szCs w:val="21"/>
                      <w:highlight w:val="none"/>
                      <w:lang w:val="en-US" w:eastAsia="zh-CN"/>
                      <w14:textFill>
                        <w14:solidFill>
                          <w14:schemeClr w14:val="tx1"/>
                        </w14:solidFill>
                      </w14:textFill>
                    </w:rPr>
                    <w:t>经厂区现有沉淀池沉淀后</w:t>
                  </w:r>
                  <w:r>
                    <w:rPr>
                      <w:rFonts w:hint="default" w:ascii="Times New Roman" w:hAnsi="Times New Roman" w:cs="Times New Roman"/>
                      <w:color w:val="000000" w:themeColor="text1"/>
                      <w:spacing w:val="0"/>
                      <w:sz w:val="21"/>
                      <w:szCs w:val="21"/>
                      <w:highlight w:val="none"/>
                      <w14:textFill>
                        <w14:solidFill>
                          <w14:schemeClr w14:val="tx1"/>
                        </w14:solidFill>
                      </w14:textFill>
                    </w:rPr>
                    <w:t>，回用至</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洗车</w:t>
                  </w:r>
                  <w:r>
                    <w:rPr>
                      <w:rFonts w:hint="default" w:ascii="Times New Roman" w:hAnsi="Times New Roman" w:cs="Times New Roman"/>
                      <w:color w:val="000000" w:themeColor="text1"/>
                      <w:spacing w:val="0"/>
                      <w:sz w:val="21"/>
                      <w:szCs w:val="21"/>
                      <w:highlight w:val="none"/>
                      <w14:textFill>
                        <w14:solidFill>
                          <w14:schemeClr w14:val="tx1"/>
                        </w14:solidFill>
                      </w14:textFill>
                    </w:rPr>
                    <w:t>工序，循环使用，不排放</w:t>
                  </w:r>
                </w:p>
              </w:tc>
              <w:tc>
                <w:tcPr>
                  <w:tcW w:w="919" w:type="dxa"/>
                  <w:tcBorders>
                    <w:tl2br w:val="nil"/>
                    <w:tr2bl w:val="nil"/>
                  </w:tcBorders>
                  <w:vAlign w:val="center"/>
                </w:tcPr>
                <w:p w14:paraId="0CEDF3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eastAsia" w:cs="Times New Roman"/>
                      <w:bCs/>
                      <w:color w:val="000000" w:themeColor="text1"/>
                      <w:spacing w:val="0"/>
                      <w:sz w:val="21"/>
                      <w:szCs w:val="21"/>
                      <w:highlight w:val="none"/>
                      <w:lang w:val="en-US" w:eastAsia="zh-CN"/>
                      <w14:textFill>
                        <w14:solidFill>
                          <w14:schemeClr w14:val="tx1"/>
                        </w14:solidFill>
                      </w14:textFill>
                    </w:rPr>
                    <w:t>依托现有构筑物（新建）</w:t>
                  </w:r>
                </w:p>
              </w:tc>
            </w:tr>
            <w:tr w14:paraId="621E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1" w:type="dxa"/>
                  <w:vMerge w:val="continue"/>
                  <w:tcBorders>
                    <w:tl2br w:val="nil"/>
                    <w:tr2bl w:val="nil"/>
                  </w:tcBorders>
                  <w:vAlign w:val="center"/>
                </w:tcPr>
                <w:p w14:paraId="5651ED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50" w:type="dxa"/>
                  <w:vMerge w:val="continue"/>
                  <w:tcBorders>
                    <w:tl2br w:val="nil"/>
                    <w:tr2bl w:val="nil"/>
                  </w:tcBorders>
                  <w:vAlign w:val="center"/>
                </w:tcPr>
                <w:p w14:paraId="0A992E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092" w:type="dxa"/>
                  <w:tcBorders>
                    <w:tl2br w:val="nil"/>
                    <w:tr2bl w:val="nil"/>
                  </w:tcBorders>
                  <w:vAlign w:val="center"/>
                </w:tcPr>
                <w:p w14:paraId="61FA74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初期雨水</w:t>
                  </w:r>
                </w:p>
              </w:tc>
              <w:tc>
                <w:tcPr>
                  <w:tcW w:w="5388" w:type="dxa"/>
                  <w:tcBorders>
                    <w:tl2br w:val="nil"/>
                    <w:tr2bl w:val="nil"/>
                  </w:tcBorders>
                  <w:vAlign w:val="center"/>
                </w:tcPr>
                <w:p w14:paraId="7176F6B8">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厂区南侧已设置1座380m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初期雨水池</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雨水经沉淀后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用于厂区洒水抑尘</w:t>
                  </w:r>
                </w:p>
              </w:tc>
              <w:tc>
                <w:tcPr>
                  <w:tcW w:w="919" w:type="dxa"/>
                  <w:tcBorders>
                    <w:tl2br w:val="nil"/>
                    <w:tr2bl w:val="nil"/>
                  </w:tcBorders>
                  <w:vAlign w:val="center"/>
                </w:tcPr>
                <w:p w14:paraId="621F5E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Cs/>
                      <w:color w:val="000000" w:themeColor="text1"/>
                      <w:spacing w:val="0"/>
                      <w:sz w:val="21"/>
                      <w:szCs w:val="21"/>
                      <w:highlight w:val="none"/>
                      <w:lang w:val="en-US" w:eastAsia="zh-CN"/>
                      <w14:textFill>
                        <w14:solidFill>
                          <w14:schemeClr w14:val="tx1"/>
                        </w14:solidFill>
                      </w14:textFill>
                    </w:rPr>
                  </w:pPr>
                  <w:r>
                    <w:rPr>
                      <w:rFonts w:hint="eastAsia" w:cs="Times New Roman"/>
                      <w:bCs/>
                      <w:color w:val="000000" w:themeColor="text1"/>
                      <w:spacing w:val="0"/>
                      <w:sz w:val="21"/>
                      <w:szCs w:val="21"/>
                      <w:highlight w:val="none"/>
                      <w:lang w:val="en-US" w:eastAsia="zh-CN"/>
                      <w14:textFill>
                        <w14:solidFill>
                          <w14:schemeClr w14:val="tx1"/>
                        </w14:solidFill>
                      </w14:textFill>
                    </w:rPr>
                    <w:t>依托现有</w:t>
                  </w:r>
                </w:p>
              </w:tc>
            </w:tr>
            <w:tr w14:paraId="608E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1" w:type="dxa"/>
                  <w:vMerge w:val="continue"/>
                  <w:tcBorders>
                    <w:tl2br w:val="nil"/>
                    <w:tr2bl w:val="nil"/>
                  </w:tcBorders>
                  <w:vAlign w:val="center"/>
                </w:tcPr>
                <w:p w14:paraId="6A35D6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50" w:type="dxa"/>
                  <w:vMerge w:val="restart"/>
                  <w:tcBorders>
                    <w:tl2br w:val="nil"/>
                    <w:tr2bl w:val="nil"/>
                  </w:tcBorders>
                  <w:vAlign w:val="center"/>
                </w:tcPr>
                <w:p w14:paraId="21534E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固废</w:t>
                  </w:r>
                </w:p>
              </w:tc>
              <w:tc>
                <w:tcPr>
                  <w:tcW w:w="1092" w:type="dxa"/>
                  <w:tcBorders>
                    <w:tl2br w:val="nil"/>
                    <w:tr2bl w:val="nil"/>
                  </w:tcBorders>
                  <w:vAlign w:val="center"/>
                </w:tcPr>
                <w:p w14:paraId="43742E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除尘灰</w:t>
                  </w:r>
                </w:p>
              </w:tc>
              <w:tc>
                <w:tcPr>
                  <w:tcW w:w="5388" w:type="dxa"/>
                  <w:tcBorders>
                    <w:tl2br w:val="nil"/>
                    <w:tr2bl w:val="nil"/>
                  </w:tcBorders>
                  <w:vAlign w:val="center"/>
                </w:tcPr>
                <w:p w14:paraId="1AC402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统一收集后作为产品外售</w:t>
                  </w:r>
                </w:p>
              </w:tc>
              <w:tc>
                <w:tcPr>
                  <w:tcW w:w="919" w:type="dxa"/>
                  <w:tcBorders>
                    <w:tl2br w:val="nil"/>
                    <w:tr2bl w:val="nil"/>
                  </w:tcBorders>
                  <w:vAlign w:val="center"/>
                </w:tcPr>
                <w:p w14:paraId="1FE7D0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bCs/>
                      <w:color w:val="000000" w:themeColor="text1"/>
                      <w:spacing w:val="0"/>
                      <w:sz w:val="21"/>
                      <w:szCs w:val="21"/>
                      <w:highlight w:val="none"/>
                      <w:lang w:val="en-US" w:eastAsia="zh-CN"/>
                      <w14:textFill>
                        <w14:solidFill>
                          <w14:schemeClr w14:val="tx1"/>
                        </w14:solidFill>
                      </w14:textFill>
                    </w:rPr>
                    <w:t>新建</w:t>
                  </w:r>
                </w:p>
              </w:tc>
            </w:tr>
            <w:tr w14:paraId="1D22C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51" w:type="dxa"/>
                  <w:vMerge w:val="continue"/>
                  <w:tcBorders>
                    <w:tl2br w:val="nil"/>
                    <w:tr2bl w:val="nil"/>
                  </w:tcBorders>
                  <w:vAlign w:val="center"/>
                </w:tcPr>
                <w:p w14:paraId="5E4FBE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50" w:type="dxa"/>
                  <w:vMerge w:val="continue"/>
                  <w:tcBorders>
                    <w:tl2br w:val="nil"/>
                    <w:tr2bl w:val="nil"/>
                  </w:tcBorders>
                  <w:vAlign w:val="center"/>
                </w:tcPr>
                <w:p w14:paraId="7AA313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092" w:type="dxa"/>
                  <w:tcBorders>
                    <w:tl2br w:val="nil"/>
                    <w:tr2bl w:val="nil"/>
                  </w:tcBorders>
                  <w:vAlign w:val="center"/>
                </w:tcPr>
                <w:p w14:paraId="5119B8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生活垃圾</w:t>
                  </w:r>
                </w:p>
              </w:tc>
              <w:tc>
                <w:tcPr>
                  <w:tcW w:w="5388" w:type="dxa"/>
                  <w:tcBorders>
                    <w:tl2br w:val="nil"/>
                    <w:tr2bl w:val="nil"/>
                  </w:tcBorders>
                  <w:vAlign w:val="center"/>
                </w:tcPr>
                <w:p w14:paraId="4B336F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厂区内设置分类垃圾桶，定期送至当地环卫部门指定地点处置</w:t>
                  </w:r>
                </w:p>
              </w:tc>
              <w:tc>
                <w:tcPr>
                  <w:tcW w:w="919" w:type="dxa"/>
                  <w:tcBorders>
                    <w:tl2br w:val="nil"/>
                    <w:tr2bl w:val="nil"/>
                  </w:tcBorders>
                  <w:vAlign w:val="center"/>
                </w:tcPr>
                <w:p w14:paraId="375AE7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bCs/>
                      <w:color w:val="000000" w:themeColor="text1"/>
                      <w:spacing w:val="0"/>
                      <w:sz w:val="21"/>
                      <w:szCs w:val="21"/>
                      <w:highlight w:val="none"/>
                      <w:lang w:val="en-US" w:eastAsia="zh-CN"/>
                      <w14:textFill>
                        <w14:solidFill>
                          <w14:schemeClr w14:val="tx1"/>
                        </w14:solidFill>
                      </w14:textFill>
                    </w:rPr>
                    <w:t>新建</w:t>
                  </w:r>
                </w:p>
              </w:tc>
            </w:tr>
            <w:tr w14:paraId="34F0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1" w:type="dxa"/>
                  <w:vMerge w:val="continue"/>
                  <w:tcBorders>
                    <w:tl2br w:val="nil"/>
                    <w:tr2bl w:val="nil"/>
                  </w:tcBorders>
                  <w:vAlign w:val="center"/>
                </w:tcPr>
                <w:p w14:paraId="3E4D4D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50" w:type="dxa"/>
                  <w:vMerge w:val="continue"/>
                  <w:tcBorders>
                    <w:tl2br w:val="nil"/>
                    <w:tr2bl w:val="nil"/>
                  </w:tcBorders>
                  <w:vAlign w:val="center"/>
                </w:tcPr>
                <w:p w14:paraId="05338F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092" w:type="dxa"/>
                  <w:tcBorders>
                    <w:tl2br w:val="nil"/>
                    <w:tr2bl w:val="nil"/>
                  </w:tcBorders>
                  <w:vAlign w:val="center"/>
                </w:tcPr>
                <w:p w14:paraId="5F151D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废矿物油</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、废油桶</w:t>
                  </w:r>
                </w:p>
              </w:tc>
              <w:tc>
                <w:tcPr>
                  <w:tcW w:w="5388" w:type="dxa"/>
                  <w:tcBorders>
                    <w:tl2br w:val="nil"/>
                    <w:tr2bl w:val="nil"/>
                  </w:tcBorders>
                  <w:vAlign w:val="center"/>
                </w:tcPr>
                <w:p w14:paraId="377F92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位于厂区西北侧，建设1座占地面积约40m</w:t>
                  </w:r>
                  <w:r>
                    <w:rPr>
                      <w:rFonts w:hint="eastAsia" w:cs="Times New Roman"/>
                      <w:color w:val="000000" w:themeColor="text1"/>
                      <w:spacing w:val="0"/>
                      <w:sz w:val="21"/>
                      <w:szCs w:val="21"/>
                      <w:highlight w:val="none"/>
                      <w:vertAlign w:val="superscript"/>
                      <w:lang w:val="en-US" w:eastAsia="zh-CN"/>
                      <w14:textFill>
                        <w14:solidFill>
                          <w14:schemeClr w14:val="tx1"/>
                        </w14:solidFill>
                      </w14:textFill>
                    </w:rPr>
                    <w:t>2</w:t>
                  </w:r>
                  <w:r>
                    <w:rPr>
                      <w:rFonts w:hint="eastAsia" w:cs="Times New Roman"/>
                      <w:color w:val="000000" w:themeColor="text1"/>
                      <w:spacing w:val="0"/>
                      <w:sz w:val="21"/>
                      <w:szCs w:val="21"/>
                      <w:highlight w:val="none"/>
                      <w:vertAlign w:val="baseline"/>
                      <w:lang w:val="en-US" w:eastAsia="zh-CN"/>
                      <w14:textFill>
                        <w14:solidFill>
                          <w14:schemeClr w14:val="tx1"/>
                        </w14:solidFill>
                      </w14:textFill>
                    </w:rPr>
                    <w:t>的危废暂存点，地面应做防渗处理，废矿物油、废油桶</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暂存于</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危废贮存</w:t>
                  </w:r>
                  <w:r>
                    <w:rPr>
                      <w:rFonts w:hint="eastAsia" w:cs="Times New Roman"/>
                      <w:color w:val="000000" w:themeColor="text1"/>
                      <w:spacing w:val="0"/>
                      <w:sz w:val="21"/>
                      <w:szCs w:val="21"/>
                      <w:highlight w:val="none"/>
                      <w:vertAlign w:val="baseline"/>
                      <w:lang w:val="en-US" w:eastAsia="zh-CN"/>
                      <w14:textFill>
                        <w14:solidFill>
                          <w14:schemeClr w14:val="tx1"/>
                        </w14:solidFill>
                      </w14:textFill>
                    </w:rPr>
                    <w:t>点</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定期委托有资质单位处置</w:t>
                  </w:r>
                </w:p>
              </w:tc>
              <w:tc>
                <w:tcPr>
                  <w:tcW w:w="919" w:type="dxa"/>
                  <w:tcBorders>
                    <w:tl2br w:val="nil"/>
                    <w:tr2bl w:val="nil"/>
                  </w:tcBorders>
                  <w:vAlign w:val="center"/>
                </w:tcPr>
                <w:p w14:paraId="3ED212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bCs/>
                      <w:color w:val="000000" w:themeColor="text1"/>
                      <w:spacing w:val="0"/>
                      <w:sz w:val="21"/>
                      <w:szCs w:val="21"/>
                      <w:highlight w:val="none"/>
                      <w:lang w:val="en-US" w:eastAsia="zh-CN"/>
                      <w14:textFill>
                        <w14:solidFill>
                          <w14:schemeClr w14:val="tx1"/>
                        </w14:solidFill>
                      </w14:textFill>
                    </w:rPr>
                    <w:t>依托现有构筑物（新建）</w:t>
                  </w:r>
                </w:p>
              </w:tc>
            </w:tr>
            <w:tr w14:paraId="6115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1" w:type="dxa"/>
                  <w:vMerge w:val="continue"/>
                  <w:tcBorders>
                    <w:tl2br w:val="nil"/>
                    <w:tr2bl w:val="nil"/>
                  </w:tcBorders>
                  <w:vAlign w:val="center"/>
                </w:tcPr>
                <w:p w14:paraId="5C898D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50" w:type="dxa"/>
                  <w:tcBorders>
                    <w:tl2br w:val="nil"/>
                    <w:tr2bl w:val="nil"/>
                  </w:tcBorders>
                  <w:vAlign w:val="center"/>
                </w:tcPr>
                <w:p w14:paraId="69A08E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噪声</w:t>
                  </w:r>
                </w:p>
              </w:tc>
              <w:tc>
                <w:tcPr>
                  <w:tcW w:w="1092" w:type="dxa"/>
                  <w:tcBorders>
                    <w:tl2br w:val="nil"/>
                    <w:tr2bl w:val="nil"/>
                  </w:tcBorders>
                  <w:vAlign w:val="center"/>
                </w:tcPr>
                <w:p w14:paraId="5FE119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14:textFill>
                        <w14:solidFill>
                          <w14:schemeClr w14:val="tx1"/>
                        </w14:solidFill>
                      </w14:textFill>
                    </w:rPr>
                    <w:t>生产设备</w:t>
                  </w:r>
                </w:p>
              </w:tc>
              <w:tc>
                <w:tcPr>
                  <w:tcW w:w="5388" w:type="dxa"/>
                  <w:tcBorders>
                    <w:tl2br w:val="nil"/>
                    <w:tr2bl w:val="nil"/>
                  </w:tcBorders>
                  <w:vAlign w:val="center"/>
                </w:tcPr>
                <w:p w14:paraId="25308B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pacing w:val="0"/>
                      <w:sz w:val="21"/>
                      <w:szCs w:val="21"/>
                      <w:highlight w:val="none"/>
                      <w14:textFill>
                        <w14:solidFill>
                          <w14:schemeClr w14:val="tx1"/>
                        </w14:solidFill>
                      </w14:textFill>
                    </w:rPr>
                    <w:t>选用低噪声设备，高噪音设备做基础减振、柔性连接，厂房隔声等，保持设备运行良好；车辆限速行驶，减少鸣笛</w:t>
                  </w:r>
                </w:p>
              </w:tc>
              <w:tc>
                <w:tcPr>
                  <w:tcW w:w="919" w:type="dxa"/>
                  <w:tcBorders>
                    <w:tl2br w:val="nil"/>
                    <w:tr2bl w:val="nil"/>
                  </w:tcBorders>
                  <w:vAlign w:val="center"/>
                </w:tcPr>
                <w:p w14:paraId="0063FE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bCs/>
                      <w:color w:val="000000" w:themeColor="text1"/>
                      <w:spacing w:val="0"/>
                      <w:sz w:val="21"/>
                      <w:szCs w:val="21"/>
                      <w:highlight w:val="none"/>
                      <w:lang w:val="en-US" w:eastAsia="zh-CN"/>
                      <w14:textFill>
                        <w14:solidFill>
                          <w14:schemeClr w14:val="tx1"/>
                        </w14:solidFill>
                      </w14:textFill>
                    </w:rPr>
                    <w:t>新建</w:t>
                  </w:r>
                </w:p>
              </w:tc>
            </w:tr>
          </w:tbl>
          <w:p w14:paraId="13D611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iCs/>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iCs/>
                <w:snapToGrid w:val="0"/>
                <w:color w:val="000000" w:themeColor="text1"/>
                <w:spacing w:val="0"/>
                <w:kern w:val="0"/>
                <w:sz w:val="21"/>
                <w:szCs w:val="21"/>
                <w:highlight w:val="none"/>
                <w:lang w:val="en-US" w:eastAsia="zh-CN" w:bidi="ar-SA"/>
                <w14:textFill>
                  <w14:solidFill>
                    <w14:schemeClr w14:val="tx1"/>
                  </w14:solidFill>
                </w14:textFill>
              </w:rPr>
              <w:t>表2.</w:t>
            </w:r>
            <w:r>
              <w:rPr>
                <w:rFonts w:hint="eastAsia" w:cs="Times New Roman"/>
                <w:b/>
                <w:bCs/>
                <w:iCs/>
                <w:snapToGrid w:val="0"/>
                <w:color w:val="000000" w:themeColor="text1"/>
                <w:spacing w:val="0"/>
                <w:kern w:val="0"/>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b/>
                <w:bCs/>
                <w:iCs/>
                <w:snapToGrid w:val="0"/>
                <w:color w:val="000000" w:themeColor="text1"/>
                <w:spacing w:val="0"/>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bCs/>
                <w:iCs/>
                <w:snapToGrid w:val="0"/>
                <w:color w:val="000000" w:themeColor="text1"/>
                <w:spacing w:val="0"/>
                <w:kern w:val="0"/>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b/>
                <w:bCs/>
                <w:iCs/>
                <w:snapToGrid w:val="0"/>
                <w:color w:val="000000" w:themeColor="text1"/>
                <w:spacing w:val="0"/>
                <w:kern w:val="0"/>
                <w:sz w:val="21"/>
                <w:szCs w:val="21"/>
                <w:highlight w:val="none"/>
                <w:lang w:val="en-US" w:eastAsia="zh-CN" w:bidi="ar-SA"/>
                <w14:textFill>
                  <w14:solidFill>
                    <w14:schemeClr w14:val="tx1"/>
                  </w14:solidFill>
                </w14:textFill>
              </w:rPr>
              <w:t xml:space="preserve">  </w:t>
            </w:r>
            <w:r>
              <w:rPr>
                <w:rFonts w:hint="eastAsia" w:ascii="Times New Roman" w:hAnsi="Times New Roman" w:eastAsia="宋体" w:cs="Times New Roman"/>
                <w:b/>
                <w:bCs/>
                <w:iCs/>
                <w:snapToGrid w:val="0"/>
                <w:color w:val="000000" w:themeColor="text1"/>
                <w:spacing w:val="0"/>
                <w:kern w:val="0"/>
                <w:sz w:val="21"/>
                <w:szCs w:val="21"/>
                <w:highlight w:val="none"/>
                <w:lang w:val="en-US" w:eastAsia="zh-CN" w:bidi="ar-SA"/>
                <w14:textFill>
                  <w14:solidFill>
                    <w14:schemeClr w14:val="tx1"/>
                  </w14:solidFill>
                </w14:textFill>
              </w:rPr>
              <w:t>依托工程</w:t>
            </w:r>
            <w:r>
              <w:rPr>
                <w:rFonts w:hint="default" w:ascii="Times New Roman" w:hAnsi="Times New Roman" w:eastAsia="宋体" w:cs="Times New Roman"/>
                <w:b/>
                <w:bCs/>
                <w:iCs/>
                <w:snapToGrid w:val="0"/>
                <w:color w:val="000000" w:themeColor="text1"/>
                <w:spacing w:val="0"/>
                <w:kern w:val="0"/>
                <w:sz w:val="21"/>
                <w:szCs w:val="21"/>
                <w:highlight w:val="none"/>
                <w:lang w:val="en-US" w:eastAsia="zh-CN" w:bidi="ar-SA"/>
                <w14:textFill>
                  <w14:solidFill>
                    <w14:schemeClr w14:val="tx1"/>
                  </w14:solidFill>
                </w14:textFill>
              </w:rPr>
              <w:t>一览表</w:t>
            </w:r>
          </w:p>
          <w:tbl>
            <w:tblPr>
              <w:tblStyle w:val="30"/>
              <w:tblW w:w="8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5"/>
              <w:gridCol w:w="408"/>
              <w:gridCol w:w="1083"/>
              <w:gridCol w:w="5375"/>
              <w:gridCol w:w="919"/>
            </w:tblGrid>
            <w:tr w14:paraId="765C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3" w:type="dxa"/>
                  <w:gridSpan w:val="2"/>
                  <w:tcBorders>
                    <w:tl2br w:val="nil"/>
                    <w:tr2bl w:val="nil"/>
                  </w:tcBorders>
                  <w:vAlign w:val="center"/>
                </w:tcPr>
                <w:p w14:paraId="2D391C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类别</w:t>
                  </w:r>
                </w:p>
              </w:tc>
              <w:tc>
                <w:tcPr>
                  <w:tcW w:w="1083" w:type="dxa"/>
                  <w:tcBorders>
                    <w:tl2br w:val="nil"/>
                    <w:tr2bl w:val="nil"/>
                  </w:tcBorders>
                  <w:vAlign w:val="center"/>
                </w:tcPr>
                <w:p w14:paraId="2E5FCA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项目</w:t>
                  </w:r>
                </w:p>
              </w:tc>
              <w:tc>
                <w:tcPr>
                  <w:tcW w:w="5375" w:type="dxa"/>
                  <w:tcBorders>
                    <w:tl2br w:val="nil"/>
                    <w:tr2bl w:val="nil"/>
                  </w:tcBorders>
                  <w:vAlign w:val="center"/>
                </w:tcPr>
                <w:p w14:paraId="28DE40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建设内容</w:t>
                  </w:r>
                </w:p>
              </w:tc>
              <w:tc>
                <w:tcPr>
                  <w:tcW w:w="919" w:type="dxa"/>
                  <w:tcBorders>
                    <w:tl2br w:val="nil"/>
                    <w:tr2bl w:val="nil"/>
                  </w:tcBorders>
                  <w:vAlign w:val="center"/>
                </w:tcPr>
                <w:p w14:paraId="0F6107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备注</w:t>
                  </w:r>
                </w:p>
              </w:tc>
            </w:tr>
            <w:tr w14:paraId="33887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3" w:type="dxa"/>
                  <w:gridSpan w:val="2"/>
                  <w:vMerge w:val="restart"/>
                  <w:tcBorders>
                    <w:tl2br w:val="nil"/>
                    <w:tr2bl w:val="nil"/>
                  </w:tcBorders>
                  <w:vAlign w:val="center"/>
                </w:tcPr>
                <w:p w14:paraId="63FBA7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辅助</w:t>
                  </w:r>
                </w:p>
                <w:p w14:paraId="48AC94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工程</w:t>
                  </w:r>
                </w:p>
              </w:tc>
              <w:tc>
                <w:tcPr>
                  <w:tcW w:w="1083" w:type="dxa"/>
                  <w:tcBorders>
                    <w:tl2br w:val="nil"/>
                    <w:tr2bl w:val="nil"/>
                  </w:tcBorders>
                  <w:vAlign w:val="center"/>
                </w:tcPr>
                <w:p w14:paraId="4E82A7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办公区</w:t>
                  </w:r>
                </w:p>
              </w:tc>
              <w:tc>
                <w:tcPr>
                  <w:tcW w:w="5375" w:type="dxa"/>
                  <w:tcBorders>
                    <w:tl2br w:val="nil"/>
                    <w:tr2bl w:val="nil"/>
                  </w:tcBorders>
                  <w:vAlign w:val="center"/>
                </w:tcPr>
                <w:p w14:paraId="3DC5B4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利用现有厂区西北侧的办公区，占地面积350</w:t>
                  </w:r>
                  <w:r>
                    <w:rPr>
                      <w:rFonts w:hint="default" w:ascii="Times New Roman" w:hAnsi="Times New Roman" w:cs="Times New Roman"/>
                      <w:color w:val="000000" w:themeColor="text1"/>
                      <w:spacing w:val="0"/>
                      <w:szCs w:val="21"/>
                      <w:highlight w:val="none"/>
                      <w14:textFill>
                        <w14:solidFill>
                          <w14:schemeClr w14:val="tx1"/>
                        </w14:solidFill>
                      </w14:textFill>
                    </w:rPr>
                    <w:t>m</w:t>
                  </w:r>
                  <w:r>
                    <w:rPr>
                      <w:rFonts w:hint="default" w:ascii="Times New Roman" w:hAnsi="Times New Roman" w:cs="Times New Roman"/>
                      <w:color w:val="000000" w:themeColor="text1"/>
                      <w:spacing w:val="0"/>
                      <w:szCs w:val="21"/>
                      <w:highlight w:val="none"/>
                      <w:vertAlign w:val="superscript"/>
                      <w14:textFill>
                        <w14:solidFill>
                          <w14:schemeClr w14:val="tx1"/>
                        </w14:solidFill>
                      </w14:textFill>
                    </w:rPr>
                    <w:t>2</w:t>
                  </w:r>
                </w:p>
              </w:tc>
              <w:tc>
                <w:tcPr>
                  <w:tcW w:w="919" w:type="dxa"/>
                  <w:tcBorders>
                    <w:tl2br w:val="nil"/>
                    <w:tr2bl w:val="nil"/>
                  </w:tcBorders>
                  <w:vAlign w:val="center"/>
                </w:tcPr>
                <w:p w14:paraId="2901D4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依托现有</w:t>
                  </w:r>
                </w:p>
              </w:tc>
            </w:tr>
            <w:tr w14:paraId="765F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3" w:type="dxa"/>
                  <w:gridSpan w:val="2"/>
                  <w:vMerge w:val="continue"/>
                  <w:tcBorders>
                    <w:tl2br w:val="nil"/>
                    <w:tr2bl w:val="nil"/>
                  </w:tcBorders>
                  <w:vAlign w:val="center"/>
                </w:tcPr>
                <w:p w14:paraId="1BBFF2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1083" w:type="dxa"/>
                  <w:tcBorders>
                    <w:tl2br w:val="nil"/>
                    <w:tr2bl w:val="nil"/>
                  </w:tcBorders>
                  <w:vAlign w:val="center"/>
                </w:tcPr>
                <w:p w14:paraId="64FAA9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地磅</w:t>
                  </w:r>
                </w:p>
              </w:tc>
              <w:tc>
                <w:tcPr>
                  <w:tcW w:w="5375" w:type="dxa"/>
                  <w:tcBorders>
                    <w:tl2br w:val="nil"/>
                    <w:tr2bl w:val="nil"/>
                  </w:tcBorders>
                  <w:vAlign w:val="center"/>
                </w:tcPr>
                <w:p w14:paraId="386770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利用现有厂区西侧出入口的地磅</w:t>
                  </w:r>
                </w:p>
              </w:tc>
              <w:tc>
                <w:tcPr>
                  <w:tcW w:w="919" w:type="dxa"/>
                  <w:tcBorders>
                    <w:tl2br w:val="nil"/>
                    <w:tr2bl w:val="nil"/>
                  </w:tcBorders>
                  <w:vAlign w:val="center"/>
                </w:tcPr>
                <w:p w14:paraId="6BB9CD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依托现有</w:t>
                  </w:r>
                </w:p>
              </w:tc>
            </w:tr>
            <w:tr w14:paraId="61D2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3" w:type="dxa"/>
                  <w:gridSpan w:val="2"/>
                  <w:vMerge w:val="continue"/>
                  <w:tcBorders>
                    <w:tl2br w:val="nil"/>
                    <w:tr2bl w:val="nil"/>
                  </w:tcBorders>
                  <w:vAlign w:val="center"/>
                </w:tcPr>
                <w:p w14:paraId="16027B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1083" w:type="dxa"/>
                  <w:tcBorders>
                    <w:tl2br w:val="nil"/>
                    <w:tr2bl w:val="nil"/>
                  </w:tcBorders>
                  <w:vAlign w:val="center"/>
                </w:tcPr>
                <w:p w14:paraId="099D1E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洗车平台</w:t>
                  </w:r>
                </w:p>
              </w:tc>
              <w:tc>
                <w:tcPr>
                  <w:tcW w:w="5375" w:type="dxa"/>
                  <w:tcBorders>
                    <w:tl2br w:val="nil"/>
                    <w:tr2bl w:val="nil"/>
                  </w:tcBorders>
                  <w:vAlign w:val="center"/>
                </w:tcPr>
                <w:p w14:paraId="6C3738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厂区西侧出入口处设有1座</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全自动洗车平台，具有保温、烘干功能，平台两侧内壁及底部设高压喷淋水喷头，清洗水压高于1.0MPa，单台车辆冲洗时间不低于100s；并配套设置1座容积为20m</w:t>
                  </w:r>
                  <w:r>
                    <w:rPr>
                      <w:rFonts w:hint="eastAsia" w:ascii="Times New Roman" w:hAnsi="Times New Roman" w:eastAsia="宋体" w:cs="Times New Roman"/>
                      <w:color w:val="000000" w:themeColor="text1"/>
                      <w:spacing w:val="0"/>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的洗车废水沉淀池（10m</w:t>
                  </w:r>
                  <w:r>
                    <w:rPr>
                      <w:rFonts w:hint="eastAsia" w:ascii="Times New Roman" w:hAnsi="Times New Roman" w:eastAsia="宋体" w:cs="Times New Roman"/>
                      <w:color w:val="000000" w:themeColor="text1"/>
                      <w:spacing w:val="0"/>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收集池+5m</w:t>
                  </w:r>
                  <w:r>
                    <w:rPr>
                      <w:rFonts w:hint="eastAsia" w:ascii="Times New Roman" w:hAnsi="Times New Roman" w:eastAsia="宋体" w:cs="Times New Roman"/>
                      <w:color w:val="000000" w:themeColor="text1"/>
                      <w:spacing w:val="0"/>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沉淀池+5m</w:t>
                  </w:r>
                  <w:r>
                    <w:rPr>
                      <w:rFonts w:hint="eastAsia" w:ascii="Times New Roman" w:hAnsi="Times New Roman" w:eastAsia="宋体" w:cs="Times New Roman"/>
                      <w:color w:val="000000" w:themeColor="text1"/>
                      <w:spacing w:val="0"/>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清水池）</w:t>
                  </w:r>
                  <w:r>
                    <w:rPr>
                      <w:rFonts w:hint="eastAsia" w:cs="Times New Roman"/>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水池之间有溢流口相连。洗车台前设有抖车台并配套建设有站房设置吹干装置（冬季采用热风，热源为电加热）保证冰冻季节正常使用</w:t>
                  </w:r>
                </w:p>
              </w:tc>
              <w:tc>
                <w:tcPr>
                  <w:tcW w:w="919" w:type="dxa"/>
                  <w:tcBorders>
                    <w:tl2br w:val="nil"/>
                    <w:tr2bl w:val="nil"/>
                  </w:tcBorders>
                  <w:vAlign w:val="center"/>
                </w:tcPr>
                <w:p w14:paraId="409372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依托现有</w:t>
                  </w:r>
                </w:p>
              </w:tc>
            </w:tr>
            <w:tr w14:paraId="5EC9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3" w:type="dxa"/>
                  <w:gridSpan w:val="2"/>
                  <w:vMerge w:val="restart"/>
                  <w:tcBorders>
                    <w:tl2br w:val="nil"/>
                    <w:tr2bl w:val="nil"/>
                  </w:tcBorders>
                  <w:vAlign w:val="center"/>
                </w:tcPr>
                <w:p w14:paraId="59095E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公用</w:t>
                  </w:r>
                </w:p>
                <w:p w14:paraId="689CF0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工程</w:t>
                  </w:r>
                </w:p>
              </w:tc>
              <w:tc>
                <w:tcPr>
                  <w:tcW w:w="1083" w:type="dxa"/>
                  <w:tcBorders>
                    <w:tl2br w:val="nil"/>
                    <w:tr2bl w:val="nil"/>
                  </w:tcBorders>
                  <w:vAlign w:val="center"/>
                </w:tcPr>
                <w:p w14:paraId="5F3391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供水</w:t>
                  </w:r>
                </w:p>
              </w:tc>
              <w:tc>
                <w:tcPr>
                  <w:tcW w:w="5375" w:type="dxa"/>
                  <w:tcBorders>
                    <w:tl2br w:val="nil"/>
                    <w:tr2bl w:val="nil"/>
                  </w:tcBorders>
                  <w:vAlign w:val="center"/>
                </w:tcPr>
                <w:p w14:paraId="2169DC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由厂区自备水井提供</w:t>
                  </w:r>
                </w:p>
              </w:tc>
              <w:tc>
                <w:tcPr>
                  <w:tcW w:w="919" w:type="dxa"/>
                  <w:tcBorders>
                    <w:tl2br w:val="nil"/>
                    <w:tr2bl w:val="nil"/>
                  </w:tcBorders>
                  <w:vAlign w:val="center"/>
                </w:tcPr>
                <w:p w14:paraId="0F9C47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依托现有</w:t>
                  </w:r>
                </w:p>
              </w:tc>
            </w:tr>
            <w:tr w14:paraId="5BF9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3" w:type="dxa"/>
                  <w:gridSpan w:val="2"/>
                  <w:vMerge w:val="continue"/>
                  <w:tcBorders>
                    <w:tl2br w:val="nil"/>
                    <w:tr2bl w:val="nil"/>
                  </w:tcBorders>
                  <w:vAlign w:val="center"/>
                </w:tcPr>
                <w:p w14:paraId="3C8C19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083" w:type="dxa"/>
                  <w:tcBorders>
                    <w:tl2br w:val="nil"/>
                    <w:tr2bl w:val="nil"/>
                  </w:tcBorders>
                  <w:vAlign w:val="center"/>
                </w:tcPr>
                <w:p w14:paraId="218738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供</w:t>
                  </w:r>
                  <w:r>
                    <w:rPr>
                      <w:rFonts w:hint="eastAsia" w:cs="Times New Roman"/>
                      <w:color w:val="000000" w:themeColor="text1"/>
                      <w:spacing w:val="0"/>
                      <w:sz w:val="21"/>
                      <w:szCs w:val="21"/>
                      <w:highlight w:val="none"/>
                      <w:lang w:val="en-US" w:eastAsia="zh-CN"/>
                      <w14:textFill>
                        <w14:solidFill>
                          <w14:schemeClr w14:val="tx1"/>
                        </w14:solidFill>
                      </w14:textFill>
                    </w:rPr>
                    <w:t>暖</w:t>
                  </w:r>
                </w:p>
              </w:tc>
              <w:tc>
                <w:tcPr>
                  <w:tcW w:w="5375" w:type="dxa"/>
                  <w:tcBorders>
                    <w:tl2br w:val="nil"/>
                    <w:tr2bl w:val="nil"/>
                  </w:tcBorders>
                  <w:vAlign w:val="center"/>
                </w:tcPr>
                <w:p w14:paraId="23127E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生产区冬季不采暖，生活区采暖使用电采暖</w:t>
                  </w:r>
                </w:p>
              </w:tc>
              <w:tc>
                <w:tcPr>
                  <w:tcW w:w="919" w:type="dxa"/>
                  <w:tcBorders>
                    <w:tl2br w:val="nil"/>
                    <w:tr2bl w:val="nil"/>
                  </w:tcBorders>
                  <w:vAlign w:val="center"/>
                </w:tcPr>
                <w:p w14:paraId="414CB5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依托现有</w:t>
                  </w:r>
                </w:p>
              </w:tc>
            </w:tr>
            <w:tr w14:paraId="2259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5" w:type="dxa"/>
                  <w:vMerge w:val="restart"/>
                  <w:tcBorders>
                    <w:tl2br w:val="nil"/>
                    <w:tr2bl w:val="nil"/>
                  </w:tcBorders>
                  <w:vAlign w:val="center"/>
                </w:tcPr>
                <w:p w14:paraId="1C3421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环保</w:t>
                  </w:r>
                </w:p>
                <w:p w14:paraId="1B81D8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工程</w:t>
                  </w:r>
                </w:p>
              </w:tc>
              <w:tc>
                <w:tcPr>
                  <w:tcW w:w="408" w:type="dxa"/>
                  <w:vMerge w:val="restart"/>
                  <w:tcBorders>
                    <w:tl2br w:val="nil"/>
                    <w:tr2bl w:val="nil"/>
                  </w:tcBorders>
                  <w:vAlign w:val="center"/>
                </w:tcPr>
                <w:p w14:paraId="752E6D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废水</w:t>
                  </w:r>
                </w:p>
              </w:tc>
              <w:tc>
                <w:tcPr>
                  <w:tcW w:w="1083" w:type="dxa"/>
                  <w:tcBorders>
                    <w:tl2br w:val="nil"/>
                    <w:tr2bl w:val="nil"/>
                  </w:tcBorders>
                  <w:vAlign w:val="center"/>
                </w:tcPr>
                <w:p w14:paraId="042743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生活污水</w:t>
                  </w:r>
                </w:p>
              </w:tc>
              <w:tc>
                <w:tcPr>
                  <w:tcW w:w="5375" w:type="dxa"/>
                  <w:tcBorders>
                    <w:tl2br w:val="nil"/>
                    <w:tr2bl w:val="nil"/>
                  </w:tcBorders>
                  <w:vAlign w:val="center"/>
                </w:tcPr>
                <w:p w14:paraId="696A20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排入厂区现有旱厕，定时清掏，不外排</w:t>
                  </w:r>
                </w:p>
              </w:tc>
              <w:tc>
                <w:tcPr>
                  <w:tcW w:w="919" w:type="dxa"/>
                  <w:tcBorders>
                    <w:tl2br w:val="nil"/>
                    <w:tr2bl w:val="nil"/>
                  </w:tcBorders>
                  <w:vAlign w:val="center"/>
                </w:tcPr>
                <w:p w14:paraId="7B82EB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bCs/>
                      <w:color w:val="000000" w:themeColor="text1"/>
                      <w:spacing w:val="0"/>
                      <w:sz w:val="21"/>
                      <w:szCs w:val="21"/>
                      <w:highlight w:val="none"/>
                      <w:lang w:val="en-US" w:eastAsia="zh-CN"/>
                      <w14:textFill>
                        <w14:solidFill>
                          <w14:schemeClr w14:val="tx1"/>
                        </w14:solidFill>
                      </w14:textFill>
                    </w:rPr>
                    <w:t>依托现有构筑物（新建）</w:t>
                  </w:r>
                </w:p>
              </w:tc>
            </w:tr>
            <w:tr w14:paraId="442D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5" w:type="dxa"/>
                  <w:vMerge w:val="continue"/>
                  <w:tcBorders>
                    <w:tl2br w:val="nil"/>
                    <w:tr2bl w:val="nil"/>
                  </w:tcBorders>
                  <w:vAlign w:val="center"/>
                </w:tcPr>
                <w:p w14:paraId="122859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08" w:type="dxa"/>
                  <w:vMerge w:val="continue"/>
                  <w:tcBorders>
                    <w:tl2br w:val="nil"/>
                    <w:tr2bl w:val="nil"/>
                  </w:tcBorders>
                  <w:vAlign w:val="center"/>
                </w:tcPr>
                <w:p w14:paraId="54AA9B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083" w:type="dxa"/>
                  <w:tcBorders>
                    <w:tl2br w:val="nil"/>
                    <w:tr2bl w:val="nil"/>
                  </w:tcBorders>
                  <w:vAlign w:val="center"/>
                </w:tcPr>
                <w:p w14:paraId="02C8BA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14:textFill>
                        <w14:solidFill>
                          <w14:schemeClr w14:val="tx1"/>
                        </w14:solidFill>
                      </w14:textFill>
                    </w:rPr>
                    <w:t>洗车废水</w:t>
                  </w:r>
                </w:p>
              </w:tc>
              <w:tc>
                <w:tcPr>
                  <w:tcW w:w="5375" w:type="dxa"/>
                  <w:tcBorders>
                    <w:tl2br w:val="nil"/>
                    <w:tr2bl w:val="nil"/>
                  </w:tcBorders>
                  <w:vAlign w:val="center"/>
                </w:tcPr>
                <w:p w14:paraId="3E356EA3">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依托厂区内现有洗车平台</w:t>
                  </w:r>
                  <w:r>
                    <w:rPr>
                      <w:rFonts w:hint="eastAsia" w:cs="Times New Roman"/>
                      <w:color w:val="000000" w:themeColor="text1"/>
                      <w:spacing w:val="0"/>
                      <w:kern w:val="2"/>
                      <w:sz w:val="21"/>
                      <w:szCs w:val="21"/>
                      <w:highlight w:val="none"/>
                      <w:vertAlign w:val="baseline"/>
                      <w:lang w:val="en-US" w:eastAsia="zh-CN" w:bidi="ar-SA"/>
                      <w14:textFill>
                        <w14:solidFill>
                          <w14:schemeClr w14:val="tx1"/>
                        </w14:solidFill>
                      </w14:textFill>
                    </w:rPr>
                    <w:t>，</w:t>
                  </w:r>
                  <w:r>
                    <w:rPr>
                      <w:rFonts w:hint="eastAsia" w:cs="Times New Roman"/>
                      <w:color w:val="000000" w:themeColor="text1"/>
                      <w:spacing w:val="0"/>
                      <w:sz w:val="21"/>
                      <w:szCs w:val="21"/>
                      <w:highlight w:val="none"/>
                      <w:lang w:val="en-US" w:eastAsia="zh-CN"/>
                      <w14:textFill>
                        <w14:solidFill>
                          <w14:schemeClr w14:val="tx1"/>
                        </w14:solidFill>
                      </w14:textFill>
                    </w:rPr>
                    <w:t>经厂区现有沉淀池沉淀后</w:t>
                  </w:r>
                  <w:r>
                    <w:rPr>
                      <w:rFonts w:hint="default" w:ascii="Times New Roman" w:hAnsi="Times New Roman" w:cs="Times New Roman"/>
                      <w:color w:val="000000" w:themeColor="text1"/>
                      <w:spacing w:val="0"/>
                      <w:sz w:val="21"/>
                      <w:szCs w:val="21"/>
                      <w:highlight w:val="none"/>
                      <w14:textFill>
                        <w14:solidFill>
                          <w14:schemeClr w14:val="tx1"/>
                        </w14:solidFill>
                      </w14:textFill>
                    </w:rPr>
                    <w:t>，回用至</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洗车</w:t>
                  </w:r>
                  <w:r>
                    <w:rPr>
                      <w:rFonts w:hint="default" w:ascii="Times New Roman" w:hAnsi="Times New Roman" w:cs="Times New Roman"/>
                      <w:color w:val="000000" w:themeColor="text1"/>
                      <w:spacing w:val="0"/>
                      <w:sz w:val="21"/>
                      <w:szCs w:val="21"/>
                      <w:highlight w:val="none"/>
                      <w14:textFill>
                        <w14:solidFill>
                          <w14:schemeClr w14:val="tx1"/>
                        </w14:solidFill>
                      </w14:textFill>
                    </w:rPr>
                    <w:t>工序，循环使用，不排放</w:t>
                  </w:r>
                </w:p>
              </w:tc>
              <w:tc>
                <w:tcPr>
                  <w:tcW w:w="919" w:type="dxa"/>
                  <w:tcBorders>
                    <w:tl2br w:val="nil"/>
                    <w:tr2bl w:val="nil"/>
                  </w:tcBorders>
                  <w:vAlign w:val="center"/>
                </w:tcPr>
                <w:p w14:paraId="0DD2F0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eastAsia" w:cs="Times New Roman"/>
                      <w:bCs/>
                      <w:color w:val="000000" w:themeColor="text1"/>
                      <w:spacing w:val="0"/>
                      <w:sz w:val="21"/>
                      <w:szCs w:val="21"/>
                      <w:highlight w:val="none"/>
                      <w:lang w:val="en-US" w:eastAsia="zh-CN"/>
                      <w14:textFill>
                        <w14:solidFill>
                          <w14:schemeClr w14:val="tx1"/>
                        </w14:solidFill>
                      </w14:textFill>
                    </w:rPr>
                    <w:t>依托现有构筑物（新建）</w:t>
                  </w:r>
                </w:p>
              </w:tc>
            </w:tr>
            <w:tr w14:paraId="4809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5" w:type="dxa"/>
                  <w:vMerge w:val="continue"/>
                  <w:tcBorders>
                    <w:tl2br w:val="nil"/>
                    <w:tr2bl w:val="nil"/>
                  </w:tcBorders>
                  <w:vAlign w:val="center"/>
                </w:tcPr>
                <w:p w14:paraId="7236D0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08" w:type="dxa"/>
                  <w:vMerge w:val="continue"/>
                  <w:tcBorders>
                    <w:tl2br w:val="nil"/>
                    <w:tr2bl w:val="nil"/>
                  </w:tcBorders>
                  <w:vAlign w:val="center"/>
                </w:tcPr>
                <w:p w14:paraId="1FD867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083" w:type="dxa"/>
                  <w:tcBorders>
                    <w:tl2br w:val="nil"/>
                    <w:tr2bl w:val="nil"/>
                  </w:tcBorders>
                  <w:vAlign w:val="center"/>
                </w:tcPr>
                <w:p w14:paraId="3AA490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初期雨水</w:t>
                  </w:r>
                </w:p>
              </w:tc>
              <w:tc>
                <w:tcPr>
                  <w:tcW w:w="5375" w:type="dxa"/>
                  <w:tcBorders>
                    <w:tl2br w:val="nil"/>
                    <w:tr2bl w:val="nil"/>
                  </w:tcBorders>
                  <w:vAlign w:val="center"/>
                </w:tcPr>
                <w:p w14:paraId="0CE674F0">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厂区南侧已设置1座380m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初期雨水池</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雨水经沉淀后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用于厂区洒水抑尘</w:t>
                  </w:r>
                </w:p>
              </w:tc>
              <w:tc>
                <w:tcPr>
                  <w:tcW w:w="919" w:type="dxa"/>
                  <w:tcBorders>
                    <w:tl2br w:val="nil"/>
                    <w:tr2bl w:val="nil"/>
                  </w:tcBorders>
                  <w:vAlign w:val="center"/>
                </w:tcPr>
                <w:p w14:paraId="4454DD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Cs/>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依托现有</w:t>
                  </w:r>
                </w:p>
              </w:tc>
            </w:tr>
            <w:tr w14:paraId="3B3B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5" w:type="dxa"/>
                  <w:vMerge w:val="continue"/>
                  <w:tcBorders>
                    <w:tl2br w:val="nil"/>
                    <w:tr2bl w:val="nil"/>
                  </w:tcBorders>
                  <w:vAlign w:val="center"/>
                </w:tcPr>
                <w:p w14:paraId="41EF79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08" w:type="dxa"/>
                  <w:tcBorders>
                    <w:tl2br w:val="nil"/>
                    <w:tr2bl w:val="nil"/>
                  </w:tcBorders>
                  <w:vAlign w:val="center"/>
                </w:tcPr>
                <w:p w14:paraId="1CC03B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固废</w:t>
                  </w:r>
                </w:p>
              </w:tc>
              <w:tc>
                <w:tcPr>
                  <w:tcW w:w="1083" w:type="dxa"/>
                  <w:tcBorders>
                    <w:tl2br w:val="nil"/>
                    <w:tr2bl w:val="nil"/>
                  </w:tcBorders>
                  <w:vAlign w:val="center"/>
                </w:tcPr>
                <w:p w14:paraId="0932AD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废矿物油</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、废油桶</w:t>
                  </w:r>
                </w:p>
              </w:tc>
              <w:tc>
                <w:tcPr>
                  <w:tcW w:w="5375" w:type="dxa"/>
                  <w:tcBorders>
                    <w:tl2br w:val="nil"/>
                    <w:tr2bl w:val="nil"/>
                  </w:tcBorders>
                  <w:vAlign w:val="center"/>
                </w:tcPr>
                <w:p w14:paraId="0D4C7D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位于厂区西北侧，建设1座占地面积约40m</w:t>
                  </w:r>
                  <w:r>
                    <w:rPr>
                      <w:rFonts w:hint="eastAsia" w:cs="Times New Roman"/>
                      <w:color w:val="000000" w:themeColor="text1"/>
                      <w:spacing w:val="0"/>
                      <w:sz w:val="21"/>
                      <w:szCs w:val="21"/>
                      <w:highlight w:val="none"/>
                      <w:vertAlign w:val="superscript"/>
                      <w:lang w:val="en-US" w:eastAsia="zh-CN"/>
                      <w14:textFill>
                        <w14:solidFill>
                          <w14:schemeClr w14:val="tx1"/>
                        </w14:solidFill>
                      </w14:textFill>
                    </w:rPr>
                    <w:t>2</w:t>
                  </w:r>
                  <w:r>
                    <w:rPr>
                      <w:rFonts w:hint="eastAsia" w:cs="Times New Roman"/>
                      <w:color w:val="000000" w:themeColor="text1"/>
                      <w:spacing w:val="0"/>
                      <w:sz w:val="21"/>
                      <w:szCs w:val="21"/>
                      <w:highlight w:val="none"/>
                      <w:vertAlign w:val="baseline"/>
                      <w:lang w:val="en-US" w:eastAsia="zh-CN"/>
                      <w14:textFill>
                        <w14:solidFill>
                          <w14:schemeClr w14:val="tx1"/>
                        </w14:solidFill>
                      </w14:textFill>
                    </w:rPr>
                    <w:t>的危废暂存点，地面应做防渗处理，废矿物油、废油桶</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暂存于</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危废贮存</w:t>
                  </w:r>
                  <w:r>
                    <w:rPr>
                      <w:rFonts w:hint="eastAsia" w:cs="Times New Roman"/>
                      <w:color w:val="000000" w:themeColor="text1"/>
                      <w:spacing w:val="0"/>
                      <w:sz w:val="21"/>
                      <w:szCs w:val="21"/>
                      <w:highlight w:val="none"/>
                      <w:vertAlign w:val="baseline"/>
                      <w:lang w:val="en-US" w:eastAsia="zh-CN"/>
                      <w14:textFill>
                        <w14:solidFill>
                          <w14:schemeClr w14:val="tx1"/>
                        </w14:solidFill>
                      </w14:textFill>
                    </w:rPr>
                    <w:t>点</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定期委托有资质单位处置</w:t>
                  </w:r>
                </w:p>
              </w:tc>
              <w:tc>
                <w:tcPr>
                  <w:tcW w:w="919" w:type="dxa"/>
                  <w:tcBorders>
                    <w:tl2br w:val="nil"/>
                    <w:tr2bl w:val="nil"/>
                  </w:tcBorders>
                  <w:vAlign w:val="center"/>
                </w:tcPr>
                <w:p w14:paraId="293D32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bCs/>
                      <w:color w:val="000000" w:themeColor="text1"/>
                      <w:spacing w:val="0"/>
                      <w:sz w:val="21"/>
                      <w:szCs w:val="21"/>
                      <w:highlight w:val="none"/>
                      <w:lang w:val="en-US" w:eastAsia="zh-CN"/>
                      <w14:textFill>
                        <w14:solidFill>
                          <w14:schemeClr w14:val="tx1"/>
                        </w14:solidFill>
                      </w14:textFill>
                    </w:rPr>
                    <w:t>依托现有构筑物（新建）</w:t>
                  </w:r>
                </w:p>
              </w:tc>
            </w:tr>
          </w:tbl>
          <w:p w14:paraId="42979B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b/>
                <w:bCs/>
                <w:color w:val="000000" w:themeColor="text1"/>
                <w:sz w:val="24"/>
                <w14:textFill>
                  <w14:solidFill>
                    <w14:schemeClr w14:val="tx1"/>
                  </w14:solidFill>
                </w14:textFill>
              </w:rPr>
            </w:pPr>
            <w:r>
              <w:rPr>
                <w:rFonts w:hint="default"/>
                <w:b/>
                <w:bCs/>
                <w:color w:val="000000" w:themeColor="text1"/>
                <w:sz w:val="24"/>
                <w14:textFill>
                  <w14:solidFill>
                    <w14:schemeClr w14:val="tx1"/>
                  </w14:solidFill>
                </w14:textFill>
              </w:rPr>
              <w:t>依托工程可行性分析：</w:t>
            </w:r>
          </w:p>
          <w:p w14:paraId="7E0A35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 w:val="0"/>
                <w:bCs w:val="0"/>
                <w:color w:val="000000" w:themeColor="text1"/>
                <w:sz w:val="24"/>
                <w:lang w:val="en-US" w:eastAsia="zh-CN"/>
                <w14:textFill>
                  <w14:solidFill>
                    <w14:schemeClr w14:val="tx1"/>
                  </w14:solidFill>
                </w14:textFill>
              </w:rPr>
            </w:pPr>
            <w:r>
              <w:rPr>
                <w:rFonts w:hint="eastAsia" w:cs="Times New Roman"/>
                <w:color w:val="000000" w:themeColor="text1"/>
                <w:spacing w:val="0"/>
                <w:sz w:val="24"/>
                <w:szCs w:val="20"/>
                <w:highlight w:val="none"/>
                <w:lang w:val="en-US" w:eastAsia="zh-CN"/>
                <w14:textFill>
                  <w14:solidFill>
                    <w14:schemeClr w14:val="tx1"/>
                  </w14:solidFill>
                </w14:textFill>
              </w:rPr>
              <w:t>本项目租赁富健达洗煤厂厂区北侧占地，占地原为煤矸石棚，本次环评拟拆除现有煤矸石棚和危废贮存库，并重新建设1座全封闭式钢结构生产车间，</w:t>
            </w:r>
            <w:r>
              <w:rPr>
                <w:rFonts w:hint="eastAsia" w:cs="Times New Roman"/>
                <w:color w:val="000000" w:themeColor="text1"/>
                <w:spacing w:val="0"/>
                <w:sz w:val="24"/>
                <w:szCs w:val="20"/>
                <w:highlight w:val="none"/>
                <w:vertAlign w:val="baseline"/>
                <w:lang w:val="en-US" w:eastAsia="zh-CN"/>
                <w14:textFill>
                  <w14:solidFill>
                    <w14:schemeClr w14:val="tx1"/>
                  </w14:solidFill>
                </w14:textFill>
              </w:rPr>
              <w:t>厂区西北侧2间库房改造成2座危废贮存点，1#危废贮存点为本项目使用，2#危废贮存点为富健达洗煤厂使用，</w:t>
            </w:r>
            <w:r>
              <w:rPr>
                <w:rFonts w:hint="eastAsia" w:cs="Times New Roman"/>
                <w:color w:val="000000" w:themeColor="text1"/>
                <w:spacing w:val="0"/>
                <w:sz w:val="24"/>
                <w:szCs w:val="20"/>
                <w:highlight w:val="none"/>
                <w:lang w:val="en-US" w:eastAsia="zh-CN"/>
                <w14:textFill>
                  <w14:solidFill>
                    <w14:schemeClr w14:val="tx1"/>
                  </w14:solidFill>
                </w14:textFill>
              </w:rPr>
              <w:t>厂区内</w:t>
            </w:r>
            <w:r>
              <w:rPr>
                <w:rFonts w:hint="eastAsia" w:cs="Times New Roman"/>
                <w:color w:val="000000" w:themeColor="text1"/>
                <w:spacing w:val="0"/>
                <w:sz w:val="24"/>
                <w:szCs w:val="20"/>
                <w:highlight w:val="none"/>
                <w:vertAlign w:val="baseline"/>
                <w:lang w:val="en-US" w:eastAsia="zh-CN"/>
                <w14:textFill>
                  <w14:solidFill>
                    <w14:schemeClr w14:val="tx1"/>
                  </w14:solidFill>
                </w14:textFill>
              </w:rPr>
              <w:t>其他构筑物均保留</w:t>
            </w:r>
            <w:r>
              <w:rPr>
                <w:rFonts w:hint="eastAsia" w:cs="Times New Roman"/>
                <w:color w:val="000000" w:themeColor="text1"/>
                <w:spacing w:val="0"/>
                <w:sz w:val="24"/>
                <w:szCs w:val="20"/>
                <w:highlight w:val="none"/>
                <w:lang w:val="en-US"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成品堆放区和原料堆放区均位于全封闭式生产车间内，设置1条年处理120万吨煤矸石生产线，以及生产配套及环保设施的安装。依托工程主要涉及洗车平台、地磅、办公区等。</w:t>
            </w:r>
          </w:p>
          <w:p w14:paraId="2987A4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（1）洗车平台、磅房</w:t>
            </w:r>
          </w:p>
          <w:p w14:paraId="24EF3F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厂区</w:t>
            </w:r>
            <w:r>
              <w:rPr>
                <w:rFonts w:hint="eastAsia" w:cs="Times New Roman"/>
                <w:color w:val="000000" w:themeColor="text1"/>
                <w:sz w:val="24"/>
                <w:lang w:val="en-US" w:eastAsia="zh-CN"/>
                <w14:textFill>
                  <w14:solidFill>
                    <w14:schemeClr w14:val="tx1"/>
                  </w14:solidFill>
                </w14:textFill>
              </w:rPr>
              <w:t>西侧</w:t>
            </w:r>
            <w:r>
              <w:rPr>
                <w:rFonts w:hint="default" w:ascii="Times New Roman" w:hAnsi="Times New Roman" w:cs="Times New Roman"/>
                <w:color w:val="000000" w:themeColor="text1"/>
                <w:sz w:val="24"/>
                <w:lang w:val="en-US" w:eastAsia="zh-CN"/>
                <w14:textFill>
                  <w14:solidFill>
                    <w14:schemeClr w14:val="tx1"/>
                  </w14:solidFill>
                </w14:textFill>
              </w:rPr>
              <w:t>设有</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lang w:val="en-US" w:eastAsia="zh-CN"/>
                <w14:textFill>
                  <w14:solidFill>
                    <w14:schemeClr w14:val="tx1"/>
                  </w14:solidFill>
                </w14:textFill>
              </w:rPr>
              <w:t>个出入口，出入口设有1座全自动洗车平台</w:t>
            </w:r>
            <w:r>
              <w:rPr>
                <w:rFonts w:hint="eastAsia" w:cs="Times New Roman"/>
                <w:color w:val="000000" w:themeColor="text1"/>
                <w:sz w:val="24"/>
                <w:lang w:val="en-US" w:eastAsia="zh-CN"/>
                <w14:textFill>
                  <w14:solidFill>
                    <w14:schemeClr w14:val="tx1"/>
                  </w14:solidFill>
                </w14:textFill>
              </w:rPr>
              <w:t>和</w:t>
            </w:r>
            <w:r>
              <w:rPr>
                <w:rFonts w:hint="eastAsia" w:ascii="Times New Roman" w:hAnsi="Times New Roman" w:cs="Times New Roman"/>
                <w:color w:val="000000" w:themeColor="text1"/>
                <w:sz w:val="24"/>
                <w:lang w:val="en-US" w:eastAsia="zh-CN"/>
                <w14:textFill>
                  <w14:solidFill>
                    <w14:schemeClr w14:val="tx1"/>
                  </w14:solidFill>
                </w14:textFill>
              </w:rPr>
              <w:t>1座</w:t>
            </w:r>
            <w:r>
              <w:rPr>
                <w:rFonts w:hint="eastAsia" w:cs="Times New Roman"/>
                <w:color w:val="000000" w:themeColor="text1"/>
                <w:sz w:val="24"/>
                <w:lang w:val="en-US" w:eastAsia="zh-CN"/>
                <w14:textFill>
                  <w14:solidFill>
                    <w14:schemeClr w14:val="tx1"/>
                  </w14:solidFill>
                </w14:textFill>
              </w:rPr>
              <w:t>地磅</w:t>
            </w:r>
            <w:r>
              <w:rPr>
                <w:rFonts w:hint="default" w:ascii="Times New Roman" w:hAnsi="Times New Roman" w:cs="Times New Roman"/>
                <w:color w:val="000000" w:themeColor="text1"/>
                <w:sz w:val="24"/>
                <w14:textFill>
                  <w14:solidFill>
                    <w14:schemeClr w14:val="tx1"/>
                  </w14:solidFill>
                </w14:textFill>
              </w:rPr>
              <w:t>，洗车平台和磅房可以满足</w:t>
            </w:r>
            <w:r>
              <w:rPr>
                <w:rFonts w:hint="eastAsia" w:cs="Times New Roman"/>
                <w:color w:val="000000" w:themeColor="text1"/>
                <w:sz w:val="24"/>
                <w:lang w:val="en-US" w:eastAsia="zh-CN"/>
                <w14:textFill>
                  <w14:solidFill>
                    <w14:schemeClr w14:val="tx1"/>
                  </w14:solidFill>
                </w14:textFill>
              </w:rPr>
              <w:t>本项目的</w:t>
            </w:r>
            <w:r>
              <w:rPr>
                <w:rFonts w:hint="default" w:ascii="Times New Roman" w:hAnsi="Times New Roman" w:cs="Times New Roman"/>
                <w:color w:val="000000" w:themeColor="text1"/>
                <w:sz w:val="24"/>
                <w14:textFill>
                  <w14:solidFill>
                    <w14:schemeClr w14:val="tx1"/>
                  </w14:solidFill>
                </w14:textFill>
              </w:rPr>
              <w:t>生产需求。</w:t>
            </w:r>
          </w:p>
          <w:p w14:paraId="7C4FC9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（2）办公区、供水、供暖</w:t>
            </w:r>
          </w:p>
          <w:p w14:paraId="1AC845C1">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w:t>
            </w:r>
            <w:r>
              <w:rPr>
                <w:rFonts w:hint="eastAsia"/>
                <w:color w:val="000000" w:themeColor="text1"/>
                <w:sz w:val="24"/>
                <w:lang w:val="en-US" w:eastAsia="zh-CN"/>
                <w14:textFill>
                  <w14:solidFill>
                    <w14:schemeClr w14:val="tx1"/>
                  </w14:solidFill>
                </w14:textFill>
              </w:rPr>
              <w:t>项目</w:t>
            </w:r>
            <w:r>
              <w:rPr>
                <w:rFonts w:hint="default"/>
                <w:color w:val="000000" w:themeColor="text1"/>
                <w:sz w:val="24"/>
                <w14:textFill>
                  <w14:solidFill>
                    <w14:schemeClr w14:val="tx1"/>
                  </w14:solidFill>
                </w14:textFill>
              </w:rPr>
              <w:t>劳动人员</w:t>
            </w:r>
            <w:r>
              <w:rPr>
                <w:rFonts w:hint="eastAsia"/>
                <w:color w:val="000000" w:themeColor="text1"/>
                <w:sz w:val="24"/>
                <w:lang w:val="en-US" w:eastAsia="zh-CN"/>
                <w14:textFill>
                  <w14:solidFill>
                    <w14:schemeClr w14:val="tx1"/>
                  </w14:solidFill>
                </w14:textFill>
              </w:rPr>
              <w:t>依托现有厂区内西北的办公区进行生活办公</w:t>
            </w:r>
            <w:r>
              <w:rPr>
                <w:rFonts w:hint="default"/>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用水由厂内自备水井提供，生活区供暖采用电采暖，</w:t>
            </w:r>
            <w:r>
              <w:rPr>
                <w:rFonts w:hint="default"/>
                <w:color w:val="000000" w:themeColor="text1"/>
                <w:sz w:val="24"/>
                <w14:textFill>
                  <w14:solidFill>
                    <w14:schemeClr w14:val="tx1"/>
                  </w14:solidFill>
                </w14:textFill>
              </w:rPr>
              <w:t>目前办公区</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供水、供暖</w:t>
            </w:r>
            <w:r>
              <w:rPr>
                <w:rFonts w:hint="default"/>
                <w:color w:val="000000" w:themeColor="text1"/>
                <w:sz w:val="24"/>
                <w14:textFill>
                  <w14:solidFill>
                    <w14:schemeClr w14:val="tx1"/>
                  </w14:solidFill>
                </w14:textFill>
              </w:rPr>
              <w:t>可以满足</w:t>
            </w:r>
            <w:r>
              <w:rPr>
                <w:rFonts w:hint="eastAsia"/>
                <w:color w:val="000000" w:themeColor="text1"/>
                <w:sz w:val="24"/>
                <w:lang w:val="en-US" w:eastAsia="zh-CN"/>
                <w14:textFill>
                  <w14:solidFill>
                    <w14:schemeClr w14:val="tx1"/>
                  </w14:solidFill>
                </w14:textFill>
              </w:rPr>
              <w:t>本项目</w:t>
            </w:r>
            <w:r>
              <w:rPr>
                <w:rFonts w:hint="default"/>
                <w:color w:val="000000" w:themeColor="text1"/>
                <w:sz w:val="24"/>
                <w14:textFill>
                  <w14:solidFill>
                    <w14:schemeClr w14:val="tx1"/>
                  </w14:solidFill>
                </w14:textFill>
              </w:rPr>
              <w:t>职工办公需求，因此，本次依托办公区</w:t>
            </w:r>
            <w:r>
              <w:rPr>
                <w:rFonts w:hint="eastAsia"/>
                <w:color w:val="000000" w:themeColor="text1"/>
                <w:sz w:val="24"/>
                <w:lang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供水、供暖</w:t>
            </w:r>
            <w:r>
              <w:rPr>
                <w:rFonts w:hint="default"/>
                <w:color w:val="000000" w:themeColor="text1"/>
                <w:sz w:val="24"/>
                <w14:textFill>
                  <w14:solidFill>
                    <w14:schemeClr w14:val="tx1"/>
                  </w14:solidFill>
                </w14:textFill>
              </w:rPr>
              <w:t>可行。</w:t>
            </w:r>
          </w:p>
          <w:p w14:paraId="66DBDEC0">
            <w:pPr>
              <w:keepNext w:val="0"/>
              <w:keepLines w:val="0"/>
              <w:suppressLineNumbers w:val="0"/>
              <w:adjustRightInd w:val="0"/>
              <w:snapToGrid w:val="0"/>
              <w:spacing w:before="0" w:beforeAutospacing="0" w:after="0" w:afterAutospacing="0" w:line="480" w:lineRule="exact"/>
              <w:ind w:left="0" w:right="0" w:firstLine="480" w:firstLineChars="200"/>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初期雨水池、旱厕</w:t>
            </w:r>
          </w:p>
          <w:p w14:paraId="6F9BC9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本项目在富健达洗煤厂现有厂区内，厂区南侧现有1座380m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初期雨水收集池，池底和四周已做防渗处理；厂区内设置1座旱厕，生活污水排入旱厕，定时清掏；可以满足</w:t>
            </w:r>
            <w:r>
              <w:rPr>
                <w:rFonts w:hint="eastAsia" w:cs="Times New Roman"/>
                <w:color w:val="000000" w:themeColor="text1"/>
                <w:sz w:val="24"/>
                <w:lang w:val="en-US" w:eastAsia="zh-CN"/>
                <w14:textFill>
                  <w14:solidFill>
                    <w14:schemeClr w14:val="tx1"/>
                  </w14:solidFill>
                </w14:textFill>
              </w:rPr>
              <w:t>本项目的</w:t>
            </w:r>
            <w:r>
              <w:rPr>
                <w:rFonts w:hint="default" w:ascii="Times New Roman" w:hAnsi="Times New Roman" w:cs="Times New Roman"/>
                <w:color w:val="000000" w:themeColor="text1"/>
                <w:sz w:val="24"/>
                <w14:textFill>
                  <w14:solidFill>
                    <w14:schemeClr w14:val="tx1"/>
                  </w14:solidFill>
                </w14:textFill>
              </w:rPr>
              <w:t>生产需求</w:t>
            </w:r>
            <w:r>
              <w:rPr>
                <w:rFonts w:hint="eastAsia" w:ascii="Times New Roman" w:hAnsi="Times New Roman" w:cs="Times New Roman"/>
                <w:color w:val="000000" w:themeColor="text1"/>
                <w:sz w:val="24"/>
                <w:lang w:eastAsia="zh-CN"/>
                <w14:textFill>
                  <w14:solidFill>
                    <w14:schemeClr w14:val="tx1"/>
                  </w14:solidFill>
                </w14:textFill>
              </w:rPr>
              <w:t>。</w:t>
            </w:r>
          </w:p>
          <w:p w14:paraId="4148B8A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（4）</w:t>
            </w:r>
            <w:r>
              <w:rPr>
                <w:rFonts w:hint="eastAsia" w:cs="Times New Roman"/>
                <w:color w:val="000000" w:themeColor="text1"/>
                <w:sz w:val="24"/>
                <w:lang w:val="en-US" w:eastAsia="zh-CN"/>
                <w14:textFill>
                  <w14:solidFill>
                    <w14:schemeClr w14:val="tx1"/>
                  </w14:solidFill>
                </w14:textFill>
              </w:rPr>
              <w:t>危废贮存点</w:t>
            </w:r>
          </w:p>
          <w:p w14:paraId="1812D44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cs="Times New Roman"/>
                <w:color w:val="000000" w:themeColor="text1"/>
                <w:spacing w:val="0"/>
                <w:sz w:val="24"/>
                <w:szCs w:val="20"/>
                <w:highlight w:val="none"/>
                <w:vertAlign w:val="baseline"/>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本次环评将拆除厂区现有1座危废贮存库，并利用厂区西北侧2间库房改造2座危废贮存点，</w:t>
            </w:r>
            <w:r>
              <w:rPr>
                <w:rFonts w:hint="eastAsia" w:cs="Times New Roman"/>
                <w:color w:val="000000" w:themeColor="text1"/>
                <w:spacing w:val="0"/>
                <w:sz w:val="24"/>
                <w:szCs w:val="20"/>
                <w:highlight w:val="none"/>
                <w:vertAlign w:val="baseline"/>
                <w:lang w:val="en-US" w:eastAsia="zh-CN"/>
                <w14:textFill>
                  <w14:solidFill>
                    <w14:schemeClr w14:val="tx1"/>
                  </w14:solidFill>
                </w14:textFill>
              </w:rPr>
              <w:t>1#危废贮存点为本项目使用，2#危废贮存点为富健达洗煤厂使用，</w:t>
            </w:r>
            <w:r>
              <w:rPr>
                <w:rFonts w:hint="eastAsia" w:cs="Times New Roman"/>
                <w:color w:val="000000" w:themeColor="text1"/>
                <w:sz w:val="24"/>
                <w:lang w:val="en-US" w:eastAsia="zh-CN"/>
                <w14:textFill>
                  <w14:solidFill>
                    <w14:schemeClr w14:val="tx1"/>
                  </w14:solidFill>
                </w14:textFill>
              </w:rPr>
              <w:t>危废贮存点地面应按要求做防渗处理，并在地面和墙裙刷环氧树脂漆，危险废物分类分区贮存。</w:t>
            </w:r>
          </w:p>
          <w:p w14:paraId="66C67A0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eastAsia="宋体"/>
                <w:b/>
                <w:bCs/>
                <w:color w:val="000000" w:themeColor="text1"/>
                <w:sz w:val="24"/>
                <w:lang w:val="en-US" w:eastAsia="zh-CN"/>
                <w14:textFill>
                  <w14:solidFill>
                    <w14:schemeClr w14:val="tx1"/>
                  </w14:solidFill>
                </w14:textFill>
              </w:rPr>
            </w:pPr>
            <w:r>
              <w:rPr>
                <w:rFonts w:hint="default"/>
                <w:color w:val="000000" w:themeColor="text1"/>
                <w:sz w:val="24"/>
                <w14:textFill>
                  <w14:solidFill>
                    <w14:schemeClr w14:val="tx1"/>
                  </w14:solidFill>
                </w14:textFill>
              </w:rPr>
              <w:t>综上所述</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磅房、办公区、供水供暖等</w:t>
            </w:r>
            <w:r>
              <w:rPr>
                <w:rFonts w:hint="default"/>
                <w:color w:val="000000" w:themeColor="text1"/>
                <w:sz w:val="24"/>
                <w14:textFill>
                  <w14:solidFill>
                    <w14:schemeClr w14:val="tx1"/>
                  </w14:solidFill>
                </w14:textFill>
              </w:rPr>
              <w:t>均能满足</w:t>
            </w:r>
            <w:r>
              <w:rPr>
                <w:rFonts w:hint="eastAsia"/>
                <w:color w:val="000000" w:themeColor="text1"/>
                <w:sz w:val="24"/>
                <w:lang w:val="en-US" w:eastAsia="zh-CN"/>
                <w14:textFill>
                  <w14:solidFill>
                    <w14:schemeClr w14:val="tx1"/>
                  </w14:solidFill>
                </w14:textFill>
              </w:rPr>
              <w:t>本</w:t>
            </w:r>
            <w:r>
              <w:rPr>
                <w:rFonts w:hint="default"/>
                <w:color w:val="000000" w:themeColor="text1"/>
                <w:sz w:val="24"/>
                <w14:textFill>
                  <w14:solidFill>
                    <w14:schemeClr w14:val="tx1"/>
                  </w14:solidFill>
                </w14:textFill>
              </w:rPr>
              <w:t>工程生产需求</w:t>
            </w:r>
            <w:r>
              <w:rPr>
                <w:rFonts w:hint="eastAsia"/>
                <w:color w:val="000000" w:themeColor="text1"/>
                <w:sz w:val="24"/>
                <w:lang w:eastAsia="zh-CN"/>
                <w14:textFill>
                  <w14:solidFill>
                    <w14:schemeClr w14:val="tx1"/>
                  </w14:solidFill>
                </w14:textFill>
              </w:rPr>
              <w:t>。</w:t>
            </w:r>
          </w:p>
          <w:p w14:paraId="30EEFA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ascii="Times New Roman Regular" w:hAnsi="Times New Roman Regular" w:cs="Times New Roman Regular"/>
                <w:b/>
                <w:bCs/>
                <w:color w:val="000000" w:themeColor="text1"/>
                <w:sz w:val="24"/>
                <w:szCs w:val="24"/>
                <w:highlight w:val="none"/>
                <w:vertAlign w:val="baseline"/>
                <w:lang w:val="en-US" w:eastAsia="zh-CN"/>
                <w14:textFill>
                  <w14:solidFill>
                    <w14:schemeClr w14:val="tx1"/>
                  </w14:solidFill>
                </w14:textFill>
              </w:rPr>
            </w:pPr>
            <w:r>
              <w:rPr>
                <w:rFonts w:hint="eastAsia"/>
                <w:b/>
                <w:bCs/>
                <w:color w:val="000000" w:themeColor="text1"/>
                <w:sz w:val="24"/>
                <w:szCs w:val="24"/>
                <w14:textFill>
                  <w14:solidFill>
                    <w14:schemeClr w14:val="tx1"/>
                  </w14:solidFill>
                </w14:textFill>
              </w:rPr>
              <w:t>原料及成品周转能力分析：</w:t>
            </w:r>
          </w:p>
          <w:p w14:paraId="6B5415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Regular" w:hAnsi="Times New Roman Regular" w:cs="Times New Roman Regular"/>
                <w:b w:val="0"/>
                <w:bCs/>
                <w:color w:val="000000" w:themeColor="text1"/>
                <w:sz w:val="24"/>
                <w:szCs w:val="24"/>
                <w:highlight w:val="none"/>
                <w:vertAlign w:val="baseline"/>
                <w:lang w:val="en-US" w:eastAsia="zh-CN"/>
                <w14:textFill>
                  <w14:solidFill>
                    <w14:schemeClr w14:val="tx1"/>
                  </w14:solidFill>
                </w14:textFill>
              </w:rPr>
            </w:pPr>
            <w:r>
              <w:rPr>
                <w:rFonts w:hint="eastAsia" w:ascii="Times New Roman Regular" w:hAnsi="Times New Roman Regular" w:cs="Times New Roman Regular"/>
                <w:b w:val="0"/>
                <w:bCs/>
                <w:color w:val="000000" w:themeColor="text1"/>
                <w:sz w:val="24"/>
                <w:szCs w:val="24"/>
                <w:highlight w:val="none"/>
                <w:vertAlign w:val="baseline"/>
                <w:lang w:val="en-US" w:eastAsia="zh-CN"/>
                <w14:textFill>
                  <w14:solidFill>
                    <w14:schemeClr w14:val="tx1"/>
                  </w14:solidFill>
                </w14:textFill>
              </w:rPr>
              <w:t>（1）原料堆放区</w:t>
            </w:r>
          </w:p>
          <w:p w14:paraId="6B8273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原料堆放区位于生产车间内东侧，</w:t>
            </w:r>
            <w:r>
              <w:rPr>
                <w:rFonts w:hint="eastAsia"/>
                <w:bCs/>
                <w:color w:val="000000" w:themeColor="text1"/>
                <w:spacing w:val="4"/>
                <w:sz w:val="24"/>
                <w:highlight w:val="none"/>
                <w14:textFill>
                  <w14:solidFill>
                    <w14:schemeClr w14:val="tx1"/>
                  </w14:solidFill>
                </w14:textFill>
              </w:rPr>
              <w:t>占地面积</w:t>
            </w:r>
            <w:r>
              <w:rPr>
                <w:rFonts w:hint="eastAsia"/>
                <w:bCs/>
                <w:color w:val="000000" w:themeColor="text1"/>
                <w:spacing w:val="4"/>
                <w:sz w:val="24"/>
                <w:highlight w:val="none"/>
                <w:lang w:val="en-US" w:eastAsia="zh-CN"/>
                <w14:textFill>
                  <w14:solidFill>
                    <w14:schemeClr w14:val="tx1"/>
                  </w14:solidFill>
                </w14:textFill>
              </w:rPr>
              <w:t>约280</w:t>
            </w:r>
            <w:r>
              <w:rPr>
                <w:rFonts w:hint="default"/>
                <w:bCs/>
                <w:color w:val="000000" w:themeColor="text1"/>
                <w:spacing w:val="4"/>
                <w:sz w:val="24"/>
                <w:highlight w:val="none"/>
                <w14:textFill>
                  <w14:solidFill>
                    <w14:schemeClr w14:val="tx1"/>
                  </w14:solidFill>
                </w14:textFill>
              </w:rPr>
              <w:t>0</w:t>
            </w:r>
            <w:r>
              <w:rPr>
                <w:rFonts w:hint="eastAsia"/>
                <w:bCs/>
                <w:color w:val="000000" w:themeColor="text1"/>
                <w:spacing w:val="4"/>
                <w:sz w:val="24"/>
                <w:highlight w:val="none"/>
                <w14:textFill>
                  <w14:solidFill>
                    <w14:schemeClr w14:val="tx1"/>
                  </w14:solidFill>
                </w14:textFill>
              </w:rPr>
              <w:t>m</w:t>
            </w:r>
            <w:r>
              <w:rPr>
                <w:rFonts w:hint="eastAsia"/>
                <w:bCs/>
                <w:color w:val="000000" w:themeColor="text1"/>
                <w:spacing w:val="4"/>
                <w:sz w:val="24"/>
                <w:highlight w:val="none"/>
                <w:vertAlign w:val="superscript"/>
                <w14:textFill>
                  <w14:solidFill>
                    <w14:schemeClr w14:val="tx1"/>
                  </w14:solidFill>
                </w14:textFill>
              </w:rPr>
              <w:t>2</w:t>
            </w:r>
            <w:r>
              <w:rPr>
                <w:rFonts w:hint="eastAsia"/>
                <w:bCs/>
                <w:color w:val="000000" w:themeColor="text1"/>
                <w:spacing w:val="4"/>
                <w:sz w:val="24"/>
                <w:highlight w:val="none"/>
                <w14:textFill>
                  <w14:solidFill>
                    <w14:schemeClr w14:val="tx1"/>
                  </w14:solidFill>
                </w14:textFill>
              </w:rPr>
              <w:t>，储存高度约</w:t>
            </w:r>
            <w:r>
              <w:rPr>
                <w:rFonts w:hint="eastAsia"/>
                <w:bCs/>
                <w:color w:val="000000" w:themeColor="text1"/>
                <w:spacing w:val="4"/>
                <w:sz w:val="24"/>
                <w:highlight w:val="none"/>
                <w:lang w:val="en-US" w:eastAsia="zh-CN"/>
                <w14:textFill>
                  <w14:solidFill>
                    <w14:schemeClr w14:val="tx1"/>
                  </w14:solidFill>
                </w14:textFill>
              </w:rPr>
              <w:t>6</w:t>
            </w:r>
            <w:r>
              <w:rPr>
                <w:rFonts w:hint="eastAsia"/>
                <w:bCs/>
                <w:color w:val="000000" w:themeColor="text1"/>
                <w:spacing w:val="4"/>
                <w:sz w:val="24"/>
                <w:highlight w:val="none"/>
                <w14:textFill>
                  <w14:solidFill>
                    <w14:schemeClr w14:val="tx1"/>
                  </w14:solidFill>
                </w14:textFill>
              </w:rPr>
              <w:t>m，有效堆存面积按分区面积的</w:t>
            </w:r>
            <w:r>
              <w:rPr>
                <w:rFonts w:hint="eastAsia"/>
                <w:bCs/>
                <w:color w:val="000000" w:themeColor="text1"/>
                <w:spacing w:val="4"/>
                <w:sz w:val="24"/>
                <w:highlight w:val="none"/>
                <w:lang w:val="en-US" w:eastAsia="zh-CN"/>
                <w14:textFill>
                  <w14:solidFill>
                    <w14:schemeClr w14:val="tx1"/>
                  </w14:solidFill>
                </w14:textFill>
              </w:rPr>
              <w:t>9</w:t>
            </w:r>
            <w:r>
              <w:rPr>
                <w:rFonts w:hint="eastAsia"/>
                <w:bCs/>
                <w:color w:val="000000" w:themeColor="text1"/>
                <w:spacing w:val="4"/>
                <w:sz w:val="24"/>
                <w:highlight w:val="none"/>
                <w14:textFill>
                  <w14:solidFill>
                    <w14:schemeClr w14:val="tx1"/>
                  </w14:solidFill>
                </w14:textFill>
              </w:rPr>
              <w:t>0%计算，</w:t>
            </w:r>
            <w:r>
              <w:rPr>
                <w:rFonts w:hint="eastAsia"/>
                <w:bCs/>
                <w:color w:val="000000" w:themeColor="text1"/>
                <w:spacing w:val="4"/>
                <w:sz w:val="24"/>
                <w:highlight w:val="none"/>
                <w:lang w:val="en-US" w:eastAsia="zh-CN"/>
                <w14:textFill>
                  <w14:solidFill>
                    <w14:schemeClr w14:val="tx1"/>
                  </w14:solidFill>
                </w14:textFill>
              </w:rPr>
              <w:t>则</w:t>
            </w:r>
            <w:r>
              <w:rPr>
                <w:rFonts w:hint="eastAsia"/>
                <w:bCs/>
                <w:color w:val="000000" w:themeColor="text1"/>
                <w:spacing w:val="4"/>
                <w:sz w:val="24"/>
                <w:highlight w:val="none"/>
                <w14:textFill>
                  <w14:solidFill>
                    <w14:schemeClr w14:val="tx1"/>
                  </w14:solidFill>
                </w14:textFill>
              </w:rPr>
              <w:t>有效储存容积约</w:t>
            </w:r>
            <w:r>
              <w:rPr>
                <w:rFonts w:hint="eastAsia"/>
                <w:bCs/>
                <w:color w:val="000000" w:themeColor="text1"/>
                <w:spacing w:val="4"/>
                <w:sz w:val="24"/>
                <w:highlight w:val="none"/>
                <w:lang w:val="en-US" w:eastAsia="zh-CN"/>
                <w14:textFill>
                  <w14:solidFill>
                    <w14:schemeClr w14:val="tx1"/>
                  </w14:solidFill>
                </w14:textFill>
              </w:rPr>
              <w:t>1512</w:t>
            </w:r>
            <w:r>
              <w:rPr>
                <w:rFonts w:hint="default"/>
                <w:bCs/>
                <w:color w:val="000000" w:themeColor="text1"/>
                <w:spacing w:val="4"/>
                <w:sz w:val="24"/>
                <w:highlight w:val="none"/>
                <w14:textFill>
                  <w14:solidFill>
                    <w14:schemeClr w14:val="tx1"/>
                  </w14:solidFill>
                </w14:textFill>
              </w:rPr>
              <w:t>0</w:t>
            </w:r>
            <w:r>
              <w:rPr>
                <w:rFonts w:hint="eastAsia"/>
                <w:bCs/>
                <w:color w:val="000000" w:themeColor="text1"/>
                <w:spacing w:val="4"/>
                <w:sz w:val="24"/>
                <w:highlight w:val="none"/>
                <w14:textFill>
                  <w14:solidFill>
                    <w14:schemeClr w14:val="tx1"/>
                  </w14:solidFill>
                </w14:textFill>
              </w:rPr>
              <w:t>m</w:t>
            </w:r>
            <w:r>
              <w:rPr>
                <w:rFonts w:hint="eastAsia"/>
                <w:bCs/>
                <w:color w:val="000000" w:themeColor="text1"/>
                <w:spacing w:val="4"/>
                <w:sz w:val="24"/>
                <w:highlight w:val="none"/>
                <w:vertAlign w:val="superscript"/>
                <w14:textFill>
                  <w14:solidFill>
                    <w14:schemeClr w14:val="tx1"/>
                  </w14:solidFill>
                </w14:textFill>
              </w:rPr>
              <w:t>3</w:t>
            </w:r>
            <w:r>
              <w:rPr>
                <w:rFonts w:hint="eastAsia"/>
                <w:bCs/>
                <w:color w:val="000000" w:themeColor="text1"/>
                <w:spacing w:val="4"/>
                <w:sz w:val="24"/>
                <w:highlight w:val="none"/>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煤矸石</w:t>
            </w:r>
            <w:r>
              <w:rPr>
                <w:rFonts w:hint="eastAsia"/>
                <w:color w:val="000000" w:themeColor="text1"/>
                <w:sz w:val="24"/>
                <w:szCs w:val="24"/>
                <w14:textFill>
                  <w14:solidFill>
                    <w14:schemeClr w14:val="tx1"/>
                  </w14:solidFill>
                </w14:textFill>
              </w:rPr>
              <w:t>堆积密度为1.</w:t>
            </w:r>
            <w:r>
              <w:rPr>
                <w:rFonts w:hint="eastAsia"/>
                <w:color w:val="000000" w:themeColor="text1"/>
                <w:sz w:val="24"/>
                <w:szCs w:val="24"/>
                <w:lang w:val="en-US" w:eastAsia="zh-CN"/>
                <w14:textFill>
                  <w14:solidFill>
                    <w14:schemeClr w14:val="tx1"/>
                  </w14:solidFill>
                </w14:textFill>
              </w:rPr>
              <w:t>7</w:t>
            </w:r>
            <w:r>
              <w:rPr>
                <w:rFonts w:hint="eastAsia"/>
                <w:color w:val="000000" w:themeColor="text1"/>
                <w:sz w:val="24"/>
                <w:szCs w:val="24"/>
                <w14:textFill>
                  <w14:solidFill>
                    <w14:schemeClr w14:val="tx1"/>
                  </w14:solidFill>
                </w14:textFill>
              </w:rPr>
              <w:t>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，最大储存量预计</w:t>
            </w:r>
            <w:r>
              <w:rPr>
                <w:rFonts w:hint="eastAsia"/>
                <w:color w:val="000000" w:themeColor="text1"/>
                <w:sz w:val="24"/>
                <w:szCs w:val="24"/>
                <w:lang w:val="en-US" w:eastAsia="zh-CN"/>
                <w14:textFill>
                  <w14:solidFill>
                    <w14:schemeClr w14:val="tx1"/>
                  </w14:solidFill>
                </w14:textFill>
              </w:rPr>
              <w:t>25704</w:t>
            </w:r>
            <w:r>
              <w:rPr>
                <w:rFonts w:hint="eastAsia"/>
                <w:color w:val="000000" w:themeColor="text1"/>
                <w:sz w:val="24"/>
                <w:szCs w:val="24"/>
                <w14:textFill>
                  <w14:solidFill>
                    <w14:schemeClr w14:val="tx1"/>
                  </w14:solidFill>
                </w14:textFill>
              </w:rPr>
              <w:t>t，</w:t>
            </w:r>
            <w:r>
              <w:rPr>
                <w:rFonts w:hint="eastAsia"/>
                <w:color w:val="000000" w:themeColor="text1"/>
                <w:sz w:val="24"/>
                <w:szCs w:val="24"/>
                <w:lang w:val="en-US" w:eastAsia="zh-CN"/>
                <w14:textFill>
                  <w14:solidFill>
                    <w14:schemeClr w14:val="tx1"/>
                  </w14:solidFill>
                </w14:textFill>
              </w:rPr>
              <w:t>年工作330天，煤矸石</w:t>
            </w:r>
            <w:r>
              <w:rPr>
                <w:rFonts w:hint="eastAsia"/>
                <w:color w:val="000000" w:themeColor="text1"/>
                <w:sz w:val="24"/>
                <w:szCs w:val="24"/>
                <w14:textFill>
                  <w14:solidFill>
                    <w14:schemeClr w14:val="tx1"/>
                  </w14:solidFill>
                </w14:textFill>
              </w:rPr>
              <w:t>年</w:t>
            </w:r>
            <w:r>
              <w:rPr>
                <w:rFonts w:hint="eastAsia"/>
                <w:color w:val="000000" w:themeColor="text1"/>
                <w:sz w:val="24"/>
                <w:szCs w:val="24"/>
                <w:lang w:val="en-US" w:eastAsia="zh-CN"/>
                <w14:textFill>
                  <w14:solidFill>
                    <w14:schemeClr w14:val="tx1"/>
                  </w14:solidFill>
                </w14:textFill>
              </w:rPr>
              <w:t>处理量为12</w:t>
            </w:r>
            <w:r>
              <w:rPr>
                <w:rFonts w:hint="eastAsia" w:ascii="Times New Roman" w:eastAsia="宋体"/>
                <w:color w:val="000000" w:themeColor="text1"/>
                <w:sz w:val="24"/>
                <w:szCs w:val="24"/>
                <w:lang w:val="en-US" w:eastAsia="zh-CN"/>
                <w14:textFill>
                  <w14:solidFill>
                    <w14:schemeClr w14:val="tx1"/>
                  </w14:solidFill>
                </w14:textFill>
              </w:rPr>
              <w:t>0</w:t>
            </w:r>
            <w:r>
              <w:rPr>
                <w:rFonts w:hint="eastAsia"/>
                <w:color w:val="000000" w:themeColor="text1"/>
                <w:sz w:val="24"/>
                <w:szCs w:val="24"/>
                <w14:textFill>
                  <w14:solidFill>
                    <w14:schemeClr w14:val="tx1"/>
                  </w14:solidFill>
                </w14:textFill>
              </w:rPr>
              <w:t>万t，可满足企业</w:t>
            </w:r>
            <w:r>
              <w:rPr>
                <w:rFonts w:hint="eastAsia"/>
                <w:color w:val="000000" w:themeColor="text1"/>
                <w:sz w:val="24"/>
                <w:szCs w:val="24"/>
                <w:lang w:val="en-US" w:eastAsia="zh-CN"/>
                <w14:textFill>
                  <w14:solidFill>
                    <w14:schemeClr w14:val="tx1"/>
                  </w14:solidFill>
                </w14:textFill>
              </w:rPr>
              <w:t>7-8</w:t>
            </w:r>
            <w:r>
              <w:rPr>
                <w:rFonts w:hint="eastAsia"/>
                <w:color w:val="000000" w:themeColor="text1"/>
                <w:sz w:val="24"/>
                <w:szCs w:val="24"/>
                <w14:textFill>
                  <w14:solidFill>
                    <w14:schemeClr w14:val="tx1"/>
                  </w14:solidFill>
                </w14:textFill>
              </w:rPr>
              <w:t>天的原料储存量</w:t>
            </w:r>
            <w:r>
              <w:rPr>
                <w:rFonts w:hint="eastAsia"/>
                <w:color w:val="000000" w:themeColor="text1"/>
                <w:sz w:val="24"/>
                <w:szCs w:val="24"/>
                <w:lang w:eastAsia="zh-CN"/>
                <w14:textFill>
                  <w14:solidFill>
                    <w14:schemeClr w14:val="tx1"/>
                  </w14:solidFill>
                </w14:textFill>
              </w:rPr>
              <w:t>。</w:t>
            </w:r>
          </w:p>
          <w:p w14:paraId="41D3254E">
            <w:pPr>
              <w:keepNext w:val="0"/>
              <w:keepLines w:val="0"/>
              <w:suppressLineNumbers w:val="0"/>
              <w:spacing w:before="0" w:beforeAutospacing="0" w:after="0" w:afterAutospacing="0" w:line="480" w:lineRule="exact"/>
              <w:ind w:left="0" w:right="0" w:firstLine="480" w:firstLineChars="200"/>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成品</w:t>
            </w:r>
            <w:r>
              <w:rPr>
                <w:rFonts w:hint="eastAsia"/>
                <w:color w:val="000000" w:themeColor="text1"/>
                <w:sz w:val="24"/>
                <w:szCs w:val="24"/>
                <w:lang w:val="en-US" w:eastAsia="zh-CN"/>
                <w14:textFill>
                  <w14:solidFill>
                    <w14:schemeClr w14:val="tx1"/>
                  </w14:solidFill>
                </w14:textFill>
              </w:rPr>
              <w:t>堆放区</w:t>
            </w:r>
          </w:p>
          <w:p w14:paraId="628DE2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b/>
                <w:bCs w:val="0"/>
                <w:color w:val="000000" w:themeColor="text1"/>
                <w:spacing w:val="0"/>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成品堆放区位于生产车间内西侧，占地面积约27</w:t>
            </w:r>
            <w:r>
              <w:rPr>
                <w:rFonts w:hint="eastAsia" w:ascii="Times New Roman" w:eastAsia="宋体"/>
                <w:color w:val="000000" w:themeColor="text1"/>
                <w:sz w:val="24"/>
                <w:szCs w:val="24"/>
                <w:highlight w:val="none"/>
                <w:lang w:val="en-US" w:eastAsia="zh-CN"/>
                <w14:textFill>
                  <w14:solidFill>
                    <w14:schemeClr w14:val="tx1"/>
                  </w14:solidFill>
                </w14:textFill>
              </w:rPr>
              <w:t>0</w:t>
            </w:r>
            <w:r>
              <w:rPr>
                <w:rFonts w:hint="default"/>
                <w:color w:val="000000" w:themeColor="text1"/>
                <w:sz w:val="24"/>
                <w:szCs w:val="24"/>
                <w:highlight w:val="none"/>
                <w14:textFill>
                  <w14:solidFill>
                    <w14:schemeClr w14:val="tx1"/>
                  </w14:solidFill>
                </w14:textFill>
              </w:rPr>
              <w:t>0m</w:t>
            </w:r>
            <w:r>
              <w:rPr>
                <w:rFonts w:hint="default"/>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，成品</w:t>
            </w:r>
            <w:r>
              <w:rPr>
                <w:rFonts w:hint="eastAsia" w:ascii="Times New Roman" w:eastAsia="宋体"/>
                <w:color w:val="000000" w:themeColor="text1"/>
                <w:sz w:val="24"/>
                <w:szCs w:val="24"/>
                <w:highlight w:val="none"/>
                <w:lang w:val="en-US" w:eastAsia="zh-CN"/>
                <w14:textFill>
                  <w14:solidFill>
                    <w14:schemeClr w14:val="tx1"/>
                  </w14:solidFill>
                </w14:textFill>
              </w:rPr>
              <w:t>堆放</w:t>
            </w:r>
            <w:r>
              <w:rPr>
                <w:rFonts w:hint="eastAsia"/>
                <w:color w:val="000000" w:themeColor="text1"/>
                <w:sz w:val="24"/>
                <w:szCs w:val="24"/>
                <w:highlight w:val="none"/>
                <w14:textFill>
                  <w14:solidFill>
                    <w14:schemeClr w14:val="tx1"/>
                  </w14:solidFill>
                </w14:textFill>
              </w:rPr>
              <w:t>物料平均堆高</w:t>
            </w:r>
            <w:r>
              <w:rPr>
                <w:rFonts w:hint="eastAsia"/>
                <w:color w:val="000000" w:themeColor="text1"/>
                <w:sz w:val="24"/>
                <w:szCs w:val="24"/>
                <w:highlight w:val="none"/>
                <w:lang w:val="en-US" w:eastAsia="zh-CN"/>
                <w14:textFill>
                  <w14:solidFill>
                    <w14:schemeClr w14:val="tx1"/>
                  </w14:solidFill>
                </w14:textFill>
              </w:rPr>
              <w:t>5</w:t>
            </w:r>
            <w:r>
              <w:rPr>
                <w:rFonts w:hint="default"/>
                <w:color w:val="000000" w:themeColor="text1"/>
                <w:sz w:val="24"/>
                <w:szCs w:val="24"/>
                <w:highlight w:val="none"/>
                <w14:textFill>
                  <w14:solidFill>
                    <w14:schemeClr w14:val="tx1"/>
                  </w14:solidFill>
                </w14:textFill>
              </w:rPr>
              <w:t>m</w:t>
            </w:r>
            <w:r>
              <w:rPr>
                <w:rFonts w:hint="eastAsia"/>
                <w:color w:val="000000" w:themeColor="text1"/>
                <w:sz w:val="24"/>
                <w:szCs w:val="24"/>
                <w:highlight w:val="none"/>
                <w14:textFill>
                  <w14:solidFill>
                    <w14:schemeClr w14:val="tx1"/>
                  </w14:solidFill>
                </w14:textFill>
              </w:rPr>
              <w:t>，</w:t>
            </w:r>
            <w:r>
              <w:rPr>
                <w:rFonts w:hint="eastAsia"/>
                <w:bCs/>
                <w:color w:val="000000" w:themeColor="text1"/>
                <w:spacing w:val="4"/>
                <w:sz w:val="24"/>
                <w:highlight w:val="none"/>
                <w14:textFill>
                  <w14:solidFill>
                    <w14:schemeClr w14:val="tx1"/>
                  </w14:solidFill>
                </w14:textFill>
              </w:rPr>
              <w:t>有效堆存面积按分区面积的</w:t>
            </w:r>
            <w:r>
              <w:rPr>
                <w:rFonts w:hint="eastAsia"/>
                <w:bCs/>
                <w:color w:val="000000" w:themeColor="text1"/>
                <w:spacing w:val="4"/>
                <w:sz w:val="24"/>
                <w:highlight w:val="none"/>
                <w:lang w:val="en-US" w:eastAsia="zh-CN"/>
                <w14:textFill>
                  <w14:solidFill>
                    <w14:schemeClr w14:val="tx1"/>
                  </w14:solidFill>
                </w14:textFill>
              </w:rPr>
              <w:t>9</w:t>
            </w:r>
            <w:r>
              <w:rPr>
                <w:rFonts w:hint="eastAsia"/>
                <w:bCs/>
                <w:color w:val="000000" w:themeColor="text1"/>
                <w:spacing w:val="4"/>
                <w:sz w:val="24"/>
                <w:highlight w:val="none"/>
                <w14:textFill>
                  <w14:solidFill>
                    <w14:schemeClr w14:val="tx1"/>
                  </w14:solidFill>
                </w14:textFill>
              </w:rPr>
              <w:t>0%计算，</w:t>
            </w:r>
            <w:r>
              <w:rPr>
                <w:rFonts w:hint="eastAsia"/>
                <w:bCs/>
                <w:color w:val="000000" w:themeColor="text1"/>
                <w:spacing w:val="4"/>
                <w:sz w:val="24"/>
                <w:highlight w:val="none"/>
                <w:lang w:val="en-US" w:eastAsia="zh-CN"/>
                <w14:textFill>
                  <w14:solidFill>
                    <w14:schemeClr w14:val="tx1"/>
                  </w14:solidFill>
                </w14:textFill>
              </w:rPr>
              <w:t>则</w:t>
            </w:r>
            <w:r>
              <w:rPr>
                <w:rFonts w:hint="eastAsia"/>
                <w:color w:val="000000" w:themeColor="text1"/>
                <w:sz w:val="24"/>
                <w:szCs w:val="24"/>
                <w:highlight w:val="none"/>
                <w14:textFill>
                  <w14:solidFill>
                    <w14:schemeClr w14:val="tx1"/>
                  </w14:solidFill>
                </w14:textFill>
              </w:rPr>
              <w:t>有效堆存面积</w:t>
            </w:r>
            <w:r>
              <w:rPr>
                <w:rFonts w:hint="eastAsia"/>
                <w:color w:val="000000" w:themeColor="text1"/>
                <w:sz w:val="24"/>
                <w:szCs w:val="24"/>
                <w:highlight w:val="none"/>
                <w:lang w:val="en-US" w:eastAsia="zh-CN"/>
                <w14:textFill>
                  <w14:solidFill>
                    <w14:schemeClr w14:val="tx1"/>
                  </w14:solidFill>
                </w14:textFill>
              </w:rPr>
              <w:t>约12150</w:t>
            </w:r>
            <w:r>
              <w:rPr>
                <w:rFonts w:hint="default"/>
                <w:color w:val="000000" w:themeColor="text1"/>
                <w:sz w:val="24"/>
                <w:szCs w:val="24"/>
                <w:highlight w:val="none"/>
                <w14:textFill>
                  <w14:solidFill>
                    <w14:schemeClr w14:val="tx1"/>
                  </w14:solidFill>
                </w14:textFill>
              </w:rPr>
              <w:t>m</w:t>
            </w:r>
            <w:r>
              <w:rPr>
                <w:rFonts w:hint="default"/>
                <w:color w:val="000000" w:themeColor="text1"/>
                <w:sz w:val="24"/>
                <w:szCs w:val="24"/>
                <w:highlight w:val="none"/>
                <w:vertAlign w:val="superscript"/>
                <w14:textFill>
                  <w14:solidFill>
                    <w14:schemeClr w14:val="tx1"/>
                  </w14:solidFill>
                </w14:textFill>
              </w:rPr>
              <w:t>2</w:t>
            </w:r>
            <w:r>
              <w:rPr>
                <w:rFonts w:hint="eastAsia"/>
                <w:color w:val="000000" w:themeColor="text1"/>
                <w:spacing w:val="-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堆积密度为1.</w:t>
            </w:r>
            <w:r>
              <w:rPr>
                <w:rFonts w:hint="eastAsia"/>
                <w:color w:val="000000" w:themeColor="text1"/>
                <w:sz w:val="24"/>
                <w:szCs w:val="24"/>
                <w:highlight w:val="none"/>
                <w:lang w:val="en-US" w:eastAsia="zh-CN"/>
                <w14:textFill>
                  <w14:solidFill>
                    <w14:schemeClr w14:val="tx1"/>
                  </w14:solidFill>
                </w14:textFill>
              </w:rPr>
              <w:t>75</w:t>
            </w:r>
            <w:r>
              <w:rPr>
                <w:rFonts w:hint="eastAsia"/>
                <w:color w:val="000000" w:themeColor="text1"/>
                <w:sz w:val="24"/>
                <w:szCs w:val="24"/>
                <w:highlight w:val="none"/>
                <w14:textFill>
                  <w14:solidFill>
                    <w14:schemeClr w14:val="tx1"/>
                  </w14:solidFill>
                </w14:textFill>
              </w:rPr>
              <w:t>t</w:t>
            </w:r>
            <w:r>
              <w:rPr>
                <w:rFonts w:hint="default"/>
                <w:color w:val="000000" w:themeColor="text1"/>
                <w:sz w:val="24"/>
                <w:szCs w:val="24"/>
                <w:highlight w:val="none"/>
                <w14:textFill>
                  <w14:solidFill>
                    <w14:schemeClr w14:val="tx1"/>
                  </w14:solidFill>
                </w14:textFill>
              </w:rPr>
              <w:t>/m</w:t>
            </w:r>
            <w:r>
              <w:rPr>
                <w:rFonts w:hint="default"/>
                <w:color w:val="000000" w:themeColor="text1"/>
                <w:sz w:val="24"/>
                <w:szCs w:val="24"/>
                <w:highlight w:val="none"/>
                <w:vertAlign w:val="superscript"/>
                <w14:textFill>
                  <w14:solidFill>
                    <w14:schemeClr w14:val="tx1"/>
                  </w14:solidFill>
                </w14:textFill>
              </w:rPr>
              <w:t>3</w:t>
            </w:r>
            <w:r>
              <w:rPr>
                <w:rFonts w:hint="eastAsia"/>
                <w:color w:val="000000" w:themeColor="text1"/>
                <w:sz w:val="24"/>
                <w:szCs w:val="24"/>
                <w:highlight w:val="none"/>
                <w14:textFill>
                  <w14:solidFill>
                    <w14:schemeClr w14:val="tx1"/>
                  </w14:solidFill>
                </w14:textFill>
              </w:rPr>
              <w:t>，最大储存量预计</w:t>
            </w:r>
            <w:r>
              <w:rPr>
                <w:rFonts w:hint="eastAsia"/>
                <w:color w:val="000000" w:themeColor="text1"/>
                <w:sz w:val="24"/>
                <w:szCs w:val="24"/>
                <w:highlight w:val="none"/>
                <w:lang w:val="en-US" w:eastAsia="zh-CN"/>
                <w14:textFill>
                  <w14:solidFill>
                    <w14:schemeClr w14:val="tx1"/>
                  </w14:solidFill>
                </w14:textFill>
              </w:rPr>
              <w:t>21263</w:t>
            </w:r>
            <w:r>
              <w:rPr>
                <w:rFonts w:hint="eastAsia" w:ascii="Times New Roman" w:eastAsia="宋体"/>
                <w:color w:val="000000" w:themeColor="text1"/>
                <w:sz w:val="24"/>
                <w:szCs w:val="24"/>
                <w:highlight w:val="none"/>
                <w:lang w:val="en-US" w:eastAsia="zh-CN"/>
                <w14:textFill>
                  <w14:solidFill>
                    <w14:schemeClr w14:val="tx1"/>
                  </w14:solidFill>
                </w14:textFill>
              </w:rPr>
              <w:t>t</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年工作330天，成品机制砂</w:t>
            </w:r>
            <w:r>
              <w:rPr>
                <w:rFonts w:hint="eastAsia"/>
                <w:color w:val="000000" w:themeColor="text1"/>
                <w:sz w:val="24"/>
                <w:szCs w:val="24"/>
                <w14:textFill>
                  <w14:solidFill>
                    <w14:schemeClr w14:val="tx1"/>
                  </w14:solidFill>
                </w14:textFill>
              </w:rPr>
              <w:t>年堆存量约</w:t>
            </w:r>
            <w:r>
              <w:rPr>
                <w:rFonts w:hint="eastAsia"/>
                <w:color w:val="000000" w:themeColor="text1"/>
                <w:sz w:val="24"/>
                <w:szCs w:val="24"/>
                <w:lang w:val="en-US" w:eastAsia="zh-CN"/>
                <w14:textFill>
                  <w14:solidFill>
                    <w14:schemeClr w14:val="tx1"/>
                  </w14:solidFill>
                </w14:textFill>
              </w:rPr>
              <w:t>12</w:t>
            </w:r>
            <w:r>
              <w:rPr>
                <w:rFonts w:hint="eastAsia" w:ascii="Times New Roman" w:eastAsia="宋体"/>
                <w:color w:val="000000" w:themeColor="text1"/>
                <w:sz w:val="24"/>
                <w:szCs w:val="24"/>
                <w:lang w:val="en-US" w:eastAsia="zh-CN"/>
                <w14:textFill>
                  <w14:solidFill>
                    <w14:schemeClr w14:val="tx1"/>
                  </w14:solidFill>
                </w14:textFill>
              </w:rPr>
              <w:t>0万</w:t>
            </w:r>
            <w:r>
              <w:rPr>
                <w:rFonts w:hint="default"/>
                <w:color w:val="000000" w:themeColor="text1"/>
                <w:sz w:val="24"/>
                <w:szCs w:val="24"/>
                <w14:textFill>
                  <w14:solidFill>
                    <w14:schemeClr w14:val="tx1"/>
                  </w14:solidFill>
                </w14:textFill>
              </w:rPr>
              <w:t>t</w:t>
            </w:r>
            <w:r>
              <w:rPr>
                <w:rFonts w:hint="eastAsia"/>
                <w:color w:val="000000" w:themeColor="text1"/>
                <w:sz w:val="24"/>
                <w:szCs w:val="24"/>
                <w14:textFill>
                  <w14:solidFill>
                    <w14:schemeClr w14:val="tx1"/>
                  </w14:solidFill>
                </w14:textFill>
              </w:rPr>
              <w:t>，可满足企业</w:t>
            </w:r>
            <w:r>
              <w:rPr>
                <w:rFonts w:hint="eastAsia"/>
                <w:color w:val="000000" w:themeColor="text1"/>
                <w:sz w:val="24"/>
                <w:szCs w:val="24"/>
                <w:lang w:val="en-US" w:eastAsia="zh-CN"/>
                <w14:textFill>
                  <w14:solidFill>
                    <w14:schemeClr w14:val="tx1"/>
                  </w14:solidFill>
                </w14:textFill>
              </w:rPr>
              <w:t>5-6</w:t>
            </w:r>
            <w:r>
              <w:rPr>
                <w:rFonts w:hint="eastAsia"/>
                <w:color w:val="000000" w:themeColor="text1"/>
                <w:sz w:val="24"/>
                <w:szCs w:val="24"/>
                <w14:textFill>
                  <w14:solidFill>
                    <w14:schemeClr w14:val="tx1"/>
                  </w14:solidFill>
                </w14:textFill>
              </w:rPr>
              <w:t>天的成品储存量。</w:t>
            </w:r>
          </w:p>
          <w:p w14:paraId="140E66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pPr>
            <w:r>
              <w:rPr>
                <w:rFonts w:hint="eastAsia" w:cs="Times New Roman"/>
                <w:b/>
                <w:bCs w:val="0"/>
                <w:color w:val="000000" w:themeColor="text1"/>
                <w:spacing w:val="0"/>
                <w:sz w:val="24"/>
                <w:szCs w:val="24"/>
                <w:highlight w:val="none"/>
                <w:lang w:val="en-US" w:eastAsia="zh-CN"/>
                <w14:textFill>
                  <w14:solidFill>
                    <w14:schemeClr w14:val="tx1"/>
                  </w14:solidFill>
                </w14:textFill>
              </w:rPr>
              <w:t>2.2</w:t>
            </w:r>
            <w:r>
              <w:rPr>
                <w:rFonts w:hint="eastAsia"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t>主要</w:t>
            </w:r>
            <w:r>
              <w:rPr>
                <w:rFonts w:hint="default"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t>产品方案</w:t>
            </w:r>
            <w:r>
              <w:rPr>
                <w:rFonts w:hint="eastAsia"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t>及产能</w:t>
            </w:r>
          </w:p>
          <w:p w14:paraId="2574E22A">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本项目</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产品方案见表2</w:t>
            </w:r>
            <w:r>
              <w:rPr>
                <w:rFonts w:hint="eastAsia" w:cs="Times New Roman"/>
                <w:bCs/>
                <w:color w:val="000000" w:themeColor="text1"/>
                <w:spacing w:val="0"/>
                <w:sz w:val="24"/>
                <w:szCs w:val="24"/>
                <w:highlight w:val="none"/>
                <w:lang w:val="en-US" w:eastAsia="zh-CN"/>
                <w14:textFill>
                  <w14:solidFill>
                    <w14:schemeClr w14:val="tx1"/>
                  </w14:solidFill>
                </w14:textFill>
              </w:rPr>
              <w:t>.2-1</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p>
          <w:p w14:paraId="50134F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baseline"/>
              <w:rPr>
                <w:rFonts w:hint="default" w:ascii="Times New Roman" w:hAnsi="Times New Roman" w:eastAsia="宋体" w:cs="Times New Roman"/>
                <w:b/>
                <w:bCs/>
                <w:iCs/>
                <w:snapToGrid w:val="0"/>
                <w:color w:val="000000" w:themeColor="text1"/>
                <w:spacing w:val="0"/>
                <w:kern w:val="0"/>
                <w:sz w:val="21"/>
                <w:szCs w:val="20"/>
                <w:highlight w:val="none"/>
                <w:lang w:val="en-US" w:eastAsia="zh-CN" w:bidi="ar-SA"/>
                <w14:textFill>
                  <w14:solidFill>
                    <w14:schemeClr w14:val="tx1"/>
                  </w14:solidFill>
                </w14:textFill>
              </w:rPr>
            </w:pPr>
            <w:r>
              <w:rPr>
                <w:rFonts w:hint="default" w:ascii="Times New Roman" w:hAnsi="Times New Roman" w:eastAsia="宋体" w:cs="Times New Roman"/>
                <w:b/>
                <w:bCs/>
                <w:iCs/>
                <w:snapToGrid w:val="0"/>
                <w:color w:val="000000" w:themeColor="text1"/>
                <w:spacing w:val="0"/>
                <w:kern w:val="0"/>
                <w:sz w:val="21"/>
                <w:szCs w:val="20"/>
                <w:highlight w:val="none"/>
                <w:lang w:val="en-US" w:eastAsia="zh-CN" w:bidi="ar-SA"/>
                <w14:textFill>
                  <w14:solidFill>
                    <w14:schemeClr w14:val="tx1"/>
                  </w14:solidFill>
                </w14:textFill>
              </w:rPr>
              <w:t>表2</w:t>
            </w:r>
            <w:r>
              <w:rPr>
                <w:rFonts w:hint="eastAsia" w:cs="Times New Roman"/>
                <w:b/>
                <w:bCs/>
                <w:iCs/>
                <w:snapToGrid w:val="0"/>
                <w:color w:val="000000" w:themeColor="text1"/>
                <w:spacing w:val="0"/>
                <w:kern w:val="0"/>
                <w:sz w:val="21"/>
                <w:szCs w:val="20"/>
                <w:highlight w:val="none"/>
                <w:lang w:val="en-US" w:eastAsia="zh-CN" w:bidi="ar-SA"/>
                <w14:textFill>
                  <w14:solidFill>
                    <w14:schemeClr w14:val="tx1"/>
                  </w14:solidFill>
                </w14:textFill>
              </w:rPr>
              <w:t>.2-1</w:t>
            </w:r>
            <w:r>
              <w:rPr>
                <w:rFonts w:hint="default" w:ascii="Times New Roman" w:hAnsi="Times New Roman" w:eastAsia="宋体" w:cs="Times New Roman"/>
                <w:b/>
                <w:bCs/>
                <w:iCs/>
                <w:snapToGrid w:val="0"/>
                <w:color w:val="000000" w:themeColor="text1"/>
                <w:spacing w:val="0"/>
                <w:kern w:val="0"/>
                <w:sz w:val="21"/>
                <w:szCs w:val="20"/>
                <w:highlight w:val="none"/>
                <w:lang w:val="en-US" w:eastAsia="zh-CN" w:bidi="ar-SA"/>
                <w14:textFill>
                  <w14:solidFill>
                    <w14:schemeClr w14:val="tx1"/>
                  </w14:solidFill>
                </w14:textFill>
              </w:rPr>
              <w:t xml:space="preserve">  产品方案表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7"/>
              <w:gridCol w:w="1168"/>
              <w:gridCol w:w="1206"/>
              <w:gridCol w:w="1386"/>
              <w:gridCol w:w="752"/>
              <w:gridCol w:w="2925"/>
            </w:tblGrid>
            <w:tr w14:paraId="457C25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1" w:type="pct"/>
                  <w:vAlign w:val="center"/>
                </w:tcPr>
                <w:p w14:paraId="01C8F8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w w:val="100"/>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w w:val="100"/>
                      <w:kern w:val="0"/>
                      <w:sz w:val="21"/>
                      <w:szCs w:val="21"/>
                      <w:highlight w:val="none"/>
                      <w14:textFill>
                        <w14:solidFill>
                          <w14:schemeClr w14:val="tx1"/>
                        </w14:solidFill>
                      </w14:textFill>
                    </w:rPr>
                    <w:t>序号</w:t>
                  </w:r>
                </w:p>
              </w:tc>
              <w:tc>
                <w:tcPr>
                  <w:tcW w:w="714" w:type="pct"/>
                  <w:vAlign w:val="center"/>
                </w:tcPr>
                <w:p w14:paraId="0AB3FF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themeColor="text1"/>
                      <w:spacing w:val="0"/>
                      <w:w w:val="10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w w:val="100"/>
                      <w:kern w:val="0"/>
                      <w:sz w:val="21"/>
                      <w:szCs w:val="21"/>
                      <w:highlight w:val="none"/>
                      <w:lang w:val="en-US" w:eastAsia="zh-CN"/>
                      <w14:textFill>
                        <w14:solidFill>
                          <w14:schemeClr w14:val="tx1"/>
                        </w14:solidFill>
                      </w14:textFill>
                    </w:rPr>
                    <w:t>产品</w:t>
                  </w:r>
                  <w:r>
                    <w:rPr>
                      <w:rFonts w:hint="default" w:ascii="Times New Roman" w:hAnsi="Times New Roman" w:eastAsia="宋体" w:cs="Times New Roman"/>
                      <w:b/>
                      <w:bCs/>
                      <w:color w:val="000000" w:themeColor="text1"/>
                      <w:spacing w:val="0"/>
                      <w:w w:val="100"/>
                      <w:kern w:val="0"/>
                      <w:sz w:val="21"/>
                      <w:szCs w:val="21"/>
                      <w:highlight w:val="none"/>
                      <w14:textFill>
                        <w14:solidFill>
                          <w14:schemeClr w14:val="tx1"/>
                        </w14:solidFill>
                      </w14:textFill>
                    </w:rPr>
                    <w:t>名称</w:t>
                  </w:r>
                </w:p>
              </w:tc>
              <w:tc>
                <w:tcPr>
                  <w:tcW w:w="737" w:type="pct"/>
                  <w:vAlign w:val="center"/>
                </w:tcPr>
                <w:p w14:paraId="5DDDAC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b/>
                      <w:bCs/>
                      <w:color w:val="000000" w:themeColor="text1"/>
                      <w:spacing w:val="0"/>
                      <w:w w:val="100"/>
                      <w:kern w:val="0"/>
                      <w:sz w:val="21"/>
                      <w:szCs w:val="21"/>
                      <w:highlight w:val="none"/>
                      <w:lang w:val="en-US" w:eastAsia="zh-CN"/>
                      <w14:textFill>
                        <w14:solidFill>
                          <w14:schemeClr w14:val="tx1"/>
                        </w14:solidFill>
                      </w14:textFill>
                    </w:rPr>
                    <w:t>规格</w:t>
                  </w:r>
                </w:p>
              </w:tc>
              <w:tc>
                <w:tcPr>
                  <w:tcW w:w="847" w:type="pct"/>
                  <w:vAlign w:val="center"/>
                </w:tcPr>
                <w:p w14:paraId="2CFB7F39">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spacing w:val="0"/>
                      <w:w w:val="100"/>
                      <w:kern w:val="0"/>
                      <w:sz w:val="21"/>
                      <w:szCs w:val="21"/>
                      <w:highlight w:val="yellow"/>
                      <w:lang w:val="en-US" w:eastAsia="zh-CN"/>
                      <w14:textFill>
                        <w14:solidFill>
                          <w14:schemeClr w14:val="tx1"/>
                        </w14:solidFill>
                      </w14:textFill>
                    </w:rPr>
                  </w:pPr>
                  <w:r>
                    <w:rPr>
                      <w:rFonts w:hint="default"/>
                      <w:b/>
                      <w:bCs/>
                      <w:color w:val="000000" w:themeColor="text1"/>
                      <w:highlight w:val="none"/>
                      <w14:textFill>
                        <w14:solidFill>
                          <w14:schemeClr w14:val="tx1"/>
                        </w14:solidFill>
                      </w14:textFill>
                    </w:rPr>
                    <w:t>产量</w:t>
                  </w:r>
                </w:p>
              </w:tc>
              <w:tc>
                <w:tcPr>
                  <w:tcW w:w="460" w:type="pct"/>
                  <w:vAlign w:val="center"/>
                </w:tcPr>
                <w:p w14:paraId="1A76A19D">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spacing w:val="0"/>
                      <w:w w:val="100"/>
                      <w:kern w:val="0"/>
                      <w:sz w:val="21"/>
                      <w:szCs w:val="21"/>
                      <w:highlight w:val="none"/>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单位</w:t>
                  </w:r>
                </w:p>
              </w:tc>
              <w:tc>
                <w:tcPr>
                  <w:tcW w:w="1788" w:type="pct"/>
                  <w:vAlign w:val="center"/>
                </w:tcPr>
                <w:p w14:paraId="5610077D">
                  <w:pPr>
                    <w:keepNext w:val="0"/>
                    <w:keepLines w:val="0"/>
                    <w:suppressLineNumbers w:val="0"/>
                    <w:adjustRightInd w:val="0"/>
                    <w:snapToGrid w:val="0"/>
                    <w:spacing w:before="0" w:beforeAutospacing="0" w:after="0" w:afterAutospacing="0" w:line="240" w:lineRule="auto"/>
                    <w:ind w:left="0" w:right="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备注</w:t>
                  </w:r>
                </w:p>
              </w:tc>
            </w:tr>
            <w:tr w14:paraId="5E2A84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1" w:type="pct"/>
                  <w:vAlign w:val="center"/>
                </w:tcPr>
                <w:p w14:paraId="189034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1</w:t>
                  </w:r>
                </w:p>
              </w:tc>
              <w:tc>
                <w:tcPr>
                  <w:tcW w:w="714" w:type="pct"/>
                  <w:vAlign w:val="center"/>
                </w:tcPr>
                <w:p w14:paraId="53EA8F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机制砂</w:t>
                  </w:r>
                </w:p>
              </w:tc>
              <w:tc>
                <w:tcPr>
                  <w:tcW w:w="737" w:type="pct"/>
                  <w:vAlign w:val="center"/>
                </w:tcPr>
                <w:p w14:paraId="6A7CAF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＜5mm</w:t>
                  </w:r>
                </w:p>
              </w:tc>
              <w:tc>
                <w:tcPr>
                  <w:tcW w:w="847" w:type="pct"/>
                  <w:vAlign w:val="center"/>
                </w:tcPr>
                <w:p w14:paraId="64231D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1199122.609</w:t>
                  </w:r>
                </w:p>
              </w:tc>
              <w:tc>
                <w:tcPr>
                  <w:tcW w:w="460" w:type="pct"/>
                  <w:vAlign w:val="center"/>
                </w:tcPr>
                <w:p w14:paraId="31D3D0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bidi="ar-SA"/>
                      <w14:textFill>
                        <w14:solidFill>
                          <w14:schemeClr w14:val="tx1"/>
                        </w14:solidFill>
                      </w14:textFill>
                    </w:rPr>
                  </w:pPr>
                  <w:r>
                    <w:rPr>
                      <w:rFonts w:hint="eastAsia"/>
                      <w:b w:val="0"/>
                      <w:bCs w:val="0"/>
                      <w:color w:val="000000" w:themeColor="text1"/>
                      <w:highlight w:val="none"/>
                      <w:lang w:val="en-US" w:eastAsia="zh-CN"/>
                      <w14:textFill>
                        <w14:solidFill>
                          <w14:schemeClr w14:val="tx1"/>
                        </w14:solidFill>
                      </w14:textFill>
                    </w:rPr>
                    <w:t>t/a</w:t>
                  </w:r>
                </w:p>
              </w:tc>
              <w:tc>
                <w:tcPr>
                  <w:tcW w:w="1788" w:type="pct"/>
                  <w:vAlign w:val="center"/>
                </w:tcPr>
                <w:p w14:paraId="01A832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000000" w:themeColor="text1"/>
                      <w:spacing w:val="0"/>
                      <w:w w:val="100"/>
                      <w:kern w:val="0"/>
                      <w:sz w:val="21"/>
                      <w:szCs w:val="21"/>
                      <w:highlight w:val="none"/>
                      <w:lang w:val="en-US" w:eastAsia="zh-CN" w:bidi="ar-SA"/>
                      <w14:textFill>
                        <w14:solidFill>
                          <w14:schemeClr w14:val="tx1"/>
                        </w14:solidFill>
                      </w14:textFill>
                    </w:rPr>
                  </w:pPr>
                  <w:r>
                    <w:rPr>
                      <w:rFonts w:hint="eastAsia"/>
                      <w:b w:val="0"/>
                      <w:bCs w:val="0"/>
                      <w:color w:val="000000" w:themeColor="text1"/>
                      <w:highlight w:val="none"/>
                      <w:lang w:val="en-US" w:eastAsia="zh-CN"/>
                      <w14:textFill>
                        <w14:solidFill>
                          <w14:schemeClr w14:val="tx1"/>
                        </w14:solidFill>
                      </w14:textFill>
                    </w:rPr>
                    <w:t>散装，</w:t>
                  </w:r>
                  <w:r>
                    <w:rPr>
                      <w:rFonts w:hint="eastAsia"/>
                      <w:bCs/>
                      <w:color w:val="000000" w:themeColor="text1"/>
                      <w:sz w:val="21"/>
                      <w:szCs w:val="21"/>
                      <w:highlight w:val="none"/>
                      <w:lang w:val="en-US" w:eastAsia="zh-CN" w:bidi="ar"/>
                      <w14:textFill>
                        <w14:solidFill>
                          <w14:schemeClr w14:val="tx1"/>
                        </w14:solidFill>
                      </w14:textFill>
                    </w:rPr>
                    <w:t>屯留区周边商砼搅拌站</w:t>
                  </w:r>
                </w:p>
              </w:tc>
            </w:tr>
          </w:tbl>
          <w:p w14:paraId="6445709E">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pPr>
            <w:r>
              <w:rPr>
                <w:rFonts w:hint="eastAsia" w:cs="Times New Roman"/>
                <w:b/>
                <w:bCs w:val="0"/>
                <w:color w:val="000000" w:themeColor="text1"/>
                <w:spacing w:val="0"/>
                <w:sz w:val="24"/>
                <w:szCs w:val="24"/>
                <w:highlight w:val="none"/>
                <w:lang w:val="en-US" w:eastAsia="zh-CN"/>
                <w14:textFill>
                  <w14:solidFill>
                    <w14:schemeClr w14:val="tx1"/>
                  </w14:solidFill>
                </w14:textFill>
              </w:rPr>
              <w:t>2.3</w:t>
            </w:r>
            <w:r>
              <w:rPr>
                <w:rFonts w:hint="default"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t>生产设备</w:t>
            </w:r>
          </w:p>
          <w:p w14:paraId="476AB6F9">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本项目主要设备见表2</w:t>
            </w:r>
            <w:r>
              <w:rPr>
                <w:rFonts w:hint="eastAsia" w:cs="Times New Roman"/>
                <w:bCs/>
                <w:color w:val="000000" w:themeColor="text1"/>
                <w:spacing w:val="0"/>
                <w:sz w:val="24"/>
                <w:szCs w:val="24"/>
                <w:highlight w:val="none"/>
                <w:lang w:val="en-US" w:eastAsia="zh-CN"/>
                <w14:textFill>
                  <w14:solidFill>
                    <w14:schemeClr w14:val="tx1"/>
                  </w14:solidFill>
                </w14:textFill>
              </w:rPr>
              <w:t>.3-1</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p>
          <w:p w14:paraId="33A257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baseline"/>
              <w:rPr>
                <w:rFonts w:hint="default" w:ascii="Times New Roman" w:hAnsi="Times New Roman" w:eastAsia="宋体" w:cs="Times New Roman"/>
                <w:b/>
                <w:bCs/>
                <w:iCs/>
                <w:snapToGrid w:val="0"/>
                <w:color w:val="000000" w:themeColor="text1"/>
                <w:spacing w:val="0"/>
                <w:kern w:val="0"/>
                <w:sz w:val="21"/>
                <w:szCs w:val="20"/>
                <w:highlight w:val="none"/>
                <w:lang w:val="en-US" w:eastAsia="zh-CN" w:bidi="ar-SA"/>
                <w14:textFill>
                  <w14:solidFill>
                    <w14:schemeClr w14:val="tx1"/>
                  </w14:solidFill>
                </w14:textFill>
              </w:rPr>
            </w:pPr>
            <w:r>
              <w:rPr>
                <w:rFonts w:hint="default" w:ascii="Times New Roman" w:hAnsi="Times New Roman" w:eastAsia="宋体" w:cs="Times New Roman"/>
                <w:b/>
                <w:bCs/>
                <w:iCs/>
                <w:snapToGrid w:val="0"/>
                <w:color w:val="000000" w:themeColor="text1"/>
                <w:spacing w:val="0"/>
                <w:kern w:val="0"/>
                <w:sz w:val="21"/>
                <w:szCs w:val="20"/>
                <w:highlight w:val="none"/>
                <w:lang w:val="en-US" w:eastAsia="zh-CN" w:bidi="ar-SA"/>
                <w14:textFill>
                  <w14:solidFill>
                    <w14:schemeClr w14:val="tx1"/>
                  </w14:solidFill>
                </w14:textFill>
              </w:rPr>
              <w:t>表2</w:t>
            </w:r>
            <w:r>
              <w:rPr>
                <w:rFonts w:hint="eastAsia" w:cs="Times New Roman"/>
                <w:b/>
                <w:bCs/>
                <w:iCs/>
                <w:snapToGrid w:val="0"/>
                <w:color w:val="000000" w:themeColor="text1"/>
                <w:spacing w:val="0"/>
                <w:kern w:val="0"/>
                <w:sz w:val="21"/>
                <w:szCs w:val="20"/>
                <w:highlight w:val="none"/>
                <w:lang w:val="en-US" w:eastAsia="zh-CN" w:bidi="ar-SA"/>
                <w14:textFill>
                  <w14:solidFill>
                    <w14:schemeClr w14:val="tx1"/>
                  </w14:solidFill>
                </w14:textFill>
              </w:rPr>
              <w:t>.3-1</w:t>
            </w:r>
            <w:r>
              <w:rPr>
                <w:rFonts w:hint="default" w:ascii="Times New Roman" w:hAnsi="Times New Roman" w:eastAsia="宋体" w:cs="Times New Roman"/>
                <w:b/>
                <w:bCs/>
                <w:iCs/>
                <w:snapToGrid w:val="0"/>
                <w:color w:val="000000" w:themeColor="text1"/>
                <w:spacing w:val="0"/>
                <w:kern w:val="0"/>
                <w:sz w:val="21"/>
                <w:szCs w:val="20"/>
                <w:highlight w:val="none"/>
                <w:lang w:val="en-US" w:eastAsia="zh-CN" w:bidi="ar-SA"/>
                <w14:textFill>
                  <w14:solidFill>
                    <w14:schemeClr w14:val="tx1"/>
                  </w14:solidFill>
                </w14:textFill>
              </w:rPr>
              <w:t xml:space="preserve">  主要设备表</w:t>
            </w:r>
          </w:p>
          <w:tbl>
            <w:tblPr>
              <w:tblStyle w:val="3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575"/>
              <w:gridCol w:w="1577"/>
              <w:gridCol w:w="841"/>
              <w:gridCol w:w="1347"/>
              <w:gridCol w:w="914"/>
              <w:gridCol w:w="1215"/>
            </w:tblGrid>
            <w:tr w14:paraId="075B6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060A97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b/>
                      <w:bCs/>
                      <w:color w:val="000000" w:themeColor="text1"/>
                      <w:spacing w:val="0"/>
                      <w:w w:val="100"/>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w w:val="100"/>
                      <w:kern w:val="0"/>
                      <w:sz w:val="21"/>
                      <w:szCs w:val="21"/>
                      <w:highlight w:val="none"/>
                      <w14:textFill>
                        <w14:solidFill>
                          <w14:schemeClr w14:val="tx1"/>
                        </w14:solidFill>
                      </w14:textFill>
                    </w:rPr>
                    <w:t>序号</w:t>
                  </w:r>
                </w:p>
              </w:tc>
              <w:tc>
                <w:tcPr>
                  <w:tcW w:w="963" w:type="pct"/>
                  <w:tcBorders>
                    <w:tl2br w:val="nil"/>
                    <w:tr2bl w:val="nil"/>
                  </w:tcBorders>
                  <w:vAlign w:val="center"/>
                </w:tcPr>
                <w:p w14:paraId="1E0CBA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b/>
                      <w:bCs/>
                      <w:color w:val="000000" w:themeColor="text1"/>
                      <w:spacing w:val="0"/>
                      <w:w w:val="100"/>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w w:val="100"/>
                      <w:kern w:val="0"/>
                      <w:sz w:val="21"/>
                      <w:szCs w:val="21"/>
                      <w:highlight w:val="none"/>
                      <w14:textFill>
                        <w14:solidFill>
                          <w14:schemeClr w14:val="tx1"/>
                        </w14:solidFill>
                      </w14:textFill>
                    </w:rPr>
                    <w:t>设备名称</w:t>
                  </w:r>
                </w:p>
              </w:tc>
              <w:tc>
                <w:tcPr>
                  <w:tcW w:w="964" w:type="pct"/>
                  <w:tcBorders>
                    <w:tl2br w:val="nil"/>
                    <w:tr2bl w:val="nil"/>
                  </w:tcBorders>
                  <w:vAlign w:val="center"/>
                </w:tcPr>
                <w:p w14:paraId="73F91B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b/>
                      <w:bCs/>
                      <w:color w:val="000000" w:themeColor="text1"/>
                      <w:spacing w:val="0"/>
                      <w:w w:val="100"/>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w w:val="100"/>
                      <w:kern w:val="0"/>
                      <w:sz w:val="21"/>
                      <w:szCs w:val="21"/>
                      <w:highlight w:val="none"/>
                      <w14:textFill>
                        <w14:solidFill>
                          <w14:schemeClr w14:val="tx1"/>
                        </w14:solidFill>
                      </w14:textFill>
                    </w:rPr>
                    <w:t>规格型号</w:t>
                  </w:r>
                </w:p>
              </w:tc>
              <w:tc>
                <w:tcPr>
                  <w:tcW w:w="514" w:type="pct"/>
                  <w:tcBorders>
                    <w:tl2br w:val="nil"/>
                    <w:tr2bl w:val="nil"/>
                  </w:tcBorders>
                  <w:vAlign w:val="center"/>
                </w:tcPr>
                <w:p w14:paraId="615595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b/>
                      <w:bCs/>
                      <w:color w:val="000000" w:themeColor="text1"/>
                      <w:spacing w:val="0"/>
                      <w:w w:val="100"/>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0"/>
                      <w:w w:val="100"/>
                      <w:kern w:val="0"/>
                      <w:sz w:val="21"/>
                      <w:szCs w:val="21"/>
                      <w:highlight w:val="none"/>
                      <w:lang w:eastAsia="zh-CN"/>
                      <w14:textFill>
                        <w14:solidFill>
                          <w14:schemeClr w14:val="tx1"/>
                        </w14:solidFill>
                      </w14:textFill>
                    </w:rPr>
                    <w:t>数量</w:t>
                  </w:r>
                </w:p>
                <w:p w14:paraId="265A69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b/>
                      <w:bCs/>
                      <w:color w:val="000000" w:themeColor="text1"/>
                      <w:spacing w:val="0"/>
                      <w:w w:val="10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w w:val="100"/>
                      <w:kern w:val="0"/>
                      <w:sz w:val="21"/>
                      <w:szCs w:val="21"/>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pacing w:val="0"/>
                      <w:w w:val="100"/>
                      <w:kern w:val="0"/>
                      <w:sz w:val="21"/>
                      <w:szCs w:val="21"/>
                      <w:highlight w:val="none"/>
                      <w:lang w:val="en-US" w:eastAsia="zh-CN"/>
                      <w14:textFill>
                        <w14:solidFill>
                          <w14:schemeClr w14:val="tx1"/>
                        </w14:solidFill>
                      </w14:textFill>
                    </w:rPr>
                    <w:t>台</w:t>
                  </w:r>
                  <w:r>
                    <w:rPr>
                      <w:rFonts w:hint="eastAsia" w:ascii="Times New Roman" w:hAnsi="Times New Roman" w:eastAsia="宋体" w:cs="Times New Roman"/>
                      <w:b/>
                      <w:bCs/>
                      <w:color w:val="000000" w:themeColor="text1"/>
                      <w:spacing w:val="0"/>
                      <w:w w:val="100"/>
                      <w:kern w:val="0"/>
                      <w:sz w:val="21"/>
                      <w:szCs w:val="21"/>
                      <w:highlight w:val="none"/>
                      <w:lang w:eastAsia="zh-CN"/>
                      <w14:textFill>
                        <w14:solidFill>
                          <w14:schemeClr w14:val="tx1"/>
                        </w14:solidFill>
                      </w14:textFill>
                    </w:rPr>
                    <w:t>）</w:t>
                  </w:r>
                </w:p>
              </w:tc>
              <w:tc>
                <w:tcPr>
                  <w:tcW w:w="824" w:type="pct"/>
                  <w:tcBorders>
                    <w:tl2br w:val="nil"/>
                    <w:tr2bl w:val="nil"/>
                  </w:tcBorders>
                  <w:vAlign w:val="center"/>
                </w:tcPr>
                <w:p w14:paraId="77EA09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cs="Times New Roman"/>
                      <w:b/>
                      <w:bCs/>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b/>
                      <w:bCs/>
                      <w:color w:val="000000" w:themeColor="text1"/>
                      <w:spacing w:val="0"/>
                      <w:w w:val="100"/>
                      <w:kern w:val="0"/>
                      <w:sz w:val="21"/>
                      <w:szCs w:val="21"/>
                      <w:highlight w:val="none"/>
                      <w:lang w:val="en-US" w:eastAsia="zh-CN"/>
                      <w14:textFill>
                        <w14:solidFill>
                          <w14:schemeClr w14:val="tx1"/>
                        </w14:solidFill>
                      </w14:textFill>
                    </w:rPr>
                    <w:t>生产能力</w:t>
                  </w:r>
                </w:p>
                <w:p w14:paraId="0651CF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b/>
                      <w:bCs/>
                      <w:color w:val="000000" w:themeColor="text1"/>
                      <w:spacing w:val="0"/>
                      <w:w w:val="100"/>
                      <w:kern w:val="0"/>
                      <w:sz w:val="21"/>
                      <w:szCs w:val="21"/>
                      <w:highlight w:val="none"/>
                      <w:lang w:eastAsia="zh-CN"/>
                      <w14:textFill>
                        <w14:solidFill>
                          <w14:schemeClr w14:val="tx1"/>
                        </w14:solidFill>
                      </w14:textFill>
                    </w:rPr>
                  </w:pPr>
                  <w:r>
                    <w:rPr>
                      <w:rFonts w:hint="eastAsia" w:cs="Times New Roman"/>
                      <w:b/>
                      <w:bCs/>
                      <w:color w:val="000000" w:themeColor="text1"/>
                      <w:spacing w:val="0"/>
                      <w:w w:val="100"/>
                      <w:kern w:val="0"/>
                      <w:sz w:val="21"/>
                      <w:szCs w:val="21"/>
                      <w:highlight w:val="none"/>
                      <w:lang w:val="en-US" w:eastAsia="zh-CN"/>
                      <w14:textFill>
                        <w14:solidFill>
                          <w14:schemeClr w14:val="tx1"/>
                        </w14:solidFill>
                      </w14:textFill>
                    </w:rPr>
                    <w:t>（</w:t>
                  </w:r>
                  <w:r>
                    <w:rPr>
                      <w:rFonts w:hint="eastAsia" w:ascii="Times New Roman" w:hAnsi="Times New Roman" w:cs="Times New Roman"/>
                      <w:b/>
                      <w:bCs/>
                      <w:color w:val="000000" w:themeColor="text1"/>
                      <w:sz w:val="21"/>
                      <w:szCs w:val="21"/>
                      <w:lang w:val="en-US" w:eastAsia="zh-CN"/>
                      <w14:textFill>
                        <w14:solidFill>
                          <w14:schemeClr w14:val="tx1"/>
                        </w14:solidFill>
                      </w14:textFill>
                    </w:rPr>
                    <w:t>t/h</w:t>
                  </w:r>
                  <w:r>
                    <w:rPr>
                      <w:rFonts w:hint="eastAsia" w:cs="Times New Roman"/>
                      <w:b/>
                      <w:bCs/>
                      <w:color w:val="000000" w:themeColor="text1"/>
                      <w:spacing w:val="0"/>
                      <w:w w:val="100"/>
                      <w:kern w:val="0"/>
                      <w:sz w:val="21"/>
                      <w:szCs w:val="21"/>
                      <w:highlight w:val="none"/>
                      <w:lang w:val="en-US" w:eastAsia="zh-CN"/>
                      <w14:textFill>
                        <w14:solidFill>
                          <w14:schemeClr w14:val="tx1"/>
                        </w14:solidFill>
                      </w14:textFill>
                    </w:rPr>
                    <w:t>）</w:t>
                  </w:r>
                </w:p>
              </w:tc>
              <w:tc>
                <w:tcPr>
                  <w:tcW w:w="559" w:type="pct"/>
                  <w:tcBorders>
                    <w:tl2br w:val="nil"/>
                    <w:tr2bl w:val="nil"/>
                  </w:tcBorders>
                  <w:vAlign w:val="center"/>
                </w:tcPr>
                <w:p w14:paraId="3E7F1F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b/>
                      <w:bCs/>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b/>
                      <w:bCs/>
                      <w:color w:val="000000" w:themeColor="text1"/>
                      <w:spacing w:val="0"/>
                      <w:w w:val="100"/>
                      <w:kern w:val="0"/>
                      <w:sz w:val="21"/>
                      <w:szCs w:val="21"/>
                      <w:highlight w:val="none"/>
                      <w:lang w:val="en-US" w:eastAsia="zh-CN"/>
                      <w14:textFill>
                        <w14:solidFill>
                          <w14:schemeClr w14:val="tx1"/>
                        </w14:solidFill>
                      </w14:textFill>
                    </w:rPr>
                    <w:t>备注</w:t>
                  </w:r>
                </w:p>
              </w:tc>
              <w:tc>
                <w:tcPr>
                  <w:tcW w:w="743" w:type="pct"/>
                  <w:tcBorders>
                    <w:tl2br w:val="nil"/>
                    <w:tr2bl w:val="nil"/>
                  </w:tcBorders>
                  <w:vAlign w:val="center"/>
                </w:tcPr>
                <w:p w14:paraId="10BF4C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s="Times New Roman"/>
                      <w:b/>
                      <w:bCs/>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b/>
                      <w:bCs/>
                      <w:color w:val="000000" w:themeColor="text1"/>
                      <w:spacing w:val="0"/>
                      <w:w w:val="100"/>
                      <w:kern w:val="0"/>
                      <w:sz w:val="21"/>
                      <w:szCs w:val="21"/>
                      <w:highlight w:val="none"/>
                      <w:lang w:val="en-US" w:eastAsia="zh-CN"/>
                      <w14:textFill>
                        <w14:solidFill>
                          <w14:schemeClr w14:val="tx1"/>
                        </w14:solidFill>
                      </w14:textFill>
                    </w:rPr>
                    <w:t>工作制度（h/a）</w:t>
                  </w:r>
                </w:p>
              </w:tc>
            </w:tr>
            <w:tr w14:paraId="3BC8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6F85A2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bidi="ar-SA"/>
                      <w14:textFill>
                        <w14:solidFill>
                          <w14:schemeClr w14:val="tx1"/>
                        </w14:solidFill>
                      </w14:textFill>
                    </w:rPr>
                    <w:t>1</w:t>
                  </w:r>
                </w:p>
              </w:tc>
              <w:tc>
                <w:tcPr>
                  <w:tcW w:w="963" w:type="pct"/>
                  <w:tcBorders>
                    <w:tl2br w:val="nil"/>
                    <w:tr2bl w:val="nil"/>
                  </w:tcBorders>
                  <w:vAlign w:val="center"/>
                </w:tcPr>
                <w:p w14:paraId="769DE91E">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rightChars="0" w:firstLine="0" w:firstLineChars="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pPr>
                  <w:r>
                    <w:rPr>
                      <w:rFonts w:hint="default"/>
                      <w:bCs/>
                      <w:color w:val="000000" w:themeColor="text1"/>
                      <w:sz w:val="21"/>
                      <w:szCs w:val="21"/>
                      <w14:textFill>
                        <w14:solidFill>
                          <w14:schemeClr w14:val="tx1"/>
                        </w14:solidFill>
                      </w14:textFill>
                    </w:rPr>
                    <w:t>给料机</w:t>
                  </w:r>
                </w:p>
              </w:tc>
              <w:tc>
                <w:tcPr>
                  <w:tcW w:w="964" w:type="pct"/>
                  <w:tcBorders>
                    <w:tl2br w:val="nil"/>
                    <w:tr2bl w:val="nil"/>
                  </w:tcBorders>
                  <w:vAlign w:val="center"/>
                </w:tcPr>
                <w:p w14:paraId="7B7B2604">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rightChars="0" w:firstLine="0" w:firstLineChars="0"/>
                    <w:jc w:val="center"/>
                    <w:textAlignment w:val="auto"/>
                    <w:rPr>
                      <w:rFonts w:hint="default" w:ascii="Times New Roman" w:hAnsi="Times New Roman" w:eastAsia="宋体" w:cs="Times New Roman"/>
                      <w:b w:val="0"/>
                      <w:bCs w:val="0"/>
                      <w:color w:val="000000" w:themeColor="text1"/>
                      <w:spacing w:val="0"/>
                      <w:w w:val="100"/>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spacing w:val="0"/>
                      <w:w w:val="100"/>
                      <w:kern w:val="0"/>
                      <w:sz w:val="21"/>
                      <w:szCs w:val="21"/>
                      <w:highlight w:val="none"/>
                      <w:lang w:val="en-US" w:eastAsia="zh-CN" w:bidi="zh-CN"/>
                      <w14:textFill>
                        <w14:solidFill>
                          <w14:schemeClr w14:val="tx1"/>
                        </w14:solidFill>
                      </w14:textFill>
                    </w:rPr>
                    <w:t>GZD-600</w:t>
                  </w:r>
                </w:p>
              </w:tc>
              <w:tc>
                <w:tcPr>
                  <w:tcW w:w="514" w:type="pct"/>
                  <w:tcBorders>
                    <w:tl2br w:val="nil"/>
                    <w:tr2bl w:val="nil"/>
                  </w:tcBorders>
                  <w:vAlign w:val="center"/>
                </w:tcPr>
                <w:p w14:paraId="57F28F73">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firstLine="0" w:firstLineChars="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t>1</w:t>
                  </w:r>
                </w:p>
              </w:tc>
              <w:tc>
                <w:tcPr>
                  <w:tcW w:w="824" w:type="pct"/>
                  <w:tcBorders>
                    <w:tl2br w:val="nil"/>
                    <w:tr2bl w:val="nil"/>
                  </w:tcBorders>
                  <w:vAlign w:val="center"/>
                </w:tcPr>
                <w:p w14:paraId="747796B1">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bidi="zh-CN"/>
                      <w14:textFill>
                        <w14:solidFill>
                          <w14:schemeClr w14:val="tx1"/>
                        </w14:solidFill>
                      </w14:textFill>
                    </w:rPr>
                    <w:t>200-230</w:t>
                  </w:r>
                </w:p>
              </w:tc>
              <w:tc>
                <w:tcPr>
                  <w:tcW w:w="559" w:type="pct"/>
                  <w:tcBorders>
                    <w:tl2br w:val="nil"/>
                    <w:tr2bl w:val="nil"/>
                  </w:tcBorders>
                  <w:vAlign w:val="center"/>
                </w:tcPr>
                <w:p w14:paraId="79F59C03">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新建</w:t>
                  </w:r>
                </w:p>
              </w:tc>
              <w:tc>
                <w:tcPr>
                  <w:tcW w:w="743" w:type="pct"/>
                  <w:vMerge w:val="restart"/>
                  <w:tcBorders>
                    <w:tl2br w:val="nil"/>
                    <w:tr2bl w:val="nil"/>
                  </w:tcBorders>
                  <w:vAlign w:val="center"/>
                </w:tcPr>
                <w:p w14:paraId="4460A3F3">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330d，16h（5280h/a）</w:t>
                  </w:r>
                </w:p>
              </w:tc>
            </w:tr>
            <w:tr w14:paraId="6F83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16C798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kern w:val="0"/>
                      <w:sz w:val="21"/>
                      <w:szCs w:val="21"/>
                      <w:highlight w:val="none"/>
                      <w:lang w:val="en-US" w:eastAsia="zh-CN" w:bidi="ar-SA"/>
                      <w14:textFill>
                        <w14:solidFill>
                          <w14:schemeClr w14:val="tx1"/>
                        </w14:solidFill>
                      </w14:textFill>
                    </w:rPr>
                    <w:t>2</w:t>
                  </w:r>
                </w:p>
              </w:tc>
              <w:tc>
                <w:tcPr>
                  <w:tcW w:w="963" w:type="pct"/>
                  <w:tcBorders>
                    <w:tl2br w:val="nil"/>
                    <w:tr2bl w:val="nil"/>
                  </w:tcBorders>
                  <w:vAlign w:val="center"/>
                </w:tcPr>
                <w:p w14:paraId="3B011B1B">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bidi="zh-CN"/>
                      <w14:textFill>
                        <w14:solidFill>
                          <w14:schemeClr w14:val="tx1"/>
                        </w14:solidFill>
                      </w14:textFill>
                    </w:rPr>
                    <w:t>颚式破碎机</w:t>
                  </w:r>
                </w:p>
              </w:tc>
              <w:tc>
                <w:tcPr>
                  <w:tcW w:w="964" w:type="pct"/>
                  <w:tcBorders>
                    <w:tl2br w:val="nil"/>
                    <w:tr2bl w:val="nil"/>
                  </w:tcBorders>
                  <w:vAlign w:val="center"/>
                </w:tcPr>
                <w:p w14:paraId="47922776">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pacing w:val="0"/>
                      <w:w w:val="100"/>
                      <w:kern w:val="0"/>
                      <w:sz w:val="21"/>
                      <w:szCs w:val="21"/>
                      <w:highlight w:val="none"/>
                      <w:lang w:val="en-US" w:eastAsia="zh-CN" w:bidi="zh-CN"/>
                      <w14:textFill>
                        <w14:solidFill>
                          <w14:schemeClr w14:val="tx1"/>
                        </w14:solidFill>
                      </w14:textFill>
                    </w:rPr>
                  </w:pPr>
                  <w:r>
                    <w:rPr>
                      <w:rFonts w:hint="eastAsia" w:cs="Times New Roman"/>
                      <w:b w:val="0"/>
                      <w:bCs w:val="0"/>
                      <w:color w:val="000000" w:themeColor="text1"/>
                      <w:spacing w:val="0"/>
                      <w:w w:val="100"/>
                      <w:kern w:val="0"/>
                      <w:sz w:val="21"/>
                      <w:szCs w:val="21"/>
                      <w:highlight w:val="none"/>
                      <w:lang w:val="en-US" w:eastAsia="zh-CN" w:bidi="zh-CN"/>
                      <w14:textFill>
                        <w14:solidFill>
                          <w14:schemeClr w14:val="tx1"/>
                        </w14:solidFill>
                      </w14:textFill>
                    </w:rPr>
                    <w:t>PE800×1100</w:t>
                  </w:r>
                </w:p>
              </w:tc>
              <w:tc>
                <w:tcPr>
                  <w:tcW w:w="514" w:type="pct"/>
                  <w:tcBorders>
                    <w:tl2br w:val="nil"/>
                    <w:tr2bl w:val="nil"/>
                  </w:tcBorders>
                  <w:vAlign w:val="center"/>
                </w:tcPr>
                <w:p w14:paraId="3BE50106">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t>1</w:t>
                  </w:r>
                </w:p>
              </w:tc>
              <w:tc>
                <w:tcPr>
                  <w:tcW w:w="824" w:type="pct"/>
                  <w:tcBorders>
                    <w:tl2br w:val="nil"/>
                    <w:tr2bl w:val="nil"/>
                  </w:tcBorders>
                  <w:vAlign w:val="center"/>
                </w:tcPr>
                <w:p w14:paraId="3A1B2D69">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bidi="zh-CN"/>
                      <w14:textFill>
                        <w14:solidFill>
                          <w14:schemeClr w14:val="tx1"/>
                        </w14:solidFill>
                      </w14:textFill>
                    </w:rPr>
                    <w:t>200-230</w:t>
                  </w:r>
                </w:p>
              </w:tc>
              <w:tc>
                <w:tcPr>
                  <w:tcW w:w="559" w:type="pct"/>
                  <w:tcBorders>
                    <w:tl2br w:val="nil"/>
                    <w:tr2bl w:val="nil"/>
                  </w:tcBorders>
                  <w:vAlign w:val="center"/>
                </w:tcPr>
                <w:p w14:paraId="46FEAB86">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新建</w:t>
                  </w:r>
                </w:p>
              </w:tc>
              <w:tc>
                <w:tcPr>
                  <w:tcW w:w="743" w:type="pct"/>
                  <w:vMerge w:val="continue"/>
                  <w:tcBorders>
                    <w:tl2br w:val="nil"/>
                    <w:tr2bl w:val="nil"/>
                  </w:tcBorders>
                  <w:vAlign w:val="center"/>
                </w:tcPr>
                <w:p w14:paraId="3BDBE559">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p>
              </w:tc>
            </w:tr>
            <w:tr w14:paraId="22768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1DFF04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kern w:val="0"/>
                      <w:sz w:val="21"/>
                      <w:szCs w:val="21"/>
                      <w:highlight w:val="none"/>
                      <w:lang w:val="en-US" w:eastAsia="zh-CN" w:bidi="ar-SA"/>
                      <w14:textFill>
                        <w14:solidFill>
                          <w14:schemeClr w14:val="tx1"/>
                        </w14:solidFill>
                      </w14:textFill>
                    </w:rPr>
                    <w:t>3</w:t>
                  </w:r>
                </w:p>
              </w:tc>
              <w:tc>
                <w:tcPr>
                  <w:tcW w:w="963" w:type="pct"/>
                  <w:tcBorders>
                    <w:tl2br w:val="nil"/>
                    <w:tr2bl w:val="nil"/>
                  </w:tcBorders>
                  <w:vAlign w:val="center"/>
                </w:tcPr>
                <w:p w14:paraId="6CE655AF">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bidi="zh-CN"/>
                      <w14:textFill>
                        <w14:solidFill>
                          <w14:schemeClr w14:val="tx1"/>
                        </w14:solidFill>
                      </w14:textFill>
                    </w:rPr>
                    <w:t>双级破碎机</w:t>
                  </w:r>
                </w:p>
              </w:tc>
              <w:tc>
                <w:tcPr>
                  <w:tcW w:w="964" w:type="pct"/>
                  <w:tcBorders>
                    <w:tl2br w:val="nil"/>
                    <w:tr2bl w:val="nil"/>
                  </w:tcBorders>
                  <w:vAlign w:val="center"/>
                </w:tcPr>
                <w:p w14:paraId="7D5ABBA6">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pacing w:val="0"/>
                      <w:w w:val="100"/>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spacing w:val="0"/>
                      <w:w w:val="100"/>
                      <w:kern w:val="0"/>
                      <w:sz w:val="21"/>
                      <w:szCs w:val="21"/>
                      <w:highlight w:val="none"/>
                      <w:lang w:val="en-US" w:eastAsia="zh-CN" w:bidi="zh-CN"/>
                      <w14:textFill>
                        <w14:solidFill>
                          <w14:schemeClr w14:val="tx1"/>
                        </w14:solidFill>
                      </w14:textFill>
                    </w:rPr>
                    <w:t>2PC1200×1000</w:t>
                  </w:r>
                </w:p>
              </w:tc>
              <w:tc>
                <w:tcPr>
                  <w:tcW w:w="514" w:type="pct"/>
                  <w:tcBorders>
                    <w:tl2br w:val="nil"/>
                    <w:tr2bl w:val="nil"/>
                  </w:tcBorders>
                  <w:vAlign w:val="center"/>
                </w:tcPr>
                <w:p w14:paraId="03297FE7">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bidi="zh-CN"/>
                      <w14:textFill>
                        <w14:solidFill>
                          <w14:schemeClr w14:val="tx1"/>
                        </w14:solidFill>
                      </w14:textFill>
                    </w:rPr>
                    <w:t>2</w:t>
                  </w:r>
                </w:p>
              </w:tc>
              <w:tc>
                <w:tcPr>
                  <w:tcW w:w="824" w:type="pct"/>
                  <w:tcBorders>
                    <w:tl2br w:val="nil"/>
                    <w:tr2bl w:val="nil"/>
                  </w:tcBorders>
                  <w:vAlign w:val="center"/>
                </w:tcPr>
                <w:p w14:paraId="78D62D83">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bidi="zh-CN"/>
                      <w14:textFill>
                        <w14:solidFill>
                          <w14:schemeClr w14:val="tx1"/>
                        </w14:solidFill>
                      </w14:textFill>
                    </w:rPr>
                    <w:t>100-125</w:t>
                  </w:r>
                </w:p>
              </w:tc>
              <w:tc>
                <w:tcPr>
                  <w:tcW w:w="559" w:type="pct"/>
                  <w:tcBorders>
                    <w:tl2br w:val="nil"/>
                    <w:tr2bl w:val="nil"/>
                  </w:tcBorders>
                  <w:vAlign w:val="center"/>
                </w:tcPr>
                <w:p w14:paraId="779FCEDF">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新建</w:t>
                  </w:r>
                </w:p>
              </w:tc>
              <w:tc>
                <w:tcPr>
                  <w:tcW w:w="743" w:type="pct"/>
                  <w:vMerge w:val="continue"/>
                  <w:tcBorders>
                    <w:tl2br w:val="nil"/>
                    <w:tr2bl w:val="nil"/>
                  </w:tcBorders>
                  <w:vAlign w:val="center"/>
                </w:tcPr>
                <w:p w14:paraId="5063AAC2">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p>
              </w:tc>
            </w:tr>
            <w:tr w14:paraId="04C0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5A7550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kern w:val="0"/>
                      <w:sz w:val="21"/>
                      <w:szCs w:val="21"/>
                      <w:highlight w:val="none"/>
                      <w:lang w:val="en-US" w:eastAsia="zh-CN" w:bidi="ar-SA"/>
                      <w14:textFill>
                        <w14:solidFill>
                          <w14:schemeClr w14:val="tx1"/>
                        </w14:solidFill>
                      </w14:textFill>
                    </w:rPr>
                    <w:t>4</w:t>
                  </w:r>
                </w:p>
              </w:tc>
              <w:tc>
                <w:tcPr>
                  <w:tcW w:w="963" w:type="pct"/>
                  <w:tcBorders>
                    <w:tl2br w:val="nil"/>
                    <w:tr2bl w:val="nil"/>
                  </w:tcBorders>
                  <w:vAlign w:val="center"/>
                </w:tcPr>
                <w:p w14:paraId="52740B31">
                  <w:pPr>
                    <w:keepNext w:val="0"/>
                    <w:keepLines w:val="0"/>
                    <w:pageBreakBefore w:val="0"/>
                    <w:suppressLineNumbers w:val="0"/>
                    <w:kinsoku/>
                    <w:wordWrap/>
                    <w:overflowPunct/>
                    <w:topLinePunct w:val="0"/>
                    <w:autoSpaceDE/>
                    <w:autoSpaceDN/>
                    <w:bidi w:val="0"/>
                    <w:spacing w:before="0" w:beforeAutospacing="0" w:after="0" w:afterAutospacing="0" w:line="240" w:lineRule="atLeast"/>
                    <w:ind w:left="0" w:leftChars="0" w:right="0" w:rightChars="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bidi="zh-CN"/>
                      <w14:textFill>
                        <w14:solidFill>
                          <w14:schemeClr w14:val="tx1"/>
                        </w14:solidFill>
                      </w14:textFill>
                    </w:rPr>
                    <w:t>筛分机</w:t>
                  </w:r>
                </w:p>
              </w:tc>
              <w:tc>
                <w:tcPr>
                  <w:tcW w:w="964" w:type="pct"/>
                  <w:tcBorders>
                    <w:tl2br w:val="nil"/>
                    <w:tr2bl w:val="nil"/>
                  </w:tcBorders>
                  <w:vAlign w:val="center"/>
                </w:tcPr>
                <w:p w14:paraId="02C7FAA8">
                  <w:pPr>
                    <w:keepNext w:val="0"/>
                    <w:keepLines w:val="0"/>
                    <w:pageBreakBefore w:val="0"/>
                    <w:suppressLineNumbers w:val="0"/>
                    <w:kinsoku/>
                    <w:wordWrap/>
                    <w:overflowPunct/>
                    <w:topLinePunct w:val="0"/>
                    <w:autoSpaceDE/>
                    <w:autoSpaceDN/>
                    <w:bidi w:val="0"/>
                    <w:spacing w:before="0" w:beforeAutospacing="0" w:after="0" w:afterAutospacing="0" w:line="240" w:lineRule="atLeast"/>
                    <w:ind w:left="0" w:leftChars="0" w:right="0" w:rightChars="0"/>
                    <w:jc w:val="center"/>
                    <w:textAlignment w:val="auto"/>
                    <w:rPr>
                      <w:rFonts w:hint="eastAsia" w:cs="Times New Roman"/>
                      <w:b w:val="0"/>
                      <w:bCs w:val="0"/>
                      <w:color w:val="000000" w:themeColor="text1"/>
                      <w:spacing w:val="0"/>
                      <w:w w:val="100"/>
                      <w:kern w:val="0"/>
                      <w:sz w:val="21"/>
                      <w:szCs w:val="21"/>
                      <w:highlight w:val="none"/>
                      <w:lang w:val="en-US" w:eastAsia="zh-CN" w:bidi="zh-CN"/>
                      <w14:textFill>
                        <w14:solidFill>
                          <w14:schemeClr w14:val="tx1"/>
                        </w14:solidFill>
                      </w14:textFill>
                    </w:rPr>
                  </w:pPr>
                  <w:r>
                    <w:rPr>
                      <w:rFonts w:hint="eastAsia" w:cs="Times New Roman"/>
                      <w:b w:val="0"/>
                      <w:bCs w:val="0"/>
                      <w:color w:val="000000" w:themeColor="text1"/>
                      <w:spacing w:val="0"/>
                      <w:w w:val="100"/>
                      <w:kern w:val="0"/>
                      <w:sz w:val="21"/>
                      <w:szCs w:val="21"/>
                      <w:highlight w:val="none"/>
                      <w:lang w:val="en-US" w:eastAsia="zh-CN" w:bidi="zh-CN"/>
                      <w14:textFill>
                        <w14:solidFill>
                          <w14:schemeClr w14:val="tx1"/>
                        </w14:solidFill>
                      </w14:textFill>
                    </w:rPr>
                    <w:t>2YKH-2160</w:t>
                  </w:r>
                </w:p>
                <w:p w14:paraId="2B2B9E88">
                  <w:pPr>
                    <w:pStyle w:val="2"/>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2层筛</w:t>
                  </w:r>
                </w:p>
              </w:tc>
              <w:tc>
                <w:tcPr>
                  <w:tcW w:w="514" w:type="pct"/>
                  <w:tcBorders>
                    <w:tl2br w:val="nil"/>
                    <w:tr2bl w:val="nil"/>
                  </w:tcBorders>
                  <w:vAlign w:val="center"/>
                </w:tcPr>
                <w:p w14:paraId="3DF54168">
                  <w:pPr>
                    <w:keepNext w:val="0"/>
                    <w:keepLines w:val="0"/>
                    <w:pageBreakBefore w:val="0"/>
                    <w:suppressLineNumbers w:val="0"/>
                    <w:kinsoku/>
                    <w:wordWrap/>
                    <w:overflowPunct/>
                    <w:topLinePunct w:val="0"/>
                    <w:autoSpaceDE/>
                    <w:autoSpaceDN/>
                    <w:bidi w:val="0"/>
                    <w:spacing w:before="0" w:beforeAutospacing="0" w:after="0" w:afterAutospacing="0" w:line="240" w:lineRule="atLeast"/>
                    <w:ind w:left="0" w:leftChars="0" w:right="0" w:rightChars="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2</w:t>
                  </w:r>
                </w:p>
              </w:tc>
              <w:tc>
                <w:tcPr>
                  <w:tcW w:w="824" w:type="pct"/>
                  <w:tcBorders>
                    <w:tl2br w:val="nil"/>
                    <w:tr2bl w:val="nil"/>
                  </w:tcBorders>
                  <w:vAlign w:val="center"/>
                </w:tcPr>
                <w:p w14:paraId="36284FE0">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bidi="zh-CN"/>
                      <w14:textFill>
                        <w14:solidFill>
                          <w14:schemeClr w14:val="tx1"/>
                        </w14:solidFill>
                      </w14:textFill>
                    </w:rPr>
                    <w:t>100-125</w:t>
                  </w:r>
                </w:p>
              </w:tc>
              <w:tc>
                <w:tcPr>
                  <w:tcW w:w="559" w:type="pct"/>
                  <w:tcBorders>
                    <w:tl2br w:val="nil"/>
                    <w:tr2bl w:val="nil"/>
                  </w:tcBorders>
                  <w:vAlign w:val="center"/>
                </w:tcPr>
                <w:p w14:paraId="391F10C6">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新建</w:t>
                  </w:r>
                </w:p>
              </w:tc>
              <w:tc>
                <w:tcPr>
                  <w:tcW w:w="743" w:type="pct"/>
                  <w:vMerge w:val="continue"/>
                  <w:tcBorders>
                    <w:tl2br w:val="nil"/>
                    <w:tr2bl w:val="nil"/>
                  </w:tcBorders>
                  <w:vAlign w:val="center"/>
                </w:tcPr>
                <w:p w14:paraId="5AF2363A">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p>
              </w:tc>
            </w:tr>
            <w:tr w14:paraId="796A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6915BC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kern w:val="0"/>
                      <w:sz w:val="21"/>
                      <w:szCs w:val="21"/>
                      <w:highlight w:val="none"/>
                      <w:lang w:val="en-US" w:eastAsia="zh-CN" w:bidi="ar-SA"/>
                      <w14:textFill>
                        <w14:solidFill>
                          <w14:schemeClr w14:val="tx1"/>
                        </w14:solidFill>
                      </w14:textFill>
                    </w:rPr>
                    <w:t>5</w:t>
                  </w:r>
                </w:p>
              </w:tc>
              <w:tc>
                <w:tcPr>
                  <w:tcW w:w="963" w:type="pct"/>
                  <w:tcBorders>
                    <w:tl2br w:val="nil"/>
                    <w:tr2bl w:val="nil"/>
                  </w:tcBorders>
                  <w:vAlign w:val="center"/>
                </w:tcPr>
                <w:p w14:paraId="70157EE9">
                  <w:pPr>
                    <w:keepNext w:val="0"/>
                    <w:keepLines w:val="0"/>
                    <w:pageBreakBefore w:val="0"/>
                    <w:suppressLineNumbers w:val="0"/>
                    <w:kinsoku/>
                    <w:wordWrap/>
                    <w:overflowPunct/>
                    <w:topLinePunct w:val="0"/>
                    <w:autoSpaceDE/>
                    <w:autoSpaceDN/>
                    <w:bidi w:val="0"/>
                    <w:spacing w:before="0" w:beforeAutospacing="0" w:after="0" w:afterAutospacing="0" w:line="240" w:lineRule="atLeast"/>
                    <w:ind w:left="0" w:leftChars="0" w:right="0" w:rightChars="0"/>
                    <w:jc w:val="center"/>
                    <w:textAlignment w:val="auto"/>
                    <w:rPr>
                      <w:rFonts w:hint="eastAsia"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皮带输送机</w:t>
                  </w:r>
                </w:p>
              </w:tc>
              <w:tc>
                <w:tcPr>
                  <w:tcW w:w="964" w:type="pct"/>
                  <w:tcBorders>
                    <w:tl2br w:val="nil"/>
                    <w:tr2bl w:val="nil"/>
                  </w:tcBorders>
                  <w:vAlign w:val="center"/>
                </w:tcPr>
                <w:p w14:paraId="39FDE6FE">
                  <w:pPr>
                    <w:keepNext w:val="0"/>
                    <w:keepLines w:val="0"/>
                    <w:pageBreakBefore w:val="0"/>
                    <w:suppressLineNumbers w:val="0"/>
                    <w:kinsoku/>
                    <w:wordWrap/>
                    <w:overflowPunct/>
                    <w:topLinePunct w:val="0"/>
                    <w:autoSpaceDE/>
                    <w:autoSpaceDN/>
                    <w:bidi w:val="0"/>
                    <w:spacing w:before="0" w:beforeAutospacing="0" w:after="0" w:afterAutospacing="0" w:line="240" w:lineRule="atLeast"/>
                    <w:ind w:left="0" w:leftChars="0" w:right="0" w:rightChars="0"/>
                    <w:jc w:val="center"/>
                    <w:textAlignment w:val="auto"/>
                    <w:rPr>
                      <w:rFonts w:hint="default" w:ascii="Times New Roman" w:hAnsi="Times New Roman" w:eastAsia="宋体" w:cs="Times New Roman"/>
                      <w:b w:val="0"/>
                      <w:bCs w:val="0"/>
                      <w:color w:val="000000" w:themeColor="text1"/>
                      <w:spacing w:val="0"/>
                      <w:w w:val="100"/>
                      <w:kern w:val="0"/>
                      <w:sz w:val="21"/>
                      <w:szCs w:val="21"/>
                      <w:highlight w:val="none"/>
                      <w:lang w:val="en-US" w:eastAsia="zh-CN" w:bidi="zh-CN"/>
                      <w14:textFill>
                        <w14:solidFill>
                          <w14:schemeClr w14:val="tx1"/>
                        </w14:solidFill>
                      </w14:textFill>
                    </w:rPr>
                  </w:pPr>
                  <w:r>
                    <w:rPr>
                      <w:rFonts w:hint="default"/>
                      <w:color w:val="000000" w:themeColor="text1"/>
                      <w:sz w:val="21"/>
                      <w:szCs w:val="21"/>
                      <w:highlight w:val="none"/>
                      <w14:textFill>
                        <w14:solidFill>
                          <w14:schemeClr w14:val="tx1"/>
                        </w14:solidFill>
                      </w14:textFill>
                    </w:rPr>
                    <w:t>B</w:t>
                  </w:r>
                  <w:r>
                    <w:rPr>
                      <w:rFonts w:hint="eastAsia"/>
                      <w:color w:val="000000" w:themeColor="text1"/>
                      <w:sz w:val="21"/>
                      <w:szCs w:val="21"/>
                      <w:highlight w:val="none"/>
                      <w:lang w:val="en-US" w:eastAsia="zh-CN"/>
                      <w14:textFill>
                        <w14:solidFill>
                          <w14:schemeClr w14:val="tx1"/>
                        </w14:solidFill>
                      </w14:textFill>
                    </w:rPr>
                    <w:t>800</w:t>
                  </w:r>
                </w:p>
              </w:tc>
              <w:tc>
                <w:tcPr>
                  <w:tcW w:w="514" w:type="pct"/>
                  <w:tcBorders>
                    <w:tl2br w:val="nil"/>
                    <w:tr2bl w:val="nil"/>
                  </w:tcBorders>
                  <w:vAlign w:val="center"/>
                </w:tcPr>
                <w:p w14:paraId="3A094F00">
                  <w:pPr>
                    <w:keepNext w:val="0"/>
                    <w:keepLines w:val="0"/>
                    <w:pageBreakBefore w:val="0"/>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bidi="zh-CN"/>
                      <w14:textFill>
                        <w14:solidFill>
                          <w14:schemeClr w14:val="tx1"/>
                        </w14:solidFill>
                      </w14:textFill>
                    </w:rPr>
                    <w:t>9</w:t>
                  </w:r>
                </w:p>
              </w:tc>
              <w:tc>
                <w:tcPr>
                  <w:tcW w:w="824" w:type="pct"/>
                  <w:tcBorders>
                    <w:tl2br w:val="nil"/>
                    <w:tr2bl w:val="nil"/>
                  </w:tcBorders>
                  <w:vAlign w:val="center"/>
                </w:tcPr>
                <w:p w14:paraId="6B3B3D59">
                  <w:pPr>
                    <w:keepNext w:val="0"/>
                    <w:keepLines w:val="0"/>
                    <w:pageBreakBefore w:val="0"/>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default"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1.25-2m/s</w:t>
                  </w:r>
                </w:p>
              </w:tc>
              <w:tc>
                <w:tcPr>
                  <w:tcW w:w="559" w:type="pct"/>
                  <w:tcBorders>
                    <w:tl2br w:val="nil"/>
                    <w:tr2bl w:val="nil"/>
                  </w:tcBorders>
                  <w:vAlign w:val="center"/>
                </w:tcPr>
                <w:p w14:paraId="0FB6800E">
                  <w:pPr>
                    <w:keepNext w:val="0"/>
                    <w:keepLines w:val="0"/>
                    <w:pageBreakBefore w:val="0"/>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新建</w:t>
                  </w:r>
                </w:p>
              </w:tc>
              <w:tc>
                <w:tcPr>
                  <w:tcW w:w="743" w:type="pct"/>
                  <w:vMerge w:val="continue"/>
                  <w:tcBorders>
                    <w:tl2br w:val="nil"/>
                    <w:tr2bl w:val="nil"/>
                  </w:tcBorders>
                  <w:vAlign w:val="center"/>
                </w:tcPr>
                <w:p w14:paraId="0892941F">
                  <w:pPr>
                    <w:keepNext w:val="0"/>
                    <w:keepLines w:val="0"/>
                    <w:pageBreakBefore w:val="0"/>
                    <w:suppressLineNumbers w:val="0"/>
                    <w:kinsoku/>
                    <w:wordWrap/>
                    <w:overflowPunct/>
                    <w:topLinePunct w:val="0"/>
                    <w:autoSpaceDE/>
                    <w:autoSpaceDN/>
                    <w:bidi w:val="0"/>
                    <w:spacing w:before="0" w:beforeAutospacing="0" w:after="0" w:afterAutospacing="0" w:line="240" w:lineRule="atLeast"/>
                    <w:ind w:left="0" w:right="0"/>
                    <w:jc w:val="center"/>
                    <w:textAlignment w:val="auto"/>
                    <w:rPr>
                      <w:rFonts w:hint="eastAsia" w:cs="Times New Roman"/>
                      <w:color w:val="000000" w:themeColor="text1"/>
                      <w:sz w:val="21"/>
                      <w:szCs w:val="21"/>
                      <w:lang w:val="en-US" w:eastAsia="zh-CN"/>
                      <w14:textFill>
                        <w14:solidFill>
                          <w14:schemeClr w14:val="tx1"/>
                        </w14:solidFill>
                      </w14:textFill>
                    </w:rPr>
                  </w:pPr>
                </w:p>
              </w:tc>
            </w:tr>
          </w:tbl>
          <w:p w14:paraId="6E5FED26">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cs="Times New Roman"/>
                <w:b w:val="0"/>
                <w:bCs/>
                <w:color w:val="000000" w:themeColor="text1"/>
                <w:spacing w:val="0"/>
                <w:sz w:val="24"/>
                <w:szCs w:val="24"/>
                <w:highlight w:val="none"/>
                <w:lang w:val="en-US" w:eastAsia="zh-CN"/>
                <w14:textFill>
                  <w14:solidFill>
                    <w14:schemeClr w14:val="tx1"/>
                  </w14:solidFill>
                </w14:textFill>
              </w:rPr>
            </w:pPr>
            <w:r>
              <w:rPr>
                <w:rFonts w:hint="eastAsia" w:cs="Times New Roman"/>
                <w:b w:val="0"/>
                <w:bCs/>
                <w:color w:val="000000" w:themeColor="text1"/>
                <w:spacing w:val="0"/>
                <w:sz w:val="24"/>
                <w:szCs w:val="24"/>
                <w:highlight w:val="none"/>
                <w:lang w:val="en-US" w:eastAsia="zh-CN"/>
                <w14:textFill>
                  <w14:solidFill>
                    <w14:schemeClr w14:val="tx1"/>
                  </w14:solidFill>
                </w14:textFill>
              </w:rPr>
              <w:t>主要生产设备配置与设计生产能力匹配性分析：</w:t>
            </w:r>
          </w:p>
          <w:p w14:paraId="671CF4F5">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cs="Times New Roman"/>
                <w:b w:val="0"/>
                <w:bCs/>
                <w:color w:val="000000" w:themeColor="text1"/>
                <w:spacing w:val="0"/>
                <w:sz w:val="24"/>
                <w:szCs w:val="24"/>
                <w:highlight w:val="none"/>
                <w:lang w:val="en-US" w:eastAsia="zh-CN"/>
                <w14:textFill>
                  <w14:solidFill>
                    <w14:schemeClr w14:val="tx1"/>
                  </w14:solidFill>
                </w14:textFill>
              </w:rPr>
            </w:pPr>
            <w:r>
              <w:rPr>
                <w:rFonts w:hint="eastAsia" w:cs="Times New Roman"/>
                <w:b w:val="0"/>
                <w:bCs/>
                <w:color w:val="000000" w:themeColor="text1"/>
                <w:spacing w:val="0"/>
                <w:sz w:val="24"/>
                <w:szCs w:val="24"/>
                <w:highlight w:val="none"/>
                <w:lang w:val="en-US" w:eastAsia="zh-CN"/>
                <w14:textFill>
                  <w14:solidFill>
                    <w14:schemeClr w14:val="tx1"/>
                  </w14:solidFill>
                </w14:textFill>
              </w:rPr>
              <w:t>根据上述生产能力及设计工作制度，主要生产设备颚式破碎机按最大生产能力230</w:t>
            </w:r>
            <w:r>
              <w:rPr>
                <w:rFonts w:hint="eastAsia" w:ascii="Times New Roman" w:hAnsi="Times New Roman" w:cs="Times New Roman"/>
                <w:color w:val="000000" w:themeColor="text1"/>
                <w:sz w:val="24"/>
                <w:szCs w:val="24"/>
                <w:lang w:val="en-US" w:eastAsia="zh-CN"/>
                <w14:textFill>
                  <w14:solidFill>
                    <w14:schemeClr w14:val="tx1"/>
                  </w14:solidFill>
                </w14:textFill>
              </w:rPr>
              <w:t>t/h，年处理能力为2</w:t>
            </w:r>
            <w:r>
              <w:rPr>
                <w:rFonts w:hint="eastAsia" w:cs="Times New Roman"/>
                <w:color w:val="000000" w:themeColor="text1"/>
                <w:sz w:val="24"/>
                <w:szCs w:val="24"/>
                <w:lang w:val="en-US" w:eastAsia="zh-CN"/>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0t/h×</w:t>
            </w:r>
            <w:r>
              <w:rPr>
                <w:rFonts w:hint="eastAsia" w:cs="Times New Roman"/>
                <w:color w:val="000000" w:themeColor="text1"/>
                <w:sz w:val="24"/>
                <w:szCs w:val="24"/>
                <w:lang w:val="en-US" w:eastAsia="zh-CN"/>
                <w14:textFill>
                  <w14:solidFill>
                    <w14:schemeClr w14:val="tx1"/>
                  </w14:solidFill>
                </w14:textFill>
              </w:rPr>
              <w:t>16</w:t>
            </w:r>
            <w:r>
              <w:rPr>
                <w:rFonts w:hint="eastAsia" w:ascii="Times New Roman" w:hAnsi="Times New Roman" w:cs="Times New Roman"/>
                <w:color w:val="000000" w:themeColor="text1"/>
                <w:sz w:val="24"/>
                <w:szCs w:val="24"/>
                <w:lang w:val="en-US" w:eastAsia="zh-CN"/>
                <w14:textFill>
                  <w14:solidFill>
                    <w14:schemeClr w14:val="tx1"/>
                  </w14:solidFill>
                </w14:textFill>
              </w:rPr>
              <w:t>h×3</w:t>
            </w:r>
            <w:r>
              <w:rPr>
                <w:rFonts w:hint="eastAsia" w:cs="Times New Roman"/>
                <w:color w:val="000000" w:themeColor="text1"/>
                <w:sz w:val="24"/>
                <w:szCs w:val="24"/>
                <w:lang w:val="en-US" w:eastAsia="zh-CN"/>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0d=</w:t>
            </w:r>
            <w:r>
              <w:rPr>
                <w:rFonts w:hint="eastAsia" w:cs="Times New Roman"/>
                <w:color w:val="000000" w:themeColor="text1"/>
                <w:sz w:val="24"/>
                <w:szCs w:val="24"/>
                <w:lang w:val="en-US" w:eastAsia="zh-CN"/>
                <w14:textFill>
                  <w14:solidFill>
                    <w14:schemeClr w14:val="tx1"/>
                  </w14:solidFill>
                </w14:textFill>
              </w:rPr>
              <w:t>121.44</w:t>
            </w:r>
            <w:r>
              <w:rPr>
                <w:rFonts w:hint="eastAsia" w:cs="Times New Roman"/>
                <w:b w:val="0"/>
                <w:bCs/>
                <w:color w:val="000000" w:themeColor="text1"/>
                <w:spacing w:val="0"/>
                <w:sz w:val="24"/>
                <w:szCs w:val="24"/>
                <w:highlight w:val="none"/>
                <w:lang w:val="en-US" w:eastAsia="zh-CN"/>
                <w14:textFill>
                  <w14:solidFill>
                    <w14:schemeClr w14:val="tx1"/>
                  </w14:solidFill>
                </w14:textFill>
              </w:rPr>
              <w:t>万t/a；双级破碎机按最大生产能力125</w:t>
            </w:r>
            <w:r>
              <w:rPr>
                <w:rFonts w:hint="eastAsia" w:ascii="Times New Roman" w:hAnsi="Times New Roman" w:cs="Times New Roman"/>
                <w:color w:val="000000" w:themeColor="text1"/>
                <w:sz w:val="24"/>
                <w:szCs w:val="24"/>
                <w:lang w:val="en-US" w:eastAsia="zh-CN"/>
                <w14:textFill>
                  <w14:solidFill>
                    <w14:schemeClr w14:val="tx1"/>
                  </w14:solidFill>
                </w14:textFill>
              </w:rPr>
              <w:t>t/h，年处理能力为</w:t>
            </w:r>
            <w:r>
              <w:rPr>
                <w:rFonts w:hint="eastAsia" w:cs="Times New Roman"/>
                <w:color w:val="000000" w:themeColor="text1"/>
                <w:sz w:val="24"/>
                <w:szCs w:val="24"/>
                <w:lang w:val="en-US" w:eastAsia="zh-CN"/>
                <w14:textFill>
                  <w14:solidFill>
                    <w14:schemeClr w14:val="tx1"/>
                  </w14:solidFill>
                </w14:textFill>
              </w:rPr>
              <w:t>125</w:t>
            </w:r>
            <w:r>
              <w:rPr>
                <w:rFonts w:hint="eastAsia" w:ascii="Times New Roman" w:hAnsi="Times New Roman" w:cs="Times New Roman"/>
                <w:color w:val="000000" w:themeColor="text1"/>
                <w:sz w:val="24"/>
                <w:szCs w:val="24"/>
                <w:lang w:val="en-US" w:eastAsia="zh-CN"/>
                <w14:textFill>
                  <w14:solidFill>
                    <w14:schemeClr w14:val="tx1"/>
                  </w14:solidFill>
                </w14:textFill>
              </w:rPr>
              <w:t>t/h×</w:t>
            </w:r>
            <w:r>
              <w:rPr>
                <w:rFonts w:hint="eastAsia" w:cs="Times New Roman"/>
                <w:color w:val="000000" w:themeColor="text1"/>
                <w:sz w:val="24"/>
                <w:szCs w:val="24"/>
                <w:lang w:val="en-US" w:eastAsia="zh-CN"/>
                <w14:textFill>
                  <w14:solidFill>
                    <w14:schemeClr w14:val="tx1"/>
                  </w14:solidFill>
                </w14:textFill>
              </w:rPr>
              <w:t>16</w:t>
            </w:r>
            <w:r>
              <w:rPr>
                <w:rFonts w:hint="eastAsia" w:ascii="Times New Roman" w:hAnsi="Times New Roman" w:cs="Times New Roman"/>
                <w:color w:val="000000" w:themeColor="text1"/>
                <w:sz w:val="24"/>
                <w:szCs w:val="24"/>
                <w:lang w:val="en-US" w:eastAsia="zh-CN"/>
                <w14:textFill>
                  <w14:solidFill>
                    <w14:schemeClr w14:val="tx1"/>
                  </w14:solidFill>
                </w14:textFill>
              </w:rPr>
              <w:t>h×3</w:t>
            </w:r>
            <w:r>
              <w:rPr>
                <w:rFonts w:hint="eastAsia" w:cs="Times New Roman"/>
                <w:color w:val="000000" w:themeColor="text1"/>
                <w:sz w:val="24"/>
                <w:szCs w:val="24"/>
                <w:lang w:val="en-US" w:eastAsia="zh-CN"/>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0d×</w:t>
            </w:r>
            <w:r>
              <w:rPr>
                <w:rFonts w:hint="eastAsia" w:cs="Times New Roman"/>
                <w:color w:val="000000" w:themeColor="text1"/>
                <w:sz w:val="24"/>
                <w:szCs w:val="24"/>
                <w:lang w:val="en-US" w:eastAsia="zh-CN"/>
                <w14:textFill>
                  <w14:solidFill>
                    <w14:schemeClr w14:val="tx1"/>
                  </w14:solidFill>
                </w14:textFill>
              </w:rPr>
              <w:t>2</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132</w:t>
            </w:r>
            <w:r>
              <w:rPr>
                <w:rFonts w:hint="eastAsia" w:cs="Times New Roman"/>
                <w:b w:val="0"/>
                <w:bCs/>
                <w:color w:val="000000" w:themeColor="text1"/>
                <w:spacing w:val="0"/>
                <w:sz w:val="24"/>
                <w:szCs w:val="24"/>
                <w:highlight w:val="none"/>
                <w:lang w:val="en-US" w:eastAsia="zh-CN"/>
                <w14:textFill>
                  <w14:solidFill>
                    <w14:schemeClr w14:val="tx1"/>
                  </w14:solidFill>
                </w14:textFill>
              </w:rPr>
              <w:t>万t/a；筛分机按最大生产能力125</w:t>
            </w:r>
            <w:r>
              <w:rPr>
                <w:rFonts w:hint="eastAsia" w:ascii="Times New Roman" w:hAnsi="Times New Roman" w:cs="Times New Roman"/>
                <w:color w:val="000000" w:themeColor="text1"/>
                <w:sz w:val="24"/>
                <w:szCs w:val="24"/>
                <w:lang w:val="en-US" w:eastAsia="zh-CN"/>
                <w14:textFill>
                  <w14:solidFill>
                    <w14:schemeClr w14:val="tx1"/>
                  </w14:solidFill>
                </w14:textFill>
              </w:rPr>
              <w:t>t/h，年处理能力为</w:t>
            </w:r>
            <w:r>
              <w:rPr>
                <w:rFonts w:hint="eastAsia" w:cs="Times New Roman"/>
                <w:color w:val="000000" w:themeColor="text1"/>
                <w:sz w:val="24"/>
                <w:szCs w:val="24"/>
                <w:lang w:val="en-US" w:eastAsia="zh-CN"/>
                <w14:textFill>
                  <w14:solidFill>
                    <w14:schemeClr w14:val="tx1"/>
                  </w14:solidFill>
                </w14:textFill>
              </w:rPr>
              <w:t>125</w:t>
            </w:r>
            <w:r>
              <w:rPr>
                <w:rFonts w:hint="eastAsia" w:ascii="Times New Roman" w:hAnsi="Times New Roman" w:cs="Times New Roman"/>
                <w:color w:val="000000" w:themeColor="text1"/>
                <w:sz w:val="24"/>
                <w:szCs w:val="24"/>
                <w:lang w:val="en-US" w:eastAsia="zh-CN"/>
                <w14:textFill>
                  <w14:solidFill>
                    <w14:schemeClr w14:val="tx1"/>
                  </w14:solidFill>
                </w14:textFill>
              </w:rPr>
              <w:t>t/h×</w:t>
            </w:r>
            <w:r>
              <w:rPr>
                <w:rFonts w:hint="eastAsia" w:cs="Times New Roman"/>
                <w:color w:val="000000" w:themeColor="text1"/>
                <w:sz w:val="24"/>
                <w:szCs w:val="24"/>
                <w:lang w:val="en-US" w:eastAsia="zh-CN"/>
                <w14:textFill>
                  <w14:solidFill>
                    <w14:schemeClr w14:val="tx1"/>
                  </w14:solidFill>
                </w14:textFill>
              </w:rPr>
              <w:t>16</w:t>
            </w:r>
            <w:r>
              <w:rPr>
                <w:rFonts w:hint="eastAsia" w:ascii="Times New Roman" w:hAnsi="Times New Roman" w:cs="Times New Roman"/>
                <w:color w:val="000000" w:themeColor="text1"/>
                <w:sz w:val="24"/>
                <w:szCs w:val="24"/>
                <w:lang w:val="en-US" w:eastAsia="zh-CN"/>
                <w14:textFill>
                  <w14:solidFill>
                    <w14:schemeClr w14:val="tx1"/>
                  </w14:solidFill>
                </w14:textFill>
              </w:rPr>
              <w:t>h×3</w:t>
            </w:r>
            <w:r>
              <w:rPr>
                <w:rFonts w:hint="eastAsia" w:cs="Times New Roman"/>
                <w:color w:val="000000" w:themeColor="text1"/>
                <w:sz w:val="24"/>
                <w:szCs w:val="24"/>
                <w:lang w:val="en-US" w:eastAsia="zh-CN"/>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0d×</w:t>
            </w:r>
            <w:r>
              <w:rPr>
                <w:rFonts w:hint="eastAsia" w:cs="Times New Roman"/>
                <w:color w:val="000000" w:themeColor="text1"/>
                <w:sz w:val="24"/>
                <w:szCs w:val="24"/>
                <w:lang w:val="en-US" w:eastAsia="zh-CN"/>
                <w14:textFill>
                  <w14:solidFill>
                    <w14:schemeClr w14:val="tx1"/>
                  </w14:solidFill>
                </w14:textFill>
              </w:rPr>
              <w:t>2</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132</w:t>
            </w:r>
            <w:r>
              <w:rPr>
                <w:rFonts w:hint="eastAsia" w:cs="Times New Roman"/>
                <w:b w:val="0"/>
                <w:bCs/>
                <w:color w:val="000000" w:themeColor="text1"/>
                <w:spacing w:val="0"/>
                <w:sz w:val="24"/>
                <w:szCs w:val="24"/>
                <w:highlight w:val="none"/>
                <w:lang w:val="en-US" w:eastAsia="zh-CN"/>
                <w14:textFill>
                  <w14:solidFill>
                    <w14:schemeClr w14:val="tx1"/>
                  </w14:solidFill>
                </w14:textFill>
              </w:rPr>
              <w:t>万t/a，均满足本项目设计产能年处理120万吨煤矸石。</w:t>
            </w:r>
          </w:p>
          <w:p w14:paraId="04B8CC5E">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pPr>
            <w:r>
              <w:rPr>
                <w:rFonts w:hint="eastAsia" w:cs="Times New Roman"/>
                <w:b/>
                <w:bCs w:val="0"/>
                <w:color w:val="000000" w:themeColor="text1"/>
                <w:spacing w:val="0"/>
                <w:sz w:val="24"/>
                <w:szCs w:val="24"/>
                <w:highlight w:val="none"/>
                <w:lang w:val="en-US" w:eastAsia="zh-CN"/>
                <w14:textFill>
                  <w14:solidFill>
                    <w14:schemeClr w14:val="tx1"/>
                  </w14:solidFill>
                </w14:textFill>
              </w:rPr>
              <w:t>2.4</w:t>
            </w:r>
            <w:r>
              <w:rPr>
                <w:rFonts w:hint="default"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t>原辅材料及能源消耗</w:t>
            </w:r>
          </w:p>
          <w:p w14:paraId="797A4076">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本项目原料为煤矸石，</w:t>
            </w:r>
            <w:r>
              <w:rPr>
                <w:rFonts w:hint="eastAsia"/>
                <w:color w:val="000000" w:themeColor="text1"/>
                <w:sz w:val="24"/>
                <w14:textFill>
                  <w14:solidFill>
                    <w14:schemeClr w14:val="tx1"/>
                  </w14:solidFill>
                </w14:textFill>
              </w:rPr>
              <w:t>煤矸石外购于周边洗煤厂、煤矿</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厂区内</w:t>
            </w:r>
            <w:r>
              <w:rPr>
                <w:rFonts w:hint="eastAsia" w:cs="Times New Roman"/>
                <w:bCs/>
                <w:color w:val="000000" w:themeColor="text1"/>
                <w:spacing w:val="0"/>
                <w:sz w:val="24"/>
                <w:szCs w:val="24"/>
                <w:highlight w:val="none"/>
                <w:lang w:val="en-US" w:eastAsia="zh-CN"/>
                <w14:textFill>
                  <w14:solidFill>
                    <w14:schemeClr w14:val="tx1"/>
                  </w14:solidFill>
                </w14:textFill>
              </w:rPr>
              <w:t>富健达洗煤厂为年产精煤</w:t>
            </w:r>
            <w:r>
              <w:rPr>
                <w:rFonts w:hint="eastAsia"/>
                <w:bCs/>
                <w:color w:val="000000" w:themeColor="text1"/>
                <w:sz w:val="24"/>
                <w:lang w:val="en-US" w:eastAsia="zh-CN"/>
                <w14:textFill>
                  <w14:solidFill>
                    <w14:schemeClr w14:val="tx1"/>
                  </w14:solidFill>
                </w14:textFill>
              </w:rPr>
              <w:t>120</w:t>
            </w:r>
            <w:r>
              <w:rPr>
                <w:rFonts w:hint="eastAsia"/>
                <w:color w:val="000000" w:themeColor="text1"/>
                <w:sz w:val="24"/>
                <w14:textFill>
                  <w14:solidFill>
                    <w14:schemeClr w14:val="tx1"/>
                  </w14:solidFill>
                </w14:textFill>
              </w:rPr>
              <w:t>万t/a</w:t>
            </w:r>
            <w:r>
              <w:rPr>
                <w:rFonts w:hint="eastAsia"/>
                <w:bCs/>
                <w:color w:val="000000" w:themeColor="text1"/>
                <w:sz w:val="24"/>
                <w:lang w:val="en-US" w:eastAsia="zh-CN"/>
                <w14:textFill>
                  <w14:solidFill>
                    <w14:schemeClr w14:val="tx1"/>
                  </w14:solidFill>
                </w14:textFill>
              </w:rPr>
              <w:t>，入洗原煤160</w:t>
            </w:r>
            <w:r>
              <w:rPr>
                <w:rFonts w:hint="eastAsia"/>
                <w:color w:val="000000" w:themeColor="text1"/>
                <w:sz w:val="24"/>
                <w14:textFill>
                  <w14:solidFill>
                    <w14:schemeClr w14:val="tx1"/>
                  </w14:solidFill>
                </w14:textFill>
              </w:rPr>
              <w:t>万t/a</w:t>
            </w:r>
            <w:r>
              <w:rPr>
                <w:rFonts w:hint="eastAsia"/>
                <w:bCs/>
                <w:color w:val="000000" w:themeColor="text1"/>
                <w:sz w:val="24"/>
                <w:lang w:val="en-US" w:eastAsia="zh-CN"/>
                <w14:textFill>
                  <w14:solidFill>
                    <w14:schemeClr w14:val="tx1"/>
                  </w14:solidFill>
                </w14:textFill>
              </w:rPr>
              <w:t>，洗选矸石产生量约40</w:t>
            </w:r>
            <w:r>
              <w:rPr>
                <w:rFonts w:hint="eastAsia"/>
                <w:color w:val="000000" w:themeColor="text1"/>
                <w:sz w:val="24"/>
                <w14:textFill>
                  <w14:solidFill>
                    <w14:schemeClr w14:val="tx1"/>
                  </w14:solidFill>
                </w14:textFill>
              </w:rPr>
              <w:t>万t/a</w:t>
            </w:r>
            <w:r>
              <w:rPr>
                <w:rFonts w:hint="eastAsia"/>
                <w:bCs/>
                <w:color w:val="000000" w:themeColor="text1"/>
                <w:sz w:val="24"/>
                <w:lang w:val="en-US" w:eastAsia="zh-CN"/>
                <w14:textFill>
                  <w14:solidFill>
                    <w14:schemeClr w14:val="tx1"/>
                  </w14:solidFill>
                </w14:textFill>
              </w:rPr>
              <w:t>，环评要求矸石外售综合利用，本项目建成后该洗煤厂40</w:t>
            </w:r>
            <w:r>
              <w:rPr>
                <w:rFonts w:hint="eastAsia"/>
                <w:color w:val="000000" w:themeColor="text1"/>
                <w:sz w:val="24"/>
                <w14:textFill>
                  <w14:solidFill>
                    <w14:schemeClr w14:val="tx1"/>
                  </w14:solidFill>
                </w14:textFill>
              </w:rPr>
              <w:t>万t/a</w:t>
            </w:r>
            <w:r>
              <w:rPr>
                <w:rFonts w:hint="eastAsia"/>
                <w:bCs/>
                <w:color w:val="000000" w:themeColor="text1"/>
                <w:sz w:val="24"/>
                <w:lang w:val="en-US" w:eastAsia="zh-CN"/>
                <w14:textFill>
                  <w14:solidFill>
                    <w14:schemeClr w14:val="tx1"/>
                  </w14:solidFill>
                </w14:textFill>
              </w:rPr>
              <w:t>洗选矸石由厢式车运送至本项目原料堆放区；剩余煤矸石来源为厂区西侧</w:t>
            </w:r>
            <w:r>
              <w:rPr>
                <w:rFonts w:hint="eastAsia" w:cs="Times New Roman"/>
                <w:bCs/>
                <w:color w:val="000000" w:themeColor="text1"/>
                <w:spacing w:val="0"/>
                <w:sz w:val="24"/>
                <w:szCs w:val="24"/>
                <w:highlight w:val="none"/>
                <w:lang w:val="en-US" w:eastAsia="zh-CN"/>
                <w14:textFill>
                  <w14:solidFill>
                    <w14:schemeClr w14:val="tx1"/>
                  </w14:solidFill>
                </w14:textFill>
              </w:rPr>
              <w:t>约3km处的余吾煤矿，约80</w:t>
            </w:r>
            <w:r>
              <w:rPr>
                <w:rFonts w:hint="eastAsia"/>
                <w:color w:val="000000" w:themeColor="text1"/>
                <w:sz w:val="24"/>
                <w14:textFill>
                  <w14:solidFill>
                    <w14:schemeClr w14:val="tx1"/>
                  </w14:solidFill>
                </w14:textFill>
              </w:rPr>
              <w:t>万t/a</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default"/>
                <w:color w:val="000000" w:themeColor="text1"/>
                <w:sz w:val="24"/>
                <w14:textFill>
                  <w14:solidFill>
                    <w14:schemeClr w14:val="tx1"/>
                  </w14:solidFill>
                </w14:textFill>
              </w:rPr>
              <w:t>余吾</w:t>
            </w:r>
            <w:r>
              <w:rPr>
                <w:rFonts w:hint="eastAsia" w:ascii="Times New Roman" w:hAnsi="Times New Roman" w:eastAsia="宋体" w:cs="Times New Roman"/>
                <w:color w:val="000000" w:themeColor="text1"/>
                <w:sz w:val="24"/>
                <w:lang w:val="en-US" w:eastAsia="zh-CN"/>
                <w14:textFill>
                  <w14:solidFill>
                    <w14:schemeClr w14:val="tx1"/>
                  </w14:solidFill>
                </w14:textFill>
              </w:rPr>
              <w:t>煤业洗煤厂年洗选原煤750万</w:t>
            </w:r>
            <w:r>
              <w:rPr>
                <w:rFonts w:hint="eastAsia"/>
                <w:color w:val="000000" w:themeColor="text1"/>
                <w:sz w:val="24"/>
                <w14:textFill>
                  <w14:solidFill>
                    <w14:schemeClr w14:val="tx1"/>
                  </w14:solidFill>
                </w14:textFill>
              </w:rPr>
              <w:t>t/a</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olor w:val="000000" w:themeColor="text1"/>
                <w:sz w:val="24"/>
                <w14:textFill>
                  <w14:solidFill>
                    <w14:schemeClr w14:val="tx1"/>
                  </w14:solidFill>
                </w14:textFill>
              </w:rPr>
              <w:t>矸石产生量约</w:t>
            </w:r>
            <w:r>
              <w:rPr>
                <w:rFonts w:hint="eastAsia"/>
                <w:color w:val="000000" w:themeColor="text1"/>
                <w:sz w:val="24"/>
                <w:lang w:val="en-US" w:eastAsia="zh-CN"/>
                <w14:textFill>
                  <w14:solidFill>
                    <w14:schemeClr w14:val="tx1"/>
                  </w14:solidFill>
                </w14:textFill>
              </w:rPr>
              <w:t>87.5</w:t>
            </w:r>
            <w:r>
              <w:rPr>
                <w:rFonts w:hint="eastAsia"/>
                <w:color w:val="000000" w:themeColor="text1"/>
                <w:sz w:val="24"/>
                <w14:textFill>
                  <w14:solidFill>
                    <w14:schemeClr w14:val="tx1"/>
                  </w14:solidFill>
                </w14:textFill>
              </w:rPr>
              <w:t>万t/a，可以满足本项目生产需求，余吾煤矿煤矸石均由</w:t>
            </w:r>
            <w:r>
              <w:rPr>
                <w:rFonts w:hint="eastAsia"/>
                <w:color w:val="000000" w:themeColor="text1"/>
                <w:sz w:val="24"/>
                <w:lang w:val="en-US" w:eastAsia="zh-CN"/>
                <w14:textFill>
                  <w14:solidFill>
                    <w14:schemeClr w14:val="tx1"/>
                  </w14:solidFill>
                </w14:textFill>
              </w:rPr>
              <w:t>厢式车</w:t>
            </w:r>
            <w:r>
              <w:rPr>
                <w:rFonts w:hint="eastAsia"/>
                <w:color w:val="000000" w:themeColor="text1"/>
                <w:sz w:val="24"/>
                <w14:textFill>
                  <w14:solidFill>
                    <w14:schemeClr w14:val="tx1"/>
                  </w14:solidFill>
                </w14:textFill>
              </w:rPr>
              <w:t>运输运至厂区，可以满足本项目原料需要</w:t>
            </w:r>
            <w:r>
              <w:rPr>
                <w:rFonts w:hint="eastAsia"/>
                <w:color w:val="000000" w:themeColor="text1"/>
                <w:sz w:val="24"/>
                <w:lang w:eastAsia="zh-CN"/>
                <w14:textFill>
                  <w14:solidFill>
                    <w14:schemeClr w14:val="tx1"/>
                  </w14:solidFill>
                </w14:textFill>
              </w:rPr>
              <w:t>。</w:t>
            </w:r>
          </w:p>
          <w:p w14:paraId="362AA889">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原辅材料及</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能源消耗</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情况见2</w:t>
            </w:r>
            <w:r>
              <w:rPr>
                <w:rFonts w:hint="eastAsia" w:cs="Times New Roman"/>
                <w:bCs/>
                <w:color w:val="000000" w:themeColor="text1"/>
                <w:spacing w:val="0"/>
                <w:sz w:val="24"/>
                <w:szCs w:val="24"/>
                <w:highlight w:val="none"/>
                <w:lang w:val="en-US" w:eastAsia="zh-CN"/>
                <w14:textFill>
                  <w14:solidFill>
                    <w14:schemeClr w14:val="tx1"/>
                  </w14:solidFill>
                </w14:textFill>
              </w:rPr>
              <w:t>.4-1</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p>
          <w:p w14:paraId="1B68B0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baseline"/>
              <w:rPr>
                <w:rFonts w:hint="default" w:ascii="Times New Roman" w:hAnsi="Times New Roman" w:eastAsia="宋体" w:cs="Times New Roman"/>
                <w:b/>
                <w:bCs/>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b/>
                <w:bCs/>
                <w:iCs/>
                <w:snapToGrid w:val="0"/>
                <w:color w:val="000000" w:themeColor="text1"/>
                <w:spacing w:val="0"/>
                <w:kern w:val="0"/>
                <w:sz w:val="21"/>
                <w:szCs w:val="20"/>
                <w:highlight w:val="none"/>
                <w:lang w:val="en-US" w:eastAsia="zh-CN" w:bidi="ar-SA"/>
                <w14:textFill>
                  <w14:solidFill>
                    <w14:schemeClr w14:val="tx1"/>
                  </w14:solidFill>
                </w14:textFill>
              </w:rPr>
              <w:t>表2</w:t>
            </w:r>
            <w:r>
              <w:rPr>
                <w:rFonts w:hint="eastAsia" w:cs="Times New Roman"/>
                <w:b/>
                <w:bCs/>
                <w:iCs/>
                <w:snapToGrid w:val="0"/>
                <w:color w:val="000000" w:themeColor="text1"/>
                <w:spacing w:val="0"/>
                <w:kern w:val="0"/>
                <w:sz w:val="21"/>
                <w:szCs w:val="20"/>
                <w:highlight w:val="none"/>
                <w:lang w:val="en-US" w:eastAsia="zh-CN" w:bidi="ar-SA"/>
                <w14:textFill>
                  <w14:solidFill>
                    <w14:schemeClr w14:val="tx1"/>
                  </w14:solidFill>
                </w14:textFill>
              </w:rPr>
              <w:t>.4-1</w:t>
            </w:r>
            <w:r>
              <w:rPr>
                <w:rFonts w:hint="default" w:ascii="Times New Roman" w:hAnsi="Times New Roman" w:eastAsia="宋体" w:cs="Times New Roman"/>
                <w:b/>
                <w:bCs/>
                <w:iCs/>
                <w:snapToGrid w:val="0"/>
                <w:color w:val="000000" w:themeColor="text1"/>
                <w:spacing w:val="0"/>
                <w:kern w:val="0"/>
                <w:sz w:val="21"/>
                <w:szCs w:val="20"/>
                <w:highlight w:val="none"/>
                <w:lang w:val="en-US" w:eastAsia="zh-CN" w:bidi="ar-SA"/>
                <w14:textFill>
                  <w14:solidFill>
                    <w14:schemeClr w14:val="tx1"/>
                  </w14:solidFill>
                </w14:textFill>
              </w:rPr>
              <w:t xml:space="preserve">  原辅料及能源消耗一览表</w:t>
            </w:r>
          </w:p>
          <w:tbl>
            <w:tblPr>
              <w:tblStyle w:val="3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859"/>
              <w:gridCol w:w="1091"/>
              <w:gridCol w:w="1077"/>
              <w:gridCol w:w="1105"/>
              <w:gridCol w:w="3394"/>
            </w:tblGrid>
            <w:tr w14:paraId="3F8A0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tcBorders>
                    <w:tl2br w:val="nil"/>
                    <w:tr2bl w:val="nil"/>
                  </w:tcBorders>
                  <w:vAlign w:val="center"/>
                </w:tcPr>
                <w:p w14:paraId="78CC1F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序号</w:t>
                  </w:r>
                </w:p>
              </w:tc>
              <w:tc>
                <w:tcPr>
                  <w:tcW w:w="525" w:type="pct"/>
                  <w:tcBorders>
                    <w:tl2br w:val="nil"/>
                    <w:tr2bl w:val="nil"/>
                  </w:tcBorders>
                  <w:vAlign w:val="center"/>
                </w:tcPr>
                <w:p w14:paraId="4A3FBFA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原材料</w:t>
                  </w:r>
                </w:p>
              </w:tc>
              <w:tc>
                <w:tcPr>
                  <w:tcW w:w="667" w:type="pct"/>
                  <w:tcBorders>
                    <w:tl2br w:val="nil"/>
                    <w:tr2bl w:val="nil"/>
                  </w:tcBorders>
                  <w:vAlign w:val="center"/>
                </w:tcPr>
                <w:p w14:paraId="737E03A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单位</w:t>
                  </w:r>
                </w:p>
              </w:tc>
              <w:tc>
                <w:tcPr>
                  <w:tcW w:w="658" w:type="pct"/>
                  <w:tcBorders>
                    <w:tl2br w:val="nil"/>
                    <w:tr2bl w:val="nil"/>
                  </w:tcBorders>
                  <w:vAlign w:val="center"/>
                </w:tcPr>
                <w:p w14:paraId="5709161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消耗量</w:t>
                  </w:r>
                </w:p>
              </w:tc>
              <w:tc>
                <w:tcPr>
                  <w:tcW w:w="676" w:type="pct"/>
                  <w:tcBorders>
                    <w:tl2br w:val="nil"/>
                    <w:tr2bl w:val="nil"/>
                  </w:tcBorders>
                  <w:vAlign w:val="center"/>
                </w:tcPr>
                <w:p w14:paraId="4613BDD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粒径</w:t>
                  </w:r>
                </w:p>
              </w:tc>
              <w:tc>
                <w:tcPr>
                  <w:tcW w:w="2076" w:type="pct"/>
                  <w:tcBorders>
                    <w:tl2br w:val="nil"/>
                    <w:tr2bl w:val="nil"/>
                  </w:tcBorders>
                  <w:vAlign w:val="center"/>
                </w:tcPr>
                <w:p w14:paraId="5C1577D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备注</w:t>
                  </w:r>
                </w:p>
              </w:tc>
            </w:tr>
            <w:tr w14:paraId="3E02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Merge w:val="restart"/>
                  <w:tcBorders>
                    <w:tl2br w:val="nil"/>
                    <w:tr2bl w:val="nil"/>
                  </w:tcBorders>
                  <w:vAlign w:val="center"/>
                </w:tcPr>
                <w:p w14:paraId="087F4E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vertAlign w:val="baseline"/>
                      <w:lang w:val="en-US" w:eastAsia="zh-CN"/>
                      <w14:textFill>
                        <w14:solidFill>
                          <w14:schemeClr w14:val="tx1"/>
                        </w14:solidFill>
                      </w14:textFill>
                    </w:rPr>
                    <w:t>1</w:t>
                  </w:r>
                </w:p>
              </w:tc>
              <w:tc>
                <w:tcPr>
                  <w:tcW w:w="525" w:type="pct"/>
                  <w:vMerge w:val="restart"/>
                  <w:tcBorders>
                    <w:tl2br w:val="nil"/>
                    <w:tr2bl w:val="nil"/>
                  </w:tcBorders>
                  <w:vAlign w:val="center"/>
                </w:tcPr>
                <w:p w14:paraId="5B79E44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sz w:val="21"/>
                      <w:szCs w:val="21"/>
                      <w:highlight w:val="none"/>
                      <w:vertAlign w:val="baseli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煤矸石</w:t>
                  </w:r>
                </w:p>
              </w:tc>
              <w:tc>
                <w:tcPr>
                  <w:tcW w:w="667" w:type="pct"/>
                  <w:vMerge w:val="restart"/>
                  <w:tcBorders>
                    <w:tl2br w:val="nil"/>
                    <w:tr2bl w:val="nil"/>
                  </w:tcBorders>
                  <w:vAlign w:val="center"/>
                </w:tcPr>
                <w:p w14:paraId="2633C11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万</w:t>
                  </w:r>
                  <w:r>
                    <w:rPr>
                      <w:rFonts w:hint="default"/>
                      <w:bCs/>
                      <w:color w:val="000000" w:themeColor="text1"/>
                      <w:szCs w:val="21"/>
                      <w14:textFill>
                        <w14:solidFill>
                          <w14:schemeClr w14:val="tx1"/>
                        </w14:solidFill>
                      </w14:textFill>
                    </w:rPr>
                    <w:t>t/a</w:t>
                  </w:r>
                </w:p>
              </w:tc>
              <w:tc>
                <w:tcPr>
                  <w:tcW w:w="658" w:type="pct"/>
                  <w:tcBorders>
                    <w:tl2br w:val="nil"/>
                    <w:tr2bl w:val="nil"/>
                  </w:tcBorders>
                  <w:vAlign w:val="center"/>
                </w:tcPr>
                <w:p w14:paraId="51A2824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40</w:t>
                  </w:r>
                </w:p>
              </w:tc>
              <w:tc>
                <w:tcPr>
                  <w:tcW w:w="676" w:type="pct"/>
                  <w:vMerge w:val="restart"/>
                  <w:tcBorders>
                    <w:tl2br w:val="nil"/>
                    <w:tr2bl w:val="nil"/>
                  </w:tcBorders>
                  <w:vAlign w:val="center"/>
                </w:tcPr>
                <w:p w14:paraId="0900F82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＜600mm</w:t>
                  </w:r>
                </w:p>
              </w:tc>
              <w:tc>
                <w:tcPr>
                  <w:tcW w:w="2076" w:type="pct"/>
                  <w:tcBorders>
                    <w:tl2br w:val="nil"/>
                    <w:tr2bl w:val="nil"/>
                  </w:tcBorders>
                  <w:vAlign w:val="center"/>
                </w:tcPr>
                <w:p w14:paraId="109D03E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both"/>
                    <w:rPr>
                      <w:rFonts w:hint="default" w:ascii="Times New Roman" w:hAnsi="Times New Roman" w:eastAsia="宋体" w:cs="Times New Roman"/>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来源为富健达洗煤厂，由全封闭厢式车运输</w:t>
                  </w:r>
                </w:p>
              </w:tc>
            </w:tr>
            <w:tr w14:paraId="7BC9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Merge w:val="continue"/>
                  <w:tcBorders>
                    <w:tl2br w:val="nil"/>
                    <w:tr2bl w:val="nil"/>
                  </w:tcBorders>
                  <w:vAlign w:val="center"/>
                </w:tcPr>
                <w:p w14:paraId="0240D5C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color w:val="000000" w:themeColor="text1"/>
                      <w14:textFill>
                        <w14:solidFill>
                          <w14:schemeClr w14:val="tx1"/>
                        </w14:solidFill>
                      </w14:textFill>
                    </w:rPr>
                  </w:pPr>
                </w:p>
              </w:tc>
              <w:tc>
                <w:tcPr>
                  <w:tcW w:w="525" w:type="pct"/>
                  <w:vMerge w:val="continue"/>
                  <w:tcBorders>
                    <w:tl2br w:val="nil"/>
                    <w:tr2bl w:val="nil"/>
                  </w:tcBorders>
                  <w:vAlign w:val="center"/>
                </w:tcPr>
                <w:p w14:paraId="5C0D725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color w:val="000000" w:themeColor="text1"/>
                      <w14:textFill>
                        <w14:solidFill>
                          <w14:schemeClr w14:val="tx1"/>
                        </w14:solidFill>
                      </w14:textFill>
                    </w:rPr>
                  </w:pPr>
                </w:p>
              </w:tc>
              <w:tc>
                <w:tcPr>
                  <w:tcW w:w="667" w:type="pct"/>
                  <w:vMerge w:val="continue"/>
                  <w:tcBorders>
                    <w:tl2br w:val="nil"/>
                    <w:tr2bl w:val="nil"/>
                  </w:tcBorders>
                  <w:vAlign w:val="center"/>
                </w:tcPr>
                <w:p w14:paraId="1F673E6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color w:val="000000" w:themeColor="text1"/>
                      <w14:textFill>
                        <w14:solidFill>
                          <w14:schemeClr w14:val="tx1"/>
                        </w14:solidFill>
                      </w14:textFill>
                    </w:rPr>
                  </w:pPr>
                </w:p>
              </w:tc>
              <w:tc>
                <w:tcPr>
                  <w:tcW w:w="658" w:type="pct"/>
                  <w:tcBorders>
                    <w:tl2br w:val="nil"/>
                    <w:tr2bl w:val="nil"/>
                  </w:tcBorders>
                  <w:vAlign w:val="center"/>
                </w:tcPr>
                <w:p w14:paraId="4232A2B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80</w:t>
                  </w:r>
                </w:p>
              </w:tc>
              <w:tc>
                <w:tcPr>
                  <w:tcW w:w="676" w:type="pct"/>
                  <w:vMerge w:val="continue"/>
                  <w:tcBorders>
                    <w:tl2br w:val="nil"/>
                    <w:tr2bl w:val="nil"/>
                  </w:tcBorders>
                  <w:vAlign w:val="center"/>
                </w:tcPr>
                <w:p w14:paraId="5F14436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eastAsia"/>
                      <w:bCs/>
                      <w:color w:val="000000" w:themeColor="text1"/>
                      <w:szCs w:val="21"/>
                      <w:highlight w:val="none"/>
                      <w:lang w:val="en-US" w:eastAsia="zh-CN"/>
                      <w14:textFill>
                        <w14:solidFill>
                          <w14:schemeClr w14:val="tx1"/>
                        </w14:solidFill>
                      </w14:textFill>
                    </w:rPr>
                  </w:pPr>
                </w:p>
              </w:tc>
              <w:tc>
                <w:tcPr>
                  <w:tcW w:w="2076" w:type="pct"/>
                  <w:tcBorders>
                    <w:tl2br w:val="nil"/>
                    <w:tr2bl w:val="nil"/>
                  </w:tcBorders>
                  <w:vAlign w:val="center"/>
                </w:tcPr>
                <w:p w14:paraId="4B9B335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both"/>
                    <w:rPr>
                      <w:rFonts w:hint="default"/>
                      <w:bCs/>
                      <w:color w:val="000000" w:themeColor="text1"/>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来源为厂区西侧余吾煤矿，由全封闭厢式车运输</w:t>
                  </w:r>
                </w:p>
              </w:tc>
            </w:tr>
            <w:tr w14:paraId="192C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tcBorders>
                    <w:tl2br w:val="nil"/>
                    <w:tr2bl w:val="nil"/>
                  </w:tcBorders>
                  <w:vAlign w:val="center"/>
                </w:tcPr>
                <w:p w14:paraId="348BD5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color w:val="000000" w:themeColor="text1"/>
                      <w:spacing w:val="0"/>
                      <w:sz w:val="21"/>
                      <w:szCs w:val="21"/>
                      <w:highlight w:val="none"/>
                      <w:vertAlign w:val="baseline"/>
                      <w:lang w:val="en-US" w:eastAsia="zh-CN"/>
                      <w14:textFill>
                        <w14:solidFill>
                          <w14:schemeClr w14:val="tx1"/>
                        </w14:solidFill>
                      </w14:textFill>
                    </w:rPr>
                    <w:t>2</w:t>
                  </w:r>
                </w:p>
              </w:tc>
              <w:tc>
                <w:tcPr>
                  <w:tcW w:w="525" w:type="pct"/>
                  <w:tcBorders>
                    <w:tl2br w:val="nil"/>
                    <w:tr2bl w:val="nil"/>
                  </w:tcBorders>
                  <w:vAlign w:val="center"/>
                </w:tcPr>
                <w:p w14:paraId="7535673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sz w:val="21"/>
                      <w:szCs w:val="21"/>
                      <w:highlight w:val="none"/>
                      <w:vertAlign w:val="baseline"/>
                      <w:lang w:val="en-US" w:eastAsia="zh-CN"/>
                      <w14:textFill>
                        <w14:solidFill>
                          <w14:schemeClr w14:val="tx1"/>
                        </w14:solidFill>
                      </w14:textFill>
                    </w:rPr>
                  </w:pPr>
                  <w:r>
                    <w:rPr>
                      <w:rFonts w:hint="default"/>
                      <w:color w:val="000000" w:themeColor="text1"/>
                      <w:spacing w:val="6"/>
                      <w:szCs w:val="21"/>
                      <w14:textFill>
                        <w14:solidFill>
                          <w14:schemeClr w14:val="tx1"/>
                        </w14:solidFill>
                      </w14:textFill>
                    </w:rPr>
                    <w:t>水</w:t>
                  </w:r>
                </w:p>
              </w:tc>
              <w:tc>
                <w:tcPr>
                  <w:tcW w:w="667" w:type="pct"/>
                  <w:tcBorders>
                    <w:tl2br w:val="nil"/>
                    <w:tr2bl w:val="nil"/>
                  </w:tcBorders>
                  <w:vAlign w:val="center"/>
                </w:tcPr>
                <w:p w14:paraId="0D2E949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eastAsia" w:cs="Times New Roman"/>
                      <w:color w:val="000000" w:themeColor="text1"/>
                      <w:spacing w:val="0"/>
                      <w:kern w:val="2"/>
                      <w:sz w:val="21"/>
                      <w:szCs w:val="21"/>
                      <w:highlight w:val="none"/>
                      <w:lang w:val="en-US" w:eastAsia="zh-CN" w:bidi="ar-SA"/>
                      <w14:textFill>
                        <w14:solidFill>
                          <w14:schemeClr w14:val="tx1"/>
                        </w14:solidFill>
                      </w14:textFill>
                    </w:rPr>
                  </w:pPr>
                  <w:r>
                    <w:rPr>
                      <w:rFonts w:hint="default"/>
                      <w:color w:val="000000" w:themeColor="text1"/>
                      <w:spacing w:val="6"/>
                      <w:szCs w:val="21"/>
                      <w:highlight w:val="none"/>
                      <w14:textFill>
                        <w14:solidFill>
                          <w14:schemeClr w14:val="tx1"/>
                        </w14:solidFill>
                      </w14:textFill>
                    </w:rPr>
                    <w:t>m</w:t>
                  </w:r>
                  <w:r>
                    <w:rPr>
                      <w:rFonts w:hint="default"/>
                      <w:color w:val="000000" w:themeColor="text1"/>
                      <w:spacing w:val="6"/>
                      <w:szCs w:val="21"/>
                      <w:highlight w:val="none"/>
                      <w:vertAlign w:val="superscript"/>
                      <w14:textFill>
                        <w14:solidFill>
                          <w14:schemeClr w14:val="tx1"/>
                        </w14:solidFill>
                      </w14:textFill>
                    </w:rPr>
                    <w:t>3</w:t>
                  </w:r>
                  <w:r>
                    <w:rPr>
                      <w:rFonts w:hint="default"/>
                      <w:color w:val="000000" w:themeColor="text1"/>
                      <w:spacing w:val="6"/>
                      <w:szCs w:val="21"/>
                      <w:highlight w:val="none"/>
                      <w14:textFill>
                        <w14:solidFill>
                          <w14:schemeClr w14:val="tx1"/>
                        </w14:solidFill>
                      </w14:textFill>
                    </w:rPr>
                    <w:t>/a</w:t>
                  </w:r>
                </w:p>
              </w:tc>
              <w:tc>
                <w:tcPr>
                  <w:tcW w:w="658" w:type="pct"/>
                  <w:tcBorders>
                    <w:tl2br w:val="nil"/>
                    <w:tr2bl w:val="nil"/>
                  </w:tcBorders>
                  <w:vAlign w:val="center"/>
                </w:tcPr>
                <w:p w14:paraId="7B2D76D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5260.2</w:t>
                  </w:r>
                </w:p>
              </w:tc>
              <w:tc>
                <w:tcPr>
                  <w:tcW w:w="676" w:type="pct"/>
                  <w:tcBorders>
                    <w:tl2br w:val="nil"/>
                    <w:tr2bl w:val="nil"/>
                  </w:tcBorders>
                  <w:vAlign w:val="center"/>
                </w:tcPr>
                <w:p w14:paraId="169B992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w:t>
                  </w:r>
                </w:p>
              </w:tc>
              <w:tc>
                <w:tcPr>
                  <w:tcW w:w="2076" w:type="pct"/>
                  <w:tcBorders>
                    <w:tl2br w:val="nil"/>
                    <w:tr2bl w:val="nil"/>
                  </w:tcBorders>
                  <w:vAlign w:val="center"/>
                </w:tcPr>
                <w:p w14:paraId="5B8FE04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依托厂区内现有自备水井</w:t>
                  </w:r>
                </w:p>
              </w:tc>
            </w:tr>
            <w:tr w14:paraId="2AC2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tcBorders>
                    <w:tl2br w:val="nil"/>
                    <w:tr2bl w:val="nil"/>
                  </w:tcBorders>
                  <w:vAlign w:val="center"/>
                </w:tcPr>
                <w:p w14:paraId="6A3499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color w:val="000000" w:themeColor="text1"/>
                      <w:spacing w:val="0"/>
                      <w:sz w:val="21"/>
                      <w:szCs w:val="21"/>
                      <w:highlight w:val="none"/>
                      <w:vertAlign w:val="baseline"/>
                      <w:lang w:val="en-US" w:eastAsia="zh-CN"/>
                      <w14:textFill>
                        <w14:solidFill>
                          <w14:schemeClr w14:val="tx1"/>
                        </w14:solidFill>
                      </w14:textFill>
                    </w:rPr>
                    <w:t>3</w:t>
                  </w:r>
                </w:p>
              </w:tc>
              <w:tc>
                <w:tcPr>
                  <w:tcW w:w="525" w:type="pct"/>
                  <w:tcBorders>
                    <w:tl2br w:val="nil"/>
                    <w:tr2bl w:val="nil"/>
                  </w:tcBorders>
                  <w:vAlign w:val="center"/>
                </w:tcPr>
                <w:p w14:paraId="66651BA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sz w:val="21"/>
                      <w:szCs w:val="21"/>
                      <w:highlight w:val="none"/>
                      <w:vertAlign w:val="baseline"/>
                      <w:lang w:val="en-US" w:eastAsia="zh-CN"/>
                      <w14:textFill>
                        <w14:solidFill>
                          <w14:schemeClr w14:val="tx1"/>
                        </w14:solidFill>
                      </w14:textFill>
                    </w:rPr>
                  </w:pPr>
                  <w:r>
                    <w:rPr>
                      <w:rFonts w:hint="default"/>
                      <w:color w:val="000000" w:themeColor="text1"/>
                      <w:spacing w:val="6"/>
                      <w:szCs w:val="21"/>
                      <w14:textFill>
                        <w14:solidFill>
                          <w14:schemeClr w14:val="tx1"/>
                        </w14:solidFill>
                      </w14:textFill>
                    </w:rPr>
                    <w:t>电</w:t>
                  </w:r>
                </w:p>
              </w:tc>
              <w:tc>
                <w:tcPr>
                  <w:tcW w:w="667" w:type="pct"/>
                  <w:tcBorders>
                    <w:tl2br w:val="nil"/>
                    <w:tr2bl w:val="nil"/>
                  </w:tcBorders>
                  <w:vAlign w:val="center"/>
                </w:tcPr>
                <w:p w14:paraId="35642E9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eastAsia" w:cs="Times New Roman"/>
                      <w:color w:val="000000" w:themeColor="text1"/>
                      <w:spacing w:val="0"/>
                      <w:kern w:val="2"/>
                      <w:sz w:val="21"/>
                      <w:szCs w:val="21"/>
                      <w:highlight w:val="none"/>
                      <w:lang w:val="en-US" w:eastAsia="zh-CN" w:bidi="ar-SA"/>
                      <w14:textFill>
                        <w14:solidFill>
                          <w14:schemeClr w14:val="tx1"/>
                        </w14:solidFill>
                      </w14:textFill>
                    </w:rPr>
                  </w:pPr>
                  <w:r>
                    <w:rPr>
                      <w:rFonts w:hint="default"/>
                      <w:color w:val="000000" w:themeColor="text1"/>
                      <w:spacing w:val="6"/>
                      <w:szCs w:val="21"/>
                      <w:highlight w:val="none"/>
                      <w14:textFill>
                        <w14:solidFill>
                          <w14:schemeClr w14:val="tx1"/>
                        </w14:solidFill>
                      </w14:textFill>
                    </w:rPr>
                    <w:t>万kWh/a</w:t>
                  </w:r>
                </w:p>
              </w:tc>
              <w:tc>
                <w:tcPr>
                  <w:tcW w:w="658" w:type="pct"/>
                  <w:tcBorders>
                    <w:tl2br w:val="nil"/>
                    <w:tr2bl w:val="nil"/>
                  </w:tcBorders>
                  <w:vAlign w:val="center"/>
                </w:tcPr>
                <w:p w14:paraId="0504EEE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olor w:val="000000" w:themeColor="text1"/>
                      <w:spacing w:val="6"/>
                      <w:szCs w:val="21"/>
                      <w:highlight w:val="none"/>
                      <w:lang w:val="en-US" w:eastAsia="zh-CN"/>
                      <w14:textFill>
                        <w14:solidFill>
                          <w14:schemeClr w14:val="tx1"/>
                        </w14:solidFill>
                      </w14:textFill>
                    </w:rPr>
                    <w:t>300</w:t>
                  </w:r>
                </w:p>
              </w:tc>
              <w:tc>
                <w:tcPr>
                  <w:tcW w:w="676" w:type="pct"/>
                  <w:tcBorders>
                    <w:tl2br w:val="nil"/>
                    <w:tr2bl w:val="nil"/>
                  </w:tcBorders>
                  <w:vAlign w:val="center"/>
                </w:tcPr>
                <w:p w14:paraId="194BE69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color w:val="000000" w:themeColor="text1"/>
                      <w:spacing w:val="6"/>
                      <w:szCs w:val="21"/>
                      <w:highlight w:val="none"/>
                      <w:lang w:val="en-US" w:eastAsia="zh-CN"/>
                      <w14:textFill>
                        <w14:solidFill>
                          <w14:schemeClr w14:val="tx1"/>
                        </w14:solidFill>
                      </w14:textFill>
                    </w:rPr>
                  </w:pPr>
                  <w:r>
                    <w:rPr>
                      <w:rFonts w:hint="eastAsia"/>
                      <w:color w:val="000000" w:themeColor="text1"/>
                      <w:spacing w:val="6"/>
                      <w:szCs w:val="21"/>
                      <w:highlight w:val="none"/>
                      <w:lang w:val="en-US" w:eastAsia="zh-CN"/>
                      <w14:textFill>
                        <w14:solidFill>
                          <w14:schemeClr w14:val="tx1"/>
                        </w14:solidFill>
                      </w14:textFill>
                    </w:rPr>
                    <w:t>/</w:t>
                  </w:r>
                </w:p>
              </w:tc>
              <w:tc>
                <w:tcPr>
                  <w:tcW w:w="2076" w:type="pct"/>
                  <w:tcBorders>
                    <w:tl2br w:val="nil"/>
                    <w:tr2bl w:val="nil"/>
                  </w:tcBorders>
                  <w:vAlign w:val="center"/>
                </w:tcPr>
                <w:p w14:paraId="018875E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新建1座500KVA变压器</w:t>
                  </w:r>
                </w:p>
              </w:tc>
            </w:tr>
          </w:tbl>
          <w:p w14:paraId="501E4C0C">
            <w:pPr>
              <w:keepNext w:val="0"/>
              <w:keepLines w:val="0"/>
              <w:suppressLineNumbers w:val="0"/>
              <w:adjustRightInd w:val="0"/>
              <w:snapToGrid w:val="0"/>
              <w:spacing w:before="0" w:beforeAutospacing="0" w:after="0" w:afterAutospacing="0" w:line="480" w:lineRule="exact"/>
              <w:ind w:left="0" w:right="0" w:firstLine="480" w:firstLineChars="200"/>
              <w:rPr>
                <w:rFonts w:hint="eastAsia" w:hAnsi="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煤矸石主要成分见表2</w:t>
            </w:r>
            <w:r>
              <w:rPr>
                <w:rFonts w:hint="eastAsia"/>
                <w:color w:val="000000" w:themeColor="text1"/>
                <w:sz w:val="24"/>
                <w:lang w:val="en-US" w:eastAsia="zh-CN"/>
                <w14:textFill>
                  <w14:solidFill>
                    <w14:schemeClr w14:val="tx1"/>
                  </w14:solidFill>
                </w14:textFill>
              </w:rPr>
              <w:t>.4-2</w:t>
            </w:r>
            <w:r>
              <w:rPr>
                <w:rFonts w:hint="eastAsia" w:hAnsi="宋体"/>
                <w:color w:val="000000" w:themeColor="text1"/>
                <w:sz w:val="24"/>
                <w14:textFill>
                  <w14:solidFill>
                    <w14:schemeClr w14:val="tx1"/>
                  </w14:solidFill>
                </w14:textFill>
              </w:rPr>
              <w:t>。</w:t>
            </w:r>
          </w:p>
          <w:p w14:paraId="1C03A15A">
            <w:pPr>
              <w:keepNext w:val="0"/>
              <w:keepLines w:val="0"/>
              <w:suppressLineNumbers w:val="0"/>
              <w:spacing w:before="0" w:beforeAutospacing="0" w:after="0" w:afterAutospacing="0" w:line="480" w:lineRule="exact"/>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表2</w:t>
            </w:r>
            <w:r>
              <w:rPr>
                <w:rFonts w:hint="eastAsia" w:cs="Times New Roman"/>
                <w:b/>
                <w:bCs/>
                <w:color w:val="000000" w:themeColor="text1"/>
                <w:sz w:val="21"/>
                <w:szCs w:val="21"/>
                <w:highlight w:val="none"/>
                <w:lang w:val="en-US" w:eastAsia="zh-CN"/>
                <w14:textFill>
                  <w14:solidFill>
                    <w14:schemeClr w14:val="tx1"/>
                  </w14:solidFill>
                </w14:textFill>
              </w:rPr>
              <w:t>.4-2</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煤矸石主要成分一览表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055"/>
              <w:gridCol w:w="1079"/>
              <w:gridCol w:w="1104"/>
              <w:gridCol w:w="1104"/>
              <w:gridCol w:w="1104"/>
              <w:gridCol w:w="1107"/>
            </w:tblGrid>
            <w:tr w14:paraId="66EDA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93" w:type="pct"/>
                  <w:tcBorders>
                    <w:tl2br w:val="nil"/>
                    <w:tr2bl w:val="nil"/>
                  </w:tcBorders>
                  <w:noWrap w:val="0"/>
                  <w:vAlign w:val="center"/>
                </w:tcPr>
                <w:p w14:paraId="7AFB20B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原料名称</w:t>
                  </w:r>
                </w:p>
              </w:tc>
              <w:tc>
                <w:tcPr>
                  <w:tcW w:w="644" w:type="pct"/>
                  <w:tcBorders>
                    <w:tl2br w:val="nil"/>
                    <w:tr2bl w:val="nil"/>
                  </w:tcBorders>
                  <w:noWrap w:val="0"/>
                  <w:vAlign w:val="center"/>
                </w:tcPr>
                <w:p w14:paraId="20EEBD0D">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烧失量</w:t>
                  </w:r>
                </w:p>
              </w:tc>
              <w:tc>
                <w:tcPr>
                  <w:tcW w:w="659" w:type="pct"/>
                  <w:tcBorders>
                    <w:tl2br w:val="nil"/>
                    <w:tr2bl w:val="nil"/>
                  </w:tcBorders>
                  <w:noWrap w:val="0"/>
                  <w:vAlign w:val="center"/>
                </w:tcPr>
                <w:p w14:paraId="5F493361">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SiO</w:t>
                  </w:r>
                  <w:r>
                    <w:rPr>
                      <w:rFonts w:hint="default" w:ascii="Times New Roman" w:hAnsi="Times New Roman" w:cs="Times New Roman"/>
                      <w:color w:val="000000" w:themeColor="text1"/>
                      <w:spacing w:val="0"/>
                      <w:sz w:val="21"/>
                      <w:szCs w:val="21"/>
                      <w:vertAlign w:val="subscript"/>
                      <w14:textFill>
                        <w14:solidFill>
                          <w14:schemeClr w14:val="tx1"/>
                        </w14:solidFill>
                      </w14:textFill>
                    </w:rPr>
                    <w:t>2</w:t>
                  </w:r>
                </w:p>
              </w:tc>
              <w:tc>
                <w:tcPr>
                  <w:tcW w:w="674" w:type="pct"/>
                  <w:tcBorders>
                    <w:tl2br w:val="nil"/>
                    <w:tr2bl w:val="nil"/>
                  </w:tcBorders>
                  <w:noWrap w:val="0"/>
                  <w:vAlign w:val="center"/>
                </w:tcPr>
                <w:p w14:paraId="27605D5F">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Al</w:t>
                  </w:r>
                  <w:r>
                    <w:rPr>
                      <w:rFonts w:hint="default" w:ascii="Times New Roman" w:hAnsi="Times New Roman" w:cs="Times New Roman"/>
                      <w:color w:val="000000" w:themeColor="text1"/>
                      <w:spacing w:val="0"/>
                      <w:sz w:val="21"/>
                      <w:szCs w:val="21"/>
                      <w:vertAlign w:val="subscript"/>
                      <w14:textFill>
                        <w14:solidFill>
                          <w14:schemeClr w14:val="tx1"/>
                        </w14:solidFill>
                      </w14:textFill>
                    </w:rPr>
                    <w:t>2</w:t>
                  </w:r>
                  <w:r>
                    <w:rPr>
                      <w:rFonts w:hint="default" w:ascii="Times New Roman" w:hAnsi="Times New Roman" w:cs="Times New Roman"/>
                      <w:color w:val="000000" w:themeColor="text1"/>
                      <w:spacing w:val="0"/>
                      <w:sz w:val="21"/>
                      <w:szCs w:val="21"/>
                      <w14:textFill>
                        <w14:solidFill>
                          <w14:schemeClr w14:val="tx1"/>
                        </w14:solidFill>
                      </w14:textFill>
                    </w:rPr>
                    <w:t>O</w:t>
                  </w:r>
                  <w:r>
                    <w:rPr>
                      <w:rFonts w:hint="default" w:ascii="Times New Roman" w:hAnsi="Times New Roman" w:cs="Times New Roman"/>
                      <w:color w:val="000000" w:themeColor="text1"/>
                      <w:spacing w:val="0"/>
                      <w:sz w:val="21"/>
                      <w:szCs w:val="21"/>
                      <w:vertAlign w:val="subscript"/>
                      <w14:textFill>
                        <w14:solidFill>
                          <w14:schemeClr w14:val="tx1"/>
                        </w14:solidFill>
                      </w14:textFill>
                    </w:rPr>
                    <w:t>3</w:t>
                  </w:r>
                </w:p>
              </w:tc>
              <w:tc>
                <w:tcPr>
                  <w:tcW w:w="674" w:type="pct"/>
                  <w:tcBorders>
                    <w:tl2br w:val="nil"/>
                    <w:tr2bl w:val="nil"/>
                  </w:tcBorders>
                  <w:noWrap w:val="0"/>
                  <w:vAlign w:val="center"/>
                </w:tcPr>
                <w:p w14:paraId="0CBCE380">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Fe</w:t>
                  </w:r>
                  <w:r>
                    <w:rPr>
                      <w:rFonts w:hint="default" w:ascii="Times New Roman" w:hAnsi="Times New Roman" w:cs="Times New Roman"/>
                      <w:color w:val="000000" w:themeColor="text1"/>
                      <w:spacing w:val="0"/>
                      <w:sz w:val="21"/>
                      <w:szCs w:val="21"/>
                      <w:vertAlign w:val="subscript"/>
                      <w14:textFill>
                        <w14:solidFill>
                          <w14:schemeClr w14:val="tx1"/>
                        </w14:solidFill>
                      </w14:textFill>
                    </w:rPr>
                    <w:t>2</w:t>
                  </w:r>
                  <w:r>
                    <w:rPr>
                      <w:rFonts w:hint="default" w:ascii="Times New Roman" w:hAnsi="Times New Roman" w:cs="Times New Roman"/>
                      <w:color w:val="000000" w:themeColor="text1"/>
                      <w:spacing w:val="0"/>
                      <w:sz w:val="21"/>
                      <w:szCs w:val="21"/>
                      <w14:textFill>
                        <w14:solidFill>
                          <w14:schemeClr w14:val="tx1"/>
                        </w14:solidFill>
                      </w14:textFill>
                    </w:rPr>
                    <w:t>O</w:t>
                  </w:r>
                  <w:r>
                    <w:rPr>
                      <w:rFonts w:hint="default" w:ascii="Times New Roman" w:hAnsi="Times New Roman" w:cs="Times New Roman"/>
                      <w:color w:val="000000" w:themeColor="text1"/>
                      <w:spacing w:val="0"/>
                      <w:sz w:val="21"/>
                      <w:szCs w:val="21"/>
                      <w:vertAlign w:val="subscript"/>
                      <w14:textFill>
                        <w14:solidFill>
                          <w14:schemeClr w14:val="tx1"/>
                        </w14:solidFill>
                      </w14:textFill>
                    </w:rPr>
                    <w:t>3</w:t>
                  </w:r>
                </w:p>
              </w:tc>
              <w:tc>
                <w:tcPr>
                  <w:tcW w:w="674" w:type="pct"/>
                  <w:tcBorders>
                    <w:tl2br w:val="nil"/>
                    <w:tr2bl w:val="nil"/>
                  </w:tcBorders>
                  <w:noWrap w:val="0"/>
                  <w:vAlign w:val="center"/>
                </w:tcPr>
                <w:p w14:paraId="4571B5F6">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Ti</w:t>
                  </w:r>
                  <w:r>
                    <w:rPr>
                      <w:rFonts w:hint="default" w:ascii="Times New Roman" w:hAnsi="Times New Roman" w:cs="Times New Roman"/>
                      <w:color w:val="000000" w:themeColor="text1"/>
                      <w:spacing w:val="0"/>
                      <w:sz w:val="21"/>
                      <w:szCs w:val="21"/>
                      <w14:textFill>
                        <w14:solidFill>
                          <w14:schemeClr w14:val="tx1"/>
                        </w14:solidFill>
                      </w14:textFill>
                    </w:rPr>
                    <w:t>O</w:t>
                  </w:r>
                  <w:r>
                    <w:rPr>
                      <w:rFonts w:hint="default" w:ascii="Times New Roman" w:hAnsi="Times New Roman" w:cs="Times New Roman"/>
                      <w:color w:val="000000" w:themeColor="text1"/>
                      <w:spacing w:val="0"/>
                      <w:sz w:val="21"/>
                      <w:szCs w:val="21"/>
                      <w:vertAlign w:val="subscript"/>
                      <w14:textFill>
                        <w14:solidFill>
                          <w14:schemeClr w14:val="tx1"/>
                        </w14:solidFill>
                      </w14:textFill>
                    </w:rPr>
                    <w:t>2</w:t>
                  </w:r>
                </w:p>
              </w:tc>
              <w:tc>
                <w:tcPr>
                  <w:tcW w:w="676" w:type="pct"/>
                  <w:tcBorders>
                    <w:tl2br w:val="nil"/>
                    <w:tr2bl w:val="nil"/>
                  </w:tcBorders>
                  <w:noWrap w:val="0"/>
                  <w:vAlign w:val="center"/>
                </w:tcPr>
                <w:p w14:paraId="67F96804">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S</w:t>
                  </w:r>
                </w:p>
              </w:tc>
            </w:tr>
            <w:tr w14:paraId="7838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93" w:type="pct"/>
                  <w:tcBorders>
                    <w:tl2br w:val="nil"/>
                    <w:tr2bl w:val="nil"/>
                  </w:tcBorders>
                  <w:noWrap w:val="0"/>
                  <w:vAlign w:val="center"/>
                </w:tcPr>
                <w:p w14:paraId="6EB35CF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煤矸石</w:t>
                  </w:r>
                </w:p>
              </w:tc>
              <w:tc>
                <w:tcPr>
                  <w:tcW w:w="644" w:type="pct"/>
                  <w:tcBorders>
                    <w:tl2br w:val="nil"/>
                    <w:tr2bl w:val="nil"/>
                  </w:tcBorders>
                  <w:noWrap w:val="0"/>
                  <w:vAlign w:val="center"/>
                </w:tcPr>
                <w:p w14:paraId="0BCAFC69">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10.95</w:t>
                  </w:r>
                </w:p>
              </w:tc>
              <w:tc>
                <w:tcPr>
                  <w:tcW w:w="659" w:type="pct"/>
                  <w:tcBorders>
                    <w:tl2br w:val="nil"/>
                    <w:tr2bl w:val="nil"/>
                  </w:tcBorders>
                  <w:noWrap w:val="0"/>
                  <w:vAlign w:val="center"/>
                </w:tcPr>
                <w:p w14:paraId="434A3555">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55.24</w:t>
                  </w:r>
                </w:p>
              </w:tc>
              <w:tc>
                <w:tcPr>
                  <w:tcW w:w="674" w:type="pct"/>
                  <w:tcBorders>
                    <w:tl2br w:val="nil"/>
                    <w:tr2bl w:val="nil"/>
                  </w:tcBorders>
                  <w:noWrap w:val="0"/>
                  <w:vAlign w:val="center"/>
                </w:tcPr>
                <w:p w14:paraId="00675712">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18.9</w:t>
                  </w:r>
                </w:p>
              </w:tc>
              <w:tc>
                <w:tcPr>
                  <w:tcW w:w="674" w:type="pct"/>
                  <w:tcBorders>
                    <w:tl2br w:val="nil"/>
                    <w:tr2bl w:val="nil"/>
                  </w:tcBorders>
                  <w:noWrap w:val="0"/>
                  <w:vAlign w:val="center"/>
                </w:tcPr>
                <w:p w14:paraId="4BBEC56E">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4.02</w:t>
                  </w:r>
                </w:p>
              </w:tc>
              <w:tc>
                <w:tcPr>
                  <w:tcW w:w="674" w:type="pct"/>
                  <w:tcBorders>
                    <w:tl2br w:val="nil"/>
                    <w:tr2bl w:val="nil"/>
                  </w:tcBorders>
                  <w:noWrap w:val="0"/>
                  <w:vAlign w:val="center"/>
                </w:tcPr>
                <w:p w14:paraId="07206F49">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0.44</w:t>
                  </w:r>
                </w:p>
              </w:tc>
              <w:tc>
                <w:tcPr>
                  <w:tcW w:w="676" w:type="pct"/>
                  <w:tcBorders>
                    <w:tl2br w:val="nil"/>
                    <w:tr2bl w:val="nil"/>
                  </w:tcBorders>
                  <w:noWrap w:val="0"/>
                  <w:vAlign w:val="center"/>
                </w:tcPr>
                <w:p w14:paraId="3D66CDE9">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0.07</w:t>
                  </w:r>
                </w:p>
              </w:tc>
            </w:tr>
            <w:tr w14:paraId="725D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93" w:type="pct"/>
                  <w:tcBorders>
                    <w:tl2br w:val="nil"/>
                    <w:tr2bl w:val="nil"/>
                  </w:tcBorders>
                  <w:noWrap w:val="0"/>
                  <w:vAlign w:val="center"/>
                </w:tcPr>
                <w:p w14:paraId="6C913D4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原料名称</w:t>
                  </w:r>
                </w:p>
              </w:tc>
              <w:tc>
                <w:tcPr>
                  <w:tcW w:w="644" w:type="pct"/>
                  <w:tcBorders>
                    <w:tl2br w:val="nil"/>
                    <w:tr2bl w:val="nil"/>
                  </w:tcBorders>
                  <w:noWrap w:val="0"/>
                  <w:vAlign w:val="center"/>
                </w:tcPr>
                <w:p w14:paraId="7055FF07">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CaO</w:t>
                  </w:r>
                </w:p>
              </w:tc>
              <w:tc>
                <w:tcPr>
                  <w:tcW w:w="659" w:type="pct"/>
                  <w:tcBorders>
                    <w:tl2br w:val="nil"/>
                    <w:tr2bl w:val="nil"/>
                  </w:tcBorders>
                  <w:noWrap w:val="0"/>
                  <w:vAlign w:val="center"/>
                </w:tcPr>
                <w:p w14:paraId="534C9829">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MgO</w:t>
                  </w:r>
                </w:p>
              </w:tc>
              <w:tc>
                <w:tcPr>
                  <w:tcW w:w="674" w:type="pct"/>
                  <w:tcBorders>
                    <w:tl2br w:val="nil"/>
                    <w:tr2bl w:val="nil"/>
                  </w:tcBorders>
                  <w:noWrap w:val="0"/>
                  <w:vAlign w:val="center"/>
                </w:tcPr>
                <w:p w14:paraId="012A5F92">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MnO</w:t>
                  </w:r>
                </w:p>
              </w:tc>
              <w:tc>
                <w:tcPr>
                  <w:tcW w:w="674" w:type="pct"/>
                  <w:tcBorders>
                    <w:tl2br w:val="nil"/>
                    <w:tr2bl w:val="nil"/>
                  </w:tcBorders>
                  <w:noWrap w:val="0"/>
                  <w:vAlign w:val="center"/>
                </w:tcPr>
                <w:p w14:paraId="15E5F8E3">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K</w:t>
                  </w:r>
                  <w:r>
                    <w:rPr>
                      <w:rFonts w:hint="default" w:ascii="Times New Roman" w:hAnsi="Times New Roman"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O</w:t>
                  </w:r>
                </w:p>
              </w:tc>
              <w:tc>
                <w:tcPr>
                  <w:tcW w:w="674" w:type="pct"/>
                  <w:tcBorders>
                    <w:tl2br w:val="nil"/>
                    <w:tr2bl w:val="nil"/>
                  </w:tcBorders>
                  <w:noWrap w:val="0"/>
                  <w:vAlign w:val="center"/>
                </w:tcPr>
                <w:p w14:paraId="14DD8DED">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Na</w:t>
                  </w:r>
                  <w:r>
                    <w:rPr>
                      <w:rFonts w:hint="default" w:ascii="Times New Roman" w:hAnsi="Times New Roman"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O</w:t>
                  </w:r>
                </w:p>
              </w:tc>
              <w:tc>
                <w:tcPr>
                  <w:tcW w:w="676" w:type="pct"/>
                  <w:tcBorders>
                    <w:tl2br w:val="nil"/>
                    <w:tr2bl w:val="nil"/>
                  </w:tcBorders>
                  <w:noWrap w:val="0"/>
                  <w:vAlign w:val="center"/>
                </w:tcPr>
                <w:p w14:paraId="6FDC8AE4">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P</w:t>
                  </w:r>
                  <w:r>
                    <w:rPr>
                      <w:rFonts w:hint="default" w:ascii="Times New Roman" w:hAnsi="Times New Roman"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O</w:t>
                  </w:r>
                  <w:r>
                    <w:rPr>
                      <w:rFonts w:hint="default" w:ascii="Times New Roman" w:hAnsi="Times New Roman" w:cs="Times New Roman"/>
                      <w:color w:val="000000" w:themeColor="text1"/>
                      <w:spacing w:val="0"/>
                      <w:sz w:val="21"/>
                      <w:szCs w:val="21"/>
                      <w:vertAlign w:val="subscript"/>
                      <w:lang w:val="en-US" w:eastAsia="zh-CN"/>
                      <w14:textFill>
                        <w14:solidFill>
                          <w14:schemeClr w14:val="tx1"/>
                        </w14:solidFill>
                      </w14:textFill>
                    </w:rPr>
                    <w:t>5</w:t>
                  </w:r>
                </w:p>
              </w:tc>
            </w:tr>
            <w:tr w14:paraId="5D7B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93" w:type="pct"/>
                  <w:tcBorders>
                    <w:tl2br w:val="nil"/>
                    <w:tr2bl w:val="nil"/>
                  </w:tcBorders>
                  <w:noWrap w:val="0"/>
                  <w:vAlign w:val="center"/>
                </w:tcPr>
                <w:p w14:paraId="25E54EA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煤矸石</w:t>
                  </w:r>
                </w:p>
              </w:tc>
              <w:tc>
                <w:tcPr>
                  <w:tcW w:w="644" w:type="pct"/>
                  <w:tcBorders>
                    <w:tl2br w:val="nil"/>
                    <w:tr2bl w:val="nil"/>
                  </w:tcBorders>
                  <w:noWrap w:val="0"/>
                  <w:vAlign w:val="center"/>
                </w:tcPr>
                <w:p w14:paraId="0EA0B649">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0.98</w:t>
                  </w:r>
                </w:p>
              </w:tc>
              <w:tc>
                <w:tcPr>
                  <w:tcW w:w="659" w:type="pct"/>
                  <w:tcBorders>
                    <w:tl2br w:val="nil"/>
                    <w:tr2bl w:val="nil"/>
                  </w:tcBorders>
                  <w:noWrap w:val="0"/>
                  <w:vAlign w:val="center"/>
                </w:tcPr>
                <w:p w14:paraId="6AD87421">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0.88</w:t>
                  </w:r>
                </w:p>
              </w:tc>
              <w:tc>
                <w:tcPr>
                  <w:tcW w:w="674" w:type="pct"/>
                  <w:tcBorders>
                    <w:tl2br w:val="nil"/>
                    <w:tr2bl w:val="nil"/>
                  </w:tcBorders>
                  <w:noWrap w:val="0"/>
                  <w:vAlign w:val="center"/>
                </w:tcPr>
                <w:p w14:paraId="6E2C7B2A">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0.08</w:t>
                  </w:r>
                </w:p>
              </w:tc>
              <w:tc>
                <w:tcPr>
                  <w:tcW w:w="674" w:type="pct"/>
                  <w:tcBorders>
                    <w:tl2br w:val="nil"/>
                    <w:tr2bl w:val="nil"/>
                  </w:tcBorders>
                  <w:noWrap w:val="0"/>
                  <w:vAlign w:val="center"/>
                </w:tcPr>
                <w:p w14:paraId="7B732A9B">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3.01</w:t>
                  </w:r>
                </w:p>
              </w:tc>
              <w:tc>
                <w:tcPr>
                  <w:tcW w:w="674" w:type="pct"/>
                  <w:tcBorders>
                    <w:tl2br w:val="nil"/>
                    <w:tr2bl w:val="nil"/>
                  </w:tcBorders>
                  <w:noWrap w:val="0"/>
                  <w:vAlign w:val="center"/>
                </w:tcPr>
                <w:p w14:paraId="1C8F7AFF">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4.21</w:t>
                  </w:r>
                </w:p>
              </w:tc>
              <w:tc>
                <w:tcPr>
                  <w:tcW w:w="676" w:type="pct"/>
                  <w:tcBorders>
                    <w:tl2br w:val="nil"/>
                    <w:tr2bl w:val="nil"/>
                  </w:tcBorders>
                  <w:noWrap w:val="0"/>
                  <w:vAlign w:val="center"/>
                </w:tcPr>
                <w:p w14:paraId="165449DA">
                  <w:pPr>
                    <w:pStyle w:val="2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0.085</w:t>
                  </w:r>
                </w:p>
              </w:tc>
            </w:tr>
          </w:tbl>
          <w:p w14:paraId="64EF7F30">
            <w:pPr>
              <w:keepNext w:val="0"/>
              <w:keepLines w:val="0"/>
              <w:suppressLineNumbers w:val="0"/>
              <w:spacing w:before="0" w:beforeAutospacing="0" w:after="0" w:afterAutospacing="0" w:line="480" w:lineRule="exact"/>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p w14:paraId="676627A8">
            <w:pPr>
              <w:keepNext w:val="0"/>
              <w:keepLines w:val="0"/>
              <w:suppressLineNumbers w:val="0"/>
              <w:spacing w:before="0" w:beforeAutospacing="0" w:after="0" w:afterAutospacing="0" w:line="480" w:lineRule="exact"/>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表2</w:t>
            </w:r>
            <w:r>
              <w:rPr>
                <w:rFonts w:hint="eastAsia" w:cs="Times New Roman"/>
                <w:b/>
                <w:bCs/>
                <w:color w:val="000000" w:themeColor="text1"/>
                <w:sz w:val="21"/>
                <w:szCs w:val="21"/>
                <w:highlight w:val="none"/>
                <w:lang w:val="en-US" w:eastAsia="zh-CN"/>
                <w14:textFill>
                  <w14:solidFill>
                    <w14:schemeClr w14:val="tx1"/>
                  </w14:solidFill>
                </w14:textFill>
              </w:rPr>
              <w:t>.4-3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煤矸石</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指标表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2528"/>
              <w:gridCol w:w="2867"/>
              <w:gridCol w:w="1523"/>
            </w:tblGrid>
            <w:tr w14:paraId="29A20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pct"/>
                  <w:vMerge w:val="restart"/>
                  <w:tcBorders>
                    <w:top w:val="single" w:color="auto" w:sz="4" w:space="0"/>
                    <w:left w:val="single" w:color="auto" w:sz="0" w:space="0"/>
                  </w:tcBorders>
                  <w:noWrap w:val="0"/>
                  <w:vAlign w:val="center"/>
                </w:tcPr>
                <w:p w14:paraId="6CE601D0">
                  <w:pPr>
                    <w:keepNext w:val="0"/>
                    <w:keepLines w:val="0"/>
                    <w:widowControl/>
                    <w:suppressLineNumbers w:val="0"/>
                    <w:spacing w:before="0" w:beforeLines="0" w:beforeAutospacing="0" w:after="0" w:afterLines="0" w:afterAutospacing="0"/>
                    <w:ind w:left="0" w:right="0"/>
                    <w:jc w:val="center"/>
                    <w:rPr>
                      <w:rFonts w:hint="eastAsia"/>
                      <w:b/>
                      <w:bCs/>
                      <w:color w:val="000000" w:themeColor="text1"/>
                      <w:sz w:val="21"/>
                      <w:szCs w:val="21"/>
                      <w:highlight w:val="none"/>
                      <w14:textFill>
                        <w14:solidFill>
                          <w14:schemeClr w14:val="tx1"/>
                        </w14:solidFill>
                      </w14:textFill>
                    </w:rPr>
                  </w:pPr>
                  <w:r>
                    <w:rPr>
                      <w:rFonts w:hint="eastAsia" w:eastAsia="宋体"/>
                      <w:b/>
                      <w:bCs/>
                      <w:color w:val="000000" w:themeColor="text1"/>
                      <w:sz w:val="21"/>
                      <w:szCs w:val="21"/>
                      <w:highlight w:val="none"/>
                      <w14:textFill>
                        <w14:solidFill>
                          <w14:schemeClr w14:val="tx1"/>
                        </w14:solidFill>
                      </w14:textFill>
                    </w:rPr>
                    <w:t>品种</w:t>
                  </w:r>
                </w:p>
              </w:tc>
              <w:tc>
                <w:tcPr>
                  <w:tcW w:w="3295" w:type="pct"/>
                  <w:gridSpan w:val="2"/>
                  <w:tcBorders>
                    <w:top w:val="single" w:color="auto" w:sz="4" w:space="0"/>
                  </w:tcBorders>
                  <w:noWrap w:val="0"/>
                  <w:vAlign w:val="center"/>
                </w:tcPr>
                <w:p w14:paraId="3F6CA25C">
                  <w:pPr>
                    <w:keepNext w:val="0"/>
                    <w:keepLines w:val="0"/>
                    <w:widowControl/>
                    <w:suppressLineNumbers w:val="0"/>
                    <w:spacing w:before="0" w:beforeLines="0" w:beforeAutospacing="0" w:after="0" w:afterLines="0" w:afterAutospacing="0"/>
                    <w:ind w:left="0" w:right="0"/>
                    <w:jc w:val="center"/>
                    <w:rPr>
                      <w:rFonts w:hint="eastAsia" w:eastAsia="宋体"/>
                      <w:b/>
                      <w:bCs/>
                      <w:color w:val="000000" w:themeColor="text1"/>
                      <w:sz w:val="21"/>
                      <w:szCs w:val="21"/>
                      <w:highlight w:val="none"/>
                      <w14:textFill>
                        <w14:solidFill>
                          <w14:schemeClr w14:val="tx1"/>
                        </w14:solidFill>
                      </w14:textFill>
                    </w:rPr>
                  </w:pPr>
                  <w:r>
                    <w:rPr>
                      <w:rFonts w:hint="eastAsia" w:eastAsia="宋体"/>
                      <w:b/>
                      <w:bCs/>
                      <w:color w:val="000000" w:themeColor="text1"/>
                      <w:sz w:val="21"/>
                      <w:szCs w:val="21"/>
                      <w:highlight w:val="none"/>
                      <w14:textFill>
                        <w14:solidFill>
                          <w14:schemeClr w14:val="tx1"/>
                        </w14:solidFill>
                      </w14:textFill>
                    </w:rPr>
                    <w:t>质量指标</w:t>
                  </w:r>
                </w:p>
              </w:tc>
              <w:tc>
                <w:tcPr>
                  <w:tcW w:w="930" w:type="pct"/>
                  <w:vMerge w:val="restart"/>
                  <w:tcBorders>
                    <w:top w:val="single" w:color="auto" w:sz="4" w:space="0"/>
                    <w:right w:val="single" w:color="auto" w:sz="4" w:space="0"/>
                  </w:tcBorders>
                  <w:noWrap w:val="0"/>
                  <w:vAlign w:val="center"/>
                </w:tcPr>
                <w:p w14:paraId="6AB7AD58">
                  <w:pPr>
                    <w:keepNext w:val="0"/>
                    <w:keepLines w:val="0"/>
                    <w:widowControl/>
                    <w:suppressLineNumbers w:val="0"/>
                    <w:spacing w:before="0" w:beforeAutospacing="0" w:after="0" w:afterAutospacing="0"/>
                    <w:ind w:left="0" w:right="0"/>
                    <w:jc w:val="center"/>
                    <w:rPr>
                      <w:rFonts w:hint="eastAsia" w:eastAsia="宋体"/>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规格mm</w:t>
                  </w:r>
                </w:p>
              </w:tc>
            </w:tr>
            <w:tr w14:paraId="527F7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pct"/>
                  <w:vMerge w:val="continue"/>
                  <w:tcBorders>
                    <w:left w:val="single" w:color="auto" w:sz="4" w:space="0"/>
                  </w:tcBorders>
                  <w:noWrap w:val="0"/>
                  <w:vAlign w:val="center"/>
                </w:tcPr>
                <w:p w14:paraId="2D85B9D8">
                  <w:pPr>
                    <w:keepNext w:val="0"/>
                    <w:keepLines w:val="0"/>
                    <w:widowControl/>
                    <w:suppressLineNumbers w:val="0"/>
                    <w:spacing w:before="0" w:beforeLines="0" w:beforeAutospacing="0" w:after="0" w:afterLines="0" w:afterAutospacing="0"/>
                    <w:ind w:left="0" w:right="0"/>
                    <w:jc w:val="center"/>
                    <w:rPr>
                      <w:rFonts w:hint="eastAsia"/>
                      <w:b/>
                      <w:bCs/>
                      <w:color w:val="000000" w:themeColor="text1"/>
                      <w:sz w:val="21"/>
                      <w:szCs w:val="21"/>
                      <w:highlight w:val="none"/>
                      <w14:textFill>
                        <w14:solidFill>
                          <w14:schemeClr w14:val="tx1"/>
                        </w14:solidFill>
                      </w14:textFill>
                    </w:rPr>
                  </w:pPr>
                </w:p>
              </w:tc>
              <w:tc>
                <w:tcPr>
                  <w:tcW w:w="1544" w:type="pct"/>
                  <w:noWrap w:val="0"/>
                  <w:vAlign w:val="center"/>
                </w:tcPr>
                <w:p w14:paraId="5BE312B1">
                  <w:pPr>
                    <w:keepNext w:val="0"/>
                    <w:keepLines w:val="0"/>
                    <w:widowControl/>
                    <w:suppressLineNumbers w:val="0"/>
                    <w:spacing w:before="0" w:beforeLines="0" w:beforeAutospacing="0" w:after="0" w:afterLines="0" w:afterAutospacing="0"/>
                    <w:ind w:left="0" w:right="0"/>
                    <w:jc w:val="center"/>
                    <w:rPr>
                      <w:rFonts w:hint="eastAsia" w:eastAsia="宋体"/>
                      <w:b w:val="0"/>
                      <w:bCs w:val="0"/>
                      <w:color w:val="000000" w:themeColor="text1"/>
                      <w:sz w:val="21"/>
                      <w:szCs w:val="21"/>
                      <w:highlight w:val="none"/>
                      <w14:textFill>
                        <w14:solidFill>
                          <w14:schemeClr w14:val="tx1"/>
                        </w14:solidFill>
                      </w14:textFill>
                    </w:rPr>
                  </w:pPr>
                  <w:r>
                    <w:rPr>
                      <w:rFonts w:hint="eastAsia" w:eastAsia="宋体"/>
                      <w:b w:val="0"/>
                      <w:bCs w:val="0"/>
                      <w:color w:val="000000" w:themeColor="text1"/>
                      <w:sz w:val="21"/>
                      <w:szCs w:val="21"/>
                      <w:highlight w:val="none"/>
                      <w14:textFill>
                        <w14:solidFill>
                          <w14:schemeClr w14:val="tx1"/>
                        </w14:solidFill>
                      </w14:textFill>
                    </w:rPr>
                    <w:t>干基高位发热量</w:t>
                  </w:r>
                </w:p>
              </w:tc>
              <w:tc>
                <w:tcPr>
                  <w:tcW w:w="1751" w:type="pct"/>
                  <w:noWrap w:val="0"/>
                  <w:vAlign w:val="center"/>
                </w:tcPr>
                <w:p w14:paraId="5D4F85C4">
                  <w:pPr>
                    <w:keepNext w:val="0"/>
                    <w:keepLines w:val="0"/>
                    <w:widowControl/>
                    <w:suppressLineNumbers w:val="0"/>
                    <w:spacing w:before="0" w:beforeLines="0" w:beforeAutospacing="0" w:after="0" w:afterLines="0" w:afterAutospacing="0"/>
                    <w:ind w:left="0" w:right="0"/>
                    <w:jc w:val="center"/>
                    <w:rPr>
                      <w:rFonts w:hint="eastAsia" w:eastAsia="宋体"/>
                      <w:b w:val="0"/>
                      <w:bCs w:val="0"/>
                      <w:color w:val="000000" w:themeColor="text1"/>
                      <w:spacing w:val="1"/>
                      <w:sz w:val="21"/>
                      <w:szCs w:val="21"/>
                      <w:highlight w:val="none"/>
                      <w14:textFill>
                        <w14:solidFill>
                          <w14:schemeClr w14:val="tx1"/>
                        </w14:solidFill>
                      </w14:textFill>
                    </w:rPr>
                  </w:pPr>
                  <w:r>
                    <w:rPr>
                      <w:rFonts w:hint="eastAsia" w:eastAsia="宋体"/>
                      <w:b w:val="0"/>
                      <w:bCs w:val="0"/>
                      <w:color w:val="000000" w:themeColor="text1"/>
                      <w:spacing w:val="1"/>
                      <w:sz w:val="21"/>
                      <w:szCs w:val="21"/>
                      <w:highlight w:val="none"/>
                      <w14:textFill>
                        <w14:solidFill>
                          <w14:schemeClr w14:val="tx1"/>
                        </w14:solidFill>
                      </w14:textFill>
                    </w:rPr>
                    <w:t>收到基低位发热量</w:t>
                  </w:r>
                </w:p>
              </w:tc>
              <w:tc>
                <w:tcPr>
                  <w:tcW w:w="930" w:type="pct"/>
                  <w:vMerge w:val="continue"/>
                  <w:tcBorders>
                    <w:right w:val="single" w:color="auto" w:sz="4" w:space="0"/>
                  </w:tcBorders>
                  <w:noWrap w:val="0"/>
                  <w:vAlign w:val="center"/>
                </w:tcPr>
                <w:p w14:paraId="6C02B729">
                  <w:pPr>
                    <w:keepNext w:val="0"/>
                    <w:keepLines w:val="0"/>
                    <w:widowControl/>
                    <w:suppressLineNumbers w:val="0"/>
                    <w:spacing w:before="0" w:beforeLines="0" w:beforeAutospacing="0" w:after="0" w:afterLines="0" w:afterAutospacing="0"/>
                    <w:ind w:left="0" w:right="0"/>
                    <w:jc w:val="center"/>
                    <w:rPr>
                      <w:rFonts w:hint="eastAsia" w:eastAsia="宋体"/>
                      <w:color w:val="000000" w:themeColor="text1"/>
                      <w:spacing w:val="1"/>
                      <w:sz w:val="21"/>
                      <w:szCs w:val="21"/>
                      <w:highlight w:val="none"/>
                      <w14:textFill>
                        <w14:solidFill>
                          <w14:schemeClr w14:val="tx1"/>
                        </w14:solidFill>
                      </w14:textFill>
                    </w:rPr>
                  </w:pPr>
                </w:p>
              </w:tc>
            </w:tr>
            <w:tr w14:paraId="5694AA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pct"/>
                  <w:tcBorders>
                    <w:left w:val="single" w:color="auto" w:sz="4" w:space="0"/>
                    <w:bottom w:val="single" w:color="auto" w:sz="4" w:space="0"/>
                  </w:tcBorders>
                  <w:noWrap w:val="0"/>
                  <w:vAlign w:val="center"/>
                </w:tcPr>
                <w:p w14:paraId="163FE864">
                  <w:pPr>
                    <w:keepNext w:val="0"/>
                    <w:keepLines w:val="0"/>
                    <w:widowControl/>
                    <w:suppressLineNumbers w:val="0"/>
                    <w:spacing w:before="0" w:beforeLines="0" w:beforeAutospacing="0" w:after="0" w:afterLines="0" w:afterAutospacing="0"/>
                    <w:ind w:left="0" w:right="0"/>
                    <w:jc w:val="center"/>
                    <w:rPr>
                      <w:rFonts w:hint="eastAsia"/>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煤矸石</w:t>
                  </w:r>
                </w:p>
              </w:tc>
              <w:tc>
                <w:tcPr>
                  <w:tcW w:w="1544" w:type="pct"/>
                  <w:tcBorders>
                    <w:bottom w:val="single" w:color="auto" w:sz="4" w:space="0"/>
                  </w:tcBorders>
                  <w:noWrap w:val="0"/>
                  <w:vAlign w:val="center"/>
                </w:tcPr>
                <w:p w14:paraId="24429AD4">
                  <w:pPr>
                    <w:keepNext w:val="0"/>
                    <w:keepLines w:val="0"/>
                    <w:widowControl/>
                    <w:suppressLineNumbers w:val="0"/>
                    <w:spacing w:before="0" w:beforeLines="0" w:beforeAutospacing="0" w:after="0" w:afterLines="0" w:afterAutospacing="0"/>
                    <w:ind w:left="0" w:right="0"/>
                    <w:jc w:val="center"/>
                    <w:rPr>
                      <w:rFonts w:hint="eastAsia"/>
                      <w:color w:val="000000" w:themeColor="text1"/>
                      <w:sz w:val="21"/>
                      <w:szCs w:val="21"/>
                      <w:highlight w:val="none"/>
                      <w14:textFill>
                        <w14:solidFill>
                          <w14:schemeClr w14:val="tx1"/>
                        </w14:solidFill>
                      </w14:textFill>
                    </w:rPr>
                  </w:pPr>
                  <w:r>
                    <w:rPr>
                      <w:rFonts w:hint="eastAsia"/>
                      <w:color w:val="000000" w:themeColor="text1"/>
                      <w:spacing w:val="-4"/>
                      <w:sz w:val="21"/>
                      <w:szCs w:val="21"/>
                      <w:highlight w:val="none"/>
                      <w:lang w:val="en-US" w:eastAsia="zh-CN"/>
                      <w14:textFill>
                        <w14:solidFill>
                          <w14:schemeClr w14:val="tx1"/>
                        </w14:solidFill>
                      </w14:textFill>
                    </w:rPr>
                    <w:t>594</w:t>
                  </w:r>
                  <w:r>
                    <w:rPr>
                      <w:rFonts w:hint="eastAsia"/>
                      <w:color w:val="000000" w:themeColor="text1"/>
                      <w:spacing w:val="-1"/>
                      <w:sz w:val="21"/>
                      <w:szCs w:val="21"/>
                      <w:highlight w:val="none"/>
                      <w14:textFill>
                        <w14:solidFill>
                          <w14:schemeClr w14:val="tx1"/>
                        </w14:solidFill>
                      </w14:textFill>
                    </w:rPr>
                    <w:t>kcal/kg</w:t>
                  </w:r>
                </w:p>
              </w:tc>
              <w:tc>
                <w:tcPr>
                  <w:tcW w:w="1751" w:type="pct"/>
                  <w:tcBorders>
                    <w:bottom w:val="single" w:color="auto" w:sz="4" w:space="0"/>
                  </w:tcBorders>
                  <w:noWrap w:val="0"/>
                  <w:vAlign w:val="center"/>
                </w:tcPr>
                <w:p w14:paraId="5FA80DBF">
                  <w:pPr>
                    <w:keepNext w:val="0"/>
                    <w:keepLines w:val="0"/>
                    <w:widowControl/>
                    <w:suppressLineNumbers w:val="0"/>
                    <w:spacing w:before="0" w:beforeLines="0" w:beforeAutospacing="0" w:after="0" w:afterLines="0" w:afterAutospacing="0"/>
                    <w:ind w:left="0" w:right="0"/>
                    <w:jc w:val="center"/>
                    <w:rPr>
                      <w:rFonts w:hint="eastAsia"/>
                      <w:color w:val="000000" w:themeColor="text1"/>
                      <w:sz w:val="21"/>
                      <w:szCs w:val="21"/>
                      <w:highlight w:val="none"/>
                      <w14:textFill>
                        <w14:solidFill>
                          <w14:schemeClr w14:val="tx1"/>
                        </w14:solidFill>
                      </w14:textFill>
                    </w:rPr>
                  </w:pPr>
                  <w:r>
                    <w:rPr>
                      <w:rFonts w:hint="eastAsia"/>
                      <w:color w:val="000000" w:themeColor="text1"/>
                      <w:spacing w:val="-6"/>
                      <w:sz w:val="21"/>
                      <w:szCs w:val="21"/>
                      <w:highlight w:val="none"/>
                      <w:lang w:val="en-US" w:eastAsia="zh-CN"/>
                      <w14:textFill>
                        <w14:solidFill>
                          <w14:schemeClr w14:val="tx1"/>
                        </w14:solidFill>
                      </w14:textFill>
                    </w:rPr>
                    <w:t>387</w:t>
                  </w:r>
                  <w:r>
                    <w:rPr>
                      <w:rFonts w:hint="eastAsia"/>
                      <w:color w:val="000000" w:themeColor="text1"/>
                      <w:spacing w:val="-1"/>
                      <w:sz w:val="21"/>
                      <w:szCs w:val="21"/>
                      <w:highlight w:val="none"/>
                      <w14:textFill>
                        <w14:solidFill>
                          <w14:schemeClr w14:val="tx1"/>
                        </w14:solidFill>
                      </w14:textFill>
                    </w:rPr>
                    <w:t>kcal/kg</w:t>
                  </w:r>
                </w:p>
              </w:tc>
              <w:tc>
                <w:tcPr>
                  <w:tcW w:w="930" w:type="pct"/>
                  <w:tcBorders>
                    <w:bottom w:val="single" w:color="auto" w:sz="4" w:space="0"/>
                    <w:right w:val="single" w:color="auto" w:sz="4" w:space="0"/>
                  </w:tcBorders>
                  <w:noWrap w:val="0"/>
                  <w:vAlign w:val="center"/>
                </w:tcPr>
                <w:p w14:paraId="7D2D21DD">
                  <w:pPr>
                    <w:keepNext w:val="0"/>
                    <w:keepLines w:val="0"/>
                    <w:widowControl/>
                    <w:suppressLineNumbers w:val="0"/>
                    <w:spacing w:before="0" w:beforeAutospacing="0" w:after="0" w:afterAutospacing="0"/>
                    <w:ind w:left="0" w:right="0"/>
                    <w:jc w:val="center"/>
                    <w:rPr>
                      <w:rFonts w:hint="eastAsia"/>
                      <w:color w:val="000000" w:themeColor="text1"/>
                      <w:spacing w:val="-6"/>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lang w:eastAsia="zh-CN"/>
                      <w14:textFill>
                        <w14:solidFill>
                          <w14:schemeClr w14:val="tx1"/>
                        </w14:solidFill>
                      </w14:textFill>
                    </w:rPr>
                    <w:t>00</w:t>
                  </w:r>
                </w:p>
              </w:tc>
            </w:tr>
          </w:tbl>
          <w:p w14:paraId="7441E339">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firstLineChars="200"/>
              <w:textAlignment w:val="auto"/>
              <w:rPr>
                <w:rFonts w:hint="default" w:cs="Times New Roman"/>
                <w:b/>
                <w:bCs/>
                <w:color w:val="000000" w:themeColor="text1"/>
                <w:spacing w:val="0"/>
                <w:kern w:val="2"/>
                <w:sz w:val="24"/>
                <w:szCs w:val="24"/>
                <w:highlight w:val="none"/>
                <w:lang w:val="en-US" w:eastAsia="zh-CN" w:bidi="ar-SA"/>
                <w14:textFill>
                  <w14:solidFill>
                    <w14:schemeClr w14:val="tx1"/>
                  </w14:solidFill>
                </w14:textFill>
              </w:rPr>
            </w:pPr>
            <w:r>
              <w:rPr>
                <w:rFonts w:hint="eastAsia" w:cs="Times New Roman"/>
                <w:b/>
                <w:bCs/>
                <w:color w:val="000000" w:themeColor="text1"/>
                <w:spacing w:val="0"/>
                <w:kern w:val="2"/>
                <w:sz w:val="24"/>
                <w:szCs w:val="24"/>
                <w:highlight w:val="none"/>
                <w:lang w:val="en-US" w:eastAsia="zh-CN" w:bidi="ar-SA"/>
                <w14:textFill>
                  <w14:solidFill>
                    <w14:schemeClr w14:val="tx1"/>
                  </w14:solidFill>
                </w14:textFill>
              </w:rPr>
              <w:t>2.5物料平衡</w:t>
            </w:r>
          </w:p>
          <w:p w14:paraId="4F62F1C2">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cs="Times New Roman"/>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本项目物料平衡见表2</w:t>
            </w:r>
            <w:r>
              <w:rPr>
                <w:rFonts w:hint="eastAsia" w:cs="Times New Roman"/>
                <w:color w:val="000000" w:themeColor="text1"/>
                <w:spacing w:val="0"/>
                <w:sz w:val="24"/>
                <w:highlight w:val="none"/>
                <w:lang w:val="en-US" w:eastAsia="zh-CN"/>
                <w14:textFill>
                  <w14:solidFill>
                    <w14:schemeClr w14:val="tx1"/>
                  </w14:solidFill>
                </w14:textFill>
              </w:rPr>
              <w:t>.5-1</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w:t>
            </w:r>
          </w:p>
          <w:tbl>
            <w:tblPr>
              <w:tblStyle w:val="30"/>
              <w:tblpPr w:leftFromText="180" w:rightFromText="180" w:vertAnchor="text" w:horzAnchor="page" w:tblpX="104" w:tblpY="480"/>
              <w:tblOverlap w:val="never"/>
              <w:tblW w:w="8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2028"/>
              <w:gridCol w:w="2690"/>
              <w:gridCol w:w="2103"/>
            </w:tblGrid>
            <w:tr w14:paraId="7ABF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77" w:type="dxa"/>
                  <w:gridSpan w:val="2"/>
                  <w:tcBorders>
                    <w:tl2br w:val="nil"/>
                    <w:tr2bl w:val="nil"/>
                  </w:tcBorders>
                  <w:vAlign w:val="center"/>
                </w:tcPr>
                <w:p w14:paraId="33DE8E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color w:val="000000" w:themeColor="text1"/>
                      <w:kern w:val="0"/>
                      <w:szCs w:val="21"/>
                      <w:highlight w:val="none"/>
                      <w:lang w:eastAsia="zh-CN"/>
                      <w14:textFill>
                        <w14:solidFill>
                          <w14:schemeClr w14:val="tx1"/>
                        </w14:solidFill>
                      </w14:textFill>
                    </w:rPr>
                  </w:pPr>
                  <w:r>
                    <w:rPr>
                      <w:rFonts w:hint="eastAsia" w:cs="Times New Roman"/>
                      <w:b/>
                      <w:bCs/>
                      <w:color w:val="000000" w:themeColor="text1"/>
                      <w:kern w:val="0"/>
                      <w:szCs w:val="21"/>
                      <w:highlight w:val="none"/>
                      <w:lang w:val="en-US" w:eastAsia="zh-CN"/>
                      <w14:textFill>
                        <w14:solidFill>
                          <w14:schemeClr w14:val="tx1"/>
                        </w14:solidFill>
                      </w14:textFill>
                    </w:rPr>
                    <w:t>进料（t/a）</w:t>
                  </w:r>
                </w:p>
              </w:tc>
              <w:tc>
                <w:tcPr>
                  <w:tcW w:w="4793" w:type="dxa"/>
                  <w:gridSpan w:val="2"/>
                  <w:tcBorders>
                    <w:tl2br w:val="nil"/>
                    <w:tr2bl w:val="nil"/>
                  </w:tcBorders>
                  <w:vAlign w:val="center"/>
                </w:tcPr>
                <w:p w14:paraId="7789FD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0"/>
                      <w:szCs w:val="21"/>
                      <w:highlight w:val="none"/>
                      <w:lang w:val="en-US" w:eastAsia="zh-CN"/>
                      <w14:textFill>
                        <w14:solidFill>
                          <w14:schemeClr w14:val="tx1"/>
                        </w14:solidFill>
                      </w14:textFill>
                    </w:rPr>
                  </w:pPr>
                  <w:r>
                    <w:rPr>
                      <w:rFonts w:hint="eastAsia" w:cs="Times New Roman"/>
                      <w:b/>
                      <w:bCs/>
                      <w:color w:val="000000" w:themeColor="text1"/>
                      <w:kern w:val="0"/>
                      <w:szCs w:val="21"/>
                      <w:highlight w:val="none"/>
                      <w:lang w:val="en-US" w:eastAsia="zh-CN"/>
                      <w14:textFill>
                        <w14:solidFill>
                          <w14:schemeClr w14:val="tx1"/>
                        </w14:solidFill>
                      </w14:textFill>
                    </w:rPr>
                    <w:t>出料（t/a）</w:t>
                  </w:r>
                </w:p>
              </w:tc>
            </w:tr>
            <w:tr w14:paraId="6BF4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9" w:type="dxa"/>
                  <w:vMerge w:val="restart"/>
                  <w:tcBorders>
                    <w:tl2br w:val="nil"/>
                    <w:tr2bl w:val="nil"/>
                  </w:tcBorders>
                  <w:vAlign w:val="center"/>
                </w:tcPr>
                <w:p w14:paraId="304EBE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煤矸石</w:t>
                  </w:r>
                </w:p>
              </w:tc>
              <w:tc>
                <w:tcPr>
                  <w:tcW w:w="2028" w:type="dxa"/>
                  <w:vMerge w:val="restart"/>
                  <w:tcBorders>
                    <w:tl2br w:val="nil"/>
                    <w:tr2bl w:val="nil"/>
                  </w:tcBorders>
                  <w:vAlign w:val="center"/>
                </w:tcPr>
                <w:p w14:paraId="1A01A61E">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0"/>
                      <w:szCs w:val="21"/>
                      <w:highlight w:val="none"/>
                      <w:lang w:val="en-US"/>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1200000</w:t>
                  </w:r>
                </w:p>
              </w:tc>
              <w:tc>
                <w:tcPr>
                  <w:tcW w:w="2690" w:type="dxa"/>
                  <w:tcBorders>
                    <w:tl2br w:val="nil"/>
                    <w:tr2bl w:val="nil"/>
                  </w:tcBorders>
                  <w:vAlign w:val="center"/>
                </w:tcPr>
                <w:p w14:paraId="4D6987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机制砂（0-5mm）</w:t>
                  </w:r>
                </w:p>
              </w:tc>
              <w:tc>
                <w:tcPr>
                  <w:tcW w:w="2103" w:type="dxa"/>
                  <w:tcBorders>
                    <w:tl2br w:val="nil"/>
                    <w:tr2bl w:val="nil"/>
                  </w:tcBorders>
                  <w:vAlign w:val="center"/>
                </w:tcPr>
                <w:p w14:paraId="5B6F76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1199122.609</w:t>
                  </w:r>
                </w:p>
              </w:tc>
            </w:tr>
            <w:tr w14:paraId="3E5A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9" w:type="dxa"/>
                  <w:vMerge w:val="continue"/>
                  <w:tcBorders>
                    <w:tl2br w:val="nil"/>
                    <w:tr2bl w:val="nil"/>
                  </w:tcBorders>
                  <w:vAlign w:val="center"/>
                </w:tcPr>
                <w:p w14:paraId="718F43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0"/>
                      <w:szCs w:val="21"/>
                      <w:highlight w:val="none"/>
                      <w14:textFill>
                        <w14:solidFill>
                          <w14:schemeClr w14:val="tx1"/>
                        </w14:solidFill>
                      </w14:textFill>
                    </w:rPr>
                  </w:pPr>
                </w:p>
              </w:tc>
              <w:tc>
                <w:tcPr>
                  <w:tcW w:w="2028" w:type="dxa"/>
                  <w:vMerge w:val="continue"/>
                  <w:tcBorders>
                    <w:tl2br w:val="nil"/>
                    <w:tr2bl w:val="nil"/>
                  </w:tcBorders>
                  <w:vAlign w:val="center"/>
                </w:tcPr>
                <w:p w14:paraId="18485417">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0"/>
                      <w:szCs w:val="21"/>
                      <w:highlight w:val="none"/>
                      <w:lang w:val="en-US"/>
                      <w14:textFill>
                        <w14:solidFill>
                          <w14:schemeClr w14:val="tx1"/>
                        </w14:solidFill>
                      </w14:textFill>
                    </w:rPr>
                  </w:pPr>
                </w:p>
              </w:tc>
              <w:tc>
                <w:tcPr>
                  <w:tcW w:w="2690" w:type="dxa"/>
                  <w:tcBorders>
                    <w:tl2br w:val="nil"/>
                    <w:tr2bl w:val="nil"/>
                  </w:tcBorders>
                  <w:vAlign w:val="center"/>
                </w:tcPr>
                <w:p w14:paraId="1DEA4C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无组织颗粒物</w:t>
                  </w:r>
                </w:p>
              </w:tc>
              <w:tc>
                <w:tcPr>
                  <w:tcW w:w="2103" w:type="dxa"/>
                  <w:tcBorders>
                    <w:tl2br w:val="nil"/>
                    <w:tr2bl w:val="nil"/>
                  </w:tcBorders>
                  <w:vAlign w:val="center"/>
                </w:tcPr>
                <w:p w14:paraId="7FFD41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1.27</w:t>
                  </w:r>
                </w:p>
              </w:tc>
            </w:tr>
            <w:tr w14:paraId="4782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9" w:type="dxa"/>
                  <w:vMerge w:val="continue"/>
                  <w:tcBorders>
                    <w:tl2br w:val="nil"/>
                    <w:tr2bl w:val="nil"/>
                  </w:tcBorders>
                  <w:vAlign w:val="center"/>
                </w:tcPr>
                <w:p w14:paraId="06FB28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0"/>
                      <w:szCs w:val="21"/>
                      <w:highlight w:val="none"/>
                      <w14:textFill>
                        <w14:solidFill>
                          <w14:schemeClr w14:val="tx1"/>
                        </w14:solidFill>
                      </w14:textFill>
                    </w:rPr>
                  </w:pPr>
                </w:p>
              </w:tc>
              <w:tc>
                <w:tcPr>
                  <w:tcW w:w="2028" w:type="dxa"/>
                  <w:vMerge w:val="continue"/>
                  <w:tcBorders>
                    <w:tl2br w:val="nil"/>
                    <w:tr2bl w:val="nil"/>
                  </w:tcBorders>
                  <w:vAlign w:val="center"/>
                </w:tcPr>
                <w:p w14:paraId="7B66A3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p>
              </w:tc>
              <w:tc>
                <w:tcPr>
                  <w:tcW w:w="2690" w:type="dxa"/>
                  <w:tcBorders>
                    <w:tl2br w:val="nil"/>
                    <w:tr2bl w:val="nil"/>
                  </w:tcBorders>
                  <w:vAlign w:val="center"/>
                </w:tcPr>
                <w:p w14:paraId="79FFF8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有组织颗粒物</w:t>
                  </w:r>
                </w:p>
              </w:tc>
              <w:tc>
                <w:tcPr>
                  <w:tcW w:w="2103" w:type="dxa"/>
                  <w:tcBorders>
                    <w:tl2br w:val="nil"/>
                    <w:tr2bl w:val="nil"/>
                  </w:tcBorders>
                  <w:vAlign w:val="center"/>
                </w:tcPr>
                <w:p w14:paraId="51FF3B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1.701</w:t>
                  </w:r>
                </w:p>
              </w:tc>
            </w:tr>
            <w:tr w14:paraId="0071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9" w:type="dxa"/>
                  <w:vMerge w:val="continue"/>
                  <w:tcBorders>
                    <w:tl2br w:val="nil"/>
                    <w:tr2bl w:val="nil"/>
                  </w:tcBorders>
                  <w:vAlign w:val="center"/>
                </w:tcPr>
                <w:p w14:paraId="640839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eastAsia="宋体"/>
                      <w:color w:val="000000" w:themeColor="text1"/>
                      <w:sz w:val="21"/>
                      <w:szCs w:val="21"/>
                      <w:highlight w:val="none"/>
                      <w:lang w:val="en-US" w:eastAsia="zh-CN"/>
                      <w14:textFill>
                        <w14:solidFill>
                          <w14:schemeClr w14:val="tx1"/>
                        </w14:solidFill>
                      </w14:textFill>
                    </w:rPr>
                  </w:pPr>
                </w:p>
              </w:tc>
              <w:tc>
                <w:tcPr>
                  <w:tcW w:w="2028" w:type="dxa"/>
                  <w:vMerge w:val="continue"/>
                  <w:tcBorders>
                    <w:tl2br w:val="nil"/>
                    <w:tr2bl w:val="nil"/>
                  </w:tcBorders>
                  <w:vAlign w:val="center"/>
                </w:tcPr>
                <w:p w14:paraId="747084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p>
              </w:tc>
              <w:tc>
                <w:tcPr>
                  <w:tcW w:w="2690" w:type="dxa"/>
                  <w:tcBorders>
                    <w:tl2br w:val="nil"/>
                    <w:tr2bl w:val="nil"/>
                  </w:tcBorders>
                  <w:vAlign w:val="center"/>
                </w:tcPr>
                <w:p w14:paraId="04AC4A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除尘灰</w:t>
                  </w:r>
                </w:p>
              </w:tc>
              <w:tc>
                <w:tcPr>
                  <w:tcW w:w="2103" w:type="dxa"/>
                  <w:tcBorders>
                    <w:tl2br w:val="nil"/>
                    <w:tr2bl w:val="nil"/>
                  </w:tcBorders>
                  <w:vAlign w:val="center"/>
                </w:tcPr>
                <w:p w14:paraId="2E74F2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874.42</w:t>
                  </w:r>
                </w:p>
              </w:tc>
            </w:tr>
            <w:tr w14:paraId="4E45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9" w:type="dxa"/>
                  <w:tcBorders>
                    <w:tl2br w:val="nil"/>
                    <w:tr2bl w:val="nil"/>
                  </w:tcBorders>
                  <w:vAlign w:val="center"/>
                </w:tcPr>
                <w:p w14:paraId="0883DD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合计</w:t>
                  </w:r>
                </w:p>
              </w:tc>
              <w:tc>
                <w:tcPr>
                  <w:tcW w:w="2028" w:type="dxa"/>
                  <w:tcBorders>
                    <w:tl2br w:val="nil"/>
                    <w:tr2bl w:val="nil"/>
                  </w:tcBorders>
                  <w:vAlign w:val="center"/>
                </w:tcPr>
                <w:p w14:paraId="00C1AB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1200000</w:t>
                  </w:r>
                </w:p>
              </w:tc>
              <w:tc>
                <w:tcPr>
                  <w:tcW w:w="2690" w:type="dxa"/>
                  <w:tcBorders>
                    <w:tl2br w:val="nil"/>
                    <w:tr2bl w:val="nil"/>
                  </w:tcBorders>
                  <w:vAlign w:val="center"/>
                </w:tcPr>
                <w:p w14:paraId="4C96E8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合计</w:t>
                  </w:r>
                </w:p>
              </w:tc>
              <w:tc>
                <w:tcPr>
                  <w:tcW w:w="2103" w:type="dxa"/>
                  <w:tcBorders>
                    <w:tl2br w:val="nil"/>
                    <w:tr2bl w:val="nil"/>
                  </w:tcBorders>
                  <w:vAlign w:val="center"/>
                </w:tcPr>
                <w:p w14:paraId="6A98AC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120</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0000</w:t>
                  </w:r>
                </w:p>
              </w:tc>
            </w:tr>
          </w:tbl>
          <w:p w14:paraId="0BA6A0A3">
            <w:pPr>
              <w:keepNext w:val="0"/>
              <w:keepLines w:val="0"/>
              <w:suppressLineNumbers w:val="0"/>
              <w:spacing w:before="0" w:beforeAutospacing="0" w:after="0" w:afterAutospacing="0" w:line="480" w:lineRule="exact"/>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表2</w:t>
            </w:r>
            <w:r>
              <w:rPr>
                <w:rFonts w:hint="eastAsia" w:cs="Times New Roman"/>
                <w:b/>
                <w:bCs/>
                <w:color w:val="000000" w:themeColor="text1"/>
                <w:sz w:val="21"/>
                <w:szCs w:val="21"/>
                <w:highlight w:val="none"/>
                <w:lang w:val="en-US" w:eastAsia="zh-CN"/>
                <w14:textFill>
                  <w14:solidFill>
                    <w14:schemeClr w14:val="tx1"/>
                  </w14:solidFill>
                </w14:textFill>
              </w:rPr>
              <w:t xml:space="preserve">.5-1 </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eastAsia" w:cs="Times New Roman"/>
                <w:b/>
                <w:bCs/>
                <w:color w:val="000000" w:themeColor="text1"/>
                <w:sz w:val="21"/>
                <w:szCs w:val="21"/>
                <w:highlight w:val="none"/>
                <w:lang w:val="en-US" w:eastAsia="zh-CN"/>
                <w14:textFill>
                  <w14:solidFill>
                    <w14:schemeClr w14:val="tx1"/>
                  </w14:solidFill>
                </w14:textFill>
              </w:rPr>
              <w:t>本项目</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物料平衡</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w:t>
            </w:r>
          </w:p>
          <w:p w14:paraId="0909320A">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pPr>
            <w:r>
              <w:rPr>
                <w:rFonts w:hint="eastAsia" w:cs="Times New Roman"/>
                <w:b/>
                <w:bCs/>
                <w:color w:val="000000" w:themeColor="text1"/>
                <w:spacing w:val="0"/>
                <w:kern w:val="2"/>
                <w:sz w:val="24"/>
                <w:szCs w:val="24"/>
                <w:highlight w:val="none"/>
                <w:lang w:val="en-US" w:eastAsia="zh-CN" w:bidi="ar-SA"/>
                <w14:textFill>
                  <w14:solidFill>
                    <w14:schemeClr w14:val="tx1"/>
                  </w14:solidFill>
                </w14:textFill>
              </w:rPr>
              <w:t>2.6</w:t>
            </w:r>
            <w:r>
              <w:rPr>
                <w:rFonts w:hint="default"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t>劳动定员及工作制度</w:t>
            </w:r>
          </w:p>
          <w:p w14:paraId="0BAD01FC">
            <w:pPr>
              <w:keepNext w:val="0"/>
              <w:keepLines w:val="0"/>
              <w:suppressLineNumbers w:val="0"/>
              <w:autoSpaceDE w:val="0"/>
              <w:autoSpaceDN w:val="0"/>
              <w:adjustRightInd w:val="0"/>
              <w:spacing w:before="0" w:beforeAutospacing="0" w:after="0" w:afterAutospacing="0" w:line="480" w:lineRule="exact"/>
              <w:ind w:left="0" w:right="0" w:firstLine="480" w:firstLineChars="200"/>
              <w:rPr>
                <w:rFonts w:hint="eastAsia" w:hAnsi="宋体"/>
                <w:color w:val="000000" w:themeColor="text1"/>
                <w:kern w:val="0"/>
                <w:sz w:val="24"/>
                <w14:textFill>
                  <w14:solidFill>
                    <w14:schemeClr w14:val="tx1"/>
                  </w14:solidFill>
                </w14:textFill>
              </w:rPr>
            </w:pPr>
            <w:r>
              <w:rPr>
                <w:rFonts w:hint="eastAsia" w:hAnsi="宋体"/>
                <w:color w:val="000000" w:themeColor="text1"/>
                <w:kern w:val="0"/>
                <w:sz w:val="24"/>
                <w:lang w:val="en-US" w:eastAsia="zh-CN"/>
                <w14:textFill>
                  <w14:solidFill>
                    <w14:schemeClr w14:val="tx1"/>
                  </w14:solidFill>
                </w14:textFill>
              </w:rPr>
              <w:t>本项目劳动定员30人，</w:t>
            </w:r>
            <w:r>
              <w:rPr>
                <w:rFonts w:hint="eastAsia" w:hAnsi="宋体"/>
                <w:color w:val="000000" w:themeColor="text1"/>
                <w:kern w:val="0"/>
                <w:sz w:val="24"/>
                <w14:textFill>
                  <w14:solidFill>
                    <w14:schemeClr w14:val="tx1"/>
                  </w14:solidFill>
                </w14:textFill>
              </w:rPr>
              <w:t>其中管理人员</w:t>
            </w:r>
            <w:r>
              <w:rPr>
                <w:rFonts w:hint="default" w:hAnsi="宋体"/>
                <w:color w:val="000000" w:themeColor="text1"/>
                <w:kern w:val="0"/>
                <w:sz w:val="24"/>
                <w14:textFill>
                  <w14:solidFill>
                    <w14:schemeClr w14:val="tx1"/>
                  </w14:solidFill>
                </w14:textFill>
              </w:rPr>
              <w:t>5</w:t>
            </w:r>
            <w:r>
              <w:rPr>
                <w:rFonts w:hint="eastAsia" w:hAnsi="宋体"/>
                <w:color w:val="000000" w:themeColor="text1"/>
                <w:kern w:val="0"/>
                <w:sz w:val="24"/>
                <w14:textFill>
                  <w14:solidFill>
                    <w14:schemeClr w14:val="tx1"/>
                  </w14:solidFill>
                </w14:textFill>
              </w:rPr>
              <w:t>人，生产员工</w:t>
            </w:r>
            <w:r>
              <w:rPr>
                <w:rFonts w:hint="eastAsia" w:hAnsi="宋体"/>
                <w:color w:val="000000" w:themeColor="text1"/>
                <w:kern w:val="0"/>
                <w:sz w:val="24"/>
                <w:lang w:val="en-US" w:eastAsia="zh-CN"/>
                <w14:textFill>
                  <w14:solidFill>
                    <w14:schemeClr w14:val="tx1"/>
                  </w14:solidFill>
                </w14:textFill>
              </w:rPr>
              <w:t>2</w:t>
            </w:r>
            <w:r>
              <w:rPr>
                <w:rFonts w:hint="default" w:hAnsi="宋体"/>
                <w:color w:val="000000" w:themeColor="text1"/>
                <w:kern w:val="0"/>
                <w:sz w:val="24"/>
                <w14:textFill>
                  <w14:solidFill>
                    <w14:schemeClr w14:val="tx1"/>
                  </w14:solidFill>
                </w14:textFill>
              </w:rPr>
              <w:t>5</w:t>
            </w:r>
            <w:r>
              <w:rPr>
                <w:rFonts w:hint="eastAsia" w:hAnsi="宋体"/>
                <w:color w:val="000000" w:themeColor="text1"/>
                <w:kern w:val="0"/>
                <w:sz w:val="24"/>
                <w14:textFill>
                  <w14:solidFill>
                    <w14:schemeClr w14:val="tx1"/>
                  </w14:solidFill>
                </w14:textFill>
              </w:rPr>
              <w:t>人，均不在厂内食宿。</w:t>
            </w:r>
          </w:p>
          <w:p w14:paraId="43D2DD87">
            <w:pPr>
              <w:keepNext w:val="0"/>
              <w:keepLines w:val="0"/>
              <w:suppressLineNumbers w:val="0"/>
              <w:autoSpaceDE w:val="0"/>
              <w:autoSpaceDN w:val="0"/>
              <w:adjustRightInd w:val="0"/>
              <w:spacing w:before="0" w:beforeAutospacing="0" w:after="0" w:afterAutospacing="0" w:line="480" w:lineRule="exact"/>
              <w:ind w:left="0" w:right="0" w:firstLine="480" w:firstLineChars="200"/>
              <w:rPr>
                <w:rFonts w:hint="eastAsia" w:eastAsia="宋体"/>
                <w:snapToGrid w:val="0"/>
                <w:color w:val="000000" w:themeColor="text1"/>
                <w:kern w:val="0"/>
                <w:sz w:val="24"/>
                <w:lang w:val="en-US" w:eastAsia="zh-CN"/>
                <w14:textFill>
                  <w14:solidFill>
                    <w14:schemeClr w14:val="tx1"/>
                  </w14:solidFill>
                </w14:textFill>
              </w:rPr>
            </w:pPr>
            <w:r>
              <w:rPr>
                <w:rFonts w:hint="eastAsia" w:hAnsi="宋体"/>
                <w:color w:val="000000" w:themeColor="text1"/>
                <w:kern w:val="0"/>
                <w:sz w:val="24"/>
                <w:lang w:val="en-US" w:eastAsia="zh-CN"/>
                <w14:textFill>
                  <w14:solidFill>
                    <w14:schemeClr w14:val="tx1"/>
                  </w14:solidFill>
                </w14:textFill>
              </w:rPr>
              <w:t>年</w:t>
            </w:r>
            <w:r>
              <w:rPr>
                <w:rFonts w:hint="eastAsia" w:ascii="Times New Roman" w:hAnsi="Times New Roman" w:cs="Times New Roman"/>
                <w:color w:val="000000" w:themeColor="text1"/>
                <w:kern w:val="0"/>
                <w:sz w:val="24"/>
                <w:lang w:val="en-US" w:eastAsia="zh-CN"/>
                <w14:textFill>
                  <w14:solidFill>
                    <w14:schemeClr w14:val="tx1"/>
                  </w14:solidFill>
                </w14:textFill>
              </w:rPr>
              <w:t>工作时间为3</w:t>
            </w:r>
            <w:r>
              <w:rPr>
                <w:rFonts w:hint="eastAsia" w:cs="Times New Roman"/>
                <w:color w:val="000000" w:themeColor="text1"/>
                <w:kern w:val="0"/>
                <w:sz w:val="24"/>
                <w:lang w:val="en-US" w:eastAsia="zh-CN"/>
                <w14:textFill>
                  <w14:solidFill>
                    <w14:schemeClr w14:val="tx1"/>
                  </w14:solidFill>
                </w14:textFill>
              </w:rPr>
              <w:t>3</w:t>
            </w:r>
            <w:r>
              <w:rPr>
                <w:rFonts w:hint="eastAsia" w:ascii="Times New Roman" w:hAnsi="Times New Roman" w:cs="Times New Roman"/>
                <w:color w:val="000000" w:themeColor="text1"/>
                <w:kern w:val="0"/>
                <w:sz w:val="24"/>
                <w:lang w:val="en-US" w:eastAsia="zh-CN"/>
                <w14:textFill>
                  <w14:solidFill>
                    <w14:schemeClr w14:val="tx1"/>
                  </w14:solidFill>
                </w14:textFill>
              </w:rPr>
              <w:t>0天，</w:t>
            </w:r>
            <w:r>
              <w:rPr>
                <w:rFonts w:hint="default" w:ascii="Times New Roman" w:hAnsi="Times New Roman" w:cs="Times New Roman"/>
                <w:color w:val="000000" w:themeColor="text1"/>
                <w:kern w:val="0"/>
                <w:sz w:val="24"/>
                <w:lang w:val="en-US" w:eastAsia="zh-CN"/>
                <w14:textFill>
                  <w14:solidFill>
                    <w14:schemeClr w14:val="tx1"/>
                  </w14:solidFill>
                </w14:textFill>
              </w:rPr>
              <w:t>采用</w:t>
            </w:r>
            <w:r>
              <w:rPr>
                <w:rFonts w:hint="eastAsia" w:cs="Times New Roman"/>
                <w:color w:val="000000" w:themeColor="text1"/>
                <w:kern w:val="0"/>
                <w:sz w:val="24"/>
                <w:lang w:val="en-US" w:eastAsia="zh-CN"/>
                <w14:textFill>
                  <w14:solidFill>
                    <w14:schemeClr w14:val="tx1"/>
                  </w14:solidFill>
                </w14:textFill>
              </w:rPr>
              <w:t>2</w:t>
            </w:r>
            <w:r>
              <w:rPr>
                <w:rFonts w:hint="default" w:ascii="Times New Roman" w:hAnsi="Times New Roman" w:cs="Times New Roman"/>
                <w:color w:val="000000" w:themeColor="text1"/>
                <w:kern w:val="0"/>
                <w:sz w:val="24"/>
                <w:lang w:val="en-US" w:eastAsia="zh-CN"/>
                <w14:textFill>
                  <w14:solidFill>
                    <w14:schemeClr w14:val="tx1"/>
                  </w14:solidFill>
                </w14:textFill>
              </w:rPr>
              <w:t>班工作制，每班8小时</w:t>
            </w:r>
            <w:r>
              <w:rPr>
                <w:rFonts w:hint="eastAsia" w:cs="Times New Roman"/>
                <w:color w:val="000000" w:themeColor="text1"/>
                <w:kern w:val="0"/>
                <w:sz w:val="24"/>
                <w:lang w:val="en-US" w:eastAsia="zh-CN"/>
                <w14:textFill>
                  <w14:solidFill>
                    <w14:schemeClr w14:val="tx1"/>
                  </w14:solidFill>
                </w14:textFill>
              </w:rPr>
              <w:t>，年工作5280h/a</w:t>
            </w:r>
            <w:r>
              <w:rPr>
                <w:rFonts w:hint="eastAsia" w:ascii="Times New Roman" w:hAnsi="Times New Roman" w:cs="Times New Roman"/>
                <w:color w:val="000000" w:themeColor="text1"/>
                <w:kern w:val="0"/>
                <w:sz w:val="24"/>
                <w:lang w:val="en-US" w:eastAsia="zh-CN"/>
                <w14:textFill>
                  <w14:solidFill>
                    <w14:schemeClr w14:val="tx1"/>
                  </w14:solidFill>
                </w14:textFill>
              </w:rPr>
              <w:t>。</w:t>
            </w:r>
          </w:p>
          <w:p w14:paraId="6EFAE52B">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firstLineChars="200"/>
              <w:textAlignment w:val="auto"/>
              <w:rPr>
                <w:rFonts w:hint="default" w:cs="Times New Roman"/>
                <w:b/>
                <w:bCs w:val="0"/>
                <w:color w:val="000000" w:themeColor="text1"/>
                <w:spacing w:val="0"/>
                <w:sz w:val="24"/>
                <w:szCs w:val="24"/>
                <w:highlight w:val="none"/>
                <w:lang w:val="en-US" w:eastAsia="zh-CN"/>
                <w14:textFill>
                  <w14:solidFill>
                    <w14:schemeClr w14:val="tx1"/>
                  </w14:solidFill>
                </w14:textFill>
              </w:rPr>
            </w:pPr>
            <w:r>
              <w:rPr>
                <w:rFonts w:hint="eastAsia" w:cs="Times New Roman"/>
                <w:b/>
                <w:bCs w:val="0"/>
                <w:color w:val="000000" w:themeColor="text1"/>
                <w:spacing w:val="0"/>
                <w:sz w:val="24"/>
                <w:szCs w:val="24"/>
                <w:highlight w:val="none"/>
                <w:lang w:val="en-US" w:eastAsia="zh-CN"/>
                <w14:textFill>
                  <w14:solidFill>
                    <w14:schemeClr w14:val="tx1"/>
                  </w14:solidFill>
                </w14:textFill>
              </w:rPr>
              <w:t>2.7建设地点</w:t>
            </w:r>
          </w:p>
          <w:p w14:paraId="32E920E8">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cs="Times New Roman"/>
                <w:b w:val="0"/>
                <w:bCs/>
                <w:color w:val="000000" w:themeColor="text1"/>
                <w:spacing w:val="0"/>
                <w:sz w:val="24"/>
                <w:szCs w:val="24"/>
                <w:highlight w:val="none"/>
                <w:vertAlign w:val="baseline"/>
                <w:lang w:val="en-US" w:eastAsia="zh-CN"/>
                <w14:textFill>
                  <w14:solidFill>
                    <w14:schemeClr w14:val="tx1"/>
                  </w14:solidFill>
                </w14:textFill>
              </w:rPr>
            </w:pPr>
            <w:r>
              <w:rPr>
                <w:rFonts w:hint="eastAsia" w:cs="Times New Roman"/>
                <w:color w:val="000000" w:themeColor="text1"/>
                <w:spacing w:val="0"/>
                <w:sz w:val="24"/>
                <w:szCs w:val="20"/>
                <w:highlight w:val="none"/>
                <w:lang w:val="en-US" w:eastAsia="zh-CN"/>
                <w14:textFill>
                  <w14:solidFill>
                    <w14:schemeClr w14:val="tx1"/>
                  </w14:solidFill>
                </w14:textFill>
              </w:rPr>
              <w:t>本项目租赁富健达洗煤厂厂区北侧占地，占地原为煤矸石棚，</w:t>
            </w:r>
            <w:r>
              <w:rPr>
                <w:rFonts w:hint="eastAsia" w:cs="Times New Roman"/>
                <w:b w:val="0"/>
                <w:bCs/>
                <w:color w:val="000000" w:themeColor="text1"/>
                <w:spacing w:val="0"/>
                <w:sz w:val="24"/>
                <w:szCs w:val="24"/>
                <w:highlight w:val="none"/>
                <w:vertAlign w:val="baseline"/>
                <w:lang w:val="en-US" w:eastAsia="zh-CN"/>
                <w14:textFill>
                  <w14:solidFill>
                    <w14:schemeClr w14:val="tx1"/>
                  </w14:solidFill>
                </w14:textFill>
              </w:rPr>
              <w:t>占地类型为工业用地，</w:t>
            </w:r>
            <w:r>
              <w:rPr>
                <w:rFonts w:hint="eastAsia" w:cs="Times New Roman"/>
                <w:color w:val="000000" w:themeColor="text1"/>
                <w:spacing w:val="0"/>
                <w:sz w:val="24"/>
                <w:szCs w:val="20"/>
                <w:highlight w:val="none"/>
                <w:lang w:val="en-US" w:eastAsia="zh-CN"/>
                <w14:textFill>
                  <w14:solidFill>
                    <w14:schemeClr w14:val="tx1"/>
                  </w14:solidFill>
                </w14:textFill>
              </w:rPr>
              <w:t>本次环评拟拆除现有煤矸石棚和危废贮存库，并重新建设1座全封闭式钢结构生产车间，</w:t>
            </w:r>
            <w:r>
              <w:rPr>
                <w:rFonts w:hint="eastAsia" w:cs="Times New Roman"/>
                <w:color w:val="000000" w:themeColor="text1"/>
                <w:spacing w:val="0"/>
                <w:sz w:val="24"/>
                <w:szCs w:val="20"/>
                <w:highlight w:val="none"/>
                <w:vertAlign w:val="baseline"/>
                <w:lang w:val="en-US" w:eastAsia="zh-CN"/>
                <w14:textFill>
                  <w14:solidFill>
                    <w14:schemeClr w14:val="tx1"/>
                  </w14:solidFill>
                </w14:textFill>
              </w:rPr>
              <w:t>厂区西北侧2间库房改造成2座危废贮存点，1#危废贮存点为本项目使用，2#危废贮存点为富健达洗煤厂使用，</w:t>
            </w:r>
            <w:r>
              <w:rPr>
                <w:rFonts w:hint="eastAsia" w:cs="Times New Roman"/>
                <w:color w:val="000000" w:themeColor="text1"/>
                <w:spacing w:val="0"/>
                <w:sz w:val="24"/>
                <w:szCs w:val="20"/>
                <w:highlight w:val="none"/>
                <w:lang w:val="en-US" w:eastAsia="zh-CN"/>
                <w14:textFill>
                  <w14:solidFill>
                    <w14:schemeClr w14:val="tx1"/>
                  </w14:solidFill>
                </w14:textFill>
              </w:rPr>
              <w:t>厂区内</w:t>
            </w:r>
            <w:r>
              <w:rPr>
                <w:rFonts w:hint="eastAsia" w:cs="Times New Roman"/>
                <w:color w:val="000000" w:themeColor="text1"/>
                <w:spacing w:val="0"/>
                <w:sz w:val="24"/>
                <w:szCs w:val="20"/>
                <w:highlight w:val="none"/>
                <w:vertAlign w:val="baseline"/>
                <w:lang w:val="en-US" w:eastAsia="zh-CN"/>
                <w14:textFill>
                  <w14:solidFill>
                    <w14:schemeClr w14:val="tx1"/>
                  </w14:solidFill>
                </w14:textFill>
              </w:rPr>
              <w:t>其他构筑物均保留。</w:t>
            </w:r>
            <w:r>
              <w:rPr>
                <w:rFonts w:hint="eastAsia" w:cs="Times New Roman"/>
                <w:b w:val="0"/>
                <w:bCs/>
                <w:color w:val="000000" w:themeColor="text1"/>
                <w:spacing w:val="0"/>
                <w:sz w:val="24"/>
                <w:szCs w:val="24"/>
                <w:highlight w:val="none"/>
                <w:vertAlign w:val="baseline"/>
                <w:lang w:val="en-US" w:eastAsia="zh-CN"/>
                <w14:textFill>
                  <w14:solidFill>
                    <w14:schemeClr w14:val="tx1"/>
                  </w14:solidFill>
                </w14:textFill>
              </w:rPr>
              <w:t>土地手续见附件3，租赁合同见附件4。</w:t>
            </w:r>
          </w:p>
          <w:p w14:paraId="2EEE43B2">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本项目地理位置图见附图</w:t>
            </w:r>
            <w:r>
              <w:rPr>
                <w:rFonts w:hint="eastAsia"/>
                <w:color w:val="000000" w:themeColor="text1"/>
                <w:sz w:val="24"/>
                <w14:textFill>
                  <w14:solidFill>
                    <w14:schemeClr w14:val="tx1"/>
                  </w14:solidFill>
                </w14:textFill>
              </w:rPr>
              <w:t>1，项目四邻关系</w:t>
            </w:r>
            <w:r>
              <w:rPr>
                <w:rFonts w:hint="eastAsia"/>
                <w:color w:val="000000" w:themeColor="text1"/>
                <w:sz w:val="24"/>
                <w:lang w:val="en-US" w:eastAsia="zh-CN"/>
                <w14:textFill>
                  <w14:solidFill>
                    <w14:schemeClr w14:val="tx1"/>
                  </w14:solidFill>
                </w14:textFill>
              </w:rPr>
              <w:t>图见附图2，项目环保目标</w:t>
            </w:r>
            <w:r>
              <w:rPr>
                <w:rFonts w:hint="eastAsia"/>
                <w:color w:val="000000" w:themeColor="text1"/>
                <w:sz w:val="24"/>
                <w14:textFill>
                  <w14:solidFill>
                    <w14:schemeClr w14:val="tx1"/>
                  </w14:solidFill>
                </w14:textFill>
              </w:rPr>
              <w:t>图见附图</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w:t>
            </w:r>
          </w:p>
          <w:p w14:paraId="7FBA1C28">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pPr>
            <w:r>
              <w:rPr>
                <w:rFonts w:hint="eastAsia" w:cs="Times New Roman"/>
                <w:b/>
                <w:bCs w:val="0"/>
                <w:color w:val="000000" w:themeColor="text1"/>
                <w:spacing w:val="0"/>
                <w:sz w:val="24"/>
                <w:szCs w:val="24"/>
                <w:highlight w:val="none"/>
                <w:lang w:val="en-US" w:eastAsia="zh-CN"/>
                <w14:textFill>
                  <w14:solidFill>
                    <w14:schemeClr w14:val="tx1"/>
                  </w14:solidFill>
                </w14:textFill>
              </w:rPr>
              <w:t>2.8厂区</w:t>
            </w:r>
            <w:r>
              <w:rPr>
                <w:rFonts w:hint="default"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t>平面布置</w:t>
            </w:r>
          </w:p>
          <w:p w14:paraId="43EB155E">
            <w:pPr>
              <w:keepNext w:val="0"/>
              <w:keepLines w:val="0"/>
              <w:suppressLineNumbers w:val="0"/>
              <w:autoSpaceDE w:val="0"/>
              <w:autoSpaceDN w:val="0"/>
              <w:spacing w:before="0" w:beforeAutospacing="0" w:after="0" w:afterAutospacing="0" w:line="480" w:lineRule="exact"/>
              <w:ind w:left="0" w:right="0" w:firstLine="480" w:firstLineChars="200"/>
              <w:jc w:val="both"/>
              <w:rPr>
                <w:rFonts w:hint="default" w:cs="Times New Roman"/>
                <w:color w:val="000000" w:themeColor="text1"/>
                <w:spacing w:val="0"/>
                <w:sz w:val="24"/>
                <w:szCs w:val="20"/>
                <w:highlight w:val="none"/>
                <w:lang w:val="en-US" w:eastAsia="zh-CN"/>
                <w14:textFill>
                  <w14:solidFill>
                    <w14:schemeClr w14:val="tx1"/>
                  </w14:solidFill>
                </w14:textFill>
              </w:rPr>
            </w:pPr>
            <w:r>
              <w:rPr>
                <w:rFonts w:hint="default" w:hAnsi="宋体"/>
                <w:b w:val="0"/>
                <w:bCs/>
                <w:color w:val="000000" w:themeColor="text1"/>
                <w:kern w:val="0"/>
                <w:sz w:val="24"/>
                <w:highlight w:val="none"/>
                <w14:textFill>
                  <w14:solidFill>
                    <w14:schemeClr w14:val="tx1"/>
                  </w14:solidFill>
                </w14:textFill>
              </w:rPr>
              <w:t>本</w:t>
            </w:r>
            <w:r>
              <w:rPr>
                <w:rFonts w:hint="eastAsia" w:hAnsi="宋体"/>
                <w:b w:val="0"/>
                <w:bCs/>
                <w:color w:val="000000" w:themeColor="text1"/>
                <w:kern w:val="0"/>
                <w:sz w:val="24"/>
                <w:highlight w:val="none"/>
                <w14:textFill>
                  <w14:solidFill>
                    <w14:schemeClr w14:val="tx1"/>
                  </w14:solidFill>
                </w14:textFill>
              </w:rPr>
              <w:t>项目</w:t>
            </w:r>
            <w:r>
              <w:rPr>
                <w:rFonts w:hint="eastAsia"/>
                <w:b w:val="0"/>
                <w:bCs/>
                <w:color w:val="000000" w:themeColor="text1"/>
                <w:sz w:val="24"/>
                <w:highlight w:val="none"/>
                <w14:textFill>
                  <w14:solidFill>
                    <w14:schemeClr w14:val="tx1"/>
                  </w14:solidFill>
                </w14:textFill>
              </w:rPr>
              <w:t>位于</w:t>
            </w:r>
            <w:r>
              <w:rPr>
                <w:rFonts w:hint="eastAsia" w:cs="Times New Roman"/>
                <w:color w:val="000000" w:themeColor="text1"/>
                <w:sz w:val="24"/>
                <w:szCs w:val="24"/>
                <w:highlight w:val="none"/>
                <w:lang w:val="en-US" w:eastAsia="zh-CN"/>
                <w14:textFill>
                  <w14:solidFill>
                    <w14:schemeClr w14:val="tx1"/>
                  </w14:solidFill>
                </w14:textFill>
              </w:rPr>
              <w:t>长治市</w:t>
            </w:r>
            <w:r>
              <w:rPr>
                <w:rFonts w:hint="default" w:ascii="Times New Roman" w:hAnsi="Times New Roman" w:cs="Times New Roman"/>
                <w:color w:val="000000" w:themeColor="text1"/>
                <w:sz w:val="24"/>
                <w:szCs w:val="24"/>
                <w:highlight w:val="none"/>
                <w:lang w:val="en-US"/>
                <w14:textFill>
                  <w14:solidFill>
                    <w14:schemeClr w14:val="tx1"/>
                  </w14:solidFill>
                </w14:textFill>
              </w:rPr>
              <w:t>屯留区路村乡前苏村</w:t>
            </w:r>
            <w:r>
              <w:rPr>
                <w:rFonts w:hint="eastAsia" w:cs="Times New Roman"/>
                <w:color w:val="000000" w:themeColor="text1"/>
                <w:sz w:val="24"/>
                <w:szCs w:val="24"/>
                <w:highlight w:val="none"/>
                <w:lang w:val="en-US" w:eastAsia="zh-CN"/>
                <w14:textFill>
                  <w14:solidFill>
                    <w14:schemeClr w14:val="tx1"/>
                  </w14:solidFill>
                </w14:textFill>
              </w:rPr>
              <w:t>村北，富健达洗煤厂现有厂区内</w:t>
            </w:r>
            <w:r>
              <w:rPr>
                <w:rFonts w:hint="eastAsia" w:cs="Times New Roman"/>
                <w:b w:val="0"/>
                <w:bCs/>
                <w:color w:val="000000" w:themeColor="text1"/>
                <w:spacing w:val="0"/>
                <w:sz w:val="24"/>
                <w:szCs w:val="24"/>
                <w:highlight w:val="none"/>
                <w:lang w:val="en-US" w:eastAsia="zh-CN"/>
                <w14:textFill>
                  <w14:solidFill>
                    <w14:schemeClr w14:val="tx1"/>
                  </w14:solidFill>
                </w14:textFill>
              </w:rPr>
              <w:t>，本项目生产车间位于厂区北侧，危废贮存点位于厂区西北侧，厂区</w:t>
            </w:r>
            <w:r>
              <w:rPr>
                <w:rFonts w:hint="eastAsia" w:cs="Times New Roman"/>
                <w:color w:val="000000" w:themeColor="text1"/>
                <w:spacing w:val="0"/>
                <w:sz w:val="24"/>
                <w:szCs w:val="20"/>
                <w:highlight w:val="none"/>
                <w:lang w:val="en-US" w:eastAsia="zh-CN"/>
                <w14:textFill>
                  <w14:solidFill>
                    <w14:schemeClr w14:val="tx1"/>
                  </w14:solidFill>
                </w14:textFill>
              </w:rPr>
              <w:t>出入口位于厂区西侧，设有1座地磅和1座全自动洗车平台。精煤棚位于厂区南侧，精煤棚东侧由北向南依次为破碎筛分车间、洗选车间、浓缩池、事故池，厂区东侧为煤矸石堆放区和原煤堆放区。</w:t>
            </w:r>
          </w:p>
          <w:p w14:paraId="6EF8C6F9">
            <w:pPr>
              <w:keepNext w:val="0"/>
              <w:keepLines w:val="0"/>
              <w:suppressLineNumbers w:val="0"/>
              <w:autoSpaceDE w:val="0"/>
              <w:autoSpaceDN w:val="0"/>
              <w:spacing w:before="0" w:beforeAutospacing="0" w:after="0" w:afterAutospacing="0" w:line="480" w:lineRule="exact"/>
              <w:ind w:left="0" w:right="0" w:firstLine="480" w:firstLineChars="200"/>
              <w:jc w:val="both"/>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0"/>
                <w:highlight w:val="none"/>
                <w:lang w:val="en-US" w:eastAsia="zh-CN"/>
                <w14:textFill>
                  <w14:solidFill>
                    <w14:schemeClr w14:val="tx1"/>
                  </w14:solidFill>
                </w14:textFill>
              </w:rPr>
              <w:t>富健达洗煤厂</w:t>
            </w:r>
            <w:r>
              <w:rPr>
                <w:rFonts w:hint="eastAsia" w:ascii="Times New Roman" w:hAnsi="Times New Roman" w:eastAsia="宋体" w:cs="Times New Roman"/>
                <w:color w:val="000000" w:themeColor="text1"/>
                <w:spacing w:val="0"/>
                <w:sz w:val="24"/>
                <w:szCs w:val="20"/>
                <w:highlight w:val="none"/>
                <w:lang w:val="en-US" w:eastAsia="zh-CN"/>
                <w14:textFill>
                  <w14:solidFill>
                    <w14:schemeClr w14:val="tx1"/>
                  </w14:solidFill>
                </w14:textFill>
              </w:rPr>
              <w:t>厂区内平面布置见</w:t>
            </w:r>
            <w:r>
              <w:rPr>
                <w:rFonts w:hint="eastAsia" w:cs="Times New Roman"/>
                <w:color w:val="000000" w:themeColor="text1"/>
                <w:spacing w:val="0"/>
                <w:sz w:val="24"/>
                <w:highlight w:val="none"/>
                <w:lang w:val="en-US" w:eastAsia="zh-CN"/>
                <w14:textFill>
                  <w14:solidFill>
                    <w14:schemeClr w14:val="tx1"/>
                  </w14:solidFill>
                </w14:textFill>
              </w:rPr>
              <w:t>附图4，本项目生产车间平面布置见附图5。</w:t>
            </w:r>
          </w:p>
          <w:p w14:paraId="09FCE739">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pPr>
            <w:r>
              <w:rPr>
                <w:rFonts w:hint="eastAsia" w:cs="Times New Roman"/>
                <w:b/>
                <w:bCs/>
                <w:color w:val="000000" w:themeColor="text1"/>
                <w:spacing w:val="0"/>
                <w:sz w:val="24"/>
                <w:szCs w:val="24"/>
                <w:highlight w:val="none"/>
                <w:lang w:val="en-US" w:eastAsia="zh-CN"/>
                <w14:textFill>
                  <w14:solidFill>
                    <w14:schemeClr w14:val="tx1"/>
                  </w14:solidFill>
                </w14:textFill>
              </w:rPr>
              <w:t>2.9</w:t>
            </w:r>
            <w:r>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公用工程</w:t>
            </w:r>
          </w:p>
          <w:p w14:paraId="7ABE0628">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pPr>
            <w:r>
              <w:rPr>
                <w:rFonts w:hint="eastAsia" w:cs="Times New Roman"/>
                <w:b/>
                <w:bCs w:val="0"/>
                <w:color w:val="000000" w:themeColor="text1"/>
                <w:spacing w:val="0"/>
                <w:sz w:val="24"/>
                <w:szCs w:val="24"/>
                <w:highlight w:val="none"/>
                <w:lang w:val="en-US" w:eastAsia="zh-CN"/>
                <w14:textFill>
                  <w14:solidFill>
                    <w14:schemeClr w14:val="tx1"/>
                  </w14:solidFill>
                </w14:textFill>
              </w:rPr>
              <w:t>2.9.1</w:t>
            </w:r>
            <w:r>
              <w:rPr>
                <w:rFonts w:hint="default"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t>给排水</w:t>
            </w:r>
          </w:p>
          <w:p w14:paraId="2FFE093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rightChars="0" w:firstLine="480" w:firstLineChars="200"/>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（1）</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给水</w:t>
            </w:r>
          </w:p>
          <w:p w14:paraId="6B66939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righ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eastAsia" w:hAnsi="宋体"/>
                <w:color w:val="000000" w:themeColor="text1"/>
                <w:kern w:val="0"/>
                <w:sz w:val="24"/>
                <w:lang w:val="en-US" w:eastAsia="zh-CN"/>
                <w14:textFill>
                  <w14:solidFill>
                    <w14:schemeClr w14:val="tx1"/>
                  </w14:solidFill>
                </w14:textFill>
              </w:rPr>
              <w:t>供水水源</w:t>
            </w:r>
            <w:r>
              <w:rPr>
                <w:rFonts w:hint="eastAsia" w:cs="Times New Roman"/>
                <w:bCs/>
                <w:color w:val="000000" w:themeColor="text1"/>
                <w:spacing w:val="0"/>
                <w:sz w:val="24"/>
                <w:szCs w:val="24"/>
                <w:highlight w:val="none"/>
                <w:lang w:val="en-US" w:eastAsia="zh-CN"/>
                <w14:textFill>
                  <w14:solidFill>
                    <w14:schemeClr w14:val="tx1"/>
                  </w14:solidFill>
                </w14:textFill>
              </w:rPr>
              <w:t>依托现有厂区自备水井</w:t>
            </w:r>
            <w:r>
              <w:rPr>
                <w:rFonts w:hint="default" w:ascii="Times New Roman" w:hAnsi="Times New Roman" w:cs="Times New Roman"/>
                <w:color w:val="000000" w:themeColor="text1"/>
                <w:sz w:val="24"/>
                <w:szCs w:val="24"/>
                <w14:textFill>
                  <w14:solidFill>
                    <w14:schemeClr w14:val="tx1"/>
                  </w14:solidFill>
                </w14:textFill>
              </w:rPr>
              <w:t>，能满足项目正常生产、生活需要。</w:t>
            </w:r>
          </w:p>
          <w:p w14:paraId="5AB13CB7">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①</w:t>
            </w:r>
            <w:r>
              <w:rPr>
                <w:rFonts w:hint="eastAsia" w:cs="Times New Roman"/>
                <w:color w:val="000000" w:themeColor="text1"/>
                <w:sz w:val="24"/>
                <w:szCs w:val="24"/>
                <w:lang w:val="en-US" w:eastAsia="zh-CN"/>
                <w14:textFill>
                  <w14:solidFill>
                    <w14:schemeClr w14:val="tx1"/>
                  </w14:solidFill>
                </w14:textFill>
              </w:rPr>
              <w:t>生活用水</w:t>
            </w:r>
          </w:p>
          <w:p w14:paraId="0DECD690">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hAnsi="宋体"/>
                <w:color w:val="000000" w:themeColor="text1"/>
                <w:kern w:val="0"/>
                <w:sz w:val="24"/>
                <w14:textFill>
                  <w14:solidFill>
                    <w14:schemeClr w14:val="tx1"/>
                  </w14:solidFill>
                </w14:textFill>
              </w:rPr>
              <w:t>本项目</w:t>
            </w:r>
            <w:r>
              <w:rPr>
                <w:rFonts w:hint="eastAsia" w:hAnsi="宋体"/>
                <w:color w:val="000000" w:themeColor="text1"/>
                <w:kern w:val="0"/>
                <w:sz w:val="24"/>
                <w:lang w:val="en-US" w:eastAsia="zh-CN"/>
                <w14:textFill>
                  <w14:solidFill>
                    <w14:schemeClr w14:val="tx1"/>
                  </w14:solidFill>
                </w14:textFill>
              </w:rPr>
              <w:t>劳动定员30人，员工为周围村民，不设食堂、洗浴，</w:t>
            </w:r>
            <w:r>
              <w:rPr>
                <w:rFonts w:hint="default" w:ascii="Times New Roman" w:hAnsi="Times New Roman" w:cs="Times New Roman"/>
                <w:color w:val="000000" w:themeColor="text1"/>
                <w:sz w:val="24"/>
                <w:szCs w:val="24"/>
                <w14:textFill>
                  <w14:solidFill>
                    <w14:schemeClr w14:val="tx1"/>
                  </w14:solidFill>
                </w14:textFill>
              </w:rPr>
              <w:t>因此本项目生活用水主要为职工的少量洗漱用水。</w:t>
            </w:r>
            <w:r>
              <w:rPr>
                <w:rFonts w:hint="default" w:ascii="Times New Roman" w:hAnsi="Times New Roman" w:cs="Times New Roman"/>
                <w:bCs/>
                <w:color w:val="000000" w:themeColor="text1"/>
                <w:sz w:val="24"/>
                <w:szCs w:val="24"/>
                <w14:textFill>
                  <w14:solidFill>
                    <w14:schemeClr w14:val="tx1"/>
                  </w14:solidFill>
                </w14:textFill>
              </w:rPr>
              <w:t>职工生活用水</w:t>
            </w:r>
            <w:r>
              <w:rPr>
                <w:rFonts w:hint="eastAsia" w:ascii="Times New Roman" w:hAnsi="Times New Roman" w:cs="Times New Roman"/>
                <w:bCs/>
                <w:color w:val="000000" w:themeColor="text1"/>
                <w:sz w:val="24"/>
                <w:szCs w:val="24"/>
                <w:lang w:val="en-US" w:eastAsia="zh-CN"/>
                <w14:textFill>
                  <w14:solidFill>
                    <w14:schemeClr w14:val="tx1"/>
                  </w14:solidFill>
                </w14:textFill>
              </w:rPr>
              <w:t>参照《山西省用水定额第4部分:居民生活用水定额》（DB 14/T 1049.4-202</w:t>
            </w:r>
            <w:r>
              <w:rPr>
                <w:rFonts w:hint="eastAsia" w:cs="Times New Roman"/>
                <w:bCs/>
                <w:color w:val="000000" w:themeColor="text1"/>
                <w:sz w:val="24"/>
                <w:szCs w:val="24"/>
                <w:lang w:val="en-US" w:eastAsia="zh-CN"/>
                <w14:textFill>
                  <w14:solidFill>
                    <w14:schemeClr w14:val="tx1"/>
                  </w14:solidFill>
                </w14:textFill>
              </w:rPr>
              <w:t>5</w:t>
            </w:r>
            <w:r>
              <w:rPr>
                <w:rFonts w:hint="eastAsia" w:ascii="Times New Roman" w:hAnsi="Times New Roman" w:cs="Times New Roman"/>
                <w:bCs/>
                <w:color w:val="000000" w:themeColor="text1"/>
                <w:sz w:val="24"/>
                <w:szCs w:val="24"/>
                <w:lang w:val="en-US" w:eastAsia="zh-CN"/>
                <w14:textFill>
                  <w14:solidFill>
                    <w14:schemeClr w14:val="tx1"/>
                  </w14:solidFill>
                </w14:textFill>
              </w:rPr>
              <w:t>）--“农村分散式供水”，</w:t>
            </w:r>
            <w:r>
              <w:rPr>
                <w:rFonts w:hint="default" w:ascii="Times New Roman" w:hAnsi="Times New Roman" w:cs="Times New Roman"/>
                <w:bCs/>
                <w:color w:val="000000" w:themeColor="text1"/>
                <w:sz w:val="24"/>
                <w:szCs w:val="24"/>
                <w:highlight w:val="none"/>
                <w14:textFill>
                  <w14:solidFill>
                    <w14:schemeClr w14:val="tx1"/>
                  </w14:solidFill>
                </w14:textFill>
              </w:rPr>
              <w:t>用水量按</w:t>
            </w:r>
            <w:r>
              <w:rPr>
                <w:rFonts w:hint="eastAsia" w:cs="Times New Roman"/>
                <w:bCs/>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bCs/>
                <w:color w:val="000000" w:themeColor="text1"/>
                <w:sz w:val="24"/>
                <w:szCs w:val="24"/>
                <w:highlight w:val="none"/>
                <w14:textFill>
                  <w14:solidFill>
                    <w14:schemeClr w14:val="tx1"/>
                  </w14:solidFill>
                </w14:textFill>
              </w:rPr>
              <w:t>0L/人·d计，</w:t>
            </w:r>
            <w:r>
              <w:rPr>
                <w:rFonts w:hint="eastAsia" w:cs="Times New Roman"/>
                <w:bCs/>
                <w:color w:val="000000" w:themeColor="text1"/>
                <w:sz w:val="24"/>
                <w:szCs w:val="24"/>
                <w:highlight w:val="none"/>
                <w:lang w:val="en-US" w:eastAsia="zh-CN"/>
                <w14:textFill>
                  <w14:solidFill>
                    <w14:schemeClr w14:val="tx1"/>
                  </w14:solidFill>
                </w14:textFill>
              </w:rPr>
              <w:t>年工作330天，</w:t>
            </w:r>
            <w:r>
              <w:rPr>
                <w:rFonts w:hint="default" w:ascii="Times New Roman" w:hAnsi="Times New Roman" w:cs="Times New Roman"/>
                <w:bCs/>
                <w:color w:val="000000" w:themeColor="text1"/>
                <w:sz w:val="24"/>
                <w:szCs w:val="24"/>
                <w:highlight w:val="none"/>
                <w14:textFill>
                  <w14:solidFill>
                    <w14:schemeClr w14:val="tx1"/>
                  </w14:solidFill>
                </w14:textFill>
              </w:rPr>
              <w:t>则</w:t>
            </w:r>
            <w:r>
              <w:rPr>
                <w:rFonts w:hint="default" w:ascii="Times New Roman" w:hAnsi="Times New Roman" w:cs="Times New Roman"/>
                <w:bCs/>
                <w:color w:val="000000" w:themeColor="text1"/>
                <w:sz w:val="24"/>
                <w:szCs w:val="24"/>
                <w14:textFill>
                  <w14:solidFill>
                    <w14:schemeClr w14:val="tx1"/>
                  </w14:solidFill>
                </w14:textFill>
              </w:rPr>
              <w:t>本项目职工生活</w:t>
            </w:r>
            <w:r>
              <w:rPr>
                <w:rFonts w:hint="default" w:ascii="Times New Roman" w:hAnsi="Times New Roman" w:cs="Times New Roman"/>
                <w:color w:val="000000" w:themeColor="text1"/>
                <w:sz w:val="24"/>
                <w:szCs w:val="24"/>
                <w14:textFill>
                  <w14:solidFill>
                    <w14:schemeClr w14:val="tx1"/>
                  </w14:solidFill>
                </w14:textFill>
              </w:rPr>
              <w:t>用水量为</w:t>
            </w:r>
            <w:r>
              <w:rPr>
                <w:rFonts w:hint="eastAsia" w:ascii="Times New Roman" w:hAnsi="Times New Roman" w:cs="Times New Roman"/>
                <w:color w:val="000000" w:themeColor="text1"/>
                <w:sz w:val="24"/>
                <w:szCs w:val="24"/>
                <w:lang w:val="en-US" w:eastAsia="zh-CN"/>
                <w14:textFill>
                  <w14:solidFill>
                    <w14:schemeClr w14:val="tx1"/>
                  </w14:solidFill>
                </w14:textFill>
              </w:rPr>
              <w:t>2.4</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w:t>
            </w:r>
            <w:r>
              <w:rPr>
                <w:rFonts w:hint="eastAsia" w:ascii="Times New Roman" w:hAnsi="Times New Roman" w:cs="Times New Roman"/>
                <w:color w:val="000000" w:themeColor="text1"/>
                <w:sz w:val="24"/>
                <w:szCs w:val="24"/>
                <w:lang w:val="en-US" w:eastAsia="zh-CN"/>
                <w14:textFill>
                  <w14:solidFill>
                    <w14:schemeClr w14:val="tx1"/>
                  </w14:solidFill>
                </w14:textFill>
              </w:rPr>
              <w:t>792</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lang w:eastAsia="zh-CN"/>
                <w14:textFill>
                  <w14:solidFill>
                    <w14:schemeClr w14:val="tx1"/>
                  </w14:solidFill>
                </w14:textFill>
              </w:rPr>
              <w:t>。</w:t>
            </w:r>
          </w:p>
          <w:p w14:paraId="206F16A0">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②</w:t>
            </w:r>
            <w:r>
              <w:rPr>
                <w:rFonts w:hint="default" w:ascii="Times New Roman" w:hAnsi="Times New Roman" w:cs="Times New Roman"/>
                <w:color w:val="000000" w:themeColor="text1"/>
                <w:sz w:val="24"/>
                <w:szCs w:val="24"/>
                <w:lang w:val="en-US" w:eastAsia="zh-CN"/>
                <w14:textFill>
                  <w14:solidFill>
                    <w14:schemeClr w14:val="tx1"/>
                  </w14:solidFill>
                </w14:textFill>
              </w:rPr>
              <w:t>生产用水</w:t>
            </w:r>
          </w:p>
          <w:p w14:paraId="0ABC3C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1）洗车</w:t>
            </w:r>
            <w:r>
              <w:rPr>
                <w:rFonts w:hint="eastAsia" w:cs="Times New Roman"/>
                <w:color w:val="000000" w:themeColor="text1"/>
                <w:sz w:val="24"/>
                <w:szCs w:val="24"/>
                <w:lang w:val="en-US" w:eastAsia="zh-CN"/>
                <w14:textFill>
                  <w14:solidFill>
                    <w14:schemeClr w14:val="tx1"/>
                  </w14:solidFill>
                </w14:textFill>
              </w:rPr>
              <w:t>平台补</w:t>
            </w:r>
            <w:r>
              <w:rPr>
                <w:rFonts w:hint="eastAsia" w:ascii="Times New Roman" w:hAnsi="Times New Roman" w:cs="Times New Roman"/>
                <w:color w:val="000000" w:themeColor="text1"/>
                <w:sz w:val="24"/>
                <w:szCs w:val="24"/>
                <w:lang w:val="en-US" w:eastAsia="zh-CN"/>
                <w14:textFill>
                  <w14:solidFill>
                    <w14:schemeClr w14:val="tx1"/>
                  </w14:solidFill>
                </w14:textFill>
              </w:rPr>
              <w:t>水</w:t>
            </w:r>
          </w:p>
          <w:p w14:paraId="52589259">
            <w:pPr>
              <w:keepNext w:val="0"/>
              <w:keepLines w:val="0"/>
              <w:suppressLineNumbers w:val="0"/>
              <w:adjustRightInd w:val="0"/>
              <w:snapToGrid w:val="0"/>
              <w:spacing w:before="0" w:beforeAutospacing="0" w:after="0" w:afterAutospacing="0" w:line="480" w:lineRule="exact"/>
              <w:ind w:left="0" w:right="0" w:firstLine="480" w:firstLineChars="200"/>
              <w:rPr>
                <w:rFonts w:hint="eastAsia"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车辆冲洗用水参照《山西省用水定额》（DB14/T1049-2021），载重汽车循环用水冲洗用水量按40L/（辆·次）计算。本项目</w:t>
            </w:r>
            <w:r>
              <w:rPr>
                <w:rFonts w:hint="eastAsia" w:cs="Times New Roman"/>
                <w:color w:val="000000" w:themeColor="text1"/>
                <w:sz w:val="24"/>
                <w:highlight w:val="none"/>
                <w:lang w:val="en-US" w:eastAsia="zh-CN"/>
                <w14:textFill>
                  <w14:solidFill>
                    <w14:schemeClr w14:val="tx1"/>
                  </w14:solidFill>
                </w14:textFill>
              </w:rPr>
              <w:t>年生产330天，</w:t>
            </w:r>
            <w:r>
              <w:rPr>
                <w:rFonts w:hint="eastAsia" w:ascii="Times New Roman" w:hAnsi="Times New Roman" w:cs="Times New Roman"/>
                <w:color w:val="000000" w:themeColor="text1"/>
                <w:sz w:val="24"/>
                <w:highlight w:val="none"/>
                <w:lang w:val="en-US" w:eastAsia="zh-CN"/>
                <w14:textFill>
                  <w14:solidFill>
                    <w14:schemeClr w14:val="tx1"/>
                  </w14:solidFill>
                </w14:textFill>
              </w:rPr>
              <w:t>汽车载重量按</w:t>
            </w:r>
            <w:r>
              <w:rPr>
                <w:rFonts w:hint="eastAsia" w:cs="Times New Roman"/>
                <w:color w:val="000000" w:themeColor="text1"/>
                <w:sz w:val="24"/>
                <w:highlight w:val="none"/>
                <w:lang w:val="en-US" w:eastAsia="zh-CN"/>
                <w14:textFill>
                  <w14:solidFill>
                    <w14:schemeClr w14:val="tx1"/>
                  </w14:solidFill>
                </w14:textFill>
              </w:rPr>
              <w:t>40</w:t>
            </w:r>
            <w:r>
              <w:rPr>
                <w:rFonts w:hint="eastAsia" w:ascii="Times New Roman" w:hAnsi="Times New Roman" w:cs="Times New Roman"/>
                <w:color w:val="000000" w:themeColor="text1"/>
                <w:sz w:val="24"/>
                <w:highlight w:val="none"/>
                <w:lang w:val="en-US" w:eastAsia="zh-CN"/>
                <w14:textFill>
                  <w14:solidFill>
                    <w14:schemeClr w14:val="tx1"/>
                  </w14:solidFill>
                </w14:textFill>
              </w:rPr>
              <w:t>吨计算，</w:t>
            </w:r>
            <w:r>
              <w:rPr>
                <w:rFonts w:hint="eastAsia" w:cs="Times New Roman"/>
                <w:color w:val="000000" w:themeColor="text1"/>
                <w:sz w:val="24"/>
                <w:highlight w:val="none"/>
                <w:lang w:val="en-US" w:eastAsia="zh-CN"/>
                <w14:textFill>
                  <w14:solidFill>
                    <w14:schemeClr w14:val="tx1"/>
                  </w14:solidFill>
                </w14:textFill>
              </w:rPr>
              <w:t>年运输量约200万吨，每天进出车辆约151辆，</w:t>
            </w:r>
            <w:r>
              <w:rPr>
                <w:rFonts w:hint="eastAsia" w:ascii="Times New Roman" w:hAnsi="Times New Roman" w:cs="Times New Roman"/>
                <w:color w:val="000000" w:themeColor="text1"/>
                <w:sz w:val="24"/>
                <w:highlight w:val="none"/>
                <w:lang w:val="en-US" w:eastAsia="zh-CN"/>
                <w14:textFill>
                  <w14:solidFill>
                    <w14:schemeClr w14:val="tx1"/>
                  </w14:solidFill>
                </w14:textFill>
              </w:rPr>
              <w:t>则本项目洗车</w:t>
            </w:r>
            <w:r>
              <w:rPr>
                <w:rFonts w:hint="eastAsia" w:cs="Times New Roman"/>
                <w:color w:val="000000" w:themeColor="text1"/>
                <w:sz w:val="24"/>
                <w:highlight w:val="none"/>
                <w:lang w:val="en-US" w:eastAsia="zh-CN"/>
                <w14:textFill>
                  <w14:solidFill>
                    <w14:schemeClr w14:val="tx1"/>
                  </w14:solidFill>
                </w14:textFill>
              </w:rPr>
              <w:t>平台补充</w:t>
            </w:r>
            <w:r>
              <w:rPr>
                <w:rFonts w:hint="eastAsia" w:ascii="Times New Roman" w:hAnsi="Times New Roman" w:cs="Times New Roman"/>
                <w:color w:val="000000" w:themeColor="text1"/>
                <w:sz w:val="24"/>
                <w:highlight w:val="none"/>
                <w:lang w:val="en-US" w:eastAsia="zh-CN"/>
                <w14:textFill>
                  <w14:solidFill>
                    <w14:schemeClr w14:val="tx1"/>
                  </w14:solidFill>
                </w14:textFill>
              </w:rPr>
              <w:t>用水量</w:t>
            </w:r>
            <w:r>
              <w:rPr>
                <w:rFonts w:hint="eastAsia" w:cs="Times New Roman"/>
                <w:color w:val="000000" w:themeColor="text1"/>
                <w:sz w:val="24"/>
                <w:highlight w:val="none"/>
                <w:lang w:val="en-US" w:eastAsia="zh-CN"/>
                <w14:textFill>
                  <w14:solidFill>
                    <w14:schemeClr w14:val="tx1"/>
                  </w14:solidFill>
                </w14:textFill>
              </w:rPr>
              <w:t>为6.04</w:t>
            </w:r>
            <w:r>
              <w:rPr>
                <w:rFonts w:hint="eastAsia" w:ascii="Times New Roman" w:hAnsi="Times New Roman" w:cs="Times New Roman"/>
                <w:color w:val="000000" w:themeColor="text1"/>
                <w:sz w:val="24"/>
                <w:highlight w:val="none"/>
                <w:lang w:val="en-US" w:eastAsia="zh-CN"/>
                <w14:textFill>
                  <w14:solidFill>
                    <w14:schemeClr w14:val="tx1"/>
                  </w14:solidFill>
                </w14:textFill>
              </w:rPr>
              <w:t>m</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/d</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1993.2</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/a）</w:t>
            </w:r>
            <w:r>
              <w:rPr>
                <w:rFonts w:hint="default"/>
                <w:color w:val="000000" w:themeColor="text1"/>
                <w:sz w:val="24"/>
                <w:highlight w:val="none"/>
                <w14:textFill>
                  <w14:solidFill>
                    <w14:schemeClr w14:val="tx1"/>
                  </w14:solidFill>
                </w14:textFill>
              </w:rPr>
              <w:t>。</w:t>
            </w:r>
          </w:p>
          <w:p w14:paraId="5F143C8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rightChars="0" w:firstLine="480" w:firstLineChars="200"/>
              <w:textAlignment w:val="auto"/>
              <w:rPr>
                <w:rFonts w:hint="default"/>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2）</w:t>
            </w:r>
            <w:r>
              <w:rPr>
                <w:rFonts w:hint="eastAsia"/>
                <w:color w:val="000000" w:themeColor="text1"/>
                <w:sz w:val="24"/>
                <w:lang w:val="en-US" w:eastAsia="zh-CN"/>
                <w14:textFill>
                  <w14:solidFill>
                    <w14:schemeClr w14:val="tx1"/>
                  </w14:solidFill>
                </w14:textFill>
              </w:rPr>
              <w:t>喷雾</w:t>
            </w:r>
            <w:r>
              <w:rPr>
                <w:rFonts w:hint="default"/>
                <w:color w:val="000000" w:themeColor="text1"/>
                <w:sz w:val="24"/>
                <w14:textFill>
                  <w14:solidFill>
                    <w14:schemeClr w14:val="tx1"/>
                  </w14:solidFill>
                </w14:textFill>
              </w:rPr>
              <w:t>洒水</w:t>
            </w:r>
          </w:p>
          <w:p w14:paraId="7F48DF9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为减少</w:t>
            </w:r>
            <w:r>
              <w:rPr>
                <w:rFonts w:hint="eastAsia"/>
                <w:color w:val="000000" w:themeColor="text1"/>
                <w:sz w:val="24"/>
                <w14:textFill>
                  <w14:solidFill>
                    <w14:schemeClr w14:val="tx1"/>
                  </w14:solidFill>
                </w14:textFill>
              </w:rPr>
              <w:t>物料</w:t>
            </w:r>
            <w:r>
              <w:rPr>
                <w:rFonts w:hint="default"/>
                <w:color w:val="000000" w:themeColor="text1"/>
                <w:sz w:val="24"/>
                <w14:textFill>
                  <w14:solidFill>
                    <w14:schemeClr w14:val="tx1"/>
                  </w14:solidFill>
                </w14:textFill>
              </w:rPr>
              <w:t>在生产过程中粉尘的产生，</w:t>
            </w:r>
            <w:r>
              <w:rPr>
                <w:rFonts w:hint="eastAsia"/>
                <w:color w:val="000000" w:themeColor="text1"/>
                <w:sz w:val="24"/>
                <w14:textFill>
                  <w14:solidFill>
                    <w14:schemeClr w14:val="tx1"/>
                  </w14:solidFill>
                </w14:textFill>
              </w:rPr>
              <w:t>生产</w:t>
            </w:r>
            <w:r>
              <w:rPr>
                <w:rFonts w:hint="default"/>
                <w:color w:val="000000" w:themeColor="text1"/>
                <w:sz w:val="24"/>
                <w14:textFill>
                  <w14:solidFill>
                    <w14:schemeClr w14:val="tx1"/>
                  </w14:solidFill>
                </w14:textFill>
              </w:rPr>
              <w:t>车间内部采用</w:t>
            </w:r>
            <w:r>
              <w:rPr>
                <w:rFonts w:hint="eastAsia"/>
                <w:color w:val="000000" w:themeColor="text1"/>
                <w:sz w:val="24"/>
                <w:lang w:val="en-US" w:eastAsia="zh-CN"/>
                <w14:textFill>
                  <w14:solidFill>
                    <w14:schemeClr w14:val="tx1"/>
                  </w14:solidFill>
                </w14:textFill>
              </w:rPr>
              <w:t>喷雾</w:t>
            </w:r>
            <w:r>
              <w:rPr>
                <w:rFonts w:hint="default"/>
                <w:color w:val="000000" w:themeColor="text1"/>
                <w:sz w:val="24"/>
                <w14:textFill>
                  <w14:solidFill>
                    <w14:schemeClr w14:val="tx1"/>
                  </w14:solidFill>
                </w14:textFill>
              </w:rPr>
              <w:t>洒水抑尘措施，面积按</w:t>
            </w:r>
            <w:r>
              <w:rPr>
                <w:rFonts w:hint="eastAsia"/>
                <w:color w:val="000000" w:themeColor="text1"/>
                <w:sz w:val="24"/>
                <w:lang w:val="en-US" w:eastAsia="zh-CN"/>
                <w14:textFill>
                  <w14:solidFill>
                    <w14:schemeClr w14:val="tx1"/>
                  </w14:solidFill>
                </w14:textFill>
              </w:rPr>
              <w:t>5500</w:t>
            </w:r>
            <w:r>
              <w:rPr>
                <w:rFonts w:hint="default"/>
                <w:color w:val="000000" w:themeColor="text1"/>
                <w:sz w:val="24"/>
                <w14:textFill>
                  <w14:solidFill>
                    <w14:schemeClr w14:val="tx1"/>
                  </w14:solidFill>
                </w14:textFill>
              </w:rPr>
              <w:t>m</w:t>
            </w:r>
            <w:r>
              <w:rPr>
                <w:rFonts w:hint="default"/>
                <w:color w:val="000000" w:themeColor="text1"/>
                <w:sz w:val="24"/>
                <w:vertAlign w:val="superscript"/>
                <w14:textFill>
                  <w14:solidFill>
                    <w14:schemeClr w14:val="tx1"/>
                  </w14:solidFill>
                </w14:textFill>
              </w:rPr>
              <w:t>2</w:t>
            </w:r>
            <w:r>
              <w:rPr>
                <w:rFonts w:hint="default"/>
                <w:color w:val="000000" w:themeColor="text1"/>
                <w:sz w:val="24"/>
                <w14:textFill>
                  <w14:solidFill>
                    <w14:schemeClr w14:val="tx1"/>
                  </w14:solidFill>
                </w14:textFill>
              </w:rPr>
              <w:t>计，喷雾指标</w:t>
            </w:r>
            <w:r>
              <w:rPr>
                <w:rFonts w:hint="eastAsia"/>
                <w:color w:val="000000" w:themeColor="text1"/>
                <w:sz w:val="24"/>
                <w:lang w:val="en-US" w:eastAsia="zh-CN"/>
                <w14:textFill>
                  <w14:solidFill>
                    <w14:schemeClr w14:val="tx1"/>
                  </w14:solidFill>
                </w14:textFill>
              </w:rPr>
              <w:t>类比同类型项目</w:t>
            </w:r>
            <w:r>
              <w:rPr>
                <w:rFonts w:hint="default"/>
                <w:color w:val="000000" w:themeColor="text1"/>
                <w:sz w:val="24"/>
                <w14:textFill>
                  <w14:solidFill>
                    <w14:schemeClr w14:val="tx1"/>
                  </w14:solidFill>
                </w14:textFill>
              </w:rPr>
              <w:t>按1.0L/m</w:t>
            </w:r>
            <w:r>
              <w:rPr>
                <w:rFonts w:hint="default"/>
                <w:color w:val="000000" w:themeColor="text1"/>
                <w:sz w:val="24"/>
                <w:vertAlign w:val="superscript"/>
                <w14:textFill>
                  <w14:solidFill>
                    <w14:schemeClr w14:val="tx1"/>
                  </w14:solidFill>
                </w14:textFill>
              </w:rPr>
              <w:t>2</w:t>
            </w:r>
            <w:r>
              <w:rPr>
                <w:rFonts w:hint="default"/>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d</w:t>
            </w:r>
            <w:r>
              <w:rPr>
                <w:rFonts w:hint="default"/>
                <w:color w:val="000000" w:themeColor="text1"/>
                <w:sz w:val="24"/>
                <w14:textFill>
                  <w14:solidFill>
                    <w14:schemeClr w14:val="tx1"/>
                  </w14:solidFill>
                </w14:textFill>
              </w:rPr>
              <w:t>次计，</w:t>
            </w:r>
            <w:r>
              <w:rPr>
                <w:rFonts w:hint="eastAsia"/>
                <w:color w:val="000000" w:themeColor="text1"/>
                <w:sz w:val="24"/>
                <w:lang w:val="en-US" w:eastAsia="zh-CN"/>
                <w14:textFill>
                  <w14:solidFill>
                    <w14:schemeClr w14:val="tx1"/>
                  </w14:solidFill>
                </w14:textFill>
              </w:rPr>
              <w:t>喷雾洒水</w:t>
            </w:r>
            <w:r>
              <w:rPr>
                <w:rFonts w:hint="default"/>
                <w:bCs/>
                <w:color w:val="000000" w:themeColor="text1"/>
                <w:sz w:val="24"/>
                <w14:textFill>
                  <w14:solidFill>
                    <w14:schemeClr w14:val="tx1"/>
                  </w14:solidFill>
                </w14:textFill>
              </w:rPr>
              <w:t>量为</w:t>
            </w:r>
            <w:r>
              <w:rPr>
                <w:rFonts w:hint="eastAsia"/>
                <w:bCs/>
                <w:color w:val="000000" w:themeColor="text1"/>
                <w:sz w:val="24"/>
                <w:lang w:val="en-US" w:eastAsia="zh-CN"/>
                <w14:textFill>
                  <w14:solidFill>
                    <w14:schemeClr w14:val="tx1"/>
                  </w14:solidFill>
                </w14:textFill>
              </w:rPr>
              <w:t>5.5</w:t>
            </w:r>
            <w:r>
              <w:rPr>
                <w:rFonts w:hint="default"/>
                <w:bCs/>
                <w:color w:val="000000" w:themeColor="text1"/>
                <w:sz w:val="24"/>
                <w14:textFill>
                  <w14:solidFill>
                    <w14:schemeClr w14:val="tx1"/>
                  </w14:solidFill>
                </w14:textFill>
              </w:rPr>
              <w:t>m</w:t>
            </w:r>
            <w:r>
              <w:rPr>
                <w:rFonts w:hint="default"/>
                <w:bCs/>
                <w:color w:val="000000" w:themeColor="text1"/>
                <w:sz w:val="24"/>
                <w:vertAlign w:val="superscript"/>
                <w14:textFill>
                  <w14:solidFill>
                    <w14:schemeClr w14:val="tx1"/>
                  </w14:solidFill>
                </w14:textFill>
              </w:rPr>
              <w:t>3</w:t>
            </w:r>
            <w:r>
              <w:rPr>
                <w:rFonts w:hint="eastAsia"/>
                <w:bCs/>
                <w:color w:val="000000" w:themeColor="text1"/>
                <w:sz w:val="24"/>
                <w:vertAlign w:val="baseline"/>
                <w:lang w:val="en-US" w:eastAsia="zh-CN"/>
                <w14:textFill>
                  <w14:solidFill>
                    <w14:schemeClr w14:val="tx1"/>
                  </w14:solidFill>
                </w14:textFill>
              </w:rPr>
              <w:t>/d</w:t>
            </w:r>
            <w:r>
              <w:rPr>
                <w:rFonts w:hint="default" w:ascii="Times New Roman" w:hAnsi="Times New Roman"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1815</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/a）</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bCs/>
                <w:color w:val="000000" w:themeColor="text1"/>
                <w:sz w:val="24"/>
                <w:szCs w:val="20"/>
                <w:lang w:val="en-US" w:eastAsia="zh-CN"/>
                <w14:textFill>
                  <w14:solidFill>
                    <w14:schemeClr w14:val="tx1"/>
                  </w14:solidFill>
                </w14:textFill>
              </w:rPr>
              <w:t>自动喷</w:t>
            </w:r>
            <w:r>
              <w:rPr>
                <w:rFonts w:hint="eastAsia"/>
                <w:color w:val="000000" w:themeColor="text1"/>
                <w:sz w:val="24"/>
                <w:lang w:val="en-US" w:eastAsia="zh-CN"/>
                <w14:textFill>
                  <w14:solidFill>
                    <w14:schemeClr w14:val="tx1"/>
                  </w14:solidFill>
                </w14:textFill>
              </w:rPr>
              <w:t>雾</w:t>
            </w:r>
            <w:r>
              <w:rPr>
                <w:rFonts w:hint="eastAsia"/>
                <w:bCs/>
                <w:color w:val="000000" w:themeColor="text1"/>
                <w:sz w:val="24"/>
                <w:szCs w:val="20"/>
                <w:lang w:val="en-US" w:eastAsia="zh-CN"/>
                <w14:textFill>
                  <w14:solidFill>
                    <w14:schemeClr w14:val="tx1"/>
                  </w14:solidFill>
                </w14:textFill>
              </w:rPr>
              <w:t>抑尘系统洒水全部蒸发损耗</w:t>
            </w:r>
            <w:r>
              <w:rPr>
                <w:rFonts w:hint="default"/>
                <w:color w:val="000000" w:themeColor="text1"/>
                <w:sz w:val="24"/>
                <w14:textFill>
                  <w14:solidFill>
                    <w14:schemeClr w14:val="tx1"/>
                  </w14:solidFill>
                </w14:textFill>
              </w:rPr>
              <w:t>。</w:t>
            </w:r>
          </w:p>
          <w:p w14:paraId="0A669E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企业拟采用2台远程雾炮机在装卸、生产过程中运行，每台用水定额0.1m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/h</w:t>
            </w:r>
            <w:r>
              <w:rPr>
                <w:rFonts w:hint="eastAsia"/>
                <w:bCs/>
                <w:color w:val="000000" w:themeColor="text1"/>
                <w:sz w:val="24"/>
                <w:highlight w:val="none"/>
                <w14:textFill>
                  <w14:solidFill>
                    <w14:schemeClr w14:val="tx1"/>
                  </w14:solidFill>
                </w14:textFill>
              </w:rPr>
              <w:t>，每日运行约</w:t>
            </w:r>
            <w:r>
              <w:rPr>
                <w:rFonts w:hint="eastAsia"/>
                <w:bCs/>
                <w:color w:val="000000" w:themeColor="text1"/>
                <w:sz w:val="24"/>
                <w:highlight w:val="none"/>
                <w:lang w:val="en-US" w:eastAsia="zh-CN"/>
                <w14:textFill>
                  <w14:solidFill>
                    <w14:schemeClr w14:val="tx1"/>
                  </w14:solidFill>
                </w14:textFill>
              </w:rPr>
              <w:t>10</w:t>
            </w:r>
            <w:r>
              <w:rPr>
                <w:rFonts w:hint="eastAsia"/>
                <w:bCs/>
                <w:color w:val="000000" w:themeColor="text1"/>
                <w:sz w:val="24"/>
                <w:highlight w:val="none"/>
                <w14:textFill>
                  <w14:solidFill>
                    <w14:schemeClr w14:val="tx1"/>
                  </w14:solidFill>
                </w14:textFill>
              </w:rPr>
              <w:t>h</w:t>
            </w:r>
            <w:r>
              <w:rPr>
                <w:rFonts w:hint="eastAsia"/>
                <w:bCs/>
                <w:color w:val="000000" w:themeColor="text1"/>
                <w:sz w:val="24"/>
                <w14:textFill>
                  <w14:solidFill>
                    <w14:schemeClr w14:val="tx1"/>
                  </w14:solidFill>
                </w14:textFill>
              </w:rPr>
              <w:t>，则雾炮机用水量为</w:t>
            </w:r>
            <w:r>
              <w:rPr>
                <w:rFonts w:hint="eastAsia"/>
                <w:bCs/>
                <w:color w:val="000000" w:themeColor="text1"/>
                <w:sz w:val="24"/>
                <w:lang w:val="en-US" w:eastAsia="zh-CN"/>
                <w14:textFill>
                  <w14:solidFill>
                    <w14:schemeClr w14:val="tx1"/>
                  </w14:solidFill>
                </w14:textFill>
              </w:rPr>
              <w:t>2</w:t>
            </w:r>
            <w:r>
              <w:rPr>
                <w:rFonts w:hint="eastAsia"/>
                <w:bCs/>
                <w:color w:val="000000" w:themeColor="text1"/>
                <w:sz w:val="24"/>
                <w14:textFill>
                  <w14:solidFill>
                    <w14:schemeClr w14:val="tx1"/>
                  </w14:solidFill>
                </w14:textFill>
              </w:rPr>
              <w:t>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/d</w:t>
            </w:r>
            <w:r>
              <w:rPr>
                <w:rFonts w:hint="default" w:ascii="Times New Roman" w:hAnsi="Times New Roman"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660</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/a）</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雾炮</w:t>
            </w:r>
            <w:r>
              <w:rPr>
                <w:rFonts w:hint="eastAsia"/>
                <w:bCs/>
                <w:color w:val="000000" w:themeColor="text1"/>
                <w:sz w:val="24"/>
                <w:szCs w:val="20"/>
                <w:lang w:val="en-US" w:eastAsia="zh-CN"/>
                <w14:textFill>
                  <w14:solidFill>
                    <w14:schemeClr w14:val="tx1"/>
                  </w14:solidFill>
                </w14:textFill>
              </w:rPr>
              <w:t>抑尘用水全部蒸发损耗</w:t>
            </w:r>
            <w:r>
              <w:rPr>
                <w:rFonts w:hint="eastAsia"/>
                <w:bCs/>
                <w:color w:val="000000" w:themeColor="text1"/>
                <w:sz w:val="24"/>
                <w14:textFill>
                  <w14:solidFill>
                    <w14:schemeClr w14:val="tx1"/>
                  </w14:solidFill>
                </w14:textFill>
              </w:rPr>
              <w:t>。</w:t>
            </w:r>
          </w:p>
          <w:p w14:paraId="105C95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3）道路</w:t>
            </w:r>
            <w:r>
              <w:rPr>
                <w:rFonts w:hint="eastAsia" w:cs="Times New Roman"/>
                <w:color w:val="000000" w:themeColor="text1"/>
                <w:sz w:val="24"/>
                <w:szCs w:val="24"/>
                <w:lang w:val="en-US" w:eastAsia="zh-CN"/>
                <w14:textFill>
                  <w14:solidFill>
                    <w14:schemeClr w14:val="tx1"/>
                  </w14:solidFill>
                </w14:textFill>
              </w:rPr>
              <w:t>洒</w:t>
            </w:r>
            <w:r>
              <w:rPr>
                <w:rFonts w:hint="eastAsia" w:ascii="Times New Roman" w:hAnsi="Times New Roman" w:cs="Times New Roman"/>
                <w:color w:val="000000" w:themeColor="text1"/>
                <w:sz w:val="24"/>
                <w:szCs w:val="24"/>
                <w:lang w:val="en-US" w:eastAsia="zh-CN"/>
                <w14:textFill>
                  <w14:solidFill>
                    <w14:schemeClr w14:val="tx1"/>
                  </w14:solidFill>
                </w14:textFill>
              </w:rPr>
              <w:t>水</w:t>
            </w:r>
          </w:p>
          <w:p w14:paraId="4BF218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厂区道路面积约为</w:t>
            </w:r>
            <w:r>
              <w:rPr>
                <w:rFonts w:hint="eastAsia" w:cs="Times New Roman"/>
                <w:color w:val="000000" w:themeColor="text1"/>
                <w:sz w:val="24"/>
                <w:szCs w:val="24"/>
                <w:lang w:val="en-US" w:eastAsia="zh-CN"/>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00m</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4"/>
                <w:szCs w:val="24"/>
                <w:lang w:val="en-US" w:eastAsia="zh-CN"/>
                <w14:textFill>
                  <w14:solidFill>
                    <w14:schemeClr w14:val="tx1"/>
                  </w14:solidFill>
                </w14:textFill>
              </w:rPr>
              <w:t>，根据《山西省用水定额 第3部分：服务业用水定额》（DB141049.3-2021），道路洒水按</w:t>
            </w:r>
            <w:r>
              <w:rPr>
                <w:rFonts w:hint="eastAsia" w:cs="Times New Roman"/>
                <w:color w:val="000000" w:themeColor="text1"/>
                <w:sz w:val="24"/>
                <w:szCs w:val="24"/>
                <w:lang w:val="en-US" w:eastAsia="zh-CN"/>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5L/m</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2</w:t>
            </w:r>
            <w:r>
              <w:rPr>
                <w:rFonts w:hint="default"/>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d</w:t>
            </w:r>
            <w:r>
              <w:rPr>
                <w:rFonts w:hint="eastAsia" w:ascii="Times New Roman" w:hAnsi="Times New Roman" w:cs="Times New Roman"/>
                <w:color w:val="000000" w:themeColor="text1"/>
                <w:sz w:val="24"/>
                <w:szCs w:val="24"/>
                <w:lang w:val="en-US" w:eastAsia="zh-CN"/>
                <w14:textFill>
                  <w14:solidFill>
                    <w14:schemeClr w14:val="tx1"/>
                  </w14:solidFill>
                </w14:textFill>
              </w:rPr>
              <w:t>，则道路洒水量为</w:t>
            </w:r>
            <w:r>
              <w:rPr>
                <w:rFonts w:hint="eastAsia" w:cs="Times New Roman"/>
                <w:color w:val="000000" w:themeColor="text1"/>
                <w:sz w:val="24"/>
                <w:szCs w:val="24"/>
                <w:lang w:val="en-US" w:eastAsia="zh-CN"/>
                <w14:textFill>
                  <w14:solidFill>
                    <w14:schemeClr w14:val="tx1"/>
                  </w14:solidFill>
                </w14:textFill>
              </w:rPr>
              <w:t>0.45</w:t>
            </w:r>
            <w:r>
              <w:rPr>
                <w:rFonts w:hint="eastAsia" w:ascii="Times New Roman" w:hAnsi="Times New Roman" w:cs="Times New Roman"/>
                <w:color w:val="000000" w:themeColor="text1"/>
                <w:sz w:val="24"/>
                <w:szCs w:val="24"/>
                <w:lang w:val="en-US" w:eastAsia="zh-CN"/>
                <w14:textFill>
                  <w14:solidFill>
                    <w14:schemeClr w14:val="tx1"/>
                  </w14:solidFill>
                </w14:textFill>
              </w:rPr>
              <w:t>m</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/d</w:t>
            </w:r>
            <w:r>
              <w:rPr>
                <w:rFonts w:hint="default" w:ascii="Times New Roman" w:hAnsi="Times New Roman"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94.5</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/a）</w:t>
            </w:r>
            <w:r>
              <w:rPr>
                <w:rFonts w:hint="default"/>
                <w:bCs/>
                <w:color w:val="000000" w:themeColor="text1"/>
                <w:sz w:val="24"/>
                <w:highlight w:val="none"/>
                <w14:textFill>
                  <w14:solidFill>
                    <w14:schemeClr w14:val="tx1"/>
                  </w14:solidFill>
                </w14:textFill>
              </w:rPr>
              <w:t>（</w:t>
            </w:r>
            <w:r>
              <w:rPr>
                <w:rFonts w:hint="eastAsia"/>
                <w:bCs/>
                <w:color w:val="000000" w:themeColor="text1"/>
                <w:sz w:val="24"/>
                <w:highlight w:val="none"/>
                <w14:textFill>
                  <w14:solidFill>
                    <w14:schemeClr w14:val="tx1"/>
                  </w14:solidFill>
                </w14:textFill>
              </w:rPr>
              <w:t>210d计</w:t>
            </w:r>
            <w:r>
              <w:rPr>
                <w:rFonts w:hint="default"/>
                <w:bCs/>
                <w:color w:val="000000" w:themeColor="text1"/>
                <w:sz w:val="24"/>
                <w:highlight w:val="none"/>
                <w14:textFill>
                  <w14:solidFill>
                    <w14:schemeClr w14:val="tx1"/>
                  </w14:solidFill>
                </w14:textFill>
              </w:rPr>
              <w:t>）</w:t>
            </w:r>
            <w:r>
              <w:rPr>
                <w:rFonts w:hint="default"/>
                <w:color w:val="000000" w:themeColor="text1"/>
                <w:sz w:val="24"/>
                <w14:textFill>
                  <w14:solidFill>
                    <w14:schemeClr w14:val="tx1"/>
                  </w14:solidFill>
                </w14:textFill>
              </w:rPr>
              <w:t>。</w:t>
            </w:r>
          </w:p>
          <w:p w14:paraId="3BE0642F">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80" w:lineRule="exact"/>
              <w:ind w:left="0" w:leftChars="0" w:right="0" w:rightChars="0" w:firstLine="480" w:firstLineChars="200"/>
              <w:jc w:val="left"/>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w:t>
            </w:r>
            <w:r>
              <w:rPr>
                <w:rFonts w:hint="default" w:ascii="Times New Roman" w:hAnsi="Times New Roman" w:cs="Times New Roman"/>
                <w:b w:val="0"/>
                <w:bCs w:val="0"/>
                <w:color w:val="000000" w:themeColor="text1"/>
                <w:sz w:val="24"/>
                <w:szCs w:val="24"/>
                <w14:textFill>
                  <w14:solidFill>
                    <w14:schemeClr w14:val="tx1"/>
                  </w14:solidFill>
                </w14:textFill>
              </w:rPr>
              <w:t>排水</w:t>
            </w:r>
          </w:p>
          <w:p w14:paraId="3E4CAD32">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80" w:lineRule="exact"/>
              <w:ind w:left="0" w:leftChars="0" w:right="0" w:rightChars="0" w:firstLine="480" w:firstLineChars="200"/>
              <w:jc w:val="left"/>
              <w:textAlignment w:val="auto"/>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厂区实行雨污分流</w:t>
            </w:r>
            <w:r>
              <w:rPr>
                <w:rFonts w:hint="eastAsia" w:ascii="Times New Roman" w:hAnsi="Times New Roman" w:cs="Times New Roman"/>
                <w:color w:val="000000" w:themeColor="text1"/>
                <w:sz w:val="24"/>
                <w:szCs w:val="24"/>
                <w:lang w:val="en-US" w:eastAsia="zh-CN"/>
                <w14:textFill>
                  <w14:solidFill>
                    <w14:schemeClr w14:val="tx1"/>
                  </w14:solidFill>
                </w14:textFill>
              </w:rPr>
              <w:t>，初期雨水随地势流入初期雨水收集池，后期雨水随地势流入厂外排水沟</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生活污水排放量按照用水量的80%计，则生活污水排放量为</w:t>
            </w:r>
            <w:r>
              <w:rPr>
                <w:rFonts w:hint="eastAsia" w:ascii="Times New Roman" w:hAnsi="Times New Roman" w:cs="Times New Roman"/>
                <w:color w:val="000000" w:themeColor="text1"/>
                <w:sz w:val="24"/>
                <w:szCs w:val="24"/>
                <w:lang w:val="en-US" w:eastAsia="zh-CN"/>
                <w14:textFill>
                  <w14:solidFill>
                    <w14:schemeClr w14:val="tx1"/>
                  </w14:solidFill>
                </w14:textFill>
              </w:rPr>
              <w:t>1.92</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w:t>
            </w:r>
            <w:r>
              <w:rPr>
                <w:rFonts w:hint="eastAsia" w:cs="Times New Roman"/>
                <w:color w:val="000000" w:themeColor="text1"/>
                <w:sz w:val="24"/>
                <w:szCs w:val="24"/>
                <w:lang w:val="en-US" w:eastAsia="zh-CN"/>
                <w14:textFill>
                  <w14:solidFill>
                    <w14:schemeClr w14:val="tx1"/>
                  </w14:solidFill>
                </w14:textFill>
              </w:rPr>
              <w:t>633.6</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/a），</w:t>
            </w:r>
            <w:r>
              <w:rPr>
                <w:rFonts w:hint="eastAsia" w:cs="Times New Roman"/>
                <w:color w:val="000000" w:themeColor="text1"/>
                <w:sz w:val="24"/>
                <w:szCs w:val="24"/>
                <w:lang w:val="en-US" w:eastAsia="zh-CN"/>
                <w14:textFill>
                  <w14:solidFill>
                    <w14:schemeClr w14:val="tx1"/>
                  </w14:solidFill>
                </w14:textFill>
              </w:rPr>
              <w:t>排入旱厕，定时清掏，不外排。</w:t>
            </w:r>
            <w:r>
              <w:rPr>
                <w:rFonts w:hint="default" w:ascii="Times New Roman" w:hAnsi="Times New Roman" w:eastAsia="宋体" w:cs="Times New Roman"/>
                <w:b w:val="0"/>
                <w:bCs/>
                <w:color w:val="000000" w:themeColor="text1"/>
                <w:sz w:val="24"/>
                <w:szCs w:val="24"/>
                <w14:textFill>
                  <w14:solidFill>
                    <w14:schemeClr w14:val="tx1"/>
                  </w14:solidFill>
                </w14:textFill>
              </w:rPr>
              <w:t>洗车废水沉淀处理后循环使用，不外排</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本项目用水量及废水产生量见下表。</w:t>
            </w:r>
          </w:p>
          <w:p w14:paraId="14524E14">
            <w:pPr>
              <w:keepNext w:val="0"/>
              <w:keepLines w:val="0"/>
              <w:suppressLineNumbers w:val="0"/>
              <w:spacing w:before="0" w:beforeAutospacing="0" w:after="0" w:afterAutospacing="0" w:line="480" w:lineRule="exact"/>
              <w:ind w:left="0" w:right="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eastAsia" w:cs="Times New Roman"/>
                <w:b/>
                <w:bCs/>
                <w:color w:val="000000" w:themeColor="text1"/>
                <w:sz w:val="21"/>
                <w:szCs w:val="21"/>
                <w:lang w:val="en-US" w:eastAsia="zh-CN"/>
                <w14:textFill>
                  <w14:solidFill>
                    <w14:schemeClr w14:val="tx1"/>
                  </w14:solidFill>
                </w14:textFill>
              </w:rPr>
              <w:t>.9-1</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eastAsia" w:cs="Times New Roman"/>
                <w:b/>
                <w:bCs/>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用水</w:t>
            </w:r>
            <w:r>
              <w:rPr>
                <w:rFonts w:hint="eastAsia" w:cs="Times New Roman"/>
                <w:b/>
                <w:bCs/>
                <w:color w:val="000000" w:themeColor="text1"/>
                <w:sz w:val="21"/>
                <w:szCs w:val="21"/>
                <w:lang w:val="en-US" w:eastAsia="zh-CN"/>
                <w14:textFill>
                  <w14:solidFill>
                    <w14:schemeClr w14:val="tx1"/>
                  </w14:solidFill>
                </w14:textFill>
              </w:rPr>
              <w:t>、排水情况</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一览表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228"/>
              <w:gridCol w:w="1327"/>
              <w:gridCol w:w="1179"/>
              <w:gridCol w:w="983"/>
              <w:gridCol w:w="895"/>
              <w:gridCol w:w="1857"/>
            </w:tblGrid>
            <w:tr w14:paraId="0C28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14:paraId="3017B01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类别</w:t>
                  </w:r>
                </w:p>
              </w:tc>
              <w:tc>
                <w:tcPr>
                  <w:tcW w:w="751" w:type="pct"/>
                  <w:tcBorders>
                    <w:tl2br w:val="nil"/>
                    <w:tr2bl w:val="nil"/>
                  </w:tcBorders>
                  <w:noWrap w:val="0"/>
                  <w:vAlign w:val="center"/>
                </w:tcPr>
                <w:p w14:paraId="5C4D3F7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用水类型</w:t>
                  </w:r>
                </w:p>
              </w:tc>
              <w:tc>
                <w:tcPr>
                  <w:tcW w:w="811" w:type="pct"/>
                  <w:tcBorders>
                    <w:tl2br w:val="nil"/>
                    <w:tr2bl w:val="nil"/>
                  </w:tcBorders>
                  <w:noWrap w:val="0"/>
                  <w:vAlign w:val="center"/>
                </w:tcPr>
                <w:p w14:paraId="60A845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用水量指标</w:t>
                  </w:r>
                </w:p>
              </w:tc>
              <w:tc>
                <w:tcPr>
                  <w:tcW w:w="721" w:type="pct"/>
                  <w:tcBorders>
                    <w:tl2br w:val="nil"/>
                    <w:tr2bl w:val="nil"/>
                  </w:tcBorders>
                  <w:noWrap w:val="0"/>
                  <w:vAlign w:val="center"/>
                </w:tcPr>
                <w:p w14:paraId="1C0046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数量</w:t>
                  </w:r>
                </w:p>
              </w:tc>
              <w:tc>
                <w:tcPr>
                  <w:tcW w:w="601" w:type="pct"/>
                  <w:tcBorders>
                    <w:tl2br w:val="nil"/>
                    <w:tr2bl w:val="nil"/>
                  </w:tcBorders>
                  <w:noWrap w:val="0"/>
                  <w:vAlign w:val="center"/>
                </w:tcPr>
                <w:p w14:paraId="79A8A0C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用水量</w:t>
                  </w:r>
                  <w:r>
                    <w:rPr>
                      <w:rFonts w:hint="eastAsia" w:cs="Times New Roman"/>
                      <w:b/>
                      <w:bCs/>
                      <w:color w:val="000000" w:themeColor="text1"/>
                      <w:sz w:val="21"/>
                      <w:szCs w:val="21"/>
                      <w:lang w:val="en-US" w:eastAsia="zh-CN"/>
                      <w14:textFill>
                        <w14:solidFill>
                          <w14:schemeClr w14:val="tx1"/>
                        </w14:solidFill>
                      </w14:textFill>
                    </w:rPr>
                    <w:t>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/d</w:t>
                  </w:r>
                </w:p>
              </w:tc>
              <w:tc>
                <w:tcPr>
                  <w:tcW w:w="547" w:type="pct"/>
                  <w:tcBorders>
                    <w:tl2br w:val="nil"/>
                    <w:tr2bl w:val="nil"/>
                  </w:tcBorders>
                  <w:noWrap w:val="0"/>
                  <w:vAlign w:val="center"/>
                </w:tcPr>
                <w:p w14:paraId="5802A3D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废水</w:t>
                  </w:r>
                  <w:r>
                    <w:rPr>
                      <w:rFonts w:hint="default" w:ascii="Times New Roman" w:hAnsi="Times New Roman" w:cs="Times New Roman"/>
                      <w:b/>
                      <w:bCs/>
                      <w:color w:val="000000" w:themeColor="text1"/>
                      <w:sz w:val="21"/>
                      <w:szCs w:val="21"/>
                      <w14:textFill>
                        <w14:solidFill>
                          <w14:schemeClr w14:val="tx1"/>
                        </w14:solidFill>
                      </w14:textFill>
                    </w:rPr>
                    <w:t>量</w:t>
                  </w:r>
                  <w:r>
                    <w:rPr>
                      <w:rFonts w:hint="eastAsia" w:cs="Times New Roman"/>
                      <w:b/>
                      <w:bCs/>
                      <w:color w:val="000000" w:themeColor="text1"/>
                      <w:sz w:val="21"/>
                      <w:szCs w:val="21"/>
                      <w:lang w:val="en-US" w:eastAsia="zh-CN"/>
                      <w14:textFill>
                        <w14:solidFill>
                          <w14:schemeClr w14:val="tx1"/>
                        </w14:solidFill>
                      </w14:textFill>
                    </w:rPr>
                    <w:t>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/d</w:t>
                  </w:r>
                </w:p>
              </w:tc>
              <w:tc>
                <w:tcPr>
                  <w:tcW w:w="1135" w:type="pct"/>
                  <w:tcBorders>
                    <w:tl2br w:val="nil"/>
                    <w:tr2bl w:val="nil"/>
                  </w:tcBorders>
                  <w:noWrap w:val="0"/>
                  <w:vAlign w:val="center"/>
                </w:tcPr>
                <w:p w14:paraId="05BDB0E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备注</w:t>
                  </w:r>
                </w:p>
              </w:tc>
            </w:tr>
            <w:tr w14:paraId="4292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14:paraId="4F53AA2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生活</w:t>
                  </w:r>
                </w:p>
              </w:tc>
              <w:tc>
                <w:tcPr>
                  <w:tcW w:w="751" w:type="pct"/>
                  <w:tcBorders>
                    <w:tl2br w:val="nil"/>
                    <w:tr2bl w:val="nil"/>
                  </w:tcBorders>
                  <w:noWrap w:val="0"/>
                  <w:vAlign w:val="center"/>
                </w:tcPr>
                <w:p w14:paraId="7F4D72D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生活用水</w:t>
                  </w:r>
                </w:p>
              </w:tc>
              <w:tc>
                <w:tcPr>
                  <w:tcW w:w="811" w:type="pct"/>
                  <w:tcBorders>
                    <w:tl2br w:val="nil"/>
                    <w:tr2bl w:val="nil"/>
                  </w:tcBorders>
                  <w:noWrap w:val="0"/>
                  <w:vAlign w:val="center"/>
                </w:tcPr>
                <w:p w14:paraId="175B1FC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Cs/>
                      <w:color w:val="000000" w:themeColor="text1"/>
                      <w:sz w:val="21"/>
                      <w:szCs w:val="21"/>
                      <w14:textFill>
                        <w14:solidFill>
                          <w14:schemeClr w14:val="tx1"/>
                        </w14:solidFill>
                      </w14:textFill>
                    </w:rPr>
                    <w:t>0L/人·d</w:t>
                  </w:r>
                </w:p>
              </w:tc>
              <w:tc>
                <w:tcPr>
                  <w:tcW w:w="721" w:type="pct"/>
                  <w:tcBorders>
                    <w:tl2br w:val="nil"/>
                    <w:tr2bl w:val="nil"/>
                  </w:tcBorders>
                  <w:noWrap w:val="0"/>
                  <w:vAlign w:val="center"/>
                </w:tcPr>
                <w:p w14:paraId="40E66AB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人</w:t>
                  </w:r>
                </w:p>
              </w:tc>
              <w:tc>
                <w:tcPr>
                  <w:tcW w:w="601" w:type="pct"/>
                  <w:tcBorders>
                    <w:tl2br w:val="nil"/>
                    <w:tr2bl w:val="nil"/>
                  </w:tcBorders>
                  <w:noWrap w:val="0"/>
                  <w:vAlign w:val="center"/>
                </w:tcPr>
                <w:p w14:paraId="3BD3221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p>
              </w:tc>
              <w:tc>
                <w:tcPr>
                  <w:tcW w:w="547" w:type="pct"/>
                  <w:tcBorders>
                    <w:tl2br w:val="nil"/>
                    <w:tr2bl w:val="nil"/>
                  </w:tcBorders>
                  <w:noWrap w:val="0"/>
                  <w:vAlign w:val="center"/>
                </w:tcPr>
                <w:p w14:paraId="43EF167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1.92</w:t>
                  </w:r>
                </w:p>
              </w:tc>
              <w:tc>
                <w:tcPr>
                  <w:tcW w:w="1135" w:type="pct"/>
                  <w:tcBorders>
                    <w:tl2br w:val="nil"/>
                    <w:tr2bl w:val="nil"/>
                  </w:tcBorders>
                  <w:noWrap w:val="0"/>
                  <w:vAlign w:val="center"/>
                </w:tcPr>
                <w:p w14:paraId="7A9AA68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排入旱厕，不外排</w:t>
                  </w:r>
                </w:p>
              </w:tc>
            </w:tr>
            <w:tr w14:paraId="26EF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restart"/>
                  <w:tcBorders>
                    <w:tl2br w:val="nil"/>
                    <w:tr2bl w:val="nil"/>
                  </w:tcBorders>
                  <w:noWrap w:val="0"/>
                  <w:vAlign w:val="center"/>
                </w:tcPr>
                <w:p w14:paraId="394796A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生产</w:t>
                  </w:r>
                </w:p>
              </w:tc>
              <w:tc>
                <w:tcPr>
                  <w:tcW w:w="751" w:type="pct"/>
                  <w:tcBorders>
                    <w:tl2br w:val="nil"/>
                    <w:tr2bl w:val="nil"/>
                  </w:tcBorders>
                  <w:noWrap w:val="0"/>
                  <w:vAlign w:val="center"/>
                </w:tcPr>
                <w:p w14:paraId="13E814F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洗车</w:t>
                  </w:r>
                  <w:r>
                    <w:rPr>
                      <w:rFonts w:hint="eastAsia" w:cs="Times New Roman"/>
                      <w:color w:val="000000" w:themeColor="text1"/>
                      <w:sz w:val="21"/>
                      <w:szCs w:val="21"/>
                      <w:lang w:val="en-US" w:eastAsia="zh-CN"/>
                      <w14:textFill>
                        <w14:solidFill>
                          <w14:schemeClr w14:val="tx1"/>
                        </w14:solidFill>
                      </w14:textFill>
                    </w:rPr>
                    <w:t>平台补水</w:t>
                  </w:r>
                </w:p>
              </w:tc>
              <w:tc>
                <w:tcPr>
                  <w:tcW w:w="811" w:type="pct"/>
                  <w:tcBorders>
                    <w:tl2br w:val="nil"/>
                    <w:tr2bl w:val="nil"/>
                  </w:tcBorders>
                  <w:noWrap w:val="0"/>
                  <w:vAlign w:val="center"/>
                </w:tcPr>
                <w:p w14:paraId="2FB8FD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40L/(辆·次)</w:t>
                  </w:r>
                </w:p>
              </w:tc>
              <w:tc>
                <w:tcPr>
                  <w:tcW w:w="721" w:type="pct"/>
                  <w:tcBorders>
                    <w:tl2br w:val="nil"/>
                    <w:tr2bl w:val="nil"/>
                  </w:tcBorders>
                  <w:noWrap w:val="0"/>
                  <w:vAlign w:val="center"/>
                </w:tcPr>
                <w:p w14:paraId="459D3D6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151</w:t>
                  </w:r>
                  <w:r>
                    <w:rPr>
                      <w:rFonts w:hint="default" w:ascii="Times New Roman" w:hAnsi="Times New Roman" w:eastAsia="宋体" w:cs="Times New Roman"/>
                      <w:color w:val="000000" w:themeColor="text1"/>
                      <w:sz w:val="21"/>
                      <w:szCs w:val="21"/>
                      <w14:textFill>
                        <w14:solidFill>
                          <w14:schemeClr w14:val="tx1"/>
                        </w14:solidFill>
                      </w14:textFill>
                    </w:rPr>
                    <w:t>辆</w:t>
                  </w:r>
                </w:p>
              </w:tc>
              <w:tc>
                <w:tcPr>
                  <w:tcW w:w="601" w:type="pct"/>
                  <w:tcBorders>
                    <w:tl2br w:val="nil"/>
                    <w:tr2bl w:val="nil"/>
                  </w:tcBorders>
                  <w:noWrap w:val="0"/>
                  <w:vAlign w:val="center"/>
                </w:tcPr>
                <w:p w14:paraId="379469D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6.04</w:t>
                  </w:r>
                </w:p>
              </w:tc>
              <w:tc>
                <w:tcPr>
                  <w:tcW w:w="547" w:type="pct"/>
                  <w:tcBorders>
                    <w:tl2br w:val="nil"/>
                    <w:tr2bl w:val="nil"/>
                  </w:tcBorders>
                  <w:noWrap w:val="0"/>
                  <w:vAlign w:val="center"/>
                </w:tcPr>
                <w:p w14:paraId="393EDC4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1135" w:type="pct"/>
                  <w:tcBorders>
                    <w:tl2br w:val="nil"/>
                    <w:tr2bl w:val="nil"/>
                  </w:tcBorders>
                  <w:noWrap w:val="0"/>
                  <w:vAlign w:val="center"/>
                </w:tcPr>
                <w:p w14:paraId="13BB46C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循环使用，不外排</w:t>
                  </w:r>
                </w:p>
              </w:tc>
            </w:tr>
            <w:tr w14:paraId="0AA7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tcBorders>
                    <w:tl2br w:val="nil"/>
                    <w:tr2bl w:val="nil"/>
                  </w:tcBorders>
                  <w:shd w:val="clear" w:color="auto" w:fill="auto"/>
                  <w:noWrap w:val="0"/>
                  <w:vAlign w:val="center"/>
                </w:tcPr>
                <w:p w14:paraId="7044471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s="Times New Roman"/>
                      <w:color w:val="000000" w:themeColor="text1"/>
                      <w:sz w:val="21"/>
                      <w:szCs w:val="21"/>
                      <w:lang w:val="en-US" w:eastAsia="zh-CN"/>
                      <w14:textFill>
                        <w14:solidFill>
                          <w14:schemeClr w14:val="tx1"/>
                        </w14:solidFill>
                      </w14:textFill>
                    </w:rPr>
                  </w:pPr>
                </w:p>
              </w:tc>
              <w:tc>
                <w:tcPr>
                  <w:tcW w:w="751" w:type="pct"/>
                  <w:vMerge w:val="restart"/>
                  <w:tcBorders>
                    <w:tl2br w:val="nil"/>
                    <w:tr2bl w:val="nil"/>
                  </w:tcBorders>
                  <w:shd w:val="clear" w:color="auto" w:fill="auto"/>
                  <w:noWrap w:val="0"/>
                  <w:vAlign w:val="center"/>
                </w:tcPr>
                <w:p w14:paraId="3322ED0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喷雾用水</w:t>
                  </w:r>
                </w:p>
              </w:tc>
              <w:tc>
                <w:tcPr>
                  <w:tcW w:w="811" w:type="pct"/>
                  <w:tcBorders>
                    <w:tl2br w:val="nil"/>
                    <w:tr2bl w:val="nil"/>
                  </w:tcBorders>
                  <w:shd w:val="clear" w:color="auto" w:fill="auto"/>
                  <w:noWrap w:val="0"/>
                  <w:vAlign w:val="center"/>
                </w:tcPr>
                <w:p w14:paraId="5054AE9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0</w:t>
                  </w:r>
                  <w:r>
                    <w:rPr>
                      <w:rFonts w:hint="default"/>
                      <w:color w:val="000000" w:themeColor="text1"/>
                      <w:sz w:val="21"/>
                      <w:szCs w:val="21"/>
                      <w14:textFill>
                        <w14:solidFill>
                          <w14:schemeClr w14:val="tx1"/>
                        </w14:solidFill>
                      </w14:textFill>
                    </w:rPr>
                    <w:t>L/m</w:t>
                  </w:r>
                  <w:r>
                    <w:rPr>
                      <w:rFonts w:hint="default"/>
                      <w:color w:val="000000" w:themeColor="text1"/>
                      <w:sz w:val="21"/>
                      <w:szCs w:val="21"/>
                      <w:vertAlign w:val="superscript"/>
                      <w14:textFill>
                        <w14:solidFill>
                          <w14:schemeClr w14:val="tx1"/>
                        </w14:solidFill>
                      </w14:textFill>
                    </w:rPr>
                    <w:t>2</w:t>
                  </w:r>
                  <w:r>
                    <w:rPr>
                      <w:rFonts w:hint="default"/>
                      <w:color w:val="000000" w:themeColor="text1"/>
                      <w:sz w:val="21"/>
                      <w:szCs w:val="21"/>
                      <w14:textFill>
                        <w14:solidFill>
                          <w14:schemeClr w14:val="tx1"/>
                        </w14:solidFill>
                      </w14:textFill>
                    </w:rPr>
                    <w:t>·d</w:t>
                  </w:r>
                </w:p>
              </w:tc>
              <w:tc>
                <w:tcPr>
                  <w:tcW w:w="721" w:type="pct"/>
                  <w:tcBorders>
                    <w:tl2br w:val="nil"/>
                    <w:tr2bl w:val="nil"/>
                  </w:tcBorders>
                  <w:noWrap w:val="0"/>
                  <w:vAlign w:val="center"/>
                </w:tcPr>
                <w:p w14:paraId="6713E70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5500m</w:t>
                  </w:r>
                  <w:r>
                    <w:rPr>
                      <w:rFonts w:hint="eastAsia"/>
                      <w:color w:val="000000" w:themeColor="text1"/>
                      <w:sz w:val="21"/>
                      <w:szCs w:val="21"/>
                      <w:vertAlign w:val="superscript"/>
                      <w:lang w:val="en-US" w:eastAsia="zh-CN"/>
                      <w14:textFill>
                        <w14:solidFill>
                          <w14:schemeClr w14:val="tx1"/>
                        </w14:solidFill>
                      </w14:textFill>
                    </w:rPr>
                    <w:t>2</w:t>
                  </w:r>
                </w:p>
              </w:tc>
              <w:tc>
                <w:tcPr>
                  <w:tcW w:w="601" w:type="pct"/>
                  <w:tcBorders>
                    <w:tl2br w:val="nil"/>
                    <w:tr2bl w:val="nil"/>
                  </w:tcBorders>
                  <w:noWrap w:val="0"/>
                  <w:vAlign w:val="center"/>
                </w:tcPr>
                <w:p w14:paraId="50D0B37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5.5</w:t>
                  </w:r>
                </w:p>
              </w:tc>
              <w:tc>
                <w:tcPr>
                  <w:tcW w:w="547" w:type="pct"/>
                  <w:tcBorders>
                    <w:tl2br w:val="nil"/>
                    <w:tr2bl w:val="nil"/>
                  </w:tcBorders>
                  <w:noWrap w:val="0"/>
                  <w:vAlign w:val="center"/>
                </w:tcPr>
                <w:p w14:paraId="78A5E15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1135" w:type="pct"/>
                  <w:vMerge w:val="restart"/>
                  <w:tcBorders>
                    <w:tl2br w:val="nil"/>
                    <w:tr2bl w:val="nil"/>
                  </w:tcBorders>
                  <w:noWrap w:val="0"/>
                  <w:vAlign w:val="center"/>
                </w:tcPr>
                <w:p w14:paraId="57B802C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全部损耗</w:t>
                  </w:r>
                </w:p>
              </w:tc>
            </w:tr>
            <w:tr w14:paraId="2FAEB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tcBorders>
                    <w:tl2br w:val="nil"/>
                    <w:tr2bl w:val="nil"/>
                  </w:tcBorders>
                  <w:noWrap w:val="0"/>
                  <w:vAlign w:val="center"/>
                </w:tcPr>
                <w:p w14:paraId="27C9F1D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pct"/>
                  <w:vMerge w:val="continue"/>
                  <w:tcBorders>
                    <w:tl2br w:val="nil"/>
                    <w:tr2bl w:val="nil"/>
                  </w:tcBorders>
                  <w:noWrap w:val="0"/>
                  <w:vAlign w:val="center"/>
                </w:tcPr>
                <w:p w14:paraId="66C1564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11" w:type="pct"/>
                  <w:tcBorders>
                    <w:tl2br w:val="nil"/>
                    <w:tr2bl w:val="nil"/>
                  </w:tcBorders>
                  <w:noWrap w:val="0"/>
                  <w:vAlign w:val="center"/>
                </w:tcPr>
                <w:p w14:paraId="561F9CD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bCs/>
                      <w:color w:val="000000" w:themeColor="text1"/>
                      <w:sz w:val="21"/>
                      <w:szCs w:val="21"/>
                      <w14:textFill>
                        <w14:solidFill>
                          <w14:schemeClr w14:val="tx1"/>
                        </w14:solidFill>
                      </w14:textFill>
                    </w:rPr>
                    <w:t>0.1m</w:t>
                  </w:r>
                  <w:r>
                    <w:rPr>
                      <w:rFonts w:hint="eastAsia"/>
                      <w:bCs/>
                      <w:color w:val="000000" w:themeColor="text1"/>
                      <w:sz w:val="21"/>
                      <w:szCs w:val="21"/>
                      <w:vertAlign w:val="superscript"/>
                      <w14:textFill>
                        <w14:solidFill>
                          <w14:schemeClr w14:val="tx1"/>
                        </w14:solidFill>
                      </w14:textFill>
                    </w:rPr>
                    <w:t>3</w:t>
                  </w:r>
                  <w:r>
                    <w:rPr>
                      <w:rFonts w:hint="eastAsia"/>
                      <w:bCs/>
                      <w:color w:val="000000" w:themeColor="text1"/>
                      <w:sz w:val="21"/>
                      <w:szCs w:val="21"/>
                      <w14:textFill>
                        <w14:solidFill>
                          <w14:schemeClr w14:val="tx1"/>
                        </w14:solidFill>
                      </w14:textFill>
                    </w:rPr>
                    <w:t>/h</w:t>
                  </w:r>
                  <w:r>
                    <w:rPr>
                      <w:rFonts w:hint="default"/>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台</w:t>
                  </w:r>
                </w:p>
              </w:tc>
              <w:tc>
                <w:tcPr>
                  <w:tcW w:w="721" w:type="pct"/>
                  <w:tcBorders>
                    <w:tl2br w:val="nil"/>
                    <w:tr2bl w:val="nil"/>
                  </w:tcBorders>
                  <w:noWrap w:val="0"/>
                  <w:vAlign w:val="center"/>
                </w:tcPr>
                <w:p w14:paraId="2CC9AB2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10h，2台</w:t>
                  </w:r>
                </w:p>
              </w:tc>
              <w:tc>
                <w:tcPr>
                  <w:tcW w:w="601" w:type="pct"/>
                  <w:tcBorders>
                    <w:tl2br w:val="nil"/>
                    <w:tr2bl w:val="nil"/>
                  </w:tcBorders>
                  <w:noWrap w:val="0"/>
                  <w:vAlign w:val="center"/>
                </w:tcPr>
                <w:p w14:paraId="742E316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547" w:type="pct"/>
                  <w:tcBorders>
                    <w:tl2br w:val="nil"/>
                    <w:tr2bl w:val="nil"/>
                  </w:tcBorders>
                  <w:noWrap w:val="0"/>
                  <w:vAlign w:val="center"/>
                </w:tcPr>
                <w:p w14:paraId="4C379E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1135" w:type="pct"/>
                  <w:vMerge w:val="continue"/>
                  <w:tcBorders>
                    <w:tl2br w:val="nil"/>
                    <w:tr2bl w:val="nil"/>
                  </w:tcBorders>
                  <w:noWrap w:val="0"/>
                  <w:vAlign w:val="center"/>
                </w:tcPr>
                <w:p w14:paraId="0B51383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389C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tcBorders>
                    <w:tl2br w:val="nil"/>
                    <w:tr2bl w:val="nil"/>
                  </w:tcBorders>
                  <w:noWrap w:val="0"/>
                  <w:vAlign w:val="center"/>
                </w:tcPr>
                <w:p w14:paraId="7E065AD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pct"/>
                  <w:tcBorders>
                    <w:tl2br w:val="nil"/>
                    <w:tr2bl w:val="nil"/>
                  </w:tcBorders>
                  <w:noWrap w:val="0"/>
                  <w:vAlign w:val="center"/>
                </w:tcPr>
                <w:p w14:paraId="40C9309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道路洒水</w:t>
                  </w:r>
                </w:p>
              </w:tc>
              <w:tc>
                <w:tcPr>
                  <w:tcW w:w="811" w:type="pct"/>
                  <w:tcBorders>
                    <w:tl2br w:val="nil"/>
                    <w:tr2bl w:val="nil"/>
                  </w:tcBorders>
                  <w:noWrap w:val="0"/>
                  <w:vAlign w:val="center"/>
                </w:tcPr>
                <w:p w14:paraId="7BD84A3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bCs/>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5L/m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default"/>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d</w:t>
                  </w:r>
                </w:p>
              </w:tc>
              <w:tc>
                <w:tcPr>
                  <w:tcW w:w="721" w:type="pct"/>
                  <w:tcBorders>
                    <w:tl2br w:val="nil"/>
                    <w:tr2bl w:val="nil"/>
                  </w:tcBorders>
                  <w:noWrap w:val="0"/>
                  <w:vAlign w:val="center"/>
                </w:tcPr>
                <w:p w14:paraId="759CD97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601" w:type="pct"/>
                  <w:tcBorders>
                    <w:tl2br w:val="nil"/>
                    <w:tr2bl w:val="nil"/>
                  </w:tcBorders>
                  <w:noWrap w:val="0"/>
                  <w:vAlign w:val="center"/>
                </w:tcPr>
                <w:p w14:paraId="4720B6B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0.45</w:t>
                  </w:r>
                </w:p>
              </w:tc>
              <w:tc>
                <w:tcPr>
                  <w:tcW w:w="547" w:type="pct"/>
                  <w:tcBorders>
                    <w:tl2br w:val="nil"/>
                    <w:tr2bl w:val="nil"/>
                  </w:tcBorders>
                  <w:noWrap w:val="0"/>
                  <w:vAlign w:val="center"/>
                </w:tcPr>
                <w:p w14:paraId="003700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1135" w:type="pct"/>
                  <w:vMerge w:val="continue"/>
                  <w:tcBorders>
                    <w:tl2br w:val="nil"/>
                    <w:tr2bl w:val="nil"/>
                  </w:tcBorders>
                  <w:noWrap w:val="0"/>
                  <w:vAlign w:val="center"/>
                </w:tcPr>
                <w:p w14:paraId="49FC9C9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36C3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restart"/>
                  <w:tcBorders>
                    <w:tl2br w:val="nil"/>
                    <w:tr2bl w:val="nil"/>
                  </w:tcBorders>
                  <w:noWrap w:val="0"/>
                  <w:vAlign w:val="center"/>
                </w:tcPr>
                <w:p w14:paraId="44673B3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bCs/>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共计</w:t>
                  </w:r>
                </w:p>
              </w:tc>
              <w:tc>
                <w:tcPr>
                  <w:tcW w:w="751" w:type="pct"/>
                  <w:tcBorders>
                    <w:tl2br w:val="nil"/>
                    <w:tr2bl w:val="nil"/>
                  </w:tcBorders>
                  <w:noWrap w:val="0"/>
                  <w:vAlign w:val="center"/>
                </w:tcPr>
                <w:p w14:paraId="6849D28D">
                  <w:pPr>
                    <w:keepNext w:val="0"/>
                    <w:keepLines w:val="0"/>
                    <w:suppressLineNumbers w:val="0"/>
                    <w:spacing w:before="0" w:beforeAutospacing="0" w:after="0" w:afterAutospacing="0"/>
                    <w:ind w:left="0" w:right="0"/>
                    <w:jc w:val="center"/>
                    <w:rPr>
                      <w:rFonts w:hint="eastAsia" w:cs="Times New Roman"/>
                      <w:b w:val="0"/>
                      <w:bCs w:val="0"/>
                      <w:color w:val="000000" w:themeColor="text1"/>
                      <w:sz w:val="21"/>
                      <w:szCs w:val="21"/>
                      <w:lang w:val="en-US" w:eastAsia="zh-CN"/>
                      <w14:textFill>
                        <w14:solidFill>
                          <w14:schemeClr w14:val="tx1"/>
                        </w14:solidFill>
                      </w14:textFill>
                    </w:rPr>
                  </w:pPr>
                  <w:r>
                    <w:rPr>
                      <w:rFonts w:hint="default"/>
                      <w:color w:val="000000" w:themeColor="text1"/>
                      <w:szCs w:val="21"/>
                      <w14:textFill>
                        <w14:solidFill>
                          <w14:schemeClr w14:val="tx1"/>
                        </w14:solidFill>
                      </w14:textFill>
                    </w:rPr>
                    <w:t>采暖期</w:t>
                  </w:r>
                </w:p>
              </w:tc>
              <w:tc>
                <w:tcPr>
                  <w:tcW w:w="811" w:type="pct"/>
                  <w:tcBorders>
                    <w:tl2br w:val="nil"/>
                    <w:tr2bl w:val="nil"/>
                  </w:tcBorders>
                  <w:noWrap w:val="0"/>
                  <w:vAlign w:val="center"/>
                </w:tcPr>
                <w:p w14:paraId="2931856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w:t>
                  </w:r>
                </w:p>
              </w:tc>
              <w:tc>
                <w:tcPr>
                  <w:tcW w:w="721" w:type="pct"/>
                  <w:tcBorders>
                    <w:tl2br w:val="nil"/>
                    <w:tr2bl w:val="nil"/>
                  </w:tcBorders>
                  <w:noWrap w:val="0"/>
                  <w:vAlign w:val="center"/>
                </w:tcPr>
                <w:p w14:paraId="7AA3354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w:t>
                  </w:r>
                </w:p>
              </w:tc>
              <w:tc>
                <w:tcPr>
                  <w:tcW w:w="601" w:type="pct"/>
                  <w:tcBorders>
                    <w:tl2br w:val="nil"/>
                    <w:tr2bl w:val="nil"/>
                  </w:tcBorders>
                  <w:noWrap w:val="0"/>
                  <w:vAlign w:val="center"/>
                </w:tcPr>
                <w:p w14:paraId="4C2F754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15.94</w:t>
                  </w:r>
                </w:p>
              </w:tc>
              <w:tc>
                <w:tcPr>
                  <w:tcW w:w="547" w:type="pct"/>
                  <w:tcBorders>
                    <w:tl2br w:val="nil"/>
                    <w:tr2bl w:val="nil"/>
                  </w:tcBorders>
                  <w:noWrap w:val="0"/>
                  <w:vAlign w:val="center"/>
                </w:tcPr>
                <w:p w14:paraId="5C4329C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1.92</w:t>
                  </w:r>
                </w:p>
              </w:tc>
              <w:tc>
                <w:tcPr>
                  <w:tcW w:w="1135" w:type="pct"/>
                  <w:tcBorders>
                    <w:tl2br w:val="nil"/>
                    <w:tr2bl w:val="nil"/>
                  </w:tcBorders>
                  <w:noWrap w:val="0"/>
                  <w:vAlign w:val="center"/>
                </w:tcPr>
                <w:p w14:paraId="5139C3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7426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tcBorders>
                    <w:tl2br w:val="nil"/>
                    <w:tr2bl w:val="nil"/>
                  </w:tcBorders>
                  <w:noWrap w:val="0"/>
                  <w:vAlign w:val="center"/>
                </w:tcPr>
                <w:p w14:paraId="300B98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val="0"/>
                      <w:bCs w:val="0"/>
                      <w:color w:val="000000" w:themeColor="text1"/>
                      <w:sz w:val="21"/>
                      <w:szCs w:val="21"/>
                      <w:lang w:val="en-US" w:eastAsia="zh-CN"/>
                      <w14:textFill>
                        <w14:solidFill>
                          <w14:schemeClr w14:val="tx1"/>
                        </w14:solidFill>
                      </w14:textFill>
                    </w:rPr>
                  </w:pPr>
                </w:p>
              </w:tc>
              <w:tc>
                <w:tcPr>
                  <w:tcW w:w="751" w:type="pct"/>
                  <w:tcBorders>
                    <w:tl2br w:val="nil"/>
                    <w:tr2bl w:val="nil"/>
                  </w:tcBorders>
                  <w:noWrap w:val="0"/>
                  <w:vAlign w:val="center"/>
                </w:tcPr>
                <w:p w14:paraId="3879EC21">
                  <w:pPr>
                    <w:keepNext w:val="0"/>
                    <w:keepLines w:val="0"/>
                    <w:suppressLineNumbers w:val="0"/>
                    <w:spacing w:before="0" w:beforeAutospacing="0" w:after="0" w:afterAutospacing="0"/>
                    <w:ind w:left="0" w:right="0"/>
                    <w:jc w:val="center"/>
                    <w:rPr>
                      <w:rFonts w:hint="eastAsia" w:cs="Times New Roman"/>
                      <w:b w:val="0"/>
                      <w:bCs w:val="0"/>
                      <w:color w:val="000000" w:themeColor="text1"/>
                      <w:sz w:val="21"/>
                      <w:szCs w:val="21"/>
                      <w:lang w:val="en-US" w:eastAsia="zh-CN"/>
                      <w14:textFill>
                        <w14:solidFill>
                          <w14:schemeClr w14:val="tx1"/>
                        </w14:solidFill>
                      </w14:textFill>
                    </w:rPr>
                  </w:pPr>
                  <w:r>
                    <w:rPr>
                      <w:rFonts w:hint="default"/>
                      <w:color w:val="000000" w:themeColor="text1"/>
                      <w:szCs w:val="21"/>
                      <w14:textFill>
                        <w14:solidFill>
                          <w14:schemeClr w14:val="tx1"/>
                        </w14:solidFill>
                      </w14:textFill>
                    </w:rPr>
                    <w:t>非采暖期</w:t>
                  </w:r>
                </w:p>
              </w:tc>
              <w:tc>
                <w:tcPr>
                  <w:tcW w:w="811" w:type="pct"/>
                  <w:tcBorders>
                    <w:tl2br w:val="nil"/>
                    <w:tr2bl w:val="nil"/>
                  </w:tcBorders>
                  <w:noWrap w:val="0"/>
                  <w:vAlign w:val="center"/>
                </w:tcPr>
                <w:p w14:paraId="69D52CD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w:t>
                  </w:r>
                </w:p>
              </w:tc>
              <w:tc>
                <w:tcPr>
                  <w:tcW w:w="721" w:type="pct"/>
                  <w:tcBorders>
                    <w:tl2br w:val="nil"/>
                    <w:tr2bl w:val="nil"/>
                  </w:tcBorders>
                  <w:noWrap w:val="0"/>
                  <w:vAlign w:val="center"/>
                </w:tcPr>
                <w:p w14:paraId="47D45FE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w:t>
                  </w:r>
                </w:p>
              </w:tc>
              <w:tc>
                <w:tcPr>
                  <w:tcW w:w="601" w:type="pct"/>
                  <w:tcBorders>
                    <w:tl2br w:val="nil"/>
                    <w:tr2bl w:val="nil"/>
                  </w:tcBorders>
                  <w:noWrap w:val="0"/>
                  <w:vAlign w:val="center"/>
                </w:tcPr>
                <w:p w14:paraId="4DA0CDE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16.39</w:t>
                  </w:r>
                </w:p>
              </w:tc>
              <w:tc>
                <w:tcPr>
                  <w:tcW w:w="547" w:type="pct"/>
                  <w:tcBorders>
                    <w:tl2br w:val="nil"/>
                    <w:tr2bl w:val="nil"/>
                  </w:tcBorders>
                  <w:noWrap w:val="0"/>
                  <w:vAlign w:val="center"/>
                </w:tcPr>
                <w:p w14:paraId="5702F00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1.92</w:t>
                  </w:r>
                </w:p>
              </w:tc>
              <w:tc>
                <w:tcPr>
                  <w:tcW w:w="1135" w:type="pct"/>
                  <w:tcBorders>
                    <w:tl2br w:val="nil"/>
                    <w:tr2bl w:val="nil"/>
                  </w:tcBorders>
                  <w:noWrap w:val="0"/>
                  <w:vAlign w:val="center"/>
                </w:tcPr>
                <w:p w14:paraId="5EF43A9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bl>
          <w:p w14:paraId="4B381CD5">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20" w:firstLineChars="200"/>
              <w:textAlignment w:val="auto"/>
              <w:rPr>
                <w:rFonts w:hint="default"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pPr>
            <w:r>
              <w:rPr>
                <w:rFonts w:hint="default"/>
                <w:color w:val="000000" w:themeColor="text1"/>
                <w14:textFill>
                  <w14:solidFill>
                    <w14:schemeClr w14:val="tx1"/>
                  </w14:solidFill>
                </w14:textFill>
              </w:rPr>
              <w:drawing>
                <wp:anchor distT="0" distB="0" distL="114300" distR="114300" simplePos="0" relativeHeight="251668480" behindDoc="1" locked="0" layoutInCell="1" allowOverlap="1">
                  <wp:simplePos x="0" y="0"/>
                  <wp:positionH relativeFrom="column">
                    <wp:posOffset>112395</wp:posOffset>
                  </wp:positionH>
                  <wp:positionV relativeFrom="paragraph">
                    <wp:posOffset>64135</wp:posOffset>
                  </wp:positionV>
                  <wp:extent cx="4903470" cy="3303905"/>
                  <wp:effectExtent l="0" t="0" r="11430" b="10795"/>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4903470" cy="3303905"/>
                          </a:xfrm>
                          <a:prstGeom prst="rect">
                            <a:avLst/>
                          </a:prstGeom>
                          <a:noFill/>
                          <a:ln>
                            <a:noFill/>
                          </a:ln>
                        </pic:spPr>
                      </pic:pic>
                    </a:graphicData>
                  </a:graphic>
                </wp:anchor>
              </w:drawing>
            </w:r>
          </w:p>
          <w:p w14:paraId="6D373AC6">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pPr>
          </w:p>
          <w:p w14:paraId="7AA0F39E">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pPr>
          </w:p>
          <w:p w14:paraId="054238A1">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pPr>
          </w:p>
          <w:p w14:paraId="68C4B818">
            <w:pPr>
              <w:pStyle w:val="7"/>
              <w:suppressLineNumbers w:val="0"/>
              <w:spacing w:beforeAutospacing="0" w:after="0" w:afterAutospacing="0"/>
              <w:ind w:left="0" w:right="0"/>
              <w:rPr>
                <w:rFonts w:hint="default"/>
                <w:color w:val="000000" w:themeColor="text1"/>
                <w:lang w:val="en-US" w:eastAsia="zh-CN"/>
                <w14:textFill>
                  <w14:solidFill>
                    <w14:schemeClr w14:val="tx1"/>
                  </w14:solidFill>
                </w14:textFill>
              </w:rPr>
            </w:pPr>
          </w:p>
          <w:p w14:paraId="67CC6731">
            <w:pPr>
              <w:keepNext w:val="0"/>
              <w:keepLines w:val="0"/>
              <w:suppressLineNumbers w:val="0"/>
              <w:spacing w:before="0" w:beforeAutospacing="0" w:after="0" w:afterAutospacing="0"/>
              <w:ind w:left="0" w:right="0"/>
              <w:rPr>
                <w:rFonts w:hint="default"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pPr>
          </w:p>
          <w:p w14:paraId="02F3AFAD">
            <w:pPr>
              <w:pStyle w:val="7"/>
              <w:suppressLineNumbers w:val="0"/>
              <w:spacing w:beforeAutospacing="0" w:after="0" w:afterAutospacing="0"/>
              <w:ind w:left="0" w:right="0"/>
              <w:rPr>
                <w:rFonts w:hint="default"/>
                <w:color w:val="000000" w:themeColor="text1"/>
                <w:lang w:val="en-US" w:eastAsia="zh-CN"/>
                <w14:textFill>
                  <w14:solidFill>
                    <w14:schemeClr w14:val="tx1"/>
                  </w14:solidFill>
                </w14:textFill>
              </w:rPr>
            </w:pPr>
          </w:p>
          <w:p w14:paraId="61347264">
            <w:pPr>
              <w:keepNext w:val="0"/>
              <w:keepLines w:val="0"/>
              <w:suppressLineNumbers w:val="0"/>
              <w:spacing w:before="0" w:beforeAutospacing="0" w:after="0" w:afterAutospacing="0"/>
              <w:ind w:left="0" w:right="0"/>
              <w:rPr>
                <w:rFonts w:hint="default"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pPr>
          </w:p>
          <w:p w14:paraId="1C29B92E">
            <w:pPr>
              <w:pStyle w:val="7"/>
              <w:suppressLineNumbers w:val="0"/>
              <w:spacing w:beforeAutospacing="0" w:after="0" w:afterAutospacing="0"/>
              <w:ind w:left="0" w:right="0"/>
              <w:rPr>
                <w:rFonts w:hint="default"/>
                <w:color w:val="000000" w:themeColor="text1"/>
                <w:lang w:val="en-US" w:eastAsia="zh-CN"/>
                <w14:textFill>
                  <w14:solidFill>
                    <w14:schemeClr w14:val="tx1"/>
                  </w14:solidFill>
                </w14:textFill>
              </w:rPr>
            </w:pPr>
          </w:p>
          <w:p w14:paraId="2D086501">
            <w:pPr>
              <w:pStyle w:val="7"/>
              <w:keepNext/>
              <w:keepLines/>
              <w:pageBreakBefore w:val="0"/>
              <w:widowControl/>
              <w:suppressLineNumbers w:val="0"/>
              <w:kinsoku/>
              <w:wordWrap/>
              <w:overflowPunct/>
              <w:topLinePunct w:val="0"/>
              <w:autoSpaceDE/>
              <w:autoSpaceDN/>
              <w:bidi w:val="0"/>
              <w:adjustRightInd/>
              <w:snapToGrid/>
              <w:spacing w:before="0" w:beforeLines="0" w:beforeAutospacing="0" w:after="0" w:afterAutospacing="0" w:line="480" w:lineRule="exact"/>
              <w:ind w:left="0" w:right="0"/>
              <w:jc w:val="center"/>
              <w:textAlignment w:val="auto"/>
              <w:rPr>
                <w:rFonts w:hint="default" w:ascii="Times New Roman" w:hAnsi="Times New Roman" w:eastAsia="宋体" w:cs="Times New Roman"/>
                <w:b/>
                <w:bCs w:val="0"/>
                <w:color w:val="000000" w:themeColor="text1"/>
                <w:lang w:val="en-US" w:eastAsia="zh-CN"/>
                <w14:textFill>
                  <w14:solidFill>
                    <w14:schemeClr w14:val="tx1"/>
                  </w14:solidFill>
                </w14:textFill>
              </w:rPr>
            </w:pPr>
          </w:p>
          <w:p w14:paraId="694CBC1C">
            <w:pPr>
              <w:keepNext/>
              <w:keepLines/>
              <w:pageBreakBefore w:val="0"/>
              <w:widowControl/>
              <w:numPr>
                <w:ilvl w:val="0"/>
                <w:numId w:val="0"/>
              </w:numPr>
              <w:suppressLineNumbers w:val="0"/>
              <w:kinsoku/>
              <w:wordWrap/>
              <w:overflowPunct/>
              <w:topLinePunct w:val="0"/>
              <w:autoSpaceDE/>
              <w:autoSpaceDN/>
              <w:bidi w:val="0"/>
              <w:adjustRightInd/>
              <w:snapToGrid/>
              <w:spacing w:before="0" w:beforeLines="0" w:beforeAutospacing="0" w:after="0" w:afterAutospacing="0" w:line="480" w:lineRule="exact"/>
              <w:ind w:left="0" w:leftChars="0" w:right="0" w:rightChars="0"/>
              <w:jc w:val="center"/>
              <w:textAlignment w:val="auto"/>
              <w:outlineLvl w:val="9"/>
              <w:rPr>
                <w:rFonts w:hint="eastAsia" w:cs="Times New Roman"/>
                <w:b/>
                <w:bCs w:val="0"/>
                <w:color w:val="000000" w:themeColor="text1"/>
                <w:sz w:val="21"/>
                <w:szCs w:val="21"/>
                <w:lang w:val="en-US" w:eastAsia="zh-CN"/>
                <w14:textFill>
                  <w14:solidFill>
                    <w14:schemeClr w14:val="tx1"/>
                  </w14:solidFill>
                </w14:textFill>
              </w:rPr>
            </w:pPr>
          </w:p>
          <w:p w14:paraId="28DBA570">
            <w:pPr>
              <w:keepNext/>
              <w:keepLines/>
              <w:pageBreakBefore w:val="0"/>
              <w:widowControl/>
              <w:numPr>
                <w:ilvl w:val="0"/>
                <w:numId w:val="0"/>
              </w:numPr>
              <w:suppressLineNumbers w:val="0"/>
              <w:kinsoku/>
              <w:wordWrap/>
              <w:overflowPunct/>
              <w:topLinePunct w:val="0"/>
              <w:autoSpaceDE/>
              <w:autoSpaceDN/>
              <w:bidi w:val="0"/>
              <w:adjustRightInd/>
              <w:snapToGrid/>
              <w:spacing w:before="0" w:beforeLines="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p>
          <w:p w14:paraId="69D3FBC3">
            <w:pPr>
              <w:keepNext/>
              <w:keepLines/>
              <w:pageBreakBefore w:val="0"/>
              <w:widowControl/>
              <w:numPr>
                <w:ilvl w:val="0"/>
                <w:numId w:val="0"/>
              </w:numPr>
              <w:suppressLineNumbers w:val="0"/>
              <w:kinsoku/>
              <w:wordWrap/>
              <w:overflowPunct/>
              <w:topLinePunct w:val="0"/>
              <w:autoSpaceDE/>
              <w:autoSpaceDN/>
              <w:bidi w:val="0"/>
              <w:adjustRightInd/>
              <w:snapToGrid/>
              <w:spacing w:before="0" w:beforeLines="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图2</w:t>
            </w:r>
            <w:r>
              <w:rPr>
                <w:rFonts w:hint="eastAsia" w:cs="Times New Roman"/>
                <w:b/>
                <w:bCs w:val="0"/>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 xml:space="preserve">-1  </w:t>
            </w:r>
            <w:r>
              <w:rPr>
                <w:rFonts w:hint="eastAsia" w:eastAsia="宋体" w:cs="Times New Roman"/>
                <w:b/>
                <w:bCs w:val="0"/>
                <w:color w:val="000000" w:themeColor="text1"/>
                <w:sz w:val="21"/>
                <w:szCs w:val="21"/>
                <w:lang w:val="en-US" w:eastAsia="zh-CN"/>
                <w14:textFill>
                  <w14:solidFill>
                    <w14:schemeClr w14:val="tx1"/>
                  </w14:solidFill>
                </w14:textFill>
              </w:rPr>
              <w:t>本</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项目水平衡图（单位：</w:t>
            </w:r>
            <w:r>
              <w:rPr>
                <w:rFonts w:hint="default" w:ascii="Times New Roman" w:hAnsi="Times New Roman" w:eastAsia="宋体" w:cs="Times New Roman"/>
                <w:b/>
                <w:bCs w:val="0"/>
                <w:color w:val="000000" w:themeColor="text1"/>
                <w:sz w:val="21"/>
                <w:szCs w:val="21"/>
                <w14:textFill>
                  <w14:solidFill>
                    <w14:schemeClr w14:val="tx1"/>
                  </w14:solidFill>
                </w14:textFill>
              </w:rPr>
              <w:t>m</w:t>
            </w:r>
            <w:r>
              <w:rPr>
                <w:rFonts w:hint="default" w:ascii="Times New Roman" w:hAnsi="Times New Roman" w:eastAsia="宋体" w:cs="Times New Roman"/>
                <w:b/>
                <w:bCs w:val="0"/>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val="0"/>
                <w:color w:val="000000" w:themeColor="text1"/>
                <w:sz w:val="21"/>
                <w:szCs w:val="21"/>
                <w14:textFill>
                  <w14:solidFill>
                    <w14:schemeClr w14:val="tx1"/>
                  </w14:solidFill>
                </w14:textFill>
              </w:rPr>
              <w:t>/d</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w:t>
            </w:r>
          </w:p>
          <w:p w14:paraId="1385DF6E">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pPr>
            <w:r>
              <w:rPr>
                <w:rFonts w:hint="eastAsia" w:cs="Times New Roman"/>
                <w:b/>
                <w:bCs w:val="0"/>
                <w:color w:val="000000" w:themeColor="text1"/>
                <w:spacing w:val="0"/>
                <w:sz w:val="24"/>
                <w:szCs w:val="24"/>
                <w:highlight w:val="none"/>
                <w:lang w:val="en-US" w:eastAsia="zh-CN"/>
                <w14:textFill>
                  <w14:solidFill>
                    <w14:schemeClr w14:val="tx1"/>
                  </w14:solidFill>
                </w14:textFill>
              </w:rPr>
              <w:t>2.9.2</w:t>
            </w:r>
            <w:r>
              <w:rPr>
                <w:rFonts w:hint="default" w:eastAsia="宋体" w:cs="Times New Roman"/>
                <w:b/>
                <w:bCs w:val="0"/>
                <w:color w:val="000000" w:themeColor="text1"/>
                <w:spacing w:val="0"/>
                <w:sz w:val="24"/>
                <w:szCs w:val="24"/>
                <w:highlight w:val="none"/>
                <w:lang w:val="en-US" w:eastAsia="zh-CN"/>
                <w14:textFill>
                  <w14:solidFill>
                    <w14:schemeClr w14:val="tx1"/>
                  </w14:solidFill>
                </w14:textFill>
              </w:rPr>
              <w:t>供电</w:t>
            </w:r>
          </w:p>
          <w:p w14:paraId="26BFF41E">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新建1台500KVA变压器，能满足供电需求</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p>
          <w:p w14:paraId="0B6F3E6F">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pPr>
            <w:r>
              <w:rPr>
                <w:rFonts w:hint="eastAsia" w:cs="Times New Roman"/>
                <w:b/>
                <w:bCs w:val="0"/>
                <w:color w:val="000000" w:themeColor="text1"/>
                <w:spacing w:val="0"/>
                <w:sz w:val="24"/>
                <w:szCs w:val="24"/>
                <w:highlight w:val="none"/>
                <w:lang w:val="en-US" w:eastAsia="zh-CN"/>
                <w14:textFill>
                  <w14:solidFill>
                    <w14:schemeClr w14:val="tx1"/>
                  </w14:solidFill>
                </w14:textFill>
              </w:rPr>
              <w:t>2.9.3供</w:t>
            </w:r>
            <w:r>
              <w:rPr>
                <w:rFonts w:hint="default"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t>暖</w:t>
            </w:r>
          </w:p>
          <w:p w14:paraId="45F70AD7">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生产区冬季不采暖，生活区</w:t>
            </w:r>
            <w:r>
              <w:rPr>
                <w:rFonts w:hint="eastAsia" w:cs="Times New Roman"/>
                <w:bCs/>
                <w:color w:val="000000" w:themeColor="text1"/>
                <w:spacing w:val="0"/>
                <w:sz w:val="24"/>
                <w:szCs w:val="24"/>
                <w:highlight w:val="none"/>
                <w:lang w:val="en-US" w:eastAsia="zh-CN"/>
                <w14:textFill>
                  <w14:solidFill>
                    <w14:schemeClr w14:val="tx1"/>
                  </w14:solidFill>
                </w14:textFill>
              </w:rPr>
              <w:t>依托现有</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电采暖</w:t>
            </w:r>
            <w:r>
              <w:rPr>
                <w:rFonts w:hint="eastAsia" w:cs="Times New Roman"/>
                <w:color w:val="000000" w:themeColor="text1"/>
                <w:spacing w:val="0"/>
                <w:sz w:val="24"/>
                <w:szCs w:val="24"/>
                <w:highlight w:val="none"/>
                <w:lang w:val="en-US" w:eastAsia="zh-CN"/>
                <w14:textFill>
                  <w14:solidFill>
                    <w14:schemeClr w14:val="tx1"/>
                  </w14:solidFill>
                </w14:textFill>
              </w:rPr>
              <w:t>。</w:t>
            </w:r>
          </w:p>
        </w:tc>
      </w:tr>
      <w:tr w14:paraId="05B73E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4" w:type="dxa"/>
            <w:vAlign w:val="center"/>
          </w:tcPr>
          <w:p w14:paraId="31895067">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br w:type="page"/>
            </w:r>
            <w:r>
              <w:rPr>
                <w:rFonts w:hint="default" w:ascii="Times New Roman" w:hAnsi="Times New Roman" w:cs="Times New Roman"/>
                <w:b/>
                <w:bCs/>
                <w:color w:val="000000" w:themeColor="text1"/>
                <w:sz w:val="21"/>
                <w:szCs w:val="21"/>
                <w:highlight w:val="none"/>
                <w14:textFill>
                  <w14:solidFill>
                    <w14:schemeClr w14:val="tx1"/>
                  </w14:solidFill>
                </w14:textFill>
              </w:rPr>
              <w:t>工艺流程和产排污环节</w:t>
            </w:r>
          </w:p>
        </w:tc>
        <w:tc>
          <w:tcPr>
            <w:tcW w:w="8405" w:type="dxa"/>
          </w:tcPr>
          <w:p w14:paraId="019EAC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2.10</w:t>
            </w:r>
            <w:r>
              <w:rPr>
                <w:rFonts w:hint="default" w:ascii="Times New Roman" w:hAnsi="Times New Roman" w:eastAsia="宋体" w:cs="Times New Roman"/>
                <w:b/>
                <w:bCs/>
                <w:color w:val="000000" w:themeColor="text1"/>
                <w:sz w:val="24"/>
                <w:szCs w:val="24"/>
                <w14:textFill>
                  <w14:solidFill>
                    <w14:schemeClr w14:val="tx1"/>
                  </w14:solidFill>
                </w14:textFill>
              </w:rPr>
              <w:t>工艺流程简述（图示）</w:t>
            </w:r>
          </w:p>
          <w:p w14:paraId="46D1C42D">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cs="Times New Roman"/>
                <w:color w:val="000000" w:themeColor="text1"/>
                <w:spacing w:val="0"/>
                <w:sz w:val="24"/>
                <w:szCs w:val="20"/>
                <w:highlight w:val="none"/>
                <w:lang w:val="en-US" w:eastAsia="zh-CN"/>
                <w14:textFill>
                  <w14:solidFill>
                    <w14:schemeClr w14:val="tx1"/>
                  </w14:solidFill>
                </w14:textFill>
              </w:rPr>
            </w:pPr>
            <w:r>
              <w:rPr>
                <w:rFonts w:hint="eastAsia" w:cs="Times New Roman"/>
                <w:color w:val="000000" w:themeColor="text1"/>
                <w:spacing w:val="0"/>
                <w:sz w:val="24"/>
                <w:szCs w:val="20"/>
                <w:highlight w:val="none"/>
                <w:lang w:val="en-US" w:eastAsia="zh-CN"/>
                <w14:textFill>
                  <w14:solidFill>
                    <w14:schemeClr w14:val="tx1"/>
                  </w14:solidFill>
                </w14:textFill>
              </w:rPr>
              <w:t>（1）原料储存</w:t>
            </w:r>
          </w:p>
          <w:p w14:paraId="10A210F2">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cs="Times New Roman"/>
                <w:color w:val="000000" w:themeColor="text1"/>
                <w:spacing w:val="0"/>
                <w:sz w:val="24"/>
                <w:szCs w:val="20"/>
                <w:highlight w:val="none"/>
                <w:lang w:val="en-US" w:eastAsia="zh-CN"/>
                <w14:textFill>
                  <w14:solidFill>
                    <w14:schemeClr w14:val="tx1"/>
                  </w14:solidFill>
                </w14:textFill>
              </w:rPr>
            </w:pPr>
            <w:r>
              <w:rPr>
                <w:rFonts w:hint="eastAsia" w:hAnsi="宋体"/>
                <w:color w:val="000000" w:themeColor="text1"/>
                <w:sz w:val="24"/>
                <w14:textFill>
                  <w14:solidFill>
                    <w14:schemeClr w14:val="tx1"/>
                  </w14:solidFill>
                </w14:textFill>
              </w:rPr>
              <w:t>原料（煤矸石）</w:t>
            </w:r>
            <w:r>
              <w:rPr>
                <w:rFonts w:hint="eastAsia" w:hAnsi="宋体"/>
                <w:color w:val="000000" w:themeColor="text1"/>
                <w:sz w:val="24"/>
                <w:lang w:val="en-US" w:eastAsia="zh-CN"/>
                <w14:textFill>
                  <w14:solidFill>
                    <w14:schemeClr w14:val="tx1"/>
                  </w14:solidFill>
                </w14:textFill>
              </w:rPr>
              <w:t>来源为厂区内富健达洗煤厂和厂区西侧约3km处的余吾煤矿，均由封闭式厢式车运输至本项目生产车间内原料堆放区，</w:t>
            </w:r>
            <w:r>
              <w:rPr>
                <w:rFonts w:hint="default" w:cs="Times New Roman"/>
                <w:color w:val="000000" w:themeColor="text1"/>
                <w:spacing w:val="0"/>
                <w:sz w:val="24"/>
                <w:szCs w:val="20"/>
                <w:highlight w:val="none"/>
                <w:lang w:val="en-US" w:eastAsia="zh-CN"/>
                <w14:textFill>
                  <w14:solidFill>
                    <w14:schemeClr w14:val="tx1"/>
                  </w14:solidFill>
                </w14:textFill>
              </w:rPr>
              <w:t>原料在全封闭原料</w:t>
            </w:r>
            <w:r>
              <w:rPr>
                <w:rFonts w:hint="eastAsia" w:cs="Times New Roman"/>
                <w:color w:val="000000" w:themeColor="text1"/>
                <w:spacing w:val="0"/>
                <w:sz w:val="24"/>
                <w:szCs w:val="20"/>
                <w:highlight w:val="none"/>
                <w:lang w:val="en-US" w:eastAsia="zh-CN"/>
                <w14:textFill>
                  <w14:solidFill>
                    <w14:schemeClr w14:val="tx1"/>
                  </w14:solidFill>
                </w14:textFill>
              </w:rPr>
              <w:t>堆放区</w:t>
            </w:r>
            <w:r>
              <w:rPr>
                <w:rFonts w:hint="default" w:cs="Times New Roman"/>
                <w:color w:val="000000" w:themeColor="text1"/>
                <w:spacing w:val="0"/>
                <w:sz w:val="24"/>
                <w:szCs w:val="20"/>
                <w:highlight w:val="none"/>
                <w:lang w:val="en-US" w:eastAsia="zh-CN"/>
                <w14:textFill>
                  <w14:solidFill>
                    <w14:schemeClr w14:val="tx1"/>
                  </w14:solidFill>
                </w14:textFill>
              </w:rPr>
              <w:t>内进行卸料，卸料过程中规范卸料，尽可能降低物料落差，卸料同时设置</w:t>
            </w:r>
            <w:r>
              <w:rPr>
                <w:rFonts w:hint="eastAsia" w:cs="Times New Roman"/>
                <w:color w:val="000000" w:themeColor="text1"/>
                <w:spacing w:val="0"/>
                <w:sz w:val="24"/>
                <w:szCs w:val="20"/>
                <w:highlight w:val="none"/>
                <w:lang w:val="en-US" w:eastAsia="zh-CN"/>
                <w14:textFill>
                  <w14:solidFill>
                    <w14:schemeClr w14:val="tx1"/>
                  </w14:solidFill>
                </w14:textFill>
              </w:rPr>
              <w:t>1</w:t>
            </w:r>
            <w:r>
              <w:rPr>
                <w:rFonts w:hint="default" w:cs="Times New Roman"/>
                <w:color w:val="000000" w:themeColor="text1"/>
                <w:spacing w:val="0"/>
                <w:sz w:val="24"/>
                <w:szCs w:val="20"/>
                <w:highlight w:val="none"/>
                <w:lang w:val="en-US" w:eastAsia="zh-CN"/>
                <w14:textFill>
                  <w14:solidFill>
                    <w14:schemeClr w14:val="tx1"/>
                  </w14:solidFill>
                </w14:textFill>
              </w:rPr>
              <w:t>台雾炮机进行喷雾洒水。</w:t>
            </w:r>
          </w:p>
          <w:p w14:paraId="7E19B121">
            <w:pPr>
              <w:keepNext w:val="0"/>
              <w:keepLines w:val="0"/>
              <w:suppressLineNumbers w:val="0"/>
              <w:spacing w:before="0" w:beforeAutospacing="0" w:after="0" w:afterAutospacing="0" w:line="480" w:lineRule="exact"/>
              <w:ind w:left="0" w:right="0" w:firstLine="480" w:firstLineChars="200"/>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给料、破碎、制砂、筛分</w:t>
            </w:r>
          </w:p>
          <w:p w14:paraId="5FFBB9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pacing w:val="0"/>
                <w:kern w:val="0"/>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0"/>
                <w:sz w:val="24"/>
                <w:szCs w:val="20"/>
                <w:highlight w:val="none"/>
                <w:lang w:val="en-US" w:eastAsia="zh-CN" w:bidi="ar-SA"/>
                <w14:textFill>
                  <w14:solidFill>
                    <w14:schemeClr w14:val="tx1"/>
                  </w14:solidFill>
                </w14:textFill>
              </w:rPr>
              <w:t>使用铲车将原料送入振动给料机入料口，由给料机均匀地送入1台颚式破碎机进行一次破碎，</w:t>
            </w:r>
            <w:r>
              <w:rPr>
                <w:rFonts w:hint="eastAsia" w:cs="Times New Roman"/>
                <w:color w:val="000000" w:themeColor="text1"/>
                <w:spacing w:val="0"/>
                <w:kern w:val="0"/>
                <w:sz w:val="24"/>
                <w:szCs w:val="20"/>
                <w:highlight w:val="none"/>
                <w:lang w:val="en-US" w:eastAsia="zh-CN" w:bidi="ar-SA"/>
                <w14:textFill>
                  <w14:solidFill>
                    <w14:schemeClr w14:val="tx1"/>
                  </w14:solidFill>
                </w14:textFill>
              </w:rPr>
              <w:t>再由2条全封闭</w:t>
            </w:r>
            <w:r>
              <w:rPr>
                <w:rFonts w:hint="eastAsia" w:ascii="Times New Roman" w:hAnsi="Times New Roman" w:eastAsia="宋体" w:cs="Times New Roman"/>
                <w:color w:val="000000" w:themeColor="text1"/>
                <w:spacing w:val="0"/>
                <w:kern w:val="0"/>
                <w:sz w:val="24"/>
                <w:szCs w:val="20"/>
                <w:highlight w:val="none"/>
                <w:lang w:val="en-US" w:eastAsia="zh-CN" w:bidi="ar-SA"/>
                <w14:textFill>
                  <w14:solidFill>
                    <w14:schemeClr w14:val="tx1"/>
                  </w14:solidFill>
                </w14:textFill>
              </w:rPr>
              <w:t>皮带</w:t>
            </w:r>
            <w:r>
              <w:rPr>
                <w:rFonts w:hint="eastAsia" w:cs="Times New Roman"/>
                <w:color w:val="000000" w:themeColor="text1"/>
                <w:spacing w:val="0"/>
                <w:kern w:val="0"/>
                <w:sz w:val="24"/>
                <w:szCs w:val="20"/>
                <w:highlight w:val="none"/>
                <w:lang w:val="en-US" w:eastAsia="zh-CN" w:bidi="ar-SA"/>
                <w14:textFill>
                  <w14:solidFill>
                    <w14:schemeClr w14:val="tx1"/>
                  </w14:solidFill>
                </w14:textFill>
              </w:rPr>
              <w:t>输送至2台双级破碎机进行制砂工序，制砂完成后分别送入2台筛分机进行筛分，筛选出＜5mm和≥5mm的两种粒径物料，其中≥5mm物料由分别由2条返料皮带分别送入2台双级破碎机进行重新制砂。</w:t>
            </w:r>
          </w:p>
          <w:p w14:paraId="7F2D85AF">
            <w:pPr>
              <w:keepNext w:val="0"/>
              <w:keepLines w:val="0"/>
              <w:suppressLineNumbers w:val="0"/>
              <w:spacing w:before="0" w:beforeAutospacing="0" w:after="0" w:afterAutospacing="0" w:line="480" w:lineRule="exact"/>
              <w:ind w:left="0" w:right="0" w:firstLine="480" w:firstLineChars="200"/>
              <w:rPr>
                <w:rFonts w:hint="default" w:cs="Times New Roman"/>
                <w:color w:val="000000" w:themeColor="text1"/>
                <w:spacing w:val="0"/>
                <w:kern w:val="0"/>
                <w:sz w:val="24"/>
                <w:szCs w:val="20"/>
                <w:highlight w:val="none"/>
                <w:lang w:val="en-US" w:eastAsia="zh-CN" w:bidi="ar-SA"/>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（3）</w:t>
            </w:r>
            <w:r>
              <w:rPr>
                <w:rFonts w:hint="eastAsia" w:cs="Times New Roman"/>
                <w:color w:val="000000" w:themeColor="text1"/>
                <w:spacing w:val="0"/>
                <w:kern w:val="0"/>
                <w:sz w:val="24"/>
                <w:szCs w:val="20"/>
                <w:highlight w:val="none"/>
                <w:lang w:val="en-US" w:eastAsia="zh-CN" w:bidi="ar-SA"/>
                <w14:textFill>
                  <w14:solidFill>
                    <w14:schemeClr w14:val="tx1"/>
                  </w14:solidFill>
                </w14:textFill>
              </w:rPr>
              <w:t>产品储存、外售</w:t>
            </w:r>
          </w:p>
          <w:p w14:paraId="2A9AD29F">
            <w:pPr>
              <w:keepNext w:val="0"/>
              <w:keepLines w:val="0"/>
              <w:suppressLineNumbers w:val="0"/>
              <w:spacing w:before="0" w:beforeAutospacing="0" w:after="0" w:afterAutospacing="0" w:line="480" w:lineRule="exact"/>
              <w:ind w:left="0" w:right="0" w:firstLine="480" w:firstLineChars="200"/>
              <w:rPr>
                <w:rFonts w:hint="eastAsia" w:cs="Times New Roman"/>
                <w:color w:val="000000" w:themeColor="text1"/>
                <w:spacing w:val="0"/>
                <w:kern w:val="0"/>
                <w:sz w:val="24"/>
                <w:szCs w:val="20"/>
                <w:highlight w:val="none"/>
                <w:lang w:val="en-US" w:eastAsia="zh-CN" w:bidi="ar-SA"/>
                <w14:textFill>
                  <w14:solidFill>
                    <w14:schemeClr w14:val="tx1"/>
                  </w14:solidFill>
                </w14:textFill>
              </w:rPr>
            </w:pPr>
            <w:r>
              <w:rPr>
                <w:rFonts w:hint="eastAsia" w:cs="Times New Roman"/>
                <w:color w:val="000000" w:themeColor="text1"/>
                <w:spacing w:val="0"/>
                <w:kern w:val="0"/>
                <w:sz w:val="24"/>
                <w:szCs w:val="20"/>
                <w:highlight w:val="none"/>
                <w:lang w:val="en-US" w:eastAsia="zh-CN" w:bidi="ar-SA"/>
                <w14:textFill>
                  <w14:solidFill>
                    <w14:schemeClr w14:val="tx1"/>
                  </w14:solidFill>
                </w14:textFill>
              </w:rPr>
              <w:t>制砂完成后的物料粒径应＜5mm，成品机制砂由全封闭皮带输送至产品堆放区堆存。产品需外运时，由铲车将产品装载至运输车辆，经过地磅称重后，在出口处冲洗轮胎及车身后，驶出厂区。装料在全封闭生产车间内进行，装料过程中同样需要规范装料，尽可能降低物料落差，装料同时采用</w:t>
            </w:r>
            <w:r>
              <w:rPr>
                <w:rFonts w:hint="eastAsia" w:cs="Times New Roman"/>
                <w:color w:val="000000" w:themeColor="text1"/>
                <w:spacing w:val="0"/>
                <w:sz w:val="24"/>
                <w:szCs w:val="20"/>
                <w:highlight w:val="none"/>
                <w:lang w:val="en-US" w:eastAsia="zh-CN"/>
                <w14:textFill>
                  <w14:solidFill>
                    <w14:schemeClr w14:val="tx1"/>
                  </w14:solidFill>
                </w14:textFill>
              </w:rPr>
              <w:t>1</w:t>
            </w:r>
            <w:r>
              <w:rPr>
                <w:rFonts w:hint="default" w:cs="Times New Roman"/>
                <w:color w:val="000000" w:themeColor="text1"/>
                <w:spacing w:val="0"/>
                <w:sz w:val="24"/>
                <w:szCs w:val="20"/>
                <w:highlight w:val="none"/>
                <w:lang w:val="en-US" w:eastAsia="zh-CN"/>
                <w14:textFill>
                  <w14:solidFill>
                    <w14:schemeClr w14:val="tx1"/>
                  </w14:solidFill>
                </w14:textFill>
              </w:rPr>
              <w:t>台</w:t>
            </w:r>
            <w:r>
              <w:rPr>
                <w:rFonts w:hint="eastAsia" w:cs="Times New Roman"/>
                <w:color w:val="000000" w:themeColor="text1"/>
                <w:spacing w:val="0"/>
                <w:kern w:val="0"/>
                <w:sz w:val="24"/>
                <w:szCs w:val="20"/>
                <w:highlight w:val="none"/>
                <w:lang w:val="en-US" w:eastAsia="zh-CN" w:bidi="ar-SA"/>
                <w14:textFill>
                  <w14:solidFill>
                    <w14:schemeClr w14:val="tx1"/>
                  </w14:solidFill>
                </w14:textFill>
              </w:rPr>
              <w:t>雾炮机进行喷雾洒水。</w:t>
            </w:r>
          </w:p>
          <w:p w14:paraId="3F66AEA8">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生产工</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艺流程及污染节点见图2.1</w:t>
            </w:r>
            <w:r>
              <w:rPr>
                <w:rFonts w:hint="eastAsia" w:cs="Times New Roman"/>
                <w:bCs/>
                <w:color w:val="000000" w:themeColor="text1"/>
                <w:sz w:val="24"/>
                <w:szCs w:val="24"/>
                <w:highlight w:val="none"/>
                <w:lang w:val="en-US" w:eastAsia="zh-CN"/>
                <w14:textFill>
                  <w14:solidFill>
                    <w14:schemeClr w14:val="tx1"/>
                  </w14:solidFill>
                </w14:textFill>
              </w:rPr>
              <w:t>0-1</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14:paraId="63C24224">
            <w:pPr>
              <w:pStyle w:val="2"/>
              <w:keepNext w:val="0"/>
              <w:keepLines w:val="0"/>
              <w:suppressLineNumbers w:val="0"/>
              <w:spacing w:before="0" w:beforeAutospacing="0" w:after="0" w:afterAutospacing="0"/>
              <w:ind w:left="0" w:right="0"/>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1630A708">
            <w:pPr>
              <w:pStyle w:val="2"/>
              <w:keepNext w:val="0"/>
              <w:keepLines w:val="0"/>
              <w:suppressLineNumbers w:val="0"/>
              <w:spacing w:before="0" w:beforeAutospacing="0" w:after="0" w:afterAutospacing="0"/>
              <w:ind w:left="0" w:right="0"/>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7F6405F6">
            <w:pPr>
              <w:pStyle w:val="2"/>
              <w:keepNext w:val="0"/>
              <w:keepLines w:val="0"/>
              <w:suppressLineNumbers w:val="0"/>
              <w:spacing w:before="0" w:beforeAutospacing="0" w:after="0" w:afterAutospacing="0"/>
              <w:ind w:left="0" w:right="0"/>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6ADE844D">
            <w:pPr>
              <w:pStyle w:val="2"/>
              <w:keepNext w:val="0"/>
              <w:keepLines w:val="0"/>
              <w:suppressLineNumbers w:val="0"/>
              <w:spacing w:before="0" w:beforeAutospacing="0" w:after="0" w:afterAutospacing="0"/>
              <w:ind w:left="0" w:right="0"/>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4290EEAC">
            <w:pPr>
              <w:pStyle w:val="2"/>
              <w:keepNext w:val="0"/>
              <w:keepLines w:val="0"/>
              <w:suppressLineNumbers w:val="0"/>
              <w:spacing w:before="0" w:beforeAutospacing="0" w:after="0" w:afterAutospacing="0"/>
              <w:ind w:left="0" w:right="0"/>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0D15B0BB">
            <w:pPr>
              <w:pStyle w:val="2"/>
              <w:keepNext w:val="0"/>
              <w:keepLines w:val="0"/>
              <w:suppressLineNumbers w:val="0"/>
              <w:spacing w:before="0" w:beforeAutospacing="0" w:after="0" w:afterAutospacing="0"/>
              <w:ind w:left="0" w:right="0"/>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75860F4B">
            <w:pPr>
              <w:pStyle w:val="2"/>
              <w:keepNext w:val="0"/>
              <w:keepLines w:val="0"/>
              <w:suppressLineNumbers w:val="0"/>
              <w:spacing w:before="0" w:beforeAutospacing="0" w:after="0" w:afterAutospacing="0"/>
              <w:ind w:left="0" w:right="0"/>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5A44CA58">
            <w:pPr>
              <w:pStyle w:val="2"/>
              <w:keepNext w:val="0"/>
              <w:keepLines w:val="0"/>
              <w:suppressLineNumbers w:val="0"/>
              <w:spacing w:before="0" w:beforeAutospacing="0" w:after="0" w:afterAutospacing="0"/>
              <w:ind w:left="0" w:right="0"/>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1A88051C">
            <w:pPr>
              <w:pStyle w:val="2"/>
              <w:keepNext w:val="0"/>
              <w:keepLines w:val="0"/>
              <w:suppressLineNumbers w:val="0"/>
              <w:spacing w:before="0" w:beforeAutospacing="0" w:after="0" w:afterAutospacing="0"/>
              <w:ind w:left="0" w:right="0"/>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77E8399C">
            <w:pPr>
              <w:pStyle w:val="2"/>
              <w:keepNext w:val="0"/>
              <w:keepLines w:val="0"/>
              <w:suppressLineNumbers w:val="0"/>
              <w:spacing w:before="0" w:beforeAutospacing="0" w:after="0" w:afterAutospacing="0"/>
              <w:ind w:left="0" w:right="0"/>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63F76E22">
            <w:pPr>
              <w:pStyle w:val="2"/>
              <w:keepNext w:val="0"/>
              <w:keepLines w:val="0"/>
              <w:suppressLineNumbers w:val="0"/>
              <w:spacing w:before="0" w:beforeAutospacing="0" w:after="0" w:afterAutospacing="0"/>
              <w:ind w:left="0" w:right="0"/>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42A0BB9B">
            <w:pPr>
              <w:pStyle w:val="2"/>
              <w:keepNext w:val="0"/>
              <w:keepLines w:val="0"/>
              <w:suppressLineNumbers w:val="0"/>
              <w:spacing w:before="0" w:beforeAutospacing="0" w:after="0" w:afterAutospacing="0"/>
              <w:ind w:left="0" w:right="0"/>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3ADBB350">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360" w:firstLineChars="200"/>
              <w:jc w:val="both"/>
              <w:textAlignment w:val="auto"/>
              <w:rPr>
                <w:rFonts w:hint="eastAsia" w:cs="Times New Roman"/>
                <w:color w:val="000000" w:themeColor="text1"/>
                <w:spacing w:val="0"/>
                <w:sz w:val="24"/>
                <w:szCs w:val="20"/>
                <w:highlight w:val="none"/>
                <w:lang w:val="en-US" w:eastAsia="zh-CN"/>
                <w14:textFill>
                  <w14:solidFill>
                    <w14:schemeClr w14:val="tx1"/>
                  </w14:solidFill>
                </w14:textFill>
              </w:rPr>
            </w:pPr>
            <w:r>
              <w:rPr>
                <w:rFonts w:hint="default"/>
                <w:color w:val="000000" w:themeColor="text1"/>
                <w14:textFill>
                  <w14:solidFill>
                    <w14:schemeClr w14:val="tx1"/>
                  </w14:solidFill>
                </w14:textFill>
              </w:rPr>
              <w:drawing>
                <wp:anchor distT="0" distB="0" distL="114300" distR="114300" simplePos="0" relativeHeight="251667456" behindDoc="1" locked="0" layoutInCell="1" allowOverlap="1">
                  <wp:simplePos x="0" y="0"/>
                  <wp:positionH relativeFrom="column">
                    <wp:posOffset>815340</wp:posOffset>
                  </wp:positionH>
                  <wp:positionV relativeFrom="paragraph">
                    <wp:posOffset>8890</wp:posOffset>
                  </wp:positionV>
                  <wp:extent cx="3169920" cy="4515485"/>
                  <wp:effectExtent l="0" t="0" r="11430" b="18415"/>
                  <wp:wrapNone/>
                  <wp:docPr id="2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7"/>
                          <pic:cNvPicPr>
                            <a:picLocks noChangeAspect="1"/>
                          </pic:cNvPicPr>
                        </pic:nvPicPr>
                        <pic:blipFill>
                          <a:blip r:embed="rId12"/>
                          <a:stretch>
                            <a:fillRect/>
                          </a:stretch>
                        </pic:blipFill>
                        <pic:spPr>
                          <a:xfrm>
                            <a:off x="0" y="0"/>
                            <a:ext cx="3169920" cy="4515485"/>
                          </a:xfrm>
                          <a:prstGeom prst="rect">
                            <a:avLst/>
                          </a:prstGeom>
                          <a:noFill/>
                          <a:ln>
                            <a:noFill/>
                          </a:ln>
                        </pic:spPr>
                      </pic:pic>
                    </a:graphicData>
                  </a:graphic>
                </wp:anchor>
              </w:drawing>
            </w:r>
          </w:p>
          <w:p w14:paraId="06A36312">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color w:val="000000" w:themeColor="text1"/>
                <w:spacing w:val="0"/>
                <w:sz w:val="24"/>
                <w:szCs w:val="20"/>
                <w:highlight w:val="none"/>
                <w:lang w:val="en-US" w:eastAsia="zh-CN"/>
                <w14:textFill>
                  <w14:solidFill>
                    <w14:schemeClr w14:val="tx1"/>
                  </w14:solidFill>
                </w14:textFill>
              </w:rPr>
            </w:pPr>
          </w:p>
          <w:p w14:paraId="0D5D14AB">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color w:val="000000" w:themeColor="text1"/>
                <w:spacing w:val="0"/>
                <w:sz w:val="24"/>
                <w:szCs w:val="20"/>
                <w:highlight w:val="none"/>
                <w:lang w:val="en-US" w:eastAsia="zh-CN"/>
                <w14:textFill>
                  <w14:solidFill>
                    <w14:schemeClr w14:val="tx1"/>
                  </w14:solidFill>
                </w14:textFill>
              </w:rPr>
            </w:pPr>
          </w:p>
          <w:p w14:paraId="2364AC90">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color w:val="000000" w:themeColor="text1"/>
                <w:spacing w:val="0"/>
                <w:sz w:val="24"/>
                <w:szCs w:val="20"/>
                <w:highlight w:val="none"/>
                <w:lang w:val="en-US" w:eastAsia="zh-CN"/>
                <w14:textFill>
                  <w14:solidFill>
                    <w14:schemeClr w14:val="tx1"/>
                  </w14:solidFill>
                </w14:textFill>
              </w:rPr>
            </w:pPr>
          </w:p>
          <w:p w14:paraId="7ECC290D">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color w:val="000000" w:themeColor="text1"/>
                <w:spacing w:val="0"/>
                <w:sz w:val="24"/>
                <w:szCs w:val="20"/>
                <w:highlight w:val="none"/>
                <w:lang w:val="en-US" w:eastAsia="zh-CN"/>
                <w14:textFill>
                  <w14:solidFill>
                    <w14:schemeClr w14:val="tx1"/>
                  </w14:solidFill>
                </w14:textFill>
              </w:rPr>
            </w:pPr>
          </w:p>
          <w:p w14:paraId="4C1E4F63">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color w:val="000000" w:themeColor="text1"/>
                <w:spacing w:val="0"/>
                <w:sz w:val="24"/>
                <w:szCs w:val="20"/>
                <w:highlight w:val="none"/>
                <w:lang w:val="en-US" w:eastAsia="zh-CN"/>
                <w14:textFill>
                  <w14:solidFill>
                    <w14:schemeClr w14:val="tx1"/>
                  </w14:solidFill>
                </w14:textFill>
              </w:rPr>
            </w:pPr>
          </w:p>
          <w:p w14:paraId="1E7B4722">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color w:val="000000" w:themeColor="text1"/>
                <w:spacing w:val="0"/>
                <w:sz w:val="24"/>
                <w:szCs w:val="20"/>
                <w:highlight w:val="none"/>
                <w:lang w:val="en-US" w:eastAsia="zh-CN"/>
                <w14:textFill>
                  <w14:solidFill>
                    <w14:schemeClr w14:val="tx1"/>
                  </w14:solidFill>
                </w14:textFill>
              </w:rPr>
            </w:pPr>
          </w:p>
          <w:p w14:paraId="0E6111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p w14:paraId="0EB52E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p w14:paraId="10A763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p w14:paraId="0DEF81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p w14:paraId="2C0F94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p w14:paraId="4AA765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p w14:paraId="26A911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p w14:paraId="21CA96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p w14:paraId="5500A9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图2</w:t>
            </w:r>
            <w:r>
              <w:rPr>
                <w:rFonts w:hint="eastAsia" w:cs="Times New Roman"/>
                <w:b/>
                <w:bCs/>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w:t>
            </w:r>
            <w:r>
              <w:rPr>
                <w:rFonts w:hint="eastAsia" w:cs="Times New Roman"/>
                <w:b/>
                <w:bCs/>
                <w:color w:val="000000" w:themeColor="text1"/>
                <w:kern w:val="2"/>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生产工艺流程及产污环节图</w:t>
            </w:r>
          </w:p>
          <w:p w14:paraId="6BF059E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bCs w:val="0"/>
                <w:color w:val="000000" w:themeColor="text1"/>
                <w:sz w:val="24"/>
                <w:szCs w:val="24"/>
                <w:highlight w:val="none"/>
                <w:lang w:val="en-US" w:eastAsia="zh-CN"/>
                <w14:textFill>
                  <w14:solidFill>
                    <w14:schemeClr w14:val="tx1"/>
                  </w14:solidFill>
                </w14:textFill>
              </w:rPr>
              <w:t>2.11主要污染工序</w:t>
            </w:r>
          </w:p>
          <w:p w14:paraId="51861BBE">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2.11.1</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大气污染环节</w:t>
            </w:r>
          </w:p>
          <w:p w14:paraId="5E490FE1">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（1）原料及成品运输产生的废气，主要污染物为颗粒物；</w:t>
            </w:r>
          </w:p>
          <w:p w14:paraId="7E1B79F7">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（2）原料及成品堆放、</w:t>
            </w:r>
            <w:r>
              <w:rPr>
                <w:rFonts w:hint="default"/>
                <w:bCs/>
                <w:color w:val="000000" w:themeColor="text1"/>
                <w:sz w:val="24"/>
                <w14:textFill>
                  <w14:solidFill>
                    <w14:schemeClr w14:val="tx1"/>
                  </w14:solidFill>
                </w14:textFill>
              </w:rPr>
              <w:t>装卸产生的</w:t>
            </w:r>
            <w:r>
              <w:rPr>
                <w:rFonts w:hint="eastAsia" w:cs="Times New Roman"/>
                <w:color w:val="000000" w:themeColor="text1"/>
                <w:sz w:val="24"/>
                <w:highlight w:val="none"/>
                <w:lang w:val="en-US" w:eastAsia="zh-CN"/>
                <w14:textFill>
                  <w14:solidFill>
                    <w14:schemeClr w14:val="tx1"/>
                  </w14:solidFill>
                </w14:textFill>
              </w:rPr>
              <w:t>废气</w:t>
            </w:r>
            <w:r>
              <w:rPr>
                <w:rFonts w:hint="eastAsia" w:ascii="Times New Roman" w:hAnsi="Times New Roman" w:cs="Times New Roman"/>
                <w:bCs/>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主要污染物为颗粒物</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14:paraId="6AB34EE6">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（3）</w:t>
            </w:r>
            <w:r>
              <w:rPr>
                <w:rFonts w:hint="default"/>
                <w:bCs/>
                <w:color w:val="000000" w:themeColor="text1"/>
                <w:sz w:val="24"/>
                <w14:textFill>
                  <w14:solidFill>
                    <w14:schemeClr w14:val="tx1"/>
                  </w14:solidFill>
                </w14:textFill>
              </w:rPr>
              <w:t>皮带运输及衔接转载产生的</w:t>
            </w:r>
            <w:r>
              <w:rPr>
                <w:rFonts w:hint="eastAsia" w:cs="Times New Roman"/>
                <w:color w:val="000000" w:themeColor="text1"/>
                <w:sz w:val="24"/>
                <w:highlight w:val="none"/>
                <w:lang w:val="en-US" w:eastAsia="zh-CN"/>
                <w14:textFill>
                  <w14:solidFill>
                    <w14:schemeClr w14:val="tx1"/>
                  </w14:solidFill>
                </w14:textFill>
              </w:rPr>
              <w:t>废气</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主要污染物为颗粒物</w:t>
            </w:r>
          </w:p>
          <w:p w14:paraId="50646DDF">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（4）</w:t>
            </w:r>
            <w:r>
              <w:rPr>
                <w:rFonts w:hint="default"/>
                <w:bCs/>
                <w:color w:val="000000" w:themeColor="text1"/>
                <w:sz w:val="24"/>
                <w14:textFill>
                  <w14:solidFill>
                    <w14:schemeClr w14:val="tx1"/>
                  </w14:solidFill>
                </w14:textFill>
              </w:rPr>
              <w:t>给料、</w:t>
            </w:r>
            <w:r>
              <w:rPr>
                <w:rFonts w:hint="eastAsia"/>
                <w:bCs/>
                <w:color w:val="000000" w:themeColor="text1"/>
                <w:sz w:val="24"/>
                <w:lang w:val="en-US" w:eastAsia="zh-CN"/>
                <w14:textFill>
                  <w14:solidFill>
                    <w14:schemeClr w14:val="tx1"/>
                  </w14:solidFill>
                </w14:textFill>
              </w:rPr>
              <w:t>破碎</w:t>
            </w:r>
            <w:r>
              <w:rPr>
                <w:rFonts w:hint="default"/>
                <w:bCs/>
                <w:color w:val="000000" w:themeColor="text1"/>
                <w:sz w:val="24"/>
                <w14:textFill>
                  <w14:solidFill>
                    <w14:schemeClr w14:val="tx1"/>
                  </w14:solidFill>
                </w14:textFill>
              </w:rPr>
              <w:t>工序生产过程中产生的</w:t>
            </w:r>
            <w:r>
              <w:rPr>
                <w:rFonts w:hint="eastAsia" w:cs="Times New Roman"/>
                <w:color w:val="000000" w:themeColor="text1"/>
                <w:sz w:val="24"/>
                <w:highlight w:val="none"/>
                <w:lang w:val="en-US" w:eastAsia="zh-CN"/>
                <w14:textFill>
                  <w14:solidFill>
                    <w14:schemeClr w14:val="tx1"/>
                  </w14:solidFill>
                </w14:textFill>
              </w:rPr>
              <w:t>废气</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主要污染物为颗粒物；</w:t>
            </w:r>
          </w:p>
          <w:p w14:paraId="6E08E064">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（5）</w:t>
            </w:r>
            <w:r>
              <w:rPr>
                <w:rFonts w:hint="eastAsia"/>
                <w:bCs/>
                <w:color w:val="000000" w:themeColor="text1"/>
                <w:sz w:val="24"/>
                <w:lang w:val="en-US" w:eastAsia="zh-CN"/>
                <w14:textFill>
                  <w14:solidFill>
                    <w14:schemeClr w14:val="tx1"/>
                  </w14:solidFill>
                </w14:textFill>
              </w:rPr>
              <w:t>制砂、</w:t>
            </w:r>
            <w:r>
              <w:rPr>
                <w:rFonts w:hint="default"/>
                <w:bCs/>
                <w:color w:val="000000" w:themeColor="text1"/>
                <w:sz w:val="24"/>
                <w14:textFill>
                  <w14:solidFill>
                    <w14:schemeClr w14:val="tx1"/>
                  </w14:solidFill>
                </w14:textFill>
              </w:rPr>
              <w:t>筛分工序生产过程中产生的</w:t>
            </w:r>
            <w:r>
              <w:rPr>
                <w:rFonts w:hint="eastAsia" w:cs="Times New Roman"/>
                <w:color w:val="000000" w:themeColor="text1"/>
                <w:sz w:val="24"/>
                <w:highlight w:val="none"/>
                <w:lang w:val="en-US" w:eastAsia="zh-CN"/>
                <w14:textFill>
                  <w14:solidFill>
                    <w14:schemeClr w14:val="tx1"/>
                  </w14:solidFill>
                </w14:textFill>
              </w:rPr>
              <w:t>废气</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主要污染物为颗粒物</w:t>
            </w:r>
            <w:r>
              <w:rPr>
                <w:rFonts w:hint="eastAsia" w:cs="Times New Roman"/>
                <w:color w:val="000000" w:themeColor="text1"/>
                <w:sz w:val="24"/>
                <w:highlight w:val="none"/>
                <w:lang w:val="en-US" w:eastAsia="zh-CN"/>
                <w14:textFill>
                  <w14:solidFill>
                    <w14:schemeClr w14:val="tx1"/>
                  </w14:solidFill>
                </w14:textFill>
              </w:rPr>
              <w:t>。</w:t>
            </w:r>
          </w:p>
          <w:p w14:paraId="2CC276E1">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2.11.2</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水</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污染环节</w:t>
            </w:r>
          </w:p>
          <w:p w14:paraId="6F498B5D">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cs="Times New Roman"/>
                <w:bCs/>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w:t>
            </w:r>
            <w:r>
              <w:rPr>
                <w:rFonts w:hint="eastAsia" w:cs="Times New Roman"/>
                <w:bCs/>
                <w:color w:val="000000" w:themeColor="text1"/>
                <w:sz w:val="24"/>
                <w:szCs w:val="24"/>
                <w:highlight w:val="none"/>
                <w:lang w:val="en-US" w:eastAsia="zh-CN"/>
                <w14:textFill>
                  <w14:solidFill>
                    <w14:schemeClr w14:val="tx1"/>
                  </w14:solidFill>
                </w14:textFill>
              </w:rPr>
              <w:t>生活污水；</w:t>
            </w:r>
          </w:p>
          <w:p w14:paraId="4D0FDD3F">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洗车废水</w:t>
            </w:r>
            <w:r>
              <w:rPr>
                <w:rFonts w:hint="eastAsia" w:cs="Times New Roman"/>
                <w:bCs/>
                <w:color w:val="000000" w:themeColor="text1"/>
                <w:sz w:val="24"/>
                <w:szCs w:val="24"/>
                <w:highlight w:val="none"/>
                <w:lang w:val="en-US" w:eastAsia="zh-CN"/>
                <w14:textFill>
                  <w14:solidFill>
                    <w14:schemeClr w14:val="tx1"/>
                  </w14:solidFill>
                </w14:textFill>
              </w:rPr>
              <w:t>；</w:t>
            </w:r>
          </w:p>
          <w:p w14:paraId="0570DDBA">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cs="Times New Roman"/>
                <w:bCs/>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（3）</w:t>
            </w:r>
            <w:r>
              <w:rPr>
                <w:rFonts w:hint="eastAsia" w:cs="Times New Roman"/>
                <w:bCs/>
                <w:color w:val="000000" w:themeColor="text1"/>
                <w:sz w:val="24"/>
                <w:szCs w:val="24"/>
                <w:highlight w:val="none"/>
                <w:lang w:val="en-US" w:eastAsia="zh-CN"/>
                <w14:textFill>
                  <w14:solidFill>
                    <w14:schemeClr w14:val="tx1"/>
                  </w14:solidFill>
                </w14:textFill>
              </w:rPr>
              <w:t>初期雨水。</w:t>
            </w:r>
          </w:p>
          <w:p w14:paraId="6DA363D0">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2.11.3</w:t>
            </w: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噪声污染</w:t>
            </w: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环节</w:t>
            </w:r>
          </w:p>
          <w:p w14:paraId="64BF77CE">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项目运营期噪声源主要是各种设备运行产生的噪声</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14:paraId="2801512C">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2.1</w:t>
            </w:r>
            <w:r>
              <w:rPr>
                <w:rFonts w:hint="eastAsia" w:cs="Times New Roman"/>
                <w:b/>
                <w:bCs/>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固体废物污染</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环节</w:t>
            </w:r>
          </w:p>
          <w:p w14:paraId="5036AEC9">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cs="Times New Roman"/>
                <w:bCs/>
                <w:color w:val="000000" w:themeColor="text1"/>
                <w:sz w:val="24"/>
                <w:highlight w:val="none"/>
                <w14:textFill>
                  <w14:solidFill>
                    <w14:schemeClr w14:val="tx1"/>
                  </w14:solidFill>
                </w14:textFill>
              </w:rPr>
            </w:pPr>
            <w:r>
              <w:rPr>
                <w:rFonts w:hint="eastAsia" w:cs="Times New Roman"/>
                <w:bCs/>
                <w:color w:val="000000" w:themeColor="text1"/>
                <w:sz w:val="24"/>
                <w:highlight w:val="none"/>
                <w:lang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1</w:t>
            </w:r>
            <w:r>
              <w:rPr>
                <w:rFonts w:hint="eastAsia" w:cs="Times New Roman"/>
                <w:bCs/>
                <w:color w:val="000000" w:themeColor="text1"/>
                <w:sz w:val="24"/>
                <w:highlight w:val="none"/>
                <w:lang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生活垃圾</w:t>
            </w:r>
            <w:r>
              <w:rPr>
                <w:rFonts w:hint="default" w:ascii="Times New Roman" w:hAnsi="Times New Roman" w:cs="Times New Roman"/>
                <w:bCs/>
                <w:color w:val="000000" w:themeColor="text1"/>
                <w:sz w:val="24"/>
                <w:highlight w:val="none"/>
                <w14:textFill>
                  <w14:solidFill>
                    <w14:schemeClr w14:val="tx1"/>
                  </w14:solidFill>
                </w14:textFill>
              </w:rPr>
              <w:t>；</w:t>
            </w:r>
          </w:p>
          <w:p w14:paraId="7D65F79A">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cs="Times New Roman"/>
                <w:bCs/>
                <w:color w:val="000000" w:themeColor="text1"/>
                <w:sz w:val="24"/>
                <w:highlight w:val="none"/>
                <w14:textFill>
                  <w14:solidFill>
                    <w14:schemeClr w14:val="tx1"/>
                  </w14:solidFill>
                </w14:textFill>
              </w:rPr>
            </w:pPr>
            <w:r>
              <w:rPr>
                <w:rFonts w:hint="eastAsia" w:cs="Times New Roman"/>
                <w:bCs/>
                <w:color w:val="000000" w:themeColor="text1"/>
                <w:sz w:val="24"/>
                <w:highlight w:val="none"/>
                <w:lang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2</w:t>
            </w:r>
            <w:r>
              <w:rPr>
                <w:rFonts w:hint="eastAsia"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14:textFill>
                  <w14:solidFill>
                    <w14:schemeClr w14:val="tx1"/>
                  </w14:solidFill>
                </w14:textFill>
              </w:rPr>
              <w:t>除尘器</w:t>
            </w:r>
            <w:r>
              <w:rPr>
                <w:rFonts w:hint="default" w:ascii="Times New Roman" w:hAnsi="Times New Roman" w:cs="Times New Roman"/>
                <w:bCs/>
                <w:color w:val="000000" w:themeColor="text1"/>
                <w:sz w:val="24"/>
                <w:highlight w:val="none"/>
                <w:lang w:val="en-US" w:eastAsia="zh-CN"/>
                <w14:textFill>
                  <w14:solidFill>
                    <w14:schemeClr w14:val="tx1"/>
                  </w14:solidFill>
                </w14:textFill>
              </w:rPr>
              <w:t>除尘灰</w:t>
            </w:r>
            <w:r>
              <w:rPr>
                <w:rFonts w:hint="eastAsia" w:ascii="Times New Roman" w:hAnsi="Times New Roman" w:cs="Times New Roman"/>
                <w:bCs/>
                <w:color w:val="000000" w:themeColor="text1"/>
                <w:sz w:val="24"/>
                <w:highlight w:val="none"/>
                <w:lang w:val="en-US" w:eastAsia="zh-CN"/>
                <w14:textFill>
                  <w14:solidFill>
                    <w14:schemeClr w14:val="tx1"/>
                  </w14:solidFill>
                </w14:textFill>
              </w:rPr>
              <w:t>；</w:t>
            </w:r>
          </w:p>
          <w:p w14:paraId="6A83F3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cs="Times New Roman"/>
                <w:bCs/>
                <w:color w:val="000000" w:themeColor="text1"/>
                <w:sz w:val="24"/>
                <w:highlight w:val="none"/>
                <w:lang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3</w:t>
            </w:r>
            <w:r>
              <w:rPr>
                <w:rFonts w:hint="eastAsia"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设备维修使用产生的</w:t>
            </w:r>
            <w:r>
              <w:rPr>
                <w:rFonts w:hint="default" w:ascii="Times New Roman" w:hAnsi="Times New Roman" w:cs="Times New Roman"/>
                <w:bCs/>
                <w:color w:val="000000" w:themeColor="text1"/>
                <w:sz w:val="24"/>
                <w:highlight w:val="none"/>
                <w:lang w:val="en-US" w:eastAsia="zh-CN"/>
                <w14:textFill>
                  <w14:solidFill>
                    <w14:schemeClr w14:val="tx1"/>
                  </w14:solidFill>
                </w14:textFill>
              </w:rPr>
              <w:t>废矿物油</w:t>
            </w:r>
            <w:r>
              <w:rPr>
                <w:rFonts w:hint="eastAsia" w:ascii="Times New Roman" w:hAnsi="Times New Roman" w:cs="Times New Roman"/>
                <w:bCs/>
                <w:color w:val="000000" w:themeColor="text1"/>
                <w:sz w:val="24"/>
                <w:highlight w:val="none"/>
                <w:lang w:val="en-US" w:eastAsia="zh-CN"/>
                <w14:textFill>
                  <w14:solidFill>
                    <w14:schemeClr w14:val="tx1"/>
                  </w14:solidFill>
                </w14:textFill>
              </w:rPr>
              <w:t>、废油桶</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14:paraId="13D42835">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405AF8EC">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7347B0A8">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463D04D1">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0C016692">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7CF73D24">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3F0254F3">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5B720884">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6A6DD161">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06807410">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4CF1804C">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711C8085">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1741D4F1">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2CB5B43C">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3A1D1BB5">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3C4FE1C5">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449E88AD">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0E65D5C6">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71F35CB3">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1ABBAA5E">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7BFF8014">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1FF59418">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2C235FDD">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4AC6186A">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041A0465">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0A1159D5">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535EEF45">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3FB8BA11">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79559CD4">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613E2578">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337A2788">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72C6D5AE">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088170A5">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5EB9BD86">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7CDC439A">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1C55C2BE">
            <w:pPr>
              <w:pStyle w:val="2"/>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tc>
      </w:tr>
      <w:tr w14:paraId="243FDC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1" w:hRule="atLeast"/>
          <w:jc w:val="center"/>
        </w:trPr>
        <w:tc>
          <w:tcPr>
            <w:tcW w:w="654" w:type="dxa"/>
            <w:vAlign w:val="center"/>
          </w:tcPr>
          <w:p w14:paraId="7E28612D">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kern w:val="2"/>
                <w:sz w:val="21"/>
                <w:szCs w:val="21"/>
                <w:highlight w:val="none"/>
                <w14:textFill>
                  <w14:solidFill>
                    <w14:schemeClr w14:val="tx1"/>
                  </w14:solidFill>
                </w14:textFill>
              </w:rPr>
              <w:t>与项目有关的原有环境污染问题</w:t>
            </w:r>
          </w:p>
        </w:tc>
        <w:tc>
          <w:tcPr>
            <w:tcW w:w="8405" w:type="dxa"/>
            <w:vAlign w:val="center"/>
          </w:tcPr>
          <w:p w14:paraId="60CCA2C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2" w:firstLineChars="200"/>
              <w:jc w:val="both"/>
              <w:textAlignment w:val="auto"/>
              <w:rPr>
                <w:rFonts w:hint="default" w:cs="Times New Roman"/>
                <w:b/>
                <w:bCs w:val="0"/>
                <w:color w:val="000000" w:themeColor="text1"/>
                <w:spacing w:val="0"/>
                <w:sz w:val="24"/>
                <w:szCs w:val="24"/>
                <w:highlight w:val="none"/>
                <w:lang w:val="en-US" w:eastAsia="zh-CN"/>
                <w14:textFill>
                  <w14:solidFill>
                    <w14:schemeClr w14:val="tx1"/>
                  </w14:solidFill>
                </w14:textFill>
              </w:rPr>
            </w:pPr>
            <w:r>
              <w:rPr>
                <w:rFonts w:hint="eastAsia" w:cs="Times New Roman"/>
                <w:b/>
                <w:bCs w:val="0"/>
                <w:color w:val="000000" w:themeColor="text1"/>
                <w:spacing w:val="0"/>
                <w:sz w:val="24"/>
                <w:szCs w:val="24"/>
                <w:highlight w:val="none"/>
                <w:lang w:val="en-US" w:eastAsia="zh-CN"/>
                <w14:textFill>
                  <w14:solidFill>
                    <w14:schemeClr w14:val="tx1"/>
                  </w14:solidFill>
                </w14:textFill>
              </w:rPr>
              <w:t>2.12现有工程概况</w:t>
            </w:r>
          </w:p>
          <w:p w14:paraId="5E73448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textAlignment w:val="auto"/>
              <w:rPr>
                <w:rFonts w:hint="eastAsia" w:cs="Times New Roman"/>
                <w:b w:val="0"/>
                <w:bCs/>
                <w:color w:val="000000" w:themeColor="text1"/>
                <w:spacing w:val="0"/>
                <w:kern w:val="2"/>
                <w:sz w:val="24"/>
                <w:szCs w:val="24"/>
                <w:highlight w:val="none"/>
                <w:vertAlign w:val="baseline"/>
                <w:lang w:val="en-US" w:eastAsia="zh-CN" w:bidi="ar-SA"/>
                <w14:textFill>
                  <w14:solidFill>
                    <w14:schemeClr w14:val="tx1"/>
                  </w14:solidFill>
                </w14:textFill>
              </w:rPr>
            </w:pPr>
            <w:r>
              <w:rPr>
                <w:rFonts w:hint="eastAsia" w:cs="Times New Roman"/>
                <w:b w:val="0"/>
                <w:bCs/>
                <w:color w:val="000000" w:themeColor="text1"/>
                <w:spacing w:val="0"/>
                <w:kern w:val="2"/>
                <w:sz w:val="24"/>
                <w:szCs w:val="24"/>
                <w:highlight w:val="none"/>
                <w:lang w:val="en-US" w:eastAsia="zh-CN" w:bidi="ar-SA"/>
                <w14:textFill>
                  <w14:solidFill>
                    <w14:schemeClr w14:val="tx1"/>
                  </w14:solidFill>
                </w14:textFill>
              </w:rPr>
              <w:t>2026年4月20日，长治市琪琳能源科技有限公司与</w:t>
            </w:r>
            <w:r>
              <w:rPr>
                <w:rFonts w:hint="eastAsia"/>
                <w:bCs/>
                <w:color w:val="000000" w:themeColor="text1"/>
                <w:sz w:val="24"/>
                <w:lang w:val="en-US" w:eastAsia="zh-CN"/>
                <w14:textFill>
                  <w14:solidFill>
                    <w14:schemeClr w14:val="tx1"/>
                  </w14:solidFill>
                </w14:textFill>
              </w:rPr>
              <w:t>屯留县富健达工贸有限公司签订了</w:t>
            </w:r>
            <w:r>
              <w:rPr>
                <w:rFonts w:hint="eastAsia" w:cs="Times New Roman"/>
                <w:b w:val="0"/>
                <w:bCs/>
                <w:color w:val="000000" w:themeColor="text1"/>
                <w:spacing w:val="0"/>
                <w:kern w:val="2"/>
                <w:sz w:val="24"/>
                <w:szCs w:val="24"/>
                <w:highlight w:val="none"/>
                <w:lang w:val="en-US" w:eastAsia="zh-CN" w:bidi="ar-SA"/>
                <w14:textFill>
                  <w14:solidFill>
                    <w14:schemeClr w14:val="tx1"/>
                  </w14:solidFill>
                </w14:textFill>
              </w:rPr>
              <w:t>租赁协议，租用富健达厂区内北侧，占地面积约6500m</w:t>
            </w:r>
            <w:r>
              <w:rPr>
                <w:rFonts w:hint="eastAsia" w:cs="Times New Roman"/>
                <w:b w:val="0"/>
                <w:bCs/>
                <w:color w:val="000000" w:themeColor="text1"/>
                <w:spacing w:val="0"/>
                <w:kern w:val="2"/>
                <w:sz w:val="24"/>
                <w:szCs w:val="24"/>
                <w:highlight w:val="none"/>
                <w:vertAlign w:val="superscript"/>
                <w:lang w:val="en-US" w:eastAsia="zh-CN" w:bidi="ar-SA"/>
                <w14:textFill>
                  <w14:solidFill>
                    <w14:schemeClr w14:val="tx1"/>
                  </w14:solidFill>
                </w14:textFill>
              </w:rPr>
              <w:t>2</w:t>
            </w:r>
            <w:r>
              <w:rPr>
                <w:rFonts w:hint="eastAsia" w:cs="Times New Roman"/>
                <w:b w:val="0"/>
                <w:bCs/>
                <w:color w:val="000000" w:themeColor="text1"/>
                <w:spacing w:val="0"/>
                <w:kern w:val="2"/>
                <w:sz w:val="24"/>
                <w:szCs w:val="24"/>
                <w:highlight w:val="none"/>
                <w:vertAlign w:val="baseline"/>
                <w:lang w:val="en-US" w:eastAsia="zh-CN" w:bidi="ar-SA"/>
                <w14:textFill>
                  <w14:solidFill>
                    <w14:schemeClr w14:val="tx1"/>
                  </w14:solidFill>
                </w14:textFill>
              </w:rPr>
              <w:t>，占地类型为工业用地。根据现场踏勘，租赁土地原占地为洗煤厂的煤矸石棚，本次环评拟拆除现有煤矸石棚和危废贮存库，并重新建设1座全封闭式钢结构生产车间，</w:t>
            </w:r>
            <w:r>
              <w:rPr>
                <w:rFonts w:hint="eastAsia" w:cs="Times New Roman"/>
                <w:color w:val="000000" w:themeColor="text1"/>
                <w:spacing w:val="0"/>
                <w:sz w:val="24"/>
                <w:szCs w:val="20"/>
                <w:highlight w:val="none"/>
                <w:vertAlign w:val="baseline"/>
                <w:lang w:val="en-US" w:eastAsia="zh-CN"/>
                <w14:textFill>
                  <w14:solidFill>
                    <w14:schemeClr w14:val="tx1"/>
                  </w14:solidFill>
                </w14:textFill>
              </w:rPr>
              <w:t>厂区西北侧2间库房改造成2座危废贮存点，1#危废贮存点为本项目使用，2#危废贮存点为富健达洗煤厂使用，</w:t>
            </w:r>
            <w:r>
              <w:rPr>
                <w:rFonts w:hint="eastAsia" w:cs="Times New Roman"/>
                <w:color w:val="000000" w:themeColor="text1"/>
                <w:spacing w:val="0"/>
                <w:sz w:val="24"/>
                <w:szCs w:val="20"/>
                <w:highlight w:val="none"/>
                <w:lang w:val="en-US" w:eastAsia="zh-CN"/>
                <w14:textFill>
                  <w14:solidFill>
                    <w14:schemeClr w14:val="tx1"/>
                  </w14:solidFill>
                </w14:textFill>
              </w:rPr>
              <w:t>厂区内</w:t>
            </w:r>
            <w:r>
              <w:rPr>
                <w:rFonts w:hint="eastAsia" w:cs="Times New Roman"/>
                <w:color w:val="000000" w:themeColor="text1"/>
                <w:spacing w:val="0"/>
                <w:sz w:val="24"/>
                <w:szCs w:val="20"/>
                <w:highlight w:val="none"/>
                <w:vertAlign w:val="baseline"/>
                <w:lang w:val="en-US" w:eastAsia="zh-CN"/>
                <w14:textFill>
                  <w14:solidFill>
                    <w14:schemeClr w14:val="tx1"/>
                  </w14:solidFill>
                </w14:textFill>
              </w:rPr>
              <w:t>其他构筑物均保留。</w:t>
            </w:r>
          </w:p>
          <w:p w14:paraId="7DB45C62">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jc w:val="both"/>
              <w:textAlignment w:val="auto"/>
              <w:rPr>
                <w:rFonts w:hint="eastAsia"/>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2008年8月，屯留县祥瑞洗煤有限公司苏村洗煤厂委托长治市科学研究所编制完成了《屯留县祥瑞洗煤有限公司苏村洗煤厂120万吨/年洗精煤技改项目环境影响报告表》。2008年9月20日，原山西省长治市环境保护局以“关于屯留县祥瑞洗煤有限公司苏村洗煤厂120万吨/年洗精煤技改项目环境影响报告表的批复（长环函[2008]267号）”对该项目进行了批复。</w:t>
            </w:r>
          </w:p>
          <w:p w14:paraId="7F21139B">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jc w:val="both"/>
              <w:textAlignment w:val="auto"/>
              <w:rPr>
                <w:rFonts w:hint="eastAsia"/>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2010年8月，屯留县祥瑞洗煤有限公司苏村洗煤厂进行了竣工环境保护验收工作。2010年10月15日，屯留县祥瑞洗煤有限公司苏村洗煤厂120万吨/年洗精煤技改项目通过验收。</w:t>
            </w:r>
          </w:p>
          <w:p w14:paraId="55442078">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jc w:val="both"/>
              <w:textAlignment w:val="auto"/>
              <w:rPr>
                <w:rFonts w:hint="default"/>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2019年6月11日，屯留县富健达工贸有限公司与屯留县祥瑞洗煤有限公司苏村洗煤厂签订了企业兼（合）并合同书。</w:t>
            </w:r>
          </w:p>
          <w:p w14:paraId="4E2A50A2">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jc w:val="both"/>
              <w:textAlignment w:val="auto"/>
              <w:rPr>
                <w:rFonts w:hint="eastAsia"/>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2025年3月5日，在全国排污许可证管理信息平台进行排污登记延续，登记编号：91140424MA0K09MK3H001Y，有效期为2025年4月2日至2030年4月1日。</w:t>
            </w:r>
          </w:p>
          <w:p w14:paraId="46C636E9">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富健达洗煤厂目前处于停产状态。</w:t>
            </w:r>
          </w:p>
          <w:p w14:paraId="17F9BFC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2" w:firstLineChars="200"/>
              <w:textAlignment w:val="auto"/>
              <w:rPr>
                <w:rFonts w:hint="default" w:cs="Times New Roman"/>
                <w:b/>
                <w:bCs w:val="0"/>
                <w:color w:val="000000" w:themeColor="text1"/>
                <w:spacing w:val="0"/>
                <w:kern w:val="2"/>
                <w:sz w:val="24"/>
                <w:szCs w:val="24"/>
                <w:highlight w:val="none"/>
                <w:lang w:val="en-US" w:eastAsia="zh-CN" w:bidi="ar-SA"/>
                <w14:textFill>
                  <w14:solidFill>
                    <w14:schemeClr w14:val="tx1"/>
                  </w14:solidFill>
                </w14:textFill>
              </w:rPr>
            </w:pPr>
            <w:r>
              <w:rPr>
                <w:rFonts w:hint="eastAsia" w:cs="Times New Roman"/>
                <w:b/>
                <w:bCs w:val="0"/>
                <w:color w:val="000000" w:themeColor="text1"/>
                <w:spacing w:val="0"/>
                <w:kern w:val="2"/>
                <w:sz w:val="24"/>
                <w:szCs w:val="24"/>
                <w:highlight w:val="none"/>
                <w:lang w:val="en-US" w:eastAsia="zh-CN" w:bidi="ar-SA"/>
                <w14:textFill>
                  <w14:solidFill>
                    <w14:schemeClr w14:val="tx1"/>
                  </w14:solidFill>
                </w14:textFill>
              </w:rPr>
              <w:t>2.13</w:t>
            </w:r>
            <w:r>
              <w:rPr>
                <w:rFonts w:hint="default" w:cs="Times New Roman"/>
                <w:b/>
                <w:bCs w:val="0"/>
                <w:color w:val="000000" w:themeColor="text1"/>
                <w:spacing w:val="0"/>
                <w:kern w:val="2"/>
                <w:sz w:val="24"/>
                <w:szCs w:val="24"/>
                <w:highlight w:val="none"/>
                <w:lang w:val="en-US" w:eastAsia="zh-CN" w:bidi="ar-SA"/>
                <w14:textFill>
                  <w14:solidFill>
                    <w14:schemeClr w14:val="tx1"/>
                  </w14:solidFill>
                </w14:textFill>
              </w:rPr>
              <w:t>存在的环境问题及整改措施</w:t>
            </w:r>
          </w:p>
          <w:p w14:paraId="671DBD2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textAlignment w:val="auto"/>
              <w:rPr>
                <w:rFonts w:hint="default"/>
                <w:color w:val="000000" w:themeColor="text1"/>
                <w:sz w:val="24"/>
                <w:lang w:val="en-US" w:eastAsia="zh-CN"/>
                <w14:textFill>
                  <w14:solidFill>
                    <w14:schemeClr w14:val="tx1"/>
                  </w14:solidFill>
                </w14:textFill>
              </w:rPr>
            </w:pPr>
            <w:r>
              <w:rPr>
                <w:rFonts w:hint="eastAsia" w:cs="Times New Roman"/>
                <w:b w:val="0"/>
                <w:bCs/>
                <w:color w:val="000000" w:themeColor="text1"/>
                <w:spacing w:val="0"/>
                <w:kern w:val="2"/>
                <w:sz w:val="24"/>
                <w:szCs w:val="24"/>
                <w:highlight w:val="none"/>
                <w:lang w:val="en-US" w:eastAsia="zh-CN" w:bidi="ar-SA"/>
                <w14:textFill>
                  <w14:solidFill>
                    <w14:schemeClr w14:val="tx1"/>
                  </w14:solidFill>
                </w14:textFill>
              </w:rPr>
              <w:t>根据现场踏勘，本项目占地为1座煤矸石棚，</w:t>
            </w:r>
            <w:r>
              <w:rPr>
                <w:rFonts w:hint="eastAsia" w:cs="Times New Roman"/>
                <w:b w:val="0"/>
                <w:bCs/>
                <w:color w:val="000000" w:themeColor="text1"/>
                <w:spacing w:val="0"/>
                <w:kern w:val="2"/>
                <w:sz w:val="24"/>
                <w:szCs w:val="24"/>
                <w:highlight w:val="none"/>
                <w:vertAlign w:val="baseline"/>
                <w:lang w:val="en-US" w:eastAsia="zh-CN" w:bidi="ar-SA"/>
                <w14:textFill>
                  <w14:solidFill>
                    <w14:schemeClr w14:val="tx1"/>
                  </w14:solidFill>
                </w14:textFill>
              </w:rPr>
              <w:t>占地面积约4000m</w:t>
            </w:r>
            <w:r>
              <w:rPr>
                <w:rFonts w:hint="eastAsia" w:cs="Times New Roman"/>
                <w:b w:val="0"/>
                <w:bCs/>
                <w:color w:val="000000" w:themeColor="text1"/>
                <w:spacing w:val="0"/>
                <w:kern w:val="2"/>
                <w:sz w:val="24"/>
                <w:szCs w:val="24"/>
                <w:highlight w:val="none"/>
                <w:vertAlign w:val="superscript"/>
                <w:lang w:val="en-US" w:eastAsia="zh-CN" w:bidi="ar-SA"/>
                <w14:textFill>
                  <w14:solidFill>
                    <w14:schemeClr w14:val="tx1"/>
                  </w14:solidFill>
                </w14:textFill>
              </w:rPr>
              <w:t>2</w:t>
            </w:r>
            <w:r>
              <w:rPr>
                <w:rFonts w:hint="eastAsia" w:cs="Times New Roman"/>
                <w:b w:val="0"/>
                <w:bCs/>
                <w:color w:val="000000" w:themeColor="text1"/>
                <w:spacing w:val="0"/>
                <w:kern w:val="2"/>
                <w:sz w:val="24"/>
                <w:szCs w:val="24"/>
                <w:highlight w:val="none"/>
                <w:vertAlign w:val="baseline"/>
                <w:lang w:val="en-US" w:eastAsia="zh-CN" w:bidi="ar-SA"/>
                <w14:textFill>
                  <w14:solidFill>
                    <w14:schemeClr w14:val="tx1"/>
                  </w14:solidFill>
                </w14:textFill>
              </w:rPr>
              <w:t>，</w:t>
            </w:r>
            <w:r>
              <w:rPr>
                <w:rFonts w:hint="eastAsia" w:cs="Times New Roman"/>
                <w:b w:val="0"/>
                <w:bCs/>
                <w:color w:val="000000" w:themeColor="text1"/>
                <w:spacing w:val="0"/>
                <w:kern w:val="2"/>
                <w:sz w:val="24"/>
                <w:szCs w:val="24"/>
                <w:highlight w:val="none"/>
                <w:lang w:val="en-US" w:eastAsia="zh-CN" w:bidi="ar-SA"/>
                <w14:textFill>
                  <w14:solidFill>
                    <w14:schemeClr w14:val="tx1"/>
                  </w14:solidFill>
                </w14:textFill>
              </w:rPr>
              <w:t>由于富健达洗煤厂从2025年开始处于停产状态，该煤矸石棚内无矸石堆放；初期雨水池和洗车平台沉淀池底和四周已做防渗处理，场地内遗留少量建筑垃圾，地面已做硬化处理，企业</w:t>
            </w:r>
            <w:r>
              <w:rPr>
                <w:rFonts w:hint="eastAsia"/>
                <w:color w:val="000000" w:themeColor="text1"/>
                <w:sz w:val="24"/>
                <w14:textFill>
                  <w14:solidFill>
                    <w14:schemeClr w14:val="tx1"/>
                  </w14:solidFill>
                </w14:textFill>
              </w:rPr>
              <w:t>需要对场地进行清理后建设，无其他与项目有关的原有环境污染问题。</w:t>
            </w:r>
          </w:p>
        </w:tc>
      </w:tr>
    </w:tbl>
    <w:p w14:paraId="43B582B2">
      <w:pPr>
        <w:pStyle w:val="22"/>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sectPr>
          <w:headerReference r:id="rId6" w:type="default"/>
          <w:pgSz w:w="11907" w:h="16840"/>
          <w:pgMar w:top="1701" w:right="1531" w:bottom="1701" w:left="1531" w:header="851" w:footer="1134" w:gutter="0"/>
          <w:pgBorders>
            <w:top w:val="none" w:sz="0" w:space="0"/>
            <w:left w:val="none" w:sz="0" w:space="0"/>
            <w:bottom w:val="none" w:sz="0" w:space="0"/>
            <w:right w:val="none" w:sz="0" w:space="0"/>
          </w:pgBorders>
          <w:pgNumType w:fmt="decimal"/>
          <w:cols w:space="720" w:num="1"/>
          <w:docGrid w:linePitch="312" w:charSpace="0"/>
        </w:sectPr>
      </w:pPr>
      <w:bookmarkStart w:id="9" w:name="_Toc3155"/>
    </w:p>
    <w:p w14:paraId="788A9208">
      <w:pPr>
        <w:pStyle w:val="22"/>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三、区域环境质量现状、环境保护目标及评价标准</w:t>
      </w:r>
      <w:bookmarkEnd w:id="9"/>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8393"/>
      </w:tblGrid>
      <w:tr w14:paraId="236D62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vAlign w:val="center"/>
          </w:tcPr>
          <w:p w14:paraId="776C5D7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pPr>
            <w: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t>区域环境质量现状</w:t>
            </w:r>
          </w:p>
        </w:tc>
        <w:tc>
          <w:tcPr>
            <w:tcW w:w="8393" w:type="dxa"/>
            <w:vAlign w:val="center"/>
          </w:tcPr>
          <w:p w14:paraId="46C616D3">
            <w:pPr>
              <w:keepNext w:val="0"/>
              <w:keepLines w:val="0"/>
              <w:suppressLineNumbers w:val="0"/>
              <w:spacing w:before="0" w:beforeAutospacing="0" w:after="0" w:afterAutospacing="0" w:line="480" w:lineRule="exact"/>
              <w:ind w:left="0" w:right="0" w:firstLine="480" w:firstLineChars="200"/>
              <w:rPr>
                <w:rFonts w:hint="eastAsia"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略</w:t>
            </w:r>
          </w:p>
          <w:p w14:paraId="60B0B5F0">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p>
          <w:p w14:paraId="28DF17B9">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p>
          <w:p w14:paraId="54CE8423">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p>
          <w:p w14:paraId="2AF14DCD">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p>
          <w:p w14:paraId="5435CBB5">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p>
          <w:p w14:paraId="465DC020">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p>
          <w:p w14:paraId="7E76C8DF">
            <w:pPr>
              <w:keepNext w:val="0"/>
              <w:keepLines w:val="0"/>
              <w:suppressLineNumbers w:val="0"/>
              <w:spacing w:before="0" w:beforeAutospacing="0" w:after="0" w:afterAutospacing="0" w:line="480" w:lineRule="exact"/>
              <w:ind w:left="0" w:right="0"/>
              <w:rPr>
                <w:rFonts w:hint="default"/>
                <w:color w:val="000000" w:themeColor="text1"/>
                <w:sz w:val="24"/>
                <w:lang w:val="en-US" w:eastAsia="zh-CN"/>
                <w14:textFill>
                  <w14:solidFill>
                    <w14:schemeClr w14:val="tx1"/>
                  </w14:solidFill>
                </w14:textFill>
              </w:rPr>
            </w:pPr>
          </w:p>
        </w:tc>
      </w:tr>
      <w:tr w14:paraId="09B710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36" w:hRule="atLeast"/>
          <w:jc w:val="center"/>
        </w:trPr>
        <w:tc>
          <w:tcPr>
            <w:tcW w:w="647" w:type="dxa"/>
            <w:vAlign w:val="center"/>
          </w:tcPr>
          <w:p w14:paraId="3947BBB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pPr>
            <w: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t>环境</w:t>
            </w:r>
          </w:p>
          <w:p w14:paraId="39E87E6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pPr>
            <w: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t>保护</w:t>
            </w:r>
          </w:p>
          <w:p w14:paraId="2244B6E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pPr>
            <w: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t>目标</w:t>
            </w:r>
          </w:p>
        </w:tc>
        <w:tc>
          <w:tcPr>
            <w:tcW w:w="8393" w:type="dxa"/>
            <w:vAlign w:val="center"/>
          </w:tcPr>
          <w:p w14:paraId="5C9C4171">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000000" w:themeColor="text1"/>
                <w:spacing w:val="0"/>
                <w:kern w:val="0"/>
                <w:position w:val="0"/>
                <w:sz w:val="24"/>
                <w:szCs w:val="24"/>
                <w:highlight w:val="none"/>
                <w:lang w:val="en-US" w:eastAsia="zh-CN"/>
                <w14:textFill>
                  <w14:solidFill>
                    <w14:schemeClr w14:val="tx1"/>
                  </w14:solidFill>
                </w14:textFill>
              </w:rPr>
            </w:pPr>
            <w:r>
              <w:rPr>
                <w:rFonts w:hint="eastAsia" w:eastAsia="宋体" w:cs="Times New Roman"/>
                <w:b/>
                <w:bCs w:val="0"/>
                <w:color w:val="000000" w:themeColor="text1"/>
                <w:spacing w:val="0"/>
                <w:position w:val="0"/>
                <w:sz w:val="24"/>
                <w:szCs w:val="24"/>
                <w:highlight w:val="none"/>
                <w:lang w:val="en-US" w:eastAsia="zh-CN"/>
                <w14:textFill>
                  <w14:solidFill>
                    <w14:schemeClr w14:val="tx1"/>
                  </w14:solidFill>
                </w14:textFill>
              </w:rPr>
              <w:t>3.</w:t>
            </w:r>
            <w:r>
              <w:rPr>
                <w:rFonts w:hint="eastAsia" w:cs="Times New Roman"/>
                <w:b/>
                <w:bCs w:val="0"/>
                <w:color w:val="000000" w:themeColor="text1"/>
                <w:spacing w:val="0"/>
                <w:position w:val="0"/>
                <w:sz w:val="24"/>
                <w:szCs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pacing w:val="0"/>
                <w:kern w:val="0"/>
                <w:position w:val="0"/>
                <w:sz w:val="24"/>
                <w:szCs w:val="24"/>
                <w:highlight w:val="none"/>
                <w:lang w:val="en-US" w:eastAsia="zh-CN"/>
                <w14:textFill>
                  <w14:solidFill>
                    <w14:schemeClr w14:val="tx1"/>
                  </w14:solidFill>
                </w14:textFill>
              </w:rPr>
              <w:t>大气环境</w:t>
            </w:r>
          </w:p>
          <w:p w14:paraId="1082C740">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根据调查，厂界外500m范围内</w:t>
            </w:r>
            <w:r>
              <w:rPr>
                <w:rFonts w:hint="eastAsia" w:cs="Times New Roman"/>
                <w:color w:val="000000" w:themeColor="text1"/>
                <w:spacing w:val="0"/>
                <w:kern w:val="0"/>
                <w:position w:val="0"/>
                <w:sz w:val="24"/>
                <w:szCs w:val="24"/>
                <w:highlight w:val="none"/>
                <w:lang w:val="en-US" w:eastAsia="zh-CN"/>
                <w14:textFill>
                  <w14:solidFill>
                    <w14:schemeClr w14:val="tx1"/>
                  </w14:solidFill>
                </w14:textFill>
              </w:rPr>
              <w:t>无大气环境敏感点</w:t>
            </w:r>
            <w:r>
              <w:rPr>
                <w:rFonts w:hint="default"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w:t>
            </w:r>
          </w:p>
          <w:p w14:paraId="2553B03F">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000000" w:themeColor="text1"/>
                <w:spacing w:val="0"/>
                <w:kern w:val="0"/>
                <w:position w:val="0"/>
                <w:sz w:val="24"/>
                <w:szCs w:val="24"/>
                <w:highlight w:val="none"/>
                <w:lang w:val="en-US" w:eastAsia="zh-CN"/>
                <w14:textFill>
                  <w14:solidFill>
                    <w14:schemeClr w14:val="tx1"/>
                  </w14:solidFill>
                </w14:textFill>
              </w:rPr>
            </w:pPr>
            <w:r>
              <w:rPr>
                <w:rFonts w:hint="eastAsia" w:eastAsia="宋体" w:cs="Times New Roman"/>
                <w:b/>
                <w:bCs w:val="0"/>
                <w:color w:val="000000" w:themeColor="text1"/>
                <w:spacing w:val="0"/>
                <w:position w:val="0"/>
                <w:sz w:val="24"/>
                <w:szCs w:val="24"/>
                <w:highlight w:val="none"/>
                <w:lang w:val="en-US" w:eastAsia="zh-CN"/>
                <w14:textFill>
                  <w14:solidFill>
                    <w14:schemeClr w14:val="tx1"/>
                  </w14:solidFill>
                </w14:textFill>
              </w:rPr>
              <w:t>3.</w:t>
            </w:r>
            <w:r>
              <w:rPr>
                <w:rFonts w:hint="eastAsia" w:cs="Times New Roman"/>
                <w:b/>
                <w:bCs w:val="0"/>
                <w:color w:val="000000" w:themeColor="text1"/>
                <w:spacing w:val="0"/>
                <w:position w:val="0"/>
                <w:sz w:val="24"/>
                <w:szCs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pacing w:val="0"/>
                <w:kern w:val="0"/>
                <w:position w:val="0"/>
                <w:sz w:val="24"/>
                <w:szCs w:val="24"/>
                <w:highlight w:val="none"/>
                <w:lang w:val="en-US" w:eastAsia="zh-CN"/>
                <w14:textFill>
                  <w14:solidFill>
                    <w14:schemeClr w14:val="tx1"/>
                  </w14:solidFill>
                </w14:textFill>
              </w:rPr>
              <w:t>声环境</w:t>
            </w:r>
          </w:p>
          <w:p w14:paraId="782297D7">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本项目厂界外50m范围内</w:t>
            </w:r>
            <w:r>
              <w:rPr>
                <w:rFonts w:hint="eastAsia" w:cs="Times New Roman"/>
                <w:color w:val="000000" w:themeColor="text1"/>
                <w:kern w:val="2"/>
                <w:sz w:val="24"/>
                <w:szCs w:val="24"/>
                <w:highlight w:val="none"/>
                <w:lang w:val="en-US" w:eastAsia="zh-CN" w:bidi="ar"/>
                <w14:textFill>
                  <w14:solidFill>
                    <w14:schemeClr w14:val="tx1"/>
                  </w14:solidFill>
                </w14:textFill>
              </w:rPr>
              <w:t>无</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声环境敏感点</w:t>
            </w:r>
            <w:r>
              <w:rPr>
                <w:rFonts w:hint="default"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w:t>
            </w:r>
          </w:p>
          <w:p w14:paraId="7579B619">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000000" w:themeColor="text1"/>
                <w:spacing w:val="0"/>
                <w:kern w:val="0"/>
                <w:position w:val="0"/>
                <w:sz w:val="24"/>
                <w:szCs w:val="24"/>
                <w:highlight w:val="none"/>
                <w:lang w:val="en-US" w:eastAsia="zh-CN"/>
                <w14:textFill>
                  <w14:solidFill>
                    <w14:schemeClr w14:val="tx1"/>
                  </w14:solidFill>
                </w14:textFill>
              </w:rPr>
            </w:pPr>
            <w:r>
              <w:rPr>
                <w:rFonts w:hint="eastAsia" w:eastAsia="宋体" w:cs="Times New Roman"/>
                <w:b/>
                <w:bCs w:val="0"/>
                <w:color w:val="000000" w:themeColor="text1"/>
                <w:spacing w:val="0"/>
                <w:position w:val="0"/>
                <w:sz w:val="24"/>
                <w:szCs w:val="24"/>
                <w:highlight w:val="none"/>
                <w:lang w:val="en-US" w:eastAsia="zh-CN"/>
                <w14:textFill>
                  <w14:solidFill>
                    <w14:schemeClr w14:val="tx1"/>
                  </w14:solidFill>
                </w14:textFill>
              </w:rPr>
              <w:t>3.</w:t>
            </w:r>
            <w:r>
              <w:rPr>
                <w:rFonts w:hint="eastAsia" w:cs="Times New Roman"/>
                <w:b/>
                <w:bCs w:val="0"/>
                <w:color w:val="000000" w:themeColor="text1"/>
                <w:spacing w:val="0"/>
                <w:position w:val="0"/>
                <w:sz w:val="24"/>
                <w:szCs w:val="24"/>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pacing w:val="0"/>
                <w:kern w:val="0"/>
                <w:position w:val="0"/>
                <w:sz w:val="24"/>
                <w:szCs w:val="24"/>
                <w:highlight w:val="none"/>
                <w:lang w:val="en-US" w:eastAsia="zh-CN"/>
                <w14:textFill>
                  <w14:solidFill>
                    <w14:schemeClr w14:val="tx1"/>
                  </w14:solidFill>
                </w14:textFill>
              </w:rPr>
              <w:t>地下水环境</w:t>
            </w:r>
          </w:p>
          <w:p w14:paraId="4E7FF74B">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厂界外500m范围内无地下水集中式饮用水水源和热水、矿泉水、温泉等特殊地下水资源。</w:t>
            </w:r>
          </w:p>
          <w:p w14:paraId="2D2F4F5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000000" w:themeColor="text1"/>
                <w:spacing w:val="0"/>
                <w:kern w:val="0"/>
                <w:position w:val="0"/>
                <w:sz w:val="24"/>
                <w:szCs w:val="24"/>
                <w:highlight w:val="none"/>
                <w:lang w:val="en-US" w:eastAsia="zh-CN"/>
                <w14:textFill>
                  <w14:solidFill>
                    <w14:schemeClr w14:val="tx1"/>
                  </w14:solidFill>
                </w14:textFill>
              </w:rPr>
            </w:pPr>
            <w:r>
              <w:rPr>
                <w:rFonts w:hint="eastAsia" w:eastAsia="宋体" w:cs="Times New Roman"/>
                <w:b/>
                <w:bCs w:val="0"/>
                <w:color w:val="000000" w:themeColor="text1"/>
                <w:spacing w:val="0"/>
                <w:position w:val="0"/>
                <w:sz w:val="24"/>
                <w:szCs w:val="24"/>
                <w:highlight w:val="none"/>
                <w:lang w:val="en-US" w:eastAsia="zh-CN"/>
                <w14:textFill>
                  <w14:solidFill>
                    <w14:schemeClr w14:val="tx1"/>
                  </w14:solidFill>
                </w14:textFill>
              </w:rPr>
              <w:t>3.</w:t>
            </w:r>
            <w:r>
              <w:rPr>
                <w:rFonts w:hint="eastAsia" w:cs="Times New Roman"/>
                <w:b/>
                <w:bCs w:val="0"/>
                <w:color w:val="000000" w:themeColor="text1"/>
                <w:spacing w:val="0"/>
                <w:position w:val="0"/>
                <w:sz w:val="24"/>
                <w:szCs w:val="24"/>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pacing w:val="0"/>
                <w:kern w:val="0"/>
                <w:position w:val="0"/>
                <w:sz w:val="24"/>
                <w:szCs w:val="24"/>
                <w:highlight w:val="none"/>
                <w:lang w:val="en-US" w:eastAsia="zh-CN"/>
                <w14:textFill>
                  <w14:solidFill>
                    <w14:schemeClr w14:val="tx1"/>
                  </w14:solidFill>
                </w14:textFill>
              </w:rPr>
              <w:t>生态环境</w:t>
            </w:r>
          </w:p>
          <w:p w14:paraId="652862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pPr>
            <w:r>
              <w:rPr>
                <w:rFonts w:hint="eastAsia"/>
                <w:bCs/>
                <w:color w:val="000000" w:themeColor="text1"/>
                <w:sz w:val="24"/>
                <w14:textFill>
                  <w14:solidFill>
                    <w14:schemeClr w14:val="tx1"/>
                  </w14:solidFill>
                </w14:textFill>
              </w:rPr>
              <w:t>本项目用地范围内不涉及《环境影响评价技术导则—生态环境》（HJ19-2011）中规定的特殊生态敏感区和重要生态敏感区，属于一般区域，项目周围植被自然覆盖量少；区域内以小型动物和鸟类为主，无大型野生动物，无珍稀濒危动植物。其评价范围内未发现自然保护区或风景名胜区。生态环境质量一般</w:t>
            </w:r>
            <w:r>
              <w:rPr>
                <w:rFonts w:hint="default"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w:t>
            </w:r>
          </w:p>
          <w:p w14:paraId="2F01FE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t>表3</w:t>
            </w:r>
            <w:r>
              <w:rPr>
                <w:rFonts w:hint="eastAsia" w:cs="Times New Roman"/>
                <w:b/>
                <w:bCs w:val="0"/>
                <w:color w:val="000000" w:themeColor="text1"/>
                <w:spacing w:val="0"/>
                <w:position w:val="0"/>
                <w:sz w:val="21"/>
                <w:szCs w:val="16"/>
                <w:highlight w:val="none"/>
                <w:lang w:val="en-US" w:eastAsia="zh-CN"/>
                <w14:textFill>
                  <w14:solidFill>
                    <w14:schemeClr w14:val="tx1"/>
                  </w14:solidFill>
                </w14:textFill>
              </w:rPr>
              <w:t>.9-1</w:t>
            </w:r>
            <w:r>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t xml:space="preserve">  环境</w:t>
            </w:r>
            <w:r>
              <w:rPr>
                <w:rFonts w:hint="eastAsia"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t>保护</w:t>
            </w:r>
            <w:r>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t>目标</w:t>
            </w:r>
            <w:r>
              <w:rPr>
                <w:rFonts w:hint="eastAsia"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t>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93"/>
              <w:gridCol w:w="1445"/>
              <w:gridCol w:w="930"/>
              <w:gridCol w:w="837"/>
              <w:gridCol w:w="2783"/>
            </w:tblGrid>
            <w:tr w14:paraId="2F6E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56" w:type="dxa"/>
                  <w:tcBorders>
                    <w:tl2br w:val="nil"/>
                    <w:tr2bl w:val="nil"/>
                  </w:tcBorders>
                  <w:vAlign w:val="center"/>
                </w:tcPr>
                <w:p w14:paraId="0590CB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类别</w:t>
                  </w:r>
                </w:p>
              </w:tc>
              <w:tc>
                <w:tcPr>
                  <w:tcW w:w="1093" w:type="dxa"/>
                  <w:tcBorders>
                    <w:tl2br w:val="nil"/>
                    <w:tr2bl w:val="nil"/>
                  </w:tcBorders>
                  <w:vAlign w:val="center"/>
                </w:tcPr>
                <w:p w14:paraId="4CA376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保护目标</w:t>
                  </w:r>
                </w:p>
              </w:tc>
              <w:tc>
                <w:tcPr>
                  <w:tcW w:w="1445" w:type="dxa"/>
                  <w:tcBorders>
                    <w:tl2br w:val="nil"/>
                    <w:tr2bl w:val="nil"/>
                  </w:tcBorders>
                  <w:vAlign w:val="center"/>
                </w:tcPr>
                <w:p w14:paraId="1B2ADB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方位</w:t>
                  </w:r>
                </w:p>
                <w:p w14:paraId="1095BB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（相对厂区）</w:t>
                  </w:r>
                </w:p>
              </w:tc>
              <w:tc>
                <w:tcPr>
                  <w:tcW w:w="848" w:type="dxa"/>
                  <w:tcBorders>
                    <w:tl2br w:val="nil"/>
                    <w:tr2bl w:val="nil"/>
                  </w:tcBorders>
                  <w:vAlign w:val="center"/>
                </w:tcPr>
                <w:p w14:paraId="1E3B5A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距离（</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k</w:t>
                  </w: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m）</w:t>
                  </w:r>
                </w:p>
              </w:tc>
              <w:tc>
                <w:tcPr>
                  <w:tcW w:w="837" w:type="dxa"/>
                  <w:tcBorders>
                    <w:tl2br w:val="nil"/>
                    <w:tr2bl w:val="nil"/>
                  </w:tcBorders>
                  <w:vAlign w:val="center"/>
                </w:tcPr>
                <w:p w14:paraId="56D616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保护</w:t>
                  </w:r>
                  <w:r>
                    <w:rPr>
                      <w:rFonts w:hint="eastAsia"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内容</w:t>
                  </w:r>
                </w:p>
              </w:tc>
              <w:tc>
                <w:tcPr>
                  <w:tcW w:w="2783" w:type="dxa"/>
                  <w:tcBorders>
                    <w:tl2br w:val="nil"/>
                    <w:tr2bl w:val="nil"/>
                  </w:tcBorders>
                  <w:vAlign w:val="center"/>
                </w:tcPr>
                <w:p w14:paraId="4BE47D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保护级别</w:t>
                  </w:r>
                </w:p>
              </w:tc>
            </w:tr>
            <w:tr w14:paraId="7024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56" w:type="dxa"/>
                  <w:tcBorders>
                    <w:tl2br w:val="nil"/>
                    <w:tr2bl w:val="nil"/>
                  </w:tcBorders>
                  <w:vAlign w:val="center"/>
                </w:tcPr>
                <w:p w14:paraId="64F3F2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地表水</w:t>
                  </w:r>
                </w:p>
              </w:tc>
              <w:tc>
                <w:tcPr>
                  <w:tcW w:w="1093" w:type="dxa"/>
                  <w:tcBorders>
                    <w:tl2br w:val="nil"/>
                    <w:tr2bl w:val="nil"/>
                  </w:tcBorders>
                  <w:vAlign w:val="center"/>
                </w:tcPr>
                <w:p w14:paraId="4E1BF0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交川水河</w:t>
                  </w:r>
                </w:p>
              </w:tc>
              <w:tc>
                <w:tcPr>
                  <w:tcW w:w="1445" w:type="dxa"/>
                  <w:tcBorders>
                    <w:tl2br w:val="nil"/>
                    <w:tr2bl w:val="nil"/>
                  </w:tcBorders>
                  <w:vAlign w:val="center"/>
                </w:tcPr>
                <w:p w14:paraId="3942E0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SW</w:t>
                  </w:r>
                </w:p>
              </w:tc>
              <w:tc>
                <w:tcPr>
                  <w:tcW w:w="848" w:type="dxa"/>
                  <w:tcBorders>
                    <w:tl2br w:val="nil"/>
                    <w:tr2bl w:val="nil"/>
                  </w:tcBorders>
                  <w:vAlign w:val="center"/>
                </w:tcPr>
                <w:p w14:paraId="58DBFA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1.4</w:t>
                  </w:r>
                </w:p>
              </w:tc>
              <w:tc>
                <w:tcPr>
                  <w:tcW w:w="837" w:type="dxa"/>
                  <w:tcBorders>
                    <w:tl2br w:val="nil"/>
                    <w:tr2bl w:val="nil"/>
                  </w:tcBorders>
                  <w:vAlign w:val="center"/>
                </w:tcPr>
                <w:p w14:paraId="1BE3A6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水质</w:t>
                  </w:r>
                </w:p>
              </w:tc>
              <w:tc>
                <w:tcPr>
                  <w:tcW w:w="2783" w:type="dxa"/>
                  <w:tcBorders>
                    <w:tl2br w:val="nil"/>
                    <w:tr2bl w:val="nil"/>
                  </w:tcBorders>
                  <w:vAlign w:val="center"/>
                </w:tcPr>
                <w:p w14:paraId="377E05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《地表水环境质量标准》（GB3838-2002）中Ⅲ类</w:t>
                  </w:r>
                  <w:r>
                    <w:rPr>
                      <w:rFonts w:hint="eastAsia"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标准</w:t>
                  </w:r>
                </w:p>
              </w:tc>
            </w:tr>
          </w:tbl>
          <w:p w14:paraId="117F118B">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pacing w:val="0"/>
                <w:kern w:val="0"/>
                <w:position w:val="0"/>
                <w:szCs w:val="21"/>
                <w:highlight w:val="none"/>
                <w:lang w:eastAsia="zh-CN"/>
                <w14:textFill>
                  <w14:solidFill>
                    <w14:schemeClr w14:val="tx1"/>
                  </w14:solidFill>
                </w14:textFill>
              </w:rPr>
            </w:pPr>
          </w:p>
        </w:tc>
      </w:tr>
      <w:tr w14:paraId="0F5030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tcMar>
              <w:left w:w="28" w:type="dxa"/>
              <w:right w:w="28" w:type="dxa"/>
            </w:tcMar>
            <w:vAlign w:val="center"/>
          </w:tcPr>
          <w:p w14:paraId="62C42B1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pPr>
            <w: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t>污染</w:t>
            </w:r>
          </w:p>
          <w:p w14:paraId="1326F3E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pPr>
            <w: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t>物排</w:t>
            </w:r>
          </w:p>
          <w:p w14:paraId="223BB63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pPr>
            <w: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t>放控</w:t>
            </w:r>
          </w:p>
          <w:p w14:paraId="4B8F910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pPr>
            <w: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t>制标</w:t>
            </w:r>
          </w:p>
          <w:p w14:paraId="6E9C2D9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pPr>
            <w: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t>准</w:t>
            </w:r>
          </w:p>
        </w:tc>
        <w:tc>
          <w:tcPr>
            <w:tcW w:w="8393" w:type="dxa"/>
            <w:vAlign w:val="center"/>
          </w:tcPr>
          <w:p w14:paraId="361B5B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000000" w:themeColor="text1"/>
                <w:spacing w:val="0"/>
                <w:kern w:val="0"/>
                <w:position w:val="0"/>
                <w:sz w:val="24"/>
                <w:szCs w:val="24"/>
                <w:highlight w:val="none"/>
                <w:lang w:val="en-US" w:eastAsia="zh-CN"/>
                <w14:textFill>
                  <w14:solidFill>
                    <w14:schemeClr w14:val="tx1"/>
                  </w14:solidFill>
                </w14:textFill>
              </w:rPr>
            </w:pPr>
            <w:r>
              <w:rPr>
                <w:rFonts w:hint="eastAsia" w:eastAsia="宋体" w:cs="Times New Roman"/>
                <w:b/>
                <w:bCs w:val="0"/>
                <w:color w:val="000000" w:themeColor="text1"/>
                <w:spacing w:val="0"/>
                <w:position w:val="0"/>
                <w:sz w:val="24"/>
                <w:szCs w:val="24"/>
                <w:highlight w:val="none"/>
                <w:lang w:val="en-US" w:eastAsia="zh-CN"/>
                <w14:textFill>
                  <w14:solidFill>
                    <w14:schemeClr w14:val="tx1"/>
                  </w14:solidFill>
                </w14:textFill>
              </w:rPr>
              <w:t>3.</w:t>
            </w:r>
            <w:r>
              <w:rPr>
                <w:rFonts w:hint="eastAsia" w:cs="Times New Roman"/>
                <w:b/>
                <w:bCs w:val="0"/>
                <w:color w:val="000000" w:themeColor="text1"/>
                <w:spacing w:val="0"/>
                <w:position w:val="0"/>
                <w:sz w:val="24"/>
                <w:szCs w:val="24"/>
                <w:highlight w:val="none"/>
                <w:lang w:val="en-US" w:eastAsia="zh-CN"/>
                <w14:textFill>
                  <w14:solidFill>
                    <w14:schemeClr w14:val="tx1"/>
                  </w14:solidFill>
                </w14:textFill>
              </w:rPr>
              <w:t>10</w:t>
            </w:r>
            <w:r>
              <w:rPr>
                <w:rFonts w:hint="default" w:ascii="Times New Roman" w:hAnsi="Times New Roman" w:eastAsia="宋体" w:cs="Times New Roman"/>
                <w:b/>
                <w:bCs/>
                <w:color w:val="000000" w:themeColor="text1"/>
                <w:spacing w:val="0"/>
                <w:kern w:val="0"/>
                <w:position w:val="0"/>
                <w:sz w:val="24"/>
                <w:szCs w:val="24"/>
                <w:highlight w:val="none"/>
                <w:lang w:val="en-US" w:eastAsia="zh-CN"/>
                <w14:textFill>
                  <w14:solidFill>
                    <w14:schemeClr w14:val="tx1"/>
                  </w14:solidFill>
                </w14:textFill>
              </w:rPr>
              <w:t>废气</w:t>
            </w:r>
          </w:p>
          <w:p w14:paraId="250489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pacing w:val="0"/>
                <w:position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24"/>
                <w:highlight w:val="none"/>
                <w14:textFill>
                  <w14:solidFill>
                    <w14:schemeClr w14:val="tx1"/>
                  </w14:solidFill>
                </w14:textFill>
              </w:rPr>
              <w:t>本项目</w:t>
            </w: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有组织颗粒物</w:t>
            </w:r>
            <w:r>
              <w:rPr>
                <w:rFonts w:hint="default" w:ascii="Times New Roman" w:hAnsi="Times New Roman" w:eastAsia="宋体" w:cs="Times New Roman"/>
                <w:color w:val="000000" w:themeColor="text1"/>
                <w:spacing w:val="0"/>
                <w:position w:val="0"/>
                <w:sz w:val="24"/>
                <w:highlight w:val="none"/>
                <w14:textFill>
                  <w14:solidFill>
                    <w14:schemeClr w14:val="tx1"/>
                  </w14:solidFill>
                </w14:textFill>
              </w:rPr>
              <w:t>排放浓度</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执行《大气污染物综合排放标准》</w:t>
            </w:r>
            <w:r>
              <w:rPr>
                <w:rFonts w:hint="eastAsia" w:cs="Times New Roman"/>
                <w:color w:val="000000" w:themeColor="text1"/>
                <w:spacing w:val="0"/>
                <w:positio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GB16297-1996</w:t>
            </w:r>
            <w:r>
              <w:rPr>
                <w:rFonts w:hint="eastAsia" w:cs="Times New Roman"/>
                <w:color w:val="000000" w:themeColor="text1"/>
                <w:spacing w:val="0"/>
                <w:positio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表2新污染源大气污染物排放限值</w:t>
            </w: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w:t>
            </w:r>
            <w:r>
              <w:rPr>
                <w:rFonts w:hint="eastAsia" w:cs="Times New Roman"/>
                <w:color w:val="000000" w:themeColor="text1"/>
                <w:spacing w:val="0"/>
                <w:position w:val="0"/>
                <w:sz w:val="24"/>
                <w:highlight w:val="none"/>
                <w:lang w:val="en-US" w:eastAsia="zh-CN"/>
                <w14:textFill>
                  <w14:solidFill>
                    <w14:schemeClr w14:val="tx1"/>
                  </w14:solidFill>
                </w14:textFill>
              </w:rPr>
              <w:t>厂界无组织</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颗粒物排放</w:t>
            </w:r>
            <w:r>
              <w:rPr>
                <w:rFonts w:hint="eastAsia" w:cs="Times New Roman"/>
                <w:color w:val="000000" w:themeColor="text1"/>
                <w:spacing w:val="0"/>
                <w:position w:val="0"/>
                <w:sz w:val="24"/>
                <w:highlight w:val="none"/>
                <w:lang w:val="en-US" w:eastAsia="zh-CN"/>
                <w14:textFill>
                  <w14:solidFill>
                    <w14:schemeClr w14:val="tx1"/>
                  </w14:solidFill>
                </w14:textFill>
              </w:rPr>
              <w:t>浓度</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执行《大气污染物综合排放标准》（GB16297-1996）表2新污染源大气污染物排放限值物排放限值</w:t>
            </w: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w:t>
            </w:r>
          </w:p>
          <w:p w14:paraId="40ED55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t>表3</w:t>
            </w:r>
            <w:r>
              <w:rPr>
                <w:rFonts w:hint="eastAsia" w:cs="Times New Roman"/>
                <w:b/>
                <w:bCs w:val="0"/>
                <w:color w:val="000000" w:themeColor="text1"/>
                <w:spacing w:val="0"/>
                <w:position w:val="0"/>
                <w:sz w:val="21"/>
                <w:szCs w:val="16"/>
                <w:highlight w:val="none"/>
                <w:lang w:val="en-US" w:eastAsia="zh-CN"/>
                <w14:textFill>
                  <w14:solidFill>
                    <w14:schemeClr w14:val="tx1"/>
                  </w14:solidFill>
                </w14:textFill>
              </w:rPr>
              <w:t>.10-1</w:t>
            </w:r>
            <w:r>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《大气污染物综合排放标准》（GB16297-1996）</w:t>
            </w:r>
          </w:p>
          <w:tbl>
            <w:tblPr>
              <w:tblStyle w:val="30"/>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3386"/>
              <w:gridCol w:w="2034"/>
              <w:gridCol w:w="1352"/>
            </w:tblGrid>
            <w:tr w14:paraId="203CA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65" w:type="dxa"/>
                  <w:tcBorders>
                    <w:tl2br w:val="nil"/>
                    <w:tr2bl w:val="nil"/>
                  </w:tcBorders>
                  <w:vAlign w:val="center"/>
                </w:tcPr>
                <w:p w14:paraId="6C0FD3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pacing w:val="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t>污染物</w:t>
                  </w:r>
                </w:p>
              </w:tc>
              <w:tc>
                <w:tcPr>
                  <w:tcW w:w="3386" w:type="dxa"/>
                  <w:tcBorders>
                    <w:tl2br w:val="nil"/>
                    <w:tr2bl w:val="nil"/>
                  </w:tcBorders>
                  <w:vAlign w:val="center"/>
                </w:tcPr>
                <w:p w14:paraId="33BCD8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pacing w:val="0"/>
                      <w:kern w:val="2"/>
                      <w:position w:val="0"/>
                      <w:sz w:val="21"/>
                      <w:szCs w:val="21"/>
                      <w:highlight w:val="none"/>
                      <w:lang w:val="en-US" w:eastAsia="zh-CN" w:bidi="ar-SA"/>
                      <w14:textFill>
                        <w14:solidFill>
                          <w14:schemeClr w14:val="tx1"/>
                        </w14:solidFill>
                      </w14:textFill>
                    </w:rPr>
                  </w:pPr>
                  <w:r>
                    <w:rPr>
                      <w:rFonts w:hint="eastAsia" w:cs="Times New Roman"/>
                      <w:b/>
                      <w:bCs/>
                      <w:color w:val="000000" w:themeColor="text1"/>
                      <w:spacing w:val="0"/>
                      <w:position w:val="0"/>
                      <w:sz w:val="21"/>
                      <w:szCs w:val="21"/>
                      <w:highlight w:val="none"/>
                      <w:lang w:val="en-US" w:eastAsia="zh-CN"/>
                      <w14:textFill>
                        <w14:solidFill>
                          <w14:schemeClr w14:val="tx1"/>
                        </w14:solidFill>
                      </w14:textFill>
                    </w:rPr>
                    <w:t>最高允许</w:t>
                  </w:r>
                  <w:r>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排放浓度（mg/m</w:t>
                  </w:r>
                  <w:r>
                    <w:rPr>
                      <w:rFonts w:hint="default" w:ascii="Times New Roman" w:hAnsi="Times New Roman" w:cs="Times New Roman"/>
                      <w:b/>
                      <w:bCs/>
                      <w:color w:val="000000" w:themeColor="text1"/>
                      <w:spacing w:val="0"/>
                      <w:position w:val="0"/>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w:t>
                  </w:r>
                </w:p>
              </w:tc>
              <w:tc>
                <w:tcPr>
                  <w:tcW w:w="3386" w:type="dxa"/>
                  <w:gridSpan w:val="2"/>
                  <w:tcBorders>
                    <w:tl2br w:val="nil"/>
                    <w:tr2bl w:val="nil"/>
                  </w:tcBorders>
                  <w:vAlign w:val="center"/>
                </w:tcPr>
                <w:p w14:paraId="5A25D0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无组织排放监控浓度限值</w:t>
                  </w:r>
                  <w:r>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（mg/m</w:t>
                  </w:r>
                  <w:r>
                    <w:rPr>
                      <w:rFonts w:hint="default" w:ascii="Times New Roman" w:hAnsi="Times New Roman" w:cs="Times New Roman"/>
                      <w:b/>
                      <w:bCs/>
                      <w:color w:val="000000" w:themeColor="text1"/>
                      <w:spacing w:val="0"/>
                      <w:position w:val="0"/>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w:t>
                  </w:r>
                </w:p>
              </w:tc>
            </w:tr>
            <w:tr w14:paraId="2E02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dxa"/>
                  <w:tcBorders>
                    <w:tl2br w:val="nil"/>
                    <w:tr2bl w:val="nil"/>
                  </w:tcBorders>
                  <w:vAlign w:val="center"/>
                </w:tcPr>
                <w:p w14:paraId="5DA438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14:textFill>
                        <w14:solidFill>
                          <w14:schemeClr w14:val="tx1"/>
                        </w14:solidFill>
                      </w14:textFill>
                    </w:rPr>
                    <w:t>颗粒物</w:t>
                  </w:r>
                </w:p>
              </w:tc>
              <w:tc>
                <w:tcPr>
                  <w:tcW w:w="3386" w:type="dxa"/>
                  <w:tcBorders>
                    <w:tl2br w:val="nil"/>
                    <w:tr2bl w:val="nil"/>
                  </w:tcBorders>
                  <w:vAlign w:val="center"/>
                </w:tcPr>
                <w:p w14:paraId="3A0863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position w:val="0"/>
                      <w:sz w:val="21"/>
                      <w:szCs w:val="21"/>
                      <w:highlight w:val="none"/>
                      <w:lang w:val="en-US" w:eastAsia="zh-CN" w:bidi="ar-SA"/>
                      <w14:textFill>
                        <w14:solidFill>
                          <w14:schemeClr w14:val="tx1"/>
                        </w14:solidFill>
                      </w14:textFill>
                    </w:rPr>
                    <w:t>120</w:t>
                  </w:r>
                </w:p>
              </w:tc>
              <w:tc>
                <w:tcPr>
                  <w:tcW w:w="2034" w:type="dxa"/>
                  <w:tcBorders>
                    <w:tl2br w:val="nil"/>
                    <w:tr2bl w:val="nil"/>
                  </w:tcBorders>
                  <w:vAlign w:val="center"/>
                </w:tcPr>
                <w:p w14:paraId="4D8013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kern w:val="2"/>
                      <w:position w:val="0"/>
                      <w:sz w:val="21"/>
                      <w:szCs w:val="21"/>
                      <w:highlight w:val="none"/>
                      <w:lang w:val="en-US" w:eastAsia="zh-CN" w:bidi="ar-SA"/>
                      <w14:textFill>
                        <w14:solidFill>
                          <w14:schemeClr w14:val="tx1"/>
                        </w14:solidFill>
                      </w14:textFill>
                    </w:rPr>
                    <w:t>周界外浓度最高点</w:t>
                  </w:r>
                </w:p>
              </w:tc>
              <w:tc>
                <w:tcPr>
                  <w:tcW w:w="1352" w:type="dxa"/>
                  <w:tcBorders>
                    <w:tl2br w:val="nil"/>
                    <w:tr2bl w:val="nil"/>
                  </w:tcBorders>
                  <w:vAlign w:val="center"/>
                </w:tcPr>
                <w:p w14:paraId="7E2C70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eastAsia"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1.0</w:t>
                  </w:r>
                </w:p>
              </w:tc>
            </w:tr>
          </w:tbl>
          <w:p w14:paraId="31F62C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pacing w:val="0"/>
                <w:position w:val="0"/>
                <w:sz w:val="24"/>
                <w:highlight w:val="none"/>
                <w14:textFill>
                  <w14:solidFill>
                    <w14:schemeClr w14:val="tx1"/>
                  </w14:solidFill>
                </w14:textFill>
              </w:rPr>
            </w:pP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按照地方环境管理的要求，环评承诺更严格排放限值，有组织颗粒物</w:t>
            </w:r>
            <w:r>
              <w:rPr>
                <w:rFonts w:hint="eastAsia" w:cs="Times New Roman"/>
                <w:color w:val="000000" w:themeColor="text1"/>
                <w:spacing w:val="0"/>
                <w:position w:val="0"/>
                <w:sz w:val="24"/>
                <w:highlight w:val="none"/>
                <w:lang w:val="en-US" w:eastAsia="zh-CN"/>
                <w14:textFill>
                  <w14:solidFill>
                    <w14:schemeClr w14:val="tx1"/>
                  </w14:solidFill>
                </w14:textFill>
              </w:rPr>
              <w:t>排放浓度</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执行</w:t>
            </w:r>
            <w:r>
              <w:rPr>
                <w:rFonts w:hint="eastAsia" w:cs="Times New Roman"/>
                <w:color w:val="000000" w:themeColor="text1"/>
                <w:spacing w:val="0"/>
                <w:positio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长治市大气污染防治工作领导组办公室文件关于印发《长治市工业企业无组织排放治理实施方案》（长气防办[2019]9号）的通知</w:t>
            </w:r>
            <w:r>
              <w:rPr>
                <w:rFonts w:hint="eastAsia" w:cs="Times New Roman"/>
                <w:color w:val="000000" w:themeColor="text1"/>
                <w:spacing w:val="0"/>
                <w:positio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中的相关限值</w:t>
            </w: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w:t>
            </w:r>
          </w:p>
          <w:p w14:paraId="3DDF23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t>表3</w:t>
            </w:r>
            <w:r>
              <w:rPr>
                <w:rFonts w:hint="eastAsia" w:cs="Times New Roman"/>
                <w:b/>
                <w:bCs w:val="0"/>
                <w:color w:val="000000" w:themeColor="text1"/>
                <w:spacing w:val="0"/>
                <w:position w:val="0"/>
                <w:sz w:val="21"/>
                <w:szCs w:val="16"/>
                <w:highlight w:val="none"/>
                <w:lang w:val="en-US" w:eastAsia="zh-CN"/>
                <w14:textFill>
                  <w14:solidFill>
                    <w14:schemeClr w14:val="tx1"/>
                  </w14:solidFill>
                </w14:textFill>
              </w:rPr>
              <w:t>.10-2</w:t>
            </w:r>
            <w:r>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t xml:space="preserve">  《长治市工业企业无组织排放治理实施方案》（长气防办[2019]9号）</w:t>
            </w:r>
          </w:p>
          <w:tbl>
            <w:tblPr>
              <w:tblStyle w:val="30"/>
              <w:tblW w:w="49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5"/>
              <w:gridCol w:w="2395"/>
              <w:gridCol w:w="4126"/>
            </w:tblGrid>
            <w:tr w14:paraId="583A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39" w:type="pct"/>
                  <w:gridSpan w:val="2"/>
                  <w:tcBorders>
                    <w:tl2br w:val="nil"/>
                    <w:tr2bl w:val="nil"/>
                  </w:tcBorders>
                  <w:vAlign w:val="center"/>
                </w:tcPr>
                <w:p w14:paraId="54A9D7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t>污染物</w:t>
                  </w:r>
                </w:p>
              </w:tc>
              <w:tc>
                <w:tcPr>
                  <w:tcW w:w="2560" w:type="pct"/>
                  <w:tcBorders>
                    <w:tl2br w:val="nil"/>
                    <w:tr2bl w:val="nil"/>
                  </w:tcBorders>
                  <w:vAlign w:val="center"/>
                </w:tcPr>
                <w:p w14:paraId="08EF20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排放浓度（mg/m</w:t>
                  </w:r>
                  <w:r>
                    <w:rPr>
                      <w:rFonts w:hint="default" w:ascii="Times New Roman" w:hAnsi="Times New Roman" w:cs="Times New Roman"/>
                      <w:b/>
                      <w:bCs/>
                      <w:color w:val="000000" w:themeColor="text1"/>
                      <w:spacing w:val="0"/>
                      <w:position w:val="0"/>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w:t>
                  </w:r>
                </w:p>
              </w:tc>
            </w:tr>
            <w:tr w14:paraId="64B2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3" w:type="pct"/>
                  <w:tcBorders>
                    <w:tl2br w:val="nil"/>
                    <w:tr2bl w:val="nil"/>
                  </w:tcBorders>
                  <w:vAlign w:val="center"/>
                </w:tcPr>
                <w:p w14:paraId="50E058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kern w:val="2"/>
                      <w:position w:val="0"/>
                      <w:sz w:val="21"/>
                      <w:szCs w:val="21"/>
                      <w:highlight w:val="none"/>
                      <w:lang w:val="en-US" w:eastAsia="zh-CN" w:bidi="ar-SA"/>
                      <w14:textFill>
                        <w14:solidFill>
                          <w14:schemeClr w14:val="tx1"/>
                        </w14:solidFill>
                      </w14:textFill>
                    </w:rPr>
                    <w:t>有组织</w:t>
                  </w:r>
                </w:p>
              </w:tc>
              <w:tc>
                <w:tcPr>
                  <w:tcW w:w="1486" w:type="pct"/>
                  <w:tcBorders>
                    <w:tl2br w:val="nil"/>
                    <w:tr2bl w:val="nil"/>
                  </w:tcBorders>
                  <w:vAlign w:val="center"/>
                </w:tcPr>
                <w:p w14:paraId="5F614D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14:textFill>
                        <w14:solidFill>
                          <w14:schemeClr w14:val="tx1"/>
                        </w14:solidFill>
                      </w14:textFill>
                    </w:rPr>
                    <w:t>颗粒物</w:t>
                  </w:r>
                </w:p>
              </w:tc>
              <w:tc>
                <w:tcPr>
                  <w:tcW w:w="2560" w:type="pct"/>
                  <w:tcBorders>
                    <w:tl2br w:val="nil"/>
                    <w:tr2bl w:val="nil"/>
                  </w:tcBorders>
                  <w:vAlign w:val="center"/>
                </w:tcPr>
                <w:p w14:paraId="0F3C14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10</w:t>
                  </w:r>
                </w:p>
              </w:tc>
            </w:tr>
          </w:tbl>
          <w:p w14:paraId="6C7EF6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000000" w:themeColor="text1"/>
                <w:spacing w:val="0"/>
                <w:kern w:val="0"/>
                <w:position w:val="0"/>
                <w:sz w:val="24"/>
                <w:szCs w:val="24"/>
                <w:highlight w:val="none"/>
                <w:lang w:val="en-US" w:eastAsia="zh-CN"/>
                <w14:textFill>
                  <w14:solidFill>
                    <w14:schemeClr w14:val="tx1"/>
                  </w14:solidFill>
                </w14:textFill>
              </w:rPr>
            </w:pPr>
            <w:r>
              <w:rPr>
                <w:rFonts w:hint="eastAsia" w:eastAsia="宋体" w:cs="Times New Roman"/>
                <w:b/>
                <w:bCs w:val="0"/>
                <w:color w:val="000000" w:themeColor="text1"/>
                <w:spacing w:val="0"/>
                <w:position w:val="0"/>
                <w:sz w:val="24"/>
                <w:szCs w:val="24"/>
                <w:highlight w:val="none"/>
                <w:lang w:val="en-US" w:eastAsia="zh-CN"/>
                <w14:textFill>
                  <w14:solidFill>
                    <w14:schemeClr w14:val="tx1"/>
                  </w14:solidFill>
                </w14:textFill>
              </w:rPr>
              <w:t>3.</w:t>
            </w:r>
            <w:r>
              <w:rPr>
                <w:rFonts w:hint="eastAsia" w:cs="Times New Roman"/>
                <w:b/>
                <w:bCs w:val="0"/>
                <w:color w:val="000000" w:themeColor="text1"/>
                <w:spacing w:val="0"/>
                <w:position w:val="0"/>
                <w:sz w:val="24"/>
                <w:szCs w:val="24"/>
                <w:highlight w:val="none"/>
                <w:lang w:val="en-US" w:eastAsia="zh-CN"/>
                <w14:textFill>
                  <w14:solidFill>
                    <w14:schemeClr w14:val="tx1"/>
                  </w14:solidFill>
                </w14:textFill>
              </w:rPr>
              <w:t>11</w:t>
            </w:r>
            <w:r>
              <w:rPr>
                <w:rFonts w:hint="default" w:ascii="Times New Roman" w:hAnsi="Times New Roman" w:eastAsia="宋体" w:cs="Times New Roman"/>
                <w:b/>
                <w:bCs/>
                <w:color w:val="000000" w:themeColor="text1"/>
                <w:spacing w:val="0"/>
                <w:kern w:val="0"/>
                <w:position w:val="0"/>
                <w:sz w:val="24"/>
                <w:szCs w:val="24"/>
                <w:highlight w:val="none"/>
                <w:lang w:val="en-US" w:eastAsia="zh-CN"/>
                <w14:textFill>
                  <w14:solidFill>
                    <w14:schemeClr w14:val="tx1"/>
                  </w14:solidFill>
                </w14:textFill>
              </w:rPr>
              <w:t>噪声</w:t>
            </w:r>
          </w:p>
          <w:p w14:paraId="0C36E2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本项目施工期噪声执行</w:t>
            </w:r>
            <w:r>
              <w:rPr>
                <w:rFonts w:hint="default" w:ascii="Times New Roman" w:hAnsi="Times New Roman" w:cs="Times New Roman"/>
                <w:color w:val="000000" w:themeColor="text1"/>
                <w:sz w:val="24"/>
                <w:highlight w:val="none"/>
                <w14:textFill>
                  <w14:solidFill>
                    <w14:schemeClr w14:val="tx1"/>
                  </w14:solidFill>
                </w14:textFill>
              </w:rPr>
              <w:t>《建筑施工噪声排放标准》（GB12523-20</w:t>
            </w:r>
            <w:r>
              <w:rPr>
                <w:rFonts w:hint="eastAsia" w:cs="Times New Roman"/>
                <w:color w:val="000000" w:themeColor="text1"/>
                <w:sz w:val="24"/>
                <w:highlight w:val="none"/>
                <w:lang w:val="en-US" w:eastAsia="zh-CN"/>
                <w14:textFill>
                  <w14:solidFill>
                    <w14:schemeClr w14:val="tx1"/>
                  </w14:solidFill>
                </w14:textFill>
              </w:rPr>
              <w:t>25</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噪声排放限值</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本项目</w:t>
            </w:r>
            <w:r>
              <w:rPr>
                <w:rFonts w:hint="eastAsia" w:cs="Times New Roman"/>
                <w:color w:val="000000" w:themeColor="text1"/>
                <w:sz w:val="24"/>
                <w:lang w:val="en-US" w:eastAsia="zh-CN"/>
                <w14:textFill>
                  <w14:solidFill>
                    <w14:schemeClr w14:val="tx1"/>
                  </w14:solidFill>
                </w14:textFill>
              </w:rPr>
              <w:t>运营期</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厂界</w:t>
            </w:r>
            <w:r>
              <w:rPr>
                <w:rFonts w:hint="eastAsia" w:cs="Times New Roman"/>
                <w:color w:val="000000" w:themeColor="text1"/>
                <w:spacing w:val="0"/>
                <w:position w:val="0"/>
                <w:sz w:val="24"/>
                <w:highlight w:val="none"/>
                <w:lang w:val="en-US" w:eastAsia="zh-CN"/>
                <w14:textFill>
                  <w14:solidFill>
                    <w14:schemeClr w14:val="tx1"/>
                  </w14:solidFill>
                </w14:textFill>
              </w:rPr>
              <w:t>四周</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噪声</w:t>
            </w:r>
            <w:r>
              <w:rPr>
                <w:rFonts w:hint="eastAsia" w:cs="Times New Roman"/>
                <w:color w:val="000000" w:themeColor="text1"/>
                <w:spacing w:val="0"/>
                <w:position w:val="0"/>
                <w:sz w:val="24"/>
                <w:highlight w:val="none"/>
                <w:lang w:val="en-US" w:eastAsia="zh-CN"/>
                <w14:textFill>
                  <w14:solidFill>
                    <w14:schemeClr w14:val="tx1"/>
                  </w14:solidFill>
                </w14:textFill>
              </w:rPr>
              <w:t>均</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执行《</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instrText xml:space="preserve"> HYPERLINK "http://www.mep.gov.cn/info/bgw/bgg/200809/W020081017399508921576.pdf" \t "_self" </w:instrTex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工业企业厂界环境噪声</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排放标准》（GB12348-2008）中</w:t>
            </w:r>
            <w:r>
              <w:rPr>
                <w:rFonts w:hint="eastAsia" w:cs="Times New Roman"/>
                <w:color w:val="000000" w:themeColor="text1"/>
                <w:spacing w:val="0"/>
                <w:position w:val="0"/>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类标准</w:t>
            </w:r>
            <w:r>
              <w:rPr>
                <w:rFonts w:hint="eastAsia" w:cs="Times New Roman"/>
                <w:color w:val="000000" w:themeColor="text1"/>
                <w:spacing w:val="0"/>
                <w:position w:val="0"/>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标准值见表</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.11</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、表</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.11</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w:t>
            </w:r>
          </w:p>
          <w:p w14:paraId="476A36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t>表3.11</w:t>
            </w:r>
            <w:r>
              <w:rPr>
                <w:rFonts w:hint="eastAsia"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t>-</w:t>
            </w:r>
            <w:r>
              <w:rPr>
                <w:rFonts w:hint="eastAsia" w:cs="Times New Roman"/>
                <w:b/>
                <w:bCs w:val="0"/>
                <w:color w:val="000000" w:themeColor="text1"/>
                <w:spacing w:val="0"/>
                <w:position w:val="0"/>
                <w:sz w:val="21"/>
                <w:szCs w:val="16"/>
                <w:highlight w:val="none"/>
                <w:lang w:val="en-US" w:eastAsia="zh-CN"/>
                <w14:textFill>
                  <w14:solidFill>
                    <w14:schemeClr w14:val="tx1"/>
                  </w14:solidFill>
                </w14:textFill>
              </w:rPr>
              <w:t>1</w:t>
            </w:r>
            <w:r>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t xml:space="preserve">  《建筑施工噪声排放标准》（GB12523-20</w:t>
            </w:r>
            <w:r>
              <w:rPr>
                <w:rFonts w:hint="eastAsia"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t>25</w:t>
            </w:r>
            <w:r>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t>）</w:t>
            </w:r>
          </w:p>
          <w:tbl>
            <w:tblPr>
              <w:tblStyle w:val="30"/>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6"/>
              <w:gridCol w:w="2646"/>
              <w:gridCol w:w="2646"/>
            </w:tblGrid>
            <w:tr w14:paraId="054B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6" w:type="dxa"/>
                  <w:tcBorders>
                    <w:tl2br w:val="nil"/>
                    <w:tr2bl w:val="nil"/>
                  </w:tcBorders>
                  <w:vAlign w:val="center"/>
                </w:tcPr>
                <w:p w14:paraId="6F2C8D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val="0"/>
                      <w:color w:val="000000" w:themeColor="text1"/>
                      <w:spacing w:val="0"/>
                      <w:position w:val="0"/>
                      <w:szCs w:val="21"/>
                      <w:highlight w:val="none"/>
                      <w:lang w:eastAsia="zh-CN"/>
                      <w14:textFill>
                        <w14:solidFill>
                          <w14:schemeClr w14:val="tx1"/>
                        </w14:solidFill>
                      </w14:textFill>
                    </w:rPr>
                  </w:pPr>
                  <w:r>
                    <w:rPr>
                      <w:rFonts w:hint="eastAsia" w:cs="Times New Roman"/>
                      <w:b/>
                      <w:bCs w:val="0"/>
                      <w:color w:val="000000" w:themeColor="text1"/>
                      <w:spacing w:val="0"/>
                      <w:position w:val="0"/>
                      <w:szCs w:val="21"/>
                      <w:highlight w:val="none"/>
                      <w:lang w:val="en-US" w:eastAsia="zh-CN"/>
                      <w14:textFill>
                        <w14:solidFill>
                          <w14:schemeClr w14:val="tx1"/>
                        </w14:solidFill>
                      </w14:textFill>
                    </w:rPr>
                    <w:t>时段</w:t>
                  </w:r>
                </w:p>
              </w:tc>
              <w:tc>
                <w:tcPr>
                  <w:tcW w:w="2646" w:type="dxa"/>
                  <w:tcBorders>
                    <w:tl2br w:val="nil"/>
                    <w:tr2bl w:val="nil"/>
                  </w:tcBorders>
                  <w:vAlign w:val="center"/>
                </w:tcPr>
                <w:p w14:paraId="142725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000000" w:themeColor="text1"/>
                      <w:spacing w:val="0"/>
                      <w:position w:val="0"/>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0"/>
                      <w:position w:val="0"/>
                      <w:szCs w:val="21"/>
                      <w:highlight w:val="none"/>
                      <w14:textFill>
                        <w14:solidFill>
                          <w14:schemeClr w14:val="tx1"/>
                        </w14:solidFill>
                      </w14:textFill>
                    </w:rPr>
                    <w:t>昼间dB</w:t>
                  </w:r>
                  <w:r>
                    <w:rPr>
                      <w:rFonts w:hint="eastAsia" w:cs="Times New Roman"/>
                      <w:b/>
                      <w:bCs w:val="0"/>
                      <w:color w:val="000000" w:themeColor="text1"/>
                      <w:spacing w:val="0"/>
                      <w:position w:val="0"/>
                      <w:szCs w:val="21"/>
                      <w:highlight w:val="none"/>
                      <w:lang w:eastAsia="zh-CN"/>
                      <w14:textFill>
                        <w14:solidFill>
                          <w14:schemeClr w14:val="tx1"/>
                        </w14:solidFill>
                      </w14:textFill>
                    </w:rPr>
                    <w:t>（</w:t>
                  </w:r>
                  <w:r>
                    <w:rPr>
                      <w:rFonts w:hint="eastAsia" w:cs="Times New Roman"/>
                      <w:b/>
                      <w:bCs w:val="0"/>
                      <w:color w:val="000000" w:themeColor="text1"/>
                      <w:spacing w:val="0"/>
                      <w:position w:val="0"/>
                      <w:szCs w:val="21"/>
                      <w:highlight w:val="none"/>
                      <w:lang w:val="en-US" w:eastAsia="zh-CN"/>
                      <w14:textFill>
                        <w14:solidFill>
                          <w14:schemeClr w14:val="tx1"/>
                        </w14:solidFill>
                      </w14:textFill>
                    </w:rPr>
                    <w:t>A</w:t>
                  </w:r>
                  <w:r>
                    <w:rPr>
                      <w:rFonts w:hint="eastAsia" w:cs="Times New Roman"/>
                      <w:b/>
                      <w:bCs w:val="0"/>
                      <w:color w:val="000000" w:themeColor="text1"/>
                      <w:spacing w:val="0"/>
                      <w:position w:val="0"/>
                      <w:szCs w:val="21"/>
                      <w:highlight w:val="none"/>
                      <w:lang w:eastAsia="zh-CN"/>
                      <w14:textFill>
                        <w14:solidFill>
                          <w14:schemeClr w14:val="tx1"/>
                        </w14:solidFill>
                      </w14:textFill>
                    </w:rPr>
                    <w:t>）</w:t>
                  </w:r>
                </w:p>
              </w:tc>
              <w:tc>
                <w:tcPr>
                  <w:tcW w:w="2646" w:type="dxa"/>
                  <w:tcBorders>
                    <w:tl2br w:val="nil"/>
                    <w:tr2bl w:val="nil"/>
                  </w:tcBorders>
                  <w:vAlign w:val="center"/>
                </w:tcPr>
                <w:p w14:paraId="490FC0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val="0"/>
                      <w:color w:val="000000" w:themeColor="text1"/>
                      <w:spacing w:val="0"/>
                      <w:position w:val="0"/>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pacing w:val="0"/>
                      <w:position w:val="0"/>
                      <w:szCs w:val="21"/>
                      <w:highlight w:val="none"/>
                      <w14:textFill>
                        <w14:solidFill>
                          <w14:schemeClr w14:val="tx1"/>
                        </w14:solidFill>
                      </w14:textFill>
                    </w:rPr>
                    <w:t>夜间dB</w:t>
                  </w:r>
                  <w:r>
                    <w:rPr>
                      <w:rFonts w:hint="eastAsia" w:cs="Times New Roman"/>
                      <w:b/>
                      <w:bCs w:val="0"/>
                      <w:color w:val="000000" w:themeColor="text1"/>
                      <w:spacing w:val="0"/>
                      <w:position w:val="0"/>
                      <w:szCs w:val="21"/>
                      <w:highlight w:val="none"/>
                      <w:lang w:eastAsia="zh-CN"/>
                      <w14:textFill>
                        <w14:solidFill>
                          <w14:schemeClr w14:val="tx1"/>
                        </w14:solidFill>
                      </w14:textFill>
                    </w:rPr>
                    <w:t>（</w:t>
                  </w:r>
                  <w:r>
                    <w:rPr>
                      <w:rFonts w:hint="eastAsia" w:cs="Times New Roman"/>
                      <w:b/>
                      <w:bCs w:val="0"/>
                      <w:color w:val="000000" w:themeColor="text1"/>
                      <w:spacing w:val="0"/>
                      <w:position w:val="0"/>
                      <w:szCs w:val="21"/>
                      <w:highlight w:val="none"/>
                      <w:lang w:val="en-US" w:eastAsia="zh-CN"/>
                      <w14:textFill>
                        <w14:solidFill>
                          <w14:schemeClr w14:val="tx1"/>
                        </w14:solidFill>
                      </w14:textFill>
                    </w:rPr>
                    <w:t>A</w:t>
                  </w:r>
                  <w:r>
                    <w:rPr>
                      <w:rFonts w:hint="eastAsia" w:cs="Times New Roman"/>
                      <w:b/>
                      <w:bCs w:val="0"/>
                      <w:color w:val="000000" w:themeColor="text1"/>
                      <w:spacing w:val="0"/>
                      <w:position w:val="0"/>
                      <w:szCs w:val="21"/>
                      <w:highlight w:val="none"/>
                      <w:lang w:eastAsia="zh-CN"/>
                      <w14:textFill>
                        <w14:solidFill>
                          <w14:schemeClr w14:val="tx1"/>
                        </w14:solidFill>
                      </w14:textFill>
                    </w:rPr>
                    <w:t>）</w:t>
                  </w:r>
                </w:p>
              </w:tc>
            </w:tr>
            <w:tr w14:paraId="5E766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6" w:type="dxa"/>
                  <w:tcBorders>
                    <w:tl2br w:val="nil"/>
                    <w:tr2bl w:val="nil"/>
                  </w:tcBorders>
                  <w:vAlign w:val="center"/>
                </w:tcPr>
                <w:p w14:paraId="3DBE01AA">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bCs/>
                      <w:color w:val="000000" w:themeColor="text1"/>
                      <w:spacing w:val="0"/>
                      <w:position w:val="0"/>
                      <w:szCs w:val="21"/>
                      <w:highlight w:val="none"/>
                      <w:lang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噪声限值</w:t>
                  </w:r>
                </w:p>
              </w:tc>
              <w:tc>
                <w:tcPr>
                  <w:tcW w:w="2646" w:type="dxa"/>
                  <w:tcBorders>
                    <w:tl2br w:val="nil"/>
                    <w:tr2bl w:val="nil"/>
                  </w:tcBorders>
                  <w:vAlign w:val="center"/>
                </w:tcPr>
                <w:p w14:paraId="09CFDFF9">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Cs/>
                      <w:color w:val="000000" w:themeColor="text1"/>
                      <w:spacing w:val="0"/>
                      <w:position w:val="0"/>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70</w:t>
                  </w:r>
                </w:p>
              </w:tc>
              <w:tc>
                <w:tcPr>
                  <w:tcW w:w="2646" w:type="dxa"/>
                  <w:tcBorders>
                    <w:tl2br w:val="nil"/>
                    <w:tr2bl w:val="nil"/>
                  </w:tcBorders>
                  <w:vAlign w:val="center"/>
                </w:tcPr>
                <w:p w14:paraId="4731D226">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Cs/>
                      <w:color w:val="000000" w:themeColor="text1"/>
                      <w:spacing w:val="0"/>
                      <w:position w:val="0"/>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55</w:t>
                  </w:r>
                </w:p>
              </w:tc>
            </w:tr>
          </w:tbl>
          <w:p w14:paraId="592B16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t>表3.11</w:t>
            </w:r>
            <w:r>
              <w:rPr>
                <w:rFonts w:hint="eastAsia"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t>-</w:t>
            </w:r>
            <w:r>
              <w:rPr>
                <w:rFonts w:hint="eastAsia" w:cs="Times New Roman"/>
                <w:b/>
                <w:bCs w:val="0"/>
                <w:color w:val="000000" w:themeColor="text1"/>
                <w:spacing w:val="0"/>
                <w:position w:val="0"/>
                <w:sz w:val="21"/>
                <w:szCs w:val="16"/>
                <w:highlight w:val="none"/>
                <w:lang w:val="en-US" w:eastAsia="zh-CN"/>
                <w14:textFill>
                  <w14:solidFill>
                    <w14:schemeClr w14:val="tx1"/>
                  </w14:solidFill>
                </w14:textFill>
              </w:rPr>
              <w:t>2</w:t>
            </w:r>
            <w:r>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fldChar w:fldCharType="begin"/>
            </w:r>
            <w:r>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instrText xml:space="preserve"> HYPERLINK "http://www.mep.gov.cn/info/bgw/bgg/200809/W020081017399508921576.pdf" \t "_self" </w:instrText>
            </w:r>
            <w:r>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fldChar w:fldCharType="separate"/>
            </w:r>
            <w:r>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t>工业企业厂界环境噪声</w:t>
            </w:r>
            <w:r>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fldChar w:fldCharType="end"/>
            </w:r>
            <w:r>
              <w:rPr>
                <w:rFonts w:hint="default" w:ascii="Times New Roman" w:hAnsi="Times New Roman" w:eastAsia="宋体" w:cs="Times New Roman"/>
                <w:b/>
                <w:bCs w:val="0"/>
                <w:color w:val="000000" w:themeColor="text1"/>
                <w:spacing w:val="0"/>
                <w:position w:val="0"/>
                <w:sz w:val="21"/>
                <w:szCs w:val="16"/>
                <w:highlight w:val="none"/>
                <w:lang w:val="en-US" w:eastAsia="zh-CN"/>
                <w14:textFill>
                  <w14:solidFill>
                    <w14:schemeClr w14:val="tx1"/>
                  </w14:solidFill>
                </w14:textFill>
              </w:rPr>
              <w:t>排放标准》（GB12348-2008）</w:t>
            </w:r>
          </w:p>
          <w:tbl>
            <w:tblPr>
              <w:tblStyle w:val="30"/>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6"/>
              <w:gridCol w:w="2646"/>
              <w:gridCol w:w="2646"/>
            </w:tblGrid>
            <w:tr w14:paraId="22553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6" w:type="dxa"/>
                  <w:tcBorders>
                    <w:tl2br w:val="nil"/>
                    <w:tr2bl w:val="nil"/>
                  </w:tcBorders>
                  <w:vAlign w:val="center"/>
                </w:tcPr>
                <w:p w14:paraId="1FBD85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000000" w:themeColor="text1"/>
                      <w:spacing w:val="0"/>
                      <w:position w:val="0"/>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0"/>
                      <w:position w:val="0"/>
                      <w:szCs w:val="21"/>
                      <w:highlight w:val="none"/>
                      <w14:textFill>
                        <w14:solidFill>
                          <w14:schemeClr w14:val="tx1"/>
                        </w14:solidFill>
                      </w14:textFill>
                    </w:rPr>
                    <w:t>类别</w:t>
                  </w:r>
                </w:p>
              </w:tc>
              <w:tc>
                <w:tcPr>
                  <w:tcW w:w="2646" w:type="dxa"/>
                  <w:tcBorders>
                    <w:tl2br w:val="nil"/>
                    <w:tr2bl w:val="nil"/>
                  </w:tcBorders>
                  <w:vAlign w:val="center"/>
                </w:tcPr>
                <w:p w14:paraId="238BFC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000000" w:themeColor="text1"/>
                      <w:spacing w:val="0"/>
                      <w:position w:val="0"/>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0"/>
                      <w:position w:val="0"/>
                      <w:szCs w:val="21"/>
                      <w:highlight w:val="none"/>
                      <w14:textFill>
                        <w14:solidFill>
                          <w14:schemeClr w14:val="tx1"/>
                        </w14:solidFill>
                      </w14:textFill>
                    </w:rPr>
                    <w:t>昼间dB</w:t>
                  </w:r>
                  <w:r>
                    <w:rPr>
                      <w:rFonts w:hint="eastAsia" w:cs="Times New Roman"/>
                      <w:b/>
                      <w:bCs w:val="0"/>
                      <w:color w:val="000000" w:themeColor="text1"/>
                      <w:spacing w:val="0"/>
                      <w:position w:val="0"/>
                      <w:szCs w:val="21"/>
                      <w:highlight w:val="none"/>
                      <w:lang w:eastAsia="zh-CN"/>
                      <w14:textFill>
                        <w14:solidFill>
                          <w14:schemeClr w14:val="tx1"/>
                        </w14:solidFill>
                      </w14:textFill>
                    </w:rPr>
                    <w:t>（</w:t>
                  </w:r>
                  <w:r>
                    <w:rPr>
                      <w:rFonts w:hint="eastAsia" w:cs="Times New Roman"/>
                      <w:b/>
                      <w:bCs w:val="0"/>
                      <w:color w:val="000000" w:themeColor="text1"/>
                      <w:spacing w:val="0"/>
                      <w:position w:val="0"/>
                      <w:szCs w:val="21"/>
                      <w:highlight w:val="none"/>
                      <w:lang w:val="en-US" w:eastAsia="zh-CN"/>
                      <w14:textFill>
                        <w14:solidFill>
                          <w14:schemeClr w14:val="tx1"/>
                        </w14:solidFill>
                      </w14:textFill>
                    </w:rPr>
                    <w:t>A</w:t>
                  </w:r>
                  <w:r>
                    <w:rPr>
                      <w:rFonts w:hint="eastAsia" w:cs="Times New Roman"/>
                      <w:b/>
                      <w:bCs w:val="0"/>
                      <w:color w:val="000000" w:themeColor="text1"/>
                      <w:spacing w:val="0"/>
                      <w:position w:val="0"/>
                      <w:szCs w:val="21"/>
                      <w:highlight w:val="none"/>
                      <w:lang w:eastAsia="zh-CN"/>
                      <w14:textFill>
                        <w14:solidFill>
                          <w14:schemeClr w14:val="tx1"/>
                        </w14:solidFill>
                      </w14:textFill>
                    </w:rPr>
                    <w:t>）</w:t>
                  </w:r>
                </w:p>
              </w:tc>
              <w:tc>
                <w:tcPr>
                  <w:tcW w:w="2646" w:type="dxa"/>
                  <w:tcBorders>
                    <w:tl2br w:val="nil"/>
                    <w:tr2bl w:val="nil"/>
                  </w:tcBorders>
                  <w:vAlign w:val="center"/>
                </w:tcPr>
                <w:p w14:paraId="795747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val="0"/>
                      <w:color w:val="000000" w:themeColor="text1"/>
                      <w:spacing w:val="0"/>
                      <w:position w:val="0"/>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pacing w:val="0"/>
                      <w:position w:val="0"/>
                      <w:szCs w:val="21"/>
                      <w:highlight w:val="none"/>
                      <w14:textFill>
                        <w14:solidFill>
                          <w14:schemeClr w14:val="tx1"/>
                        </w14:solidFill>
                      </w14:textFill>
                    </w:rPr>
                    <w:t>夜间dB</w:t>
                  </w:r>
                  <w:r>
                    <w:rPr>
                      <w:rFonts w:hint="eastAsia" w:cs="Times New Roman"/>
                      <w:b/>
                      <w:bCs w:val="0"/>
                      <w:color w:val="000000" w:themeColor="text1"/>
                      <w:spacing w:val="0"/>
                      <w:position w:val="0"/>
                      <w:szCs w:val="21"/>
                      <w:highlight w:val="none"/>
                      <w:lang w:eastAsia="zh-CN"/>
                      <w14:textFill>
                        <w14:solidFill>
                          <w14:schemeClr w14:val="tx1"/>
                        </w14:solidFill>
                      </w14:textFill>
                    </w:rPr>
                    <w:t>（</w:t>
                  </w:r>
                  <w:r>
                    <w:rPr>
                      <w:rFonts w:hint="eastAsia" w:cs="Times New Roman"/>
                      <w:b/>
                      <w:bCs w:val="0"/>
                      <w:color w:val="000000" w:themeColor="text1"/>
                      <w:spacing w:val="0"/>
                      <w:position w:val="0"/>
                      <w:szCs w:val="21"/>
                      <w:highlight w:val="none"/>
                      <w:lang w:val="en-US" w:eastAsia="zh-CN"/>
                      <w14:textFill>
                        <w14:solidFill>
                          <w14:schemeClr w14:val="tx1"/>
                        </w14:solidFill>
                      </w14:textFill>
                    </w:rPr>
                    <w:t>A</w:t>
                  </w:r>
                  <w:r>
                    <w:rPr>
                      <w:rFonts w:hint="eastAsia" w:cs="Times New Roman"/>
                      <w:b/>
                      <w:bCs w:val="0"/>
                      <w:color w:val="000000" w:themeColor="text1"/>
                      <w:spacing w:val="0"/>
                      <w:position w:val="0"/>
                      <w:szCs w:val="21"/>
                      <w:highlight w:val="none"/>
                      <w:lang w:eastAsia="zh-CN"/>
                      <w14:textFill>
                        <w14:solidFill>
                          <w14:schemeClr w14:val="tx1"/>
                        </w14:solidFill>
                      </w14:textFill>
                    </w:rPr>
                    <w:t>）</w:t>
                  </w:r>
                </w:p>
              </w:tc>
            </w:tr>
            <w:tr w14:paraId="5ED5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6" w:type="dxa"/>
                  <w:tcBorders>
                    <w:tl2br w:val="nil"/>
                    <w:tr2bl w:val="nil"/>
                  </w:tcBorders>
                  <w:vAlign w:val="center"/>
                </w:tcPr>
                <w:p w14:paraId="0471C2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Cs/>
                      <w:color w:val="000000" w:themeColor="text1"/>
                      <w:spacing w:val="0"/>
                      <w:position w:val="0"/>
                      <w:szCs w:val="21"/>
                      <w:highlight w:val="none"/>
                      <w:lang w:eastAsia="zh-CN"/>
                      <w14:textFill>
                        <w14:solidFill>
                          <w14:schemeClr w14:val="tx1"/>
                        </w14:solidFill>
                      </w14:textFill>
                    </w:rPr>
                  </w:pPr>
                  <w:r>
                    <w:rPr>
                      <w:rFonts w:hint="eastAsia" w:cs="Times New Roman"/>
                      <w:bCs/>
                      <w:color w:val="000000" w:themeColor="text1"/>
                      <w:spacing w:val="0"/>
                      <w:position w:val="0"/>
                      <w:szCs w:val="21"/>
                      <w:highlight w:val="none"/>
                      <w:lang w:val="en-US" w:eastAsia="zh-CN"/>
                      <w14:textFill>
                        <w14:solidFill>
                          <w14:schemeClr w14:val="tx1"/>
                        </w14:solidFill>
                      </w14:textFill>
                    </w:rPr>
                    <w:t>2</w:t>
                  </w:r>
                </w:p>
              </w:tc>
              <w:tc>
                <w:tcPr>
                  <w:tcW w:w="2646" w:type="dxa"/>
                  <w:tcBorders>
                    <w:tl2br w:val="nil"/>
                    <w:tr2bl w:val="nil"/>
                  </w:tcBorders>
                  <w:vAlign w:val="center"/>
                </w:tcPr>
                <w:p w14:paraId="617BEB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Cs/>
                      <w:color w:val="000000" w:themeColor="text1"/>
                      <w:spacing w:val="0"/>
                      <w:position w:val="0"/>
                      <w:szCs w:val="21"/>
                      <w:highlight w:val="none"/>
                      <w:lang w:val="en-US" w:eastAsia="zh-CN"/>
                      <w14:textFill>
                        <w14:solidFill>
                          <w14:schemeClr w14:val="tx1"/>
                        </w14:solidFill>
                      </w14:textFill>
                    </w:rPr>
                  </w:pPr>
                  <w:r>
                    <w:rPr>
                      <w:rFonts w:hint="eastAsia" w:cs="Times New Roman"/>
                      <w:bCs/>
                      <w:color w:val="000000" w:themeColor="text1"/>
                      <w:spacing w:val="0"/>
                      <w:position w:val="0"/>
                      <w:szCs w:val="21"/>
                      <w:highlight w:val="none"/>
                      <w:lang w:val="en-US" w:eastAsia="zh-CN"/>
                      <w14:textFill>
                        <w14:solidFill>
                          <w14:schemeClr w14:val="tx1"/>
                        </w14:solidFill>
                      </w14:textFill>
                    </w:rPr>
                    <w:t>60</w:t>
                  </w:r>
                </w:p>
              </w:tc>
              <w:tc>
                <w:tcPr>
                  <w:tcW w:w="2646" w:type="dxa"/>
                  <w:tcBorders>
                    <w:tl2br w:val="nil"/>
                    <w:tr2bl w:val="nil"/>
                  </w:tcBorders>
                  <w:vAlign w:val="center"/>
                </w:tcPr>
                <w:p w14:paraId="436A23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Cs/>
                      <w:color w:val="000000" w:themeColor="text1"/>
                      <w:spacing w:val="0"/>
                      <w:position w:val="0"/>
                      <w:szCs w:val="21"/>
                      <w:highlight w:val="none"/>
                      <w:lang w:val="en-US" w:eastAsia="zh-CN"/>
                      <w14:textFill>
                        <w14:solidFill>
                          <w14:schemeClr w14:val="tx1"/>
                        </w14:solidFill>
                      </w14:textFill>
                    </w:rPr>
                  </w:pPr>
                  <w:r>
                    <w:rPr>
                      <w:rFonts w:hint="eastAsia" w:cs="Times New Roman"/>
                      <w:bCs/>
                      <w:color w:val="000000" w:themeColor="text1"/>
                      <w:spacing w:val="0"/>
                      <w:position w:val="0"/>
                      <w:szCs w:val="21"/>
                      <w:highlight w:val="none"/>
                      <w:lang w:val="en-US" w:eastAsia="zh-CN"/>
                      <w14:textFill>
                        <w14:solidFill>
                          <w14:schemeClr w14:val="tx1"/>
                        </w14:solidFill>
                      </w14:textFill>
                    </w:rPr>
                    <w:t>50</w:t>
                  </w:r>
                </w:p>
              </w:tc>
            </w:tr>
          </w:tbl>
          <w:p w14:paraId="3F8E3B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000000" w:themeColor="text1"/>
                <w:spacing w:val="0"/>
                <w:kern w:val="0"/>
                <w:position w:val="0"/>
                <w:sz w:val="24"/>
                <w:szCs w:val="24"/>
                <w:highlight w:val="none"/>
                <w:lang w:val="en-US" w:eastAsia="zh-CN"/>
                <w14:textFill>
                  <w14:solidFill>
                    <w14:schemeClr w14:val="tx1"/>
                  </w14:solidFill>
                </w14:textFill>
              </w:rPr>
            </w:pPr>
            <w:r>
              <w:rPr>
                <w:rFonts w:hint="eastAsia" w:eastAsia="宋体" w:cs="Times New Roman"/>
                <w:b/>
                <w:bCs w:val="0"/>
                <w:color w:val="000000" w:themeColor="text1"/>
                <w:spacing w:val="0"/>
                <w:position w:val="0"/>
                <w:sz w:val="24"/>
                <w:szCs w:val="24"/>
                <w:highlight w:val="none"/>
                <w:lang w:val="en-US" w:eastAsia="zh-CN"/>
                <w14:textFill>
                  <w14:solidFill>
                    <w14:schemeClr w14:val="tx1"/>
                  </w14:solidFill>
                </w14:textFill>
              </w:rPr>
              <w:t>3.</w:t>
            </w:r>
            <w:r>
              <w:rPr>
                <w:rFonts w:hint="eastAsia" w:cs="Times New Roman"/>
                <w:b/>
                <w:bCs w:val="0"/>
                <w:color w:val="000000" w:themeColor="text1"/>
                <w:spacing w:val="0"/>
                <w:position w:val="0"/>
                <w:sz w:val="24"/>
                <w:szCs w:val="24"/>
                <w:highlight w:val="none"/>
                <w:lang w:val="en-US" w:eastAsia="zh-CN"/>
                <w14:textFill>
                  <w14:solidFill>
                    <w14:schemeClr w14:val="tx1"/>
                  </w14:solidFill>
                </w14:textFill>
              </w:rPr>
              <w:t>12</w:t>
            </w:r>
            <w:r>
              <w:rPr>
                <w:rFonts w:hint="default" w:ascii="Times New Roman" w:hAnsi="Times New Roman" w:eastAsia="宋体" w:cs="Times New Roman"/>
                <w:b/>
                <w:bCs/>
                <w:color w:val="000000" w:themeColor="text1"/>
                <w:spacing w:val="0"/>
                <w:kern w:val="0"/>
                <w:position w:val="0"/>
                <w:sz w:val="24"/>
                <w:szCs w:val="24"/>
                <w:highlight w:val="none"/>
                <w:lang w:val="en-US" w:eastAsia="zh-CN"/>
                <w14:textFill>
                  <w14:solidFill>
                    <w14:schemeClr w14:val="tx1"/>
                  </w14:solidFill>
                </w14:textFill>
              </w:rPr>
              <w:t>固体废物</w:t>
            </w:r>
          </w:p>
          <w:p w14:paraId="4D0D11D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一般固体废物执行《一般工业固体废物贮存和填埋污染控制标准》（GB18599-2020）中的有关规定；</w:t>
            </w:r>
          </w:p>
          <w:p w14:paraId="369EBAD0">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default"/>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危险废物执行《危险废物贮存污染控制标准》（GB18597-2023）</w:t>
            </w:r>
            <w:r>
              <w:rPr>
                <w:rFonts w:hint="default" w:ascii="Times New Roman" w:hAnsi="Times New Roman" w:eastAsia="宋体" w:cs="Times New Roman"/>
                <w:color w:val="000000" w:themeColor="text1"/>
                <w:spacing w:val="0"/>
                <w:position w:val="0"/>
                <w:sz w:val="24"/>
                <w:highlight w:val="none"/>
                <w14:textFill>
                  <w14:solidFill>
                    <w14:schemeClr w14:val="tx1"/>
                  </w14:solidFill>
                </w14:textFill>
              </w:rPr>
              <w:t>。</w:t>
            </w:r>
          </w:p>
        </w:tc>
      </w:tr>
      <w:tr w14:paraId="33C8B3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4" w:hRule="atLeast"/>
          <w:jc w:val="center"/>
        </w:trPr>
        <w:tc>
          <w:tcPr>
            <w:tcW w:w="647" w:type="dxa"/>
            <w:vAlign w:val="center"/>
          </w:tcPr>
          <w:p w14:paraId="2D11C77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pPr>
            <w: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t>总量</w:t>
            </w:r>
          </w:p>
          <w:p w14:paraId="478FDDB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pPr>
            <w: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t>控制</w:t>
            </w:r>
          </w:p>
          <w:p w14:paraId="699F36F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pPr>
            <w:r>
              <w:rPr>
                <w:rFonts w:hint="default" w:ascii="Times New Roman" w:hAnsi="Times New Roman" w:cs="Times New Roman"/>
                <w:b/>
                <w:bCs/>
                <w:color w:val="000000" w:themeColor="text1"/>
                <w:spacing w:val="0"/>
                <w:kern w:val="0"/>
                <w:position w:val="0"/>
                <w:szCs w:val="21"/>
                <w:highlight w:val="none"/>
                <w14:textFill>
                  <w14:solidFill>
                    <w14:schemeClr w14:val="tx1"/>
                  </w14:solidFill>
                </w14:textFill>
              </w:rPr>
              <w:t>指标</w:t>
            </w:r>
          </w:p>
        </w:tc>
        <w:tc>
          <w:tcPr>
            <w:tcW w:w="8393" w:type="dxa"/>
            <w:vAlign w:val="center"/>
          </w:tcPr>
          <w:p w14:paraId="60FEBD2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4"/>
                <w:highlight w:val="none"/>
                <w14:textFill>
                  <w14:solidFill>
                    <w14:schemeClr w14:val="tx1"/>
                  </w14:solidFill>
                </w14:textFill>
              </w:rPr>
              <w:t>根据山西省</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生态环境厅</w:t>
            </w:r>
            <w:r>
              <w:rPr>
                <w:rFonts w:hint="default" w:ascii="Times New Roman" w:hAnsi="Times New Roman" w:eastAsia="宋体" w:cs="Times New Roman"/>
                <w:color w:val="000000" w:themeColor="text1"/>
                <w:spacing w:val="0"/>
                <w:position w:val="0"/>
                <w:sz w:val="24"/>
                <w:highlight w:val="none"/>
                <w14:textFill>
                  <w14:solidFill>
                    <w14:schemeClr w14:val="tx1"/>
                  </w14:solidFill>
                </w14:textFill>
              </w:rPr>
              <w:t>《建设项目主要污染物排放总量指标核定暂行办法》（晋环规[2023]1号）文规定，</w:t>
            </w:r>
            <w:r>
              <w:rPr>
                <w:rFonts w:hint="eastAsia" w:cs="Times New Roman"/>
                <w:color w:val="000000" w:themeColor="text1"/>
                <w:spacing w:val="0"/>
                <w:positio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highlight w:val="none"/>
                <w14:textFill>
                  <w14:solidFill>
                    <w14:schemeClr w14:val="tx1"/>
                  </w14:solidFill>
                </w14:textFill>
              </w:rPr>
              <w:t>实施排放总量控制的主要污染物包括氮氧化物、挥发性有机物、化学需氧量、氨氮等国家实施排放总量控制的主要污染物以及二氧化硫、颗粒物等山西省实施排放总量控制的主要污染物</w:t>
            </w:r>
            <w:r>
              <w:rPr>
                <w:rFonts w:hint="eastAsia" w:ascii="Times New Roman" w:hAnsi="Times New Roman" w:eastAsia="宋体" w:cs="Times New Roman"/>
                <w:color w:val="000000" w:themeColor="text1"/>
                <w:spacing w:val="0"/>
                <w:positio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highlight w:val="none"/>
                <w14:textFill>
                  <w14:solidFill>
                    <w14:schemeClr w14:val="tx1"/>
                  </w14:solidFill>
                </w14:textFill>
              </w:rPr>
              <w:t>。</w:t>
            </w:r>
          </w:p>
          <w:p w14:paraId="4BDAD17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jc w:val="both"/>
              <w:textAlignment w:val="auto"/>
              <w:rPr>
                <w:rFonts w:hint="eastAsia"/>
                <w:color w:val="000000" w:themeColor="text1"/>
                <w:sz w:val="24"/>
                <w:highlight w:val="yellow"/>
                <w:lang w:val="en-US" w:eastAsia="zh-CN"/>
                <w14:textFill>
                  <w14:solidFill>
                    <w14:schemeClr w14:val="tx1"/>
                  </w14:solidFill>
                </w14:textFill>
              </w:rPr>
            </w:pPr>
            <w:r>
              <w:rPr>
                <w:rFonts w:hint="eastAsia"/>
                <w:color w:val="000000" w:themeColor="text1"/>
                <w:sz w:val="24"/>
                <w14:textFill>
                  <w14:solidFill>
                    <w14:schemeClr w14:val="tx1"/>
                  </w14:solidFill>
                </w14:textFill>
              </w:rPr>
              <w:t>本项目生产过程中无生产废水外排；生产过程中有组织排放的大气污染物主要为颗粒物</w:t>
            </w:r>
            <w:r>
              <w:rPr>
                <w:rFonts w:hint="eastAsia"/>
                <w:color w:val="000000" w:themeColor="text1"/>
                <w:sz w:val="24"/>
                <w:highlight w:val="none"/>
                <w14:textFill>
                  <w14:solidFill>
                    <w14:schemeClr w14:val="tx1"/>
                  </w14:solidFill>
                </w14:textFill>
              </w:rPr>
              <w:t>，</w:t>
            </w:r>
            <w:r>
              <w:rPr>
                <w:rFonts w:hint="eastAsia" w:cs="Times New Roman"/>
                <w:color w:val="000000" w:themeColor="text1"/>
                <w:spacing w:val="0"/>
                <w:position w:val="0"/>
                <w:sz w:val="24"/>
                <w:highlight w:val="none"/>
                <w:lang w:val="en-US" w:eastAsia="zh-CN"/>
                <w14:textFill>
                  <w14:solidFill>
                    <w14:schemeClr w14:val="tx1"/>
                  </w14:solidFill>
                </w14:textFill>
              </w:rPr>
              <w:t>经计算，本项目</w:t>
            </w:r>
            <w:r>
              <w:rPr>
                <w:rFonts w:hint="eastAsia"/>
                <w:color w:val="000000" w:themeColor="text1"/>
                <w:sz w:val="24"/>
                <w:highlight w:val="none"/>
                <w14:textFill>
                  <w14:solidFill>
                    <w14:schemeClr w14:val="tx1"/>
                  </w14:solidFill>
                </w14:textFill>
              </w:rPr>
              <w:t>需要申请总量指标</w:t>
            </w:r>
            <w:r>
              <w:rPr>
                <w:rFonts w:hint="eastAsia"/>
                <w:color w:val="000000" w:themeColor="text1"/>
                <w:sz w:val="24"/>
                <w:highlight w:val="none"/>
                <w:lang w:val="en-US" w:eastAsia="zh-CN"/>
                <w14:textFill>
                  <w14:solidFill>
                    <w14:schemeClr w14:val="tx1"/>
                  </w14:solidFill>
                </w14:textFill>
              </w:rPr>
              <w:t>为：颗粒物2.971t/a（其中有组织颗粒物1.701t/a，无组织颗粒物1.27t/a）。</w:t>
            </w:r>
          </w:p>
          <w:p w14:paraId="1F7D4A0C">
            <w:pPr>
              <w:keepNext w:val="0"/>
              <w:keepLines w:val="0"/>
              <w:suppressLineNumbers w:val="0"/>
              <w:spacing w:before="0" w:beforeAutospacing="0" w:after="0" w:afterAutospacing="0" w:line="480" w:lineRule="exact"/>
              <w:ind w:left="0" w:right="0" w:firstLine="480" w:firstLineChars="200"/>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auto"/>
                <w:sz w:val="24"/>
                <w:szCs w:val="22"/>
                <w:lang w:val="en-US" w:eastAsia="zh-CN"/>
              </w:rPr>
              <w:t>长治市生态环境局屯留分局以屯函环[2026]</w:t>
            </w:r>
            <w:r>
              <w:rPr>
                <w:rFonts w:hint="eastAsia" w:cs="Times New Roman"/>
                <w:color w:val="auto"/>
                <w:sz w:val="24"/>
                <w:szCs w:val="22"/>
                <w:lang w:val="en-US" w:eastAsia="zh-CN"/>
              </w:rPr>
              <w:t>30</w:t>
            </w:r>
            <w:r>
              <w:rPr>
                <w:rFonts w:hint="eastAsia" w:ascii="Times New Roman" w:hAnsi="Times New Roman" w:eastAsia="宋体" w:cs="Times New Roman"/>
                <w:color w:val="auto"/>
                <w:sz w:val="24"/>
                <w:szCs w:val="22"/>
                <w:lang w:val="en-US" w:eastAsia="zh-CN"/>
              </w:rPr>
              <w:t>号文出具了“关于</w:t>
            </w:r>
            <w:r>
              <w:rPr>
                <w:rFonts w:hint="eastAsia"/>
                <w:color w:val="auto"/>
                <w:sz w:val="24"/>
                <w:szCs w:val="32"/>
              </w:rPr>
              <w:t>长治市琪琳能源科技有限公司煤矸石机制砂综</w:t>
            </w:r>
            <w:r>
              <w:rPr>
                <w:rFonts w:hint="eastAsia"/>
                <w:color w:val="auto"/>
                <w:sz w:val="24"/>
                <w:szCs w:val="32"/>
                <w:lang w:val="en-US" w:eastAsia="zh-CN"/>
              </w:rPr>
              <w:t>合</w:t>
            </w:r>
            <w:r>
              <w:rPr>
                <w:rFonts w:hint="eastAsia"/>
                <w:color w:val="auto"/>
                <w:sz w:val="24"/>
                <w:szCs w:val="32"/>
              </w:rPr>
              <w:t>再利用项目</w:t>
            </w:r>
            <w:r>
              <w:rPr>
                <w:rFonts w:hint="eastAsia" w:ascii="Times New Roman" w:hAnsi="Times New Roman" w:eastAsia="宋体" w:cs="Times New Roman"/>
                <w:color w:val="auto"/>
                <w:sz w:val="24"/>
                <w:szCs w:val="22"/>
                <w:lang w:val="en-US" w:eastAsia="zh-CN"/>
              </w:rPr>
              <w:t>大气污染物排放总量核定意见”（见附件</w:t>
            </w:r>
            <w:r>
              <w:rPr>
                <w:rFonts w:hint="eastAsia" w:cs="Times New Roman"/>
                <w:color w:val="auto"/>
                <w:sz w:val="24"/>
                <w:szCs w:val="22"/>
                <w:lang w:val="en-US" w:eastAsia="zh-CN"/>
              </w:rPr>
              <w:t>10</w:t>
            </w:r>
            <w:r>
              <w:rPr>
                <w:rFonts w:hint="eastAsia" w:ascii="Times New Roman" w:hAnsi="Times New Roman" w:eastAsia="宋体" w:cs="Times New Roman"/>
                <w:color w:val="auto"/>
                <w:sz w:val="24"/>
                <w:szCs w:val="22"/>
                <w:lang w:val="en-US" w:eastAsia="zh-CN"/>
              </w:rPr>
              <w:t>），核定本项目总量控制指标为：颗粒物2.</w:t>
            </w:r>
            <w:r>
              <w:rPr>
                <w:rFonts w:hint="eastAsia" w:cs="Times New Roman"/>
                <w:color w:val="auto"/>
                <w:sz w:val="24"/>
                <w:szCs w:val="22"/>
                <w:lang w:val="en-US" w:eastAsia="zh-CN"/>
              </w:rPr>
              <w:t>971</w:t>
            </w:r>
            <w:r>
              <w:rPr>
                <w:rFonts w:hint="eastAsia" w:ascii="Times New Roman" w:hAnsi="Times New Roman" w:eastAsia="宋体" w:cs="Times New Roman"/>
                <w:color w:val="auto"/>
                <w:sz w:val="24"/>
                <w:szCs w:val="22"/>
                <w:lang w:val="en-US" w:eastAsia="zh-CN"/>
              </w:rPr>
              <w:t>t/a。</w:t>
            </w:r>
          </w:p>
        </w:tc>
      </w:tr>
    </w:tbl>
    <w:p w14:paraId="40CC8E2A">
      <w:pPr>
        <w:pStyle w:val="22"/>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6"/>
          <w:szCs w:val="36"/>
          <w:highlight w:val="none"/>
          <w14:textFill>
            <w14:solidFill>
              <w14:schemeClr w14:val="tx1"/>
            </w14:solidFill>
          </w14:textFill>
        </w:rPr>
        <w:br w:type="page"/>
      </w:r>
      <w:bookmarkStart w:id="10" w:name="_Toc7234"/>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四、主要环境影响和保护措施</w:t>
      </w:r>
      <w:bookmarkEnd w:id="10"/>
    </w:p>
    <w:tbl>
      <w:tblPr>
        <w:tblStyle w:val="30"/>
        <w:tblW w:w="89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2"/>
        <w:gridCol w:w="8340"/>
      </w:tblGrid>
      <w:tr w14:paraId="78DCC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dxa"/>
            <w:tcMar>
              <w:left w:w="28" w:type="dxa"/>
              <w:right w:w="28" w:type="dxa"/>
            </w:tcMar>
            <w:vAlign w:val="center"/>
          </w:tcPr>
          <w:p w14:paraId="30F1E711">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kern w:val="2"/>
                <w:sz w:val="21"/>
                <w:szCs w:val="21"/>
                <w:highlight w:val="none"/>
                <w14:textFill>
                  <w14:solidFill>
                    <w14:schemeClr w14:val="tx1"/>
                  </w14:solidFill>
                </w14:textFill>
              </w:rPr>
            </w:pPr>
            <w:r>
              <w:rPr>
                <w:rFonts w:hint="default" w:ascii="Times New Roman" w:hAnsi="Times New Roman" w:cs="Times New Roman"/>
                <w:b/>
                <w:bCs/>
                <w:color w:val="000000" w:themeColor="text1"/>
                <w:kern w:val="2"/>
                <w:sz w:val="21"/>
                <w:szCs w:val="21"/>
                <w:highlight w:val="none"/>
                <w14:textFill>
                  <w14:solidFill>
                    <w14:schemeClr w14:val="tx1"/>
                  </w14:solidFill>
                </w14:textFill>
              </w:rPr>
              <w:t>施工</w:t>
            </w:r>
          </w:p>
          <w:p w14:paraId="39354689">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kern w:val="2"/>
                <w:sz w:val="21"/>
                <w:szCs w:val="21"/>
                <w:highlight w:val="none"/>
                <w14:textFill>
                  <w14:solidFill>
                    <w14:schemeClr w14:val="tx1"/>
                  </w14:solidFill>
                </w14:textFill>
              </w:rPr>
            </w:pPr>
            <w:r>
              <w:rPr>
                <w:rFonts w:hint="default" w:ascii="Times New Roman" w:hAnsi="Times New Roman" w:cs="Times New Roman"/>
                <w:b/>
                <w:bCs/>
                <w:color w:val="000000" w:themeColor="text1"/>
                <w:kern w:val="2"/>
                <w:sz w:val="21"/>
                <w:szCs w:val="21"/>
                <w:highlight w:val="none"/>
                <w14:textFill>
                  <w14:solidFill>
                    <w14:schemeClr w14:val="tx1"/>
                  </w14:solidFill>
                </w14:textFill>
              </w:rPr>
              <w:t>期环</w:t>
            </w:r>
          </w:p>
          <w:p w14:paraId="5E832062">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kern w:val="2"/>
                <w:sz w:val="21"/>
                <w:szCs w:val="21"/>
                <w:highlight w:val="none"/>
                <w14:textFill>
                  <w14:solidFill>
                    <w14:schemeClr w14:val="tx1"/>
                  </w14:solidFill>
                </w14:textFill>
              </w:rPr>
            </w:pPr>
            <w:r>
              <w:rPr>
                <w:rFonts w:hint="default" w:ascii="Times New Roman" w:hAnsi="Times New Roman" w:cs="Times New Roman"/>
                <w:b/>
                <w:bCs/>
                <w:color w:val="000000" w:themeColor="text1"/>
                <w:kern w:val="2"/>
                <w:sz w:val="21"/>
                <w:szCs w:val="21"/>
                <w:highlight w:val="none"/>
                <w14:textFill>
                  <w14:solidFill>
                    <w14:schemeClr w14:val="tx1"/>
                  </w14:solidFill>
                </w14:textFill>
              </w:rPr>
              <w:t>境保</w:t>
            </w:r>
          </w:p>
          <w:p w14:paraId="7CCC1289">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kern w:val="2"/>
                <w:sz w:val="21"/>
                <w:szCs w:val="21"/>
                <w:highlight w:val="none"/>
                <w14:textFill>
                  <w14:solidFill>
                    <w14:schemeClr w14:val="tx1"/>
                  </w14:solidFill>
                </w14:textFill>
              </w:rPr>
            </w:pPr>
            <w:r>
              <w:rPr>
                <w:rFonts w:hint="default" w:ascii="Times New Roman" w:hAnsi="Times New Roman" w:cs="Times New Roman"/>
                <w:b/>
                <w:bCs/>
                <w:color w:val="000000" w:themeColor="text1"/>
                <w:kern w:val="2"/>
                <w:sz w:val="21"/>
                <w:szCs w:val="21"/>
                <w:highlight w:val="none"/>
                <w14:textFill>
                  <w14:solidFill>
                    <w14:schemeClr w14:val="tx1"/>
                  </w14:solidFill>
                </w14:textFill>
              </w:rPr>
              <w:t>护措</w:t>
            </w:r>
          </w:p>
          <w:p w14:paraId="25117818">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kern w:val="2"/>
                <w:sz w:val="21"/>
                <w:szCs w:val="21"/>
                <w:highlight w:val="none"/>
                <w14:textFill>
                  <w14:solidFill>
                    <w14:schemeClr w14:val="tx1"/>
                  </w14:solidFill>
                </w14:textFill>
              </w:rPr>
            </w:pPr>
            <w:r>
              <w:rPr>
                <w:rFonts w:hint="default" w:ascii="Times New Roman" w:hAnsi="Times New Roman" w:cs="Times New Roman"/>
                <w:b/>
                <w:bCs/>
                <w:color w:val="000000" w:themeColor="text1"/>
                <w:kern w:val="2"/>
                <w:sz w:val="21"/>
                <w:szCs w:val="21"/>
                <w:highlight w:val="none"/>
                <w14:textFill>
                  <w14:solidFill>
                    <w14:schemeClr w14:val="tx1"/>
                  </w14:solidFill>
                </w14:textFill>
              </w:rPr>
              <w:t>施</w:t>
            </w:r>
          </w:p>
        </w:tc>
        <w:tc>
          <w:tcPr>
            <w:tcW w:w="8340" w:type="dxa"/>
            <w:vAlign w:val="center"/>
          </w:tcPr>
          <w:p w14:paraId="3A55D049">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color w:val="000000" w:themeColor="text1"/>
                <w:spacing w:val="0"/>
                <w:sz w:val="24"/>
                <w:szCs w:val="20"/>
                <w:highlight w:val="none"/>
                <w:lang w:val="en-US" w:eastAsia="zh-CN"/>
                <w14:textFill>
                  <w14:solidFill>
                    <w14:schemeClr w14:val="tx1"/>
                  </w14:solidFill>
                </w14:textFill>
              </w:rPr>
            </w:pPr>
            <w:r>
              <w:rPr>
                <w:rFonts w:hint="eastAsia" w:cs="Times New Roman"/>
                <w:color w:val="000000" w:themeColor="text1"/>
                <w:spacing w:val="0"/>
                <w:sz w:val="24"/>
                <w:szCs w:val="20"/>
                <w:highlight w:val="none"/>
                <w:lang w:val="en-US" w:eastAsia="zh-CN"/>
                <w14:textFill>
                  <w14:solidFill>
                    <w14:schemeClr w14:val="tx1"/>
                  </w14:solidFill>
                </w14:textFill>
              </w:rPr>
              <w:t>本次环评拟拆除现有煤矸石棚和危废贮存库，并重新建设1座全封闭式钢结构生产车间，</w:t>
            </w:r>
            <w:r>
              <w:rPr>
                <w:rFonts w:hint="eastAsia" w:cs="Times New Roman"/>
                <w:color w:val="000000" w:themeColor="text1"/>
                <w:spacing w:val="0"/>
                <w:sz w:val="24"/>
                <w:szCs w:val="20"/>
                <w:highlight w:val="none"/>
                <w:vertAlign w:val="baseline"/>
                <w:lang w:val="en-US" w:eastAsia="zh-CN"/>
                <w14:textFill>
                  <w14:solidFill>
                    <w14:schemeClr w14:val="tx1"/>
                  </w14:solidFill>
                </w14:textFill>
              </w:rPr>
              <w:t>厂区西北侧2间库房改造成2座危废贮存点，1#危废贮存点为本项目使用，2#危废贮存点为富健达洗煤厂使用，</w:t>
            </w:r>
            <w:r>
              <w:rPr>
                <w:rFonts w:hint="eastAsia" w:cs="Times New Roman"/>
                <w:color w:val="000000" w:themeColor="text1"/>
                <w:spacing w:val="0"/>
                <w:sz w:val="24"/>
                <w:szCs w:val="20"/>
                <w:highlight w:val="none"/>
                <w:lang w:val="en-US" w:eastAsia="zh-CN"/>
                <w14:textFill>
                  <w14:solidFill>
                    <w14:schemeClr w14:val="tx1"/>
                  </w14:solidFill>
                </w14:textFill>
              </w:rPr>
              <w:t>厂区内</w:t>
            </w:r>
            <w:r>
              <w:rPr>
                <w:rFonts w:hint="eastAsia" w:cs="Times New Roman"/>
                <w:color w:val="000000" w:themeColor="text1"/>
                <w:spacing w:val="0"/>
                <w:sz w:val="24"/>
                <w:szCs w:val="20"/>
                <w:highlight w:val="none"/>
                <w:vertAlign w:val="baseline"/>
                <w:lang w:val="en-US" w:eastAsia="zh-CN"/>
                <w14:textFill>
                  <w14:solidFill>
                    <w14:schemeClr w14:val="tx1"/>
                  </w14:solidFill>
                </w14:textFill>
              </w:rPr>
              <w:t>其他构筑物均保留</w:t>
            </w:r>
            <w:r>
              <w:rPr>
                <w:rFonts w:hint="eastAsia" w:cs="Times New Roman"/>
                <w:color w:val="000000" w:themeColor="text1"/>
                <w:spacing w:val="0"/>
                <w:sz w:val="24"/>
                <w:szCs w:val="20"/>
                <w:highlight w:val="none"/>
                <w:lang w:val="en-US"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施工期拆除现有构筑物时产生的土方用于场地平整，</w:t>
            </w:r>
            <w:r>
              <w:rPr>
                <w:rFonts w:hint="eastAsia" w:ascii="Times New Roman" w:hAnsi="Times New Roman" w:cs="Times New Roman"/>
                <w:bCs/>
                <w:color w:val="000000" w:themeColor="text1"/>
                <w:sz w:val="24"/>
                <w:szCs w:val="24"/>
                <w:lang w:val="en-US" w:eastAsia="zh-CN"/>
                <w14:textFill>
                  <w14:solidFill>
                    <w14:schemeClr w14:val="tx1"/>
                  </w14:solidFill>
                </w14:textFill>
              </w:rPr>
              <w:t>因此</w:t>
            </w:r>
            <w:r>
              <w:rPr>
                <w:rFonts w:hint="default" w:ascii="Times New Roman" w:hAnsi="Times New Roman" w:cs="Times New Roman"/>
                <w:bCs/>
                <w:color w:val="000000" w:themeColor="text1"/>
                <w:sz w:val="24"/>
                <w:szCs w:val="24"/>
                <w:lang w:val="en-US" w:eastAsia="zh-CN"/>
                <w14:textFill>
                  <w14:solidFill>
                    <w14:schemeClr w14:val="tx1"/>
                  </w14:solidFill>
                </w14:textFill>
              </w:rPr>
              <w:t>在</w:t>
            </w:r>
            <w:r>
              <w:rPr>
                <w:rFonts w:hint="default" w:ascii="Times New Roman" w:hAnsi="Times New Roman" w:eastAsia="宋体" w:cs="Times New Roman"/>
                <w:color w:val="000000" w:themeColor="text1"/>
                <w:sz w:val="24"/>
                <w:szCs w:val="24"/>
                <w14:textFill>
                  <w14:solidFill>
                    <w14:schemeClr w14:val="tx1"/>
                  </w14:solidFill>
                </w14:textFill>
              </w:rPr>
              <w:t>施工期间的主要环境问题产生于工程建设施工过程中</w:t>
            </w:r>
            <w:r>
              <w:rPr>
                <w:rFonts w:hint="eastAsia" w:ascii="Times New Roman" w:eastAsia="宋体" w:cs="Times New Roman"/>
                <w:color w:val="000000" w:themeColor="text1"/>
                <w:sz w:val="24"/>
                <w:szCs w:val="24"/>
                <w:lang w:val="en-US" w:eastAsia="zh-CN"/>
                <w14:textFill>
                  <w14:solidFill>
                    <w14:schemeClr w14:val="tx1"/>
                  </w14:solidFill>
                </w14:textFill>
              </w:rPr>
              <w:t>的</w:t>
            </w:r>
            <w:r>
              <w:rPr>
                <w:rFonts w:hint="default" w:ascii="Times New Roman" w:hAnsi="Times New Roman" w:cs="Times New Roman"/>
                <w:bCs/>
                <w:color w:val="000000" w:themeColor="text1"/>
                <w:kern w:val="21"/>
                <w:sz w:val="24"/>
                <w:szCs w:val="24"/>
                <w:highlight w:val="none"/>
                <w:lang w:val="en-US" w:eastAsia="zh-CN"/>
                <w14:textFill>
                  <w14:solidFill>
                    <w14:schemeClr w14:val="tx1"/>
                  </w14:solidFill>
                </w14:textFill>
              </w:rPr>
              <w:t>钢结构框架</w:t>
            </w:r>
            <w:r>
              <w:rPr>
                <w:rFonts w:hint="eastAsia" w:ascii="Times New Roman" w:hAnsi="Times New Roman" w:cs="Times New Roman"/>
                <w:bCs/>
                <w:color w:val="000000" w:themeColor="text1"/>
                <w:kern w:val="21"/>
                <w:sz w:val="24"/>
                <w:szCs w:val="24"/>
                <w:highlight w:val="none"/>
                <w:lang w:val="en-US" w:eastAsia="zh-CN"/>
                <w14:textFill>
                  <w14:solidFill>
                    <w14:schemeClr w14:val="tx1"/>
                  </w14:solidFill>
                </w14:textFill>
              </w:rPr>
              <w:t>拆除、</w:t>
            </w:r>
            <w:r>
              <w:rPr>
                <w:rFonts w:hint="default" w:ascii="Times New Roman" w:hAnsi="Times New Roman" w:eastAsia="宋体" w:cs="Times New Roman"/>
                <w:color w:val="000000" w:themeColor="text1"/>
                <w:sz w:val="24"/>
                <w:szCs w:val="24"/>
                <w14:textFill>
                  <w14:solidFill>
                    <w14:schemeClr w14:val="tx1"/>
                  </w14:solidFill>
                </w14:textFill>
              </w:rPr>
              <w:t>土地清理</w:t>
            </w:r>
            <w:r>
              <w:rPr>
                <w:rFonts w:hint="eastAsia" w:ascii="Times New Roman" w:eastAsia="宋体" w:cs="Times New Roman"/>
                <w:color w:val="000000" w:themeColor="text1"/>
                <w:sz w:val="24"/>
                <w:szCs w:val="24"/>
                <w:lang w:val="en-US" w:eastAsia="zh-CN"/>
                <w14:textFill>
                  <w14:solidFill>
                    <w14:schemeClr w14:val="tx1"/>
                  </w14:solidFill>
                </w14:textFill>
              </w:rPr>
              <w:t>及平整</w:t>
            </w:r>
            <w:r>
              <w:rPr>
                <w:rFonts w:hint="default" w:ascii="Times New Roman" w:hAnsi="Times New Roman" w:eastAsia="宋体" w:cs="Times New Roman"/>
                <w:color w:val="000000" w:themeColor="text1"/>
                <w:sz w:val="24"/>
                <w:szCs w:val="24"/>
                <w14:textFill>
                  <w14:solidFill>
                    <w14:schemeClr w14:val="tx1"/>
                  </w14:solidFill>
                </w14:textFill>
              </w:rPr>
              <w:t>、基础开挖、建筑材料运输、堆存、各建构筑物施工建设、设备安装、地面硬化过程中，产生的污染物主要有扬尘、噪声、废水、固体废物及施工生态影响等，工程施工影响范围主要为工程施工区域，限制在厂区占地范围内。</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针对</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施工过程对环境的影响</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拟采取的污染防治措施</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如下：</w:t>
            </w:r>
          </w:p>
          <w:p w14:paraId="5655C45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color w:val="000000" w:themeColor="text1"/>
                <w:spacing w:val="0"/>
                <w:sz w:val="24"/>
                <w:szCs w:val="24"/>
                <w:highlight w:val="none"/>
                <w14:textFill>
                  <w14:solidFill>
                    <w14:schemeClr w14:val="tx1"/>
                  </w14:solidFill>
                </w14:textFill>
              </w:rPr>
            </w:pPr>
            <w:r>
              <w:rPr>
                <w:rFonts w:hint="eastAsia" w:cs="Times New Roman"/>
                <w:b/>
                <w:color w:val="000000" w:themeColor="text1"/>
                <w:spacing w:val="0"/>
                <w:sz w:val="24"/>
                <w:szCs w:val="24"/>
                <w:highlight w:val="none"/>
                <w:lang w:val="en-US" w:eastAsia="zh-CN"/>
                <w14:textFill>
                  <w14:solidFill>
                    <w14:schemeClr w14:val="tx1"/>
                  </w14:solidFill>
                </w14:textFill>
              </w:rPr>
              <w:t>4.1</w:t>
            </w:r>
            <w:r>
              <w:rPr>
                <w:rFonts w:hint="default" w:ascii="Times New Roman" w:hAnsi="Times New Roman" w:eastAsia="宋体" w:cs="Times New Roman"/>
                <w:b/>
                <w:color w:val="000000" w:themeColor="text1"/>
                <w:spacing w:val="0"/>
                <w:sz w:val="24"/>
                <w:szCs w:val="24"/>
                <w:highlight w:val="none"/>
                <w14:textFill>
                  <w14:solidFill>
                    <w14:schemeClr w14:val="tx1"/>
                  </w14:solidFill>
                </w14:textFill>
              </w:rPr>
              <w:t>施工期大气环境污染防治措施</w:t>
            </w:r>
          </w:p>
          <w:p w14:paraId="18E206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0"/>
                <w:highlight w:val="none"/>
                <w14:textFill>
                  <w14:solidFill>
                    <w14:schemeClr w14:val="tx1"/>
                  </w14:solidFill>
                </w14:textFill>
              </w:rPr>
              <w:t>施工期主要大气环境影响为扬尘对周围大气环境的影响，扬尘主要为施工扬尘和道路运输扬尘。</w:t>
            </w:r>
          </w:p>
          <w:p w14:paraId="68FCD2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000000" w:themeColor="text1"/>
                <w:sz w:val="24"/>
                <w:szCs w:val="20"/>
                <w:highlight w:val="none"/>
                <w14:textFill>
                  <w14:solidFill>
                    <w14:schemeClr w14:val="tx1"/>
                  </w14:solidFill>
                </w14:textFill>
              </w:rPr>
            </w:pPr>
            <w:r>
              <w:rPr>
                <w:rFonts w:hint="eastAsia" w:cs="Times New Roman"/>
                <w:b/>
                <w:color w:val="000000" w:themeColor="text1"/>
                <w:spacing w:val="0"/>
                <w:sz w:val="24"/>
                <w:szCs w:val="24"/>
                <w:highlight w:val="none"/>
                <w:lang w:val="en-US" w:eastAsia="zh-CN"/>
                <w14:textFill>
                  <w14:solidFill>
                    <w14:schemeClr w14:val="tx1"/>
                  </w14:solidFill>
                </w14:textFill>
              </w:rPr>
              <w:t>4.1.</w:t>
            </w:r>
            <w:r>
              <w:rPr>
                <w:rFonts w:hint="default" w:ascii="Times New Roman" w:hAnsi="Times New Roman" w:eastAsia="宋体" w:cs="Times New Roman"/>
                <w:b/>
                <w:bCs/>
                <w:color w:val="000000" w:themeColor="text1"/>
                <w:sz w:val="24"/>
                <w:szCs w:val="20"/>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0"/>
                <w:highlight w:val="none"/>
                <w14:textFill>
                  <w14:solidFill>
                    <w14:schemeClr w14:val="tx1"/>
                  </w14:solidFill>
                </w14:textFill>
              </w:rPr>
              <w:t>产生环节</w:t>
            </w:r>
          </w:p>
          <w:p w14:paraId="69DE85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szCs w:val="20"/>
                <w:highlight w:val="yellow"/>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t>施工扬尘主要来自于施工现场</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钢结构框架拆除、</w:t>
            </w:r>
            <w:r>
              <w:rPr>
                <w:rFonts w:hint="default" w:ascii="Times New Roman" w:hAnsi="Times New Roman" w:eastAsia="宋体" w:cs="Times New Roman"/>
                <w:color w:val="000000" w:themeColor="text1"/>
                <w:sz w:val="24"/>
                <w:szCs w:val="20"/>
                <w:highlight w:val="none"/>
                <w14:textFill>
                  <w14:solidFill>
                    <w14:schemeClr w14:val="tx1"/>
                  </w14:solidFill>
                </w14:textFill>
              </w:rPr>
              <w:t>土地清理</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及平整</w:t>
            </w:r>
            <w:r>
              <w:rPr>
                <w:rFonts w:hint="default" w:ascii="Times New Roman" w:hAnsi="Times New Roman" w:eastAsia="宋体" w:cs="Times New Roman"/>
                <w:color w:val="000000" w:themeColor="text1"/>
                <w:sz w:val="24"/>
                <w:szCs w:val="20"/>
                <w:highlight w:val="none"/>
                <w:lang w:eastAsia="zh-CN"/>
                <w14:textFill>
                  <w14:solidFill>
                    <w14:schemeClr w14:val="tx1"/>
                  </w14:solidFill>
                </w14:textFill>
              </w:rPr>
              <w:t>、</w:t>
            </w:r>
            <w:r>
              <w:rPr>
                <w:rFonts w:hint="eastAsia" w:cs="Times New Roman"/>
                <w:color w:val="000000" w:themeColor="text1"/>
                <w:sz w:val="24"/>
                <w:szCs w:val="20"/>
                <w:highlight w:val="none"/>
                <w:lang w:val="en-US" w:eastAsia="zh-CN"/>
                <w14:textFill>
                  <w14:solidFill>
                    <w14:schemeClr w14:val="tx1"/>
                  </w14:solidFill>
                </w14:textFill>
              </w:rPr>
              <w:t>物料</w:t>
            </w:r>
            <w:r>
              <w:rPr>
                <w:rFonts w:hint="default" w:ascii="Times New Roman" w:hAnsi="Times New Roman" w:eastAsia="宋体" w:cs="Times New Roman"/>
                <w:color w:val="000000" w:themeColor="text1"/>
                <w:sz w:val="24"/>
                <w:szCs w:val="20"/>
                <w:highlight w:val="none"/>
                <w14:textFill>
                  <w14:solidFill>
                    <w14:schemeClr w14:val="tx1"/>
                  </w14:solidFill>
                </w14:textFill>
              </w:rPr>
              <w:t>堆放以及渣土临时堆放等过程；道路运输扬尘来自于施工机械和车辆的往来过程。扬尘排放方式为间歇不定量排放，其影响范围为施工现场附近和运输道路沿途。</w:t>
            </w:r>
          </w:p>
          <w:p w14:paraId="1B4BAB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r>
              <w:rPr>
                <w:rFonts w:hint="eastAsia" w:ascii="Times New Roman" w:hAnsi="Times New Roman" w:eastAsia="宋体" w:cs="Times New Roman"/>
                <w:color w:val="000000" w:themeColor="text1"/>
                <w:sz w:val="24"/>
                <w:szCs w:val="20"/>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施工现场</w:t>
            </w:r>
            <w:r>
              <w:rPr>
                <w:rFonts w:hint="default" w:ascii="Times New Roman" w:hAnsi="Times New Roman" w:eastAsia="宋体" w:cs="Times New Roman"/>
                <w:color w:val="000000" w:themeColor="text1"/>
                <w:sz w:val="24"/>
                <w:szCs w:val="20"/>
                <w:highlight w:val="none"/>
                <w14:textFill>
                  <w14:solidFill>
                    <w14:schemeClr w14:val="tx1"/>
                  </w14:solidFill>
                </w14:textFill>
              </w:rPr>
              <w:t>堆放易产尘的建筑材料，如无围挡</w:t>
            </w:r>
            <w:r>
              <w:rPr>
                <w:rFonts w:hint="default" w:ascii="Times New Roman" w:hAnsi="Times New Roman" w:eastAsia="宋体" w:cs="Times New Roman"/>
                <w:color w:val="000000" w:themeColor="text1"/>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0"/>
                <w:highlight w:val="none"/>
                <w14:textFill>
                  <w14:solidFill>
                    <w14:schemeClr w14:val="tx1"/>
                  </w14:solidFill>
                </w14:textFill>
              </w:rPr>
              <w:t>随意堆放，会产生二次扬尘；</w:t>
            </w:r>
          </w:p>
          <w:p w14:paraId="5355CA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val="0"/>
                <w:color w:val="000000" w:themeColor="text1"/>
                <w:sz w:val="24"/>
                <w:szCs w:val="20"/>
                <w:highlight w:val="none"/>
                <w14:textFill>
                  <w14:solidFill>
                    <w14:schemeClr w14:val="tx1"/>
                  </w14:solidFill>
                </w14:textFill>
              </w:rPr>
            </w:pPr>
            <w:r>
              <w:rPr>
                <w:rFonts w:hint="eastAsia" w:ascii="Times New Roman" w:hAnsi="Times New Roman" w:eastAsia="宋体" w:cs="Times New Roman"/>
                <w:b w:val="0"/>
                <w:bCs w:val="0"/>
                <w:color w:val="000000" w:themeColor="text1"/>
                <w:sz w:val="24"/>
                <w:szCs w:val="20"/>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0"/>
                <w:highlight w:val="none"/>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szCs w:val="20"/>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0"/>
                <w:highlight w:val="none"/>
                <w14:textFill>
                  <w14:solidFill>
                    <w14:schemeClr w14:val="tx1"/>
                  </w14:solidFill>
                </w14:textFill>
              </w:rPr>
              <w:t>建筑材料的运输，如不采取有效的遮盖措施，会产生扬尘；</w:t>
            </w:r>
          </w:p>
          <w:p w14:paraId="079523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val="0"/>
                <w:color w:val="000000" w:themeColor="text1"/>
                <w:sz w:val="24"/>
                <w:szCs w:val="20"/>
                <w:highlight w:val="none"/>
                <w14:textFill>
                  <w14:solidFill>
                    <w14:schemeClr w14:val="tx1"/>
                  </w14:solidFill>
                </w14:textFill>
              </w:rPr>
            </w:pPr>
            <w:r>
              <w:rPr>
                <w:rFonts w:hint="eastAsia" w:ascii="Times New Roman" w:hAnsi="Times New Roman" w:eastAsia="宋体" w:cs="Times New Roman"/>
                <w:b w:val="0"/>
                <w:bCs w:val="0"/>
                <w:color w:val="000000" w:themeColor="text1"/>
                <w:sz w:val="24"/>
                <w:szCs w:val="20"/>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0"/>
                <w:highlight w:val="none"/>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0"/>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0"/>
                <w:highlight w:val="none"/>
                <w14:textFill>
                  <w14:solidFill>
                    <w14:schemeClr w14:val="tx1"/>
                  </w14:solidFill>
                </w14:textFill>
              </w:rPr>
              <w:t>施工垃圾的清理会产生扬尘；</w:t>
            </w:r>
          </w:p>
          <w:p w14:paraId="18CCC7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val="0"/>
                <w:color w:val="000000" w:themeColor="text1"/>
                <w:sz w:val="24"/>
                <w:szCs w:val="20"/>
                <w:highlight w:val="none"/>
                <w14:textFill>
                  <w14:solidFill>
                    <w14:schemeClr w14:val="tx1"/>
                  </w14:solidFill>
                </w14:textFill>
              </w:rPr>
            </w:pPr>
            <w:r>
              <w:rPr>
                <w:rFonts w:hint="eastAsia" w:ascii="Times New Roman" w:hAnsi="Times New Roman" w:eastAsia="宋体" w:cs="Times New Roman"/>
                <w:b w:val="0"/>
                <w:bCs w:val="0"/>
                <w:color w:val="000000" w:themeColor="text1"/>
                <w:sz w:val="24"/>
                <w:szCs w:val="20"/>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0"/>
                <w:highlight w:val="none"/>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 w:val="24"/>
                <w:szCs w:val="20"/>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0"/>
                <w:highlight w:val="none"/>
                <w14:textFill>
                  <w14:solidFill>
                    <w14:schemeClr w14:val="tx1"/>
                  </w14:solidFill>
                </w14:textFill>
              </w:rPr>
              <w:t>施工及装卸车辆造成的扬尘。</w:t>
            </w:r>
          </w:p>
          <w:p w14:paraId="18C016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baseline"/>
              <w:outlineLvl w:val="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bookmarkStart w:id="11" w:name="_Toc11505"/>
            <w:r>
              <w:rPr>
                <w:rFonts w:hint="eastAsia" w:cs="Times New Roman"/>
                <w:b/>
                <w:color w:val="000000" w:themeColor="text1"/>
                <w:spacing w:val="0"/>
                <w:sz w:val="24"/>
                <w:szCs w:val="24"/>
                <w:highlight w:val="none"/>
                <w:lang w:val="en-US" w:eastAsia="zh-CN"/>
                <w14:textFill>
                  <w14:solidFill>
                    <w14:schemeClr w14:val="tx1"/>
                  </w14:solidFill>
                </w14:textFill>
              </w:rPr>
              <w:t>4.1.</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2污染防治措施</w:t>
            </w:r>
            <w:bookmarkEnd w:id="11"/>
          </w:p>
          <w:p w14:paraId="047EE6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根据长治市人民政府关于印发长治市落实《空气质量持续改善行动计划》实施方案的通知（长政发〔2024〕4号），</w:t>
            </w:r>
            <w:r>
              <w:rPr>
                <w:rFonts w:hint="eastAsia" w:cs="Times New Roman"/>
                <w:color w:val="000000" w:themeColor="text1"/>
                <w:sz w:val="24"/>
                <w:highlight w:val="none"/>
                <w:lang w:val="en-US" w:eastAsia="zh-CN"/>
                <w14:textFill>
                  <w14:solidFill>
                    <w14:schemeClr w14:val="tx1"/>
                  </w14:solidFill>
                </w14:textFill>
              </w:rPr>
              <w:t>针对施工扬尘，做到“六个百分百”，即：</w:t>
            </w:r>
          </w:p>
          <w:p w14:paraId="03D1D1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①施工工地百分百围挡</w:t>
            </w:r>
          </w:p>
          <w:p w14:paraId="255DA0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本项目施工现场应设置高度不低于1.8m的施工围挡（墙），墙体坚固、稳定、清洁美观，围挡下方设置不低于20cm高的防溢座以防止粉尘流失，任意两块围挡拼接处都不能有大于0.5cm的缝隙，围挡不得有明显破损的漏洞，可起到明显的挡尘、隔声作用。</w:t>
            </w:r>
          </w:p>
          <w:p w14:paraId="36E013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施工过程中，施工现场设置施工标志牌，标明当地生态环境部门的污染举报电话。</w:t>
            </w:r>
          </w:p>
          <w:p w14:paraId="50887E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②物料堆放百分百覆盖</w:t>
            </w:r>
          </w:p>
          <w:p w14:paraId="159D0D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施工物料应集中堆放，每一块独立裸露地面都采取覆盖措施。所有水泥、砂石、石灰及土方等易产生扬尘物料都必须以不透水的隔尘布完全覆盖或放置在顶部和四周均有遮蔽的临时堆棚内，防尘布或遮蔽装置的完好率必须100%。散落物料要经常清理，避免大风天气对周围环境空气造成污染。</w:t>
            </w:r>
          </w:p>
          <w:p w14:paraId="0C2EB4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③土方开挖百分百湿法作业</w:t>
            </w:r>
          </w:p>
          <w:p w14:paraId="59BFBC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施工过程中土方开挖要求湿法作业，对土方工程施工采取喷雾炮或洒水车现场洒水。增加土方含水率，抑尘土方作业扬尘；遇四级以上大风天气时应停止土方施工。</w:t>
            </w:r>
          </w:p>
          <w:p w14:paraId="46D089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④施工场地路面百分百硬化</w:t>
            </w:r>
          </w:p>
          <w:p w14:paraId="62DC9D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合理安排施工计划，根据平面布局，对物料、渣土运输等车行路面提前硬化，对施工场地内局部区域提前进行绿化、硬化工作。施工场地应配置洒水车辆，车道道路清扫时都必须采取洒水措施，任何时候行车道路上不能有明显的尘土。</w:t>
            </w:r>
          </w:p>
          <w:p w14:paraId="2A9EA7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⑤出入车辆百分百冲洗</w:t>
            </w:r>
          </w:p>
          <w:p w14:paraId="3F85D5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施工现场车辆出入口设置车辆清洗平台及车辆清洗废水沉淀池，施工车辆进出施工场地应对轮胎、车体进行清洗、清洁，以保证车辆清洁上路，避免轮胎带泥行驶。</w:t>
            </w:r>
          </w:p>
          <w:p w14:paraId="368E7F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⑥渣土车辆百分百密闭运输</w:t>
            </w:r>
          </w:p>
          <w:p w14:paraId="0C2EC0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渣土、工程物料运输车辆存在裸露运输及运输抛洒问题，评价要求工程建设单位应严格要求运输车辆覆盖篷布或利用箱车，并确保正常使用，物料不得超载，尽量减少运输过程中抛撒。</w:t>
            </w:r>
          </w:p>
          <w:p w14:paraId="0D99E4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在采取以上防治措施后，施工期产生的大气污染物对环境空气产生的影响较小。</w:t>
            </w:r>
          </w:p>
          <w:p w14:paraId="121049B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color w:val="000000" w:themeColor="text1"/>
                <w:spacing w:val="0"/>
                <w:sz w:val="24"/>
                <w:szCs w:val="24"/>
                <w:highlight w:val="none"/>
                <w14:textFill>
                  <w14:solidFill>
                    <w14:schemeClr w14:val="tx1"/>
                  </w14:solidFill>
                </w14:textFill>
              </w:rPr>
            </w:pPr>
            <w:r>
              <w:rPr>
                <w:rFonts w:hint="eastAsia" w:cs="Times New Roman"/>
                <w:b/>
                <w:color w:val="000000" w:themeColor="text1"/>
                <w:spacing w:val="0"/>
                <w:sz w:val="24"/>
                <w:szCs w:val="24"/>
                <w:highlight w:val="none"/>
                <w:lang w:val="en-US" w:eastAsia="zh-CN"/>
                <w14:textFill>
                  <w14:solidFill>
                    <w14:schemeClr w14:val="tx1"/>
                  </w14:solidFill>
                </w14:textFill>
              </w:rPr>
              <w:t>4.2</w:t>
            </w:r>
            <w:r>
              <w:rPr>
                <w:rFonts w:hint="default" w:ascii="Times New Roman" w:hAnsi="Times New Roman" w:eastAsia="宋体" w:cs="Times New Roman"/>
                <w:b/>
                <w:color w:val="000000" w:themeColor="text1"/>
                <w:spacing w:val="0"/>
                <w:sz w:val="24"/>
                <w:szCs w:val="24"/>
                <w:highlight w:val="none"/>
                <w14:textFill>
                  <w14:solidFill>
                    <w14:schemeClr w14:val="tx1"/>
                  </w14:solidFill>
                </w14:textFill>
              </w:rPr>
              <w:t>施工期水环境污染防治措施</w:t>
            </w:r>
          </w:p>
          <w:p w14:paraId="5F3942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本项目施工期废水主要为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施工废水和</w:t>
            </w:r>
            <w:r>
              <w:rPr>
                <w:rFonts w:hint="default" w:ascii="Times New Roman" w:hAnsi="Times New Roman" w:eastAsia="宋体" w:cs="Times New Roman"/>
                <w:color w:val="000000" w:themeColor="text1"/>
                <w:sz w:val="24"/>
                <w:highlight w:val="none"/>
                <w14:textFill>
                  <w14:solidFill>
                    <w14:schemeClr w14:val="tx1"/>
                  </w14:solidFill>
                </w14:textFill>
              </w:rPr>
              <w:t>施工人员的生活污水。</w:t>
            </w:r>
          </w:p>
          <w:p w14:paraId="10BD94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eastAsia" w:cs="Times New Roman"/>
                <w:b/>
                <w:bCs/>
                <w:color w:val="000000" w:themeColor="text1"/>
                <w:kern w:val="0"/>
                <w:sz w:val="24"/>
                <w:highlight w:val="none"/>
                <w:lang w:val="en-US" w:eastAsia="zh-CN"/>
                <w14:textFill>
                  <w14:solidFill>
                    <w14:schemeClr w14:val="tx1"/>
                  </w14:solidFill>
                </w14:textFill>
              </w:rPr>
              <w:t>4.2.</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kern w:val="0"/>
                <w:sz w:val="24"/>
                <w:highlight w:val="none"/>
                <w14:textFill>
                  <w14:solidFill>
                    <w14:schemeClr w14:val="tx1"/>
                  </w14:solidFill>
                </w14:textFill>
              </w:rPr>
              <w:t>施工废水</w:t>
            </w:r>
          </w:p>
          <w:p w14:paraId="0A7DC165">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b w:val="0"/>
                <w:bCs w:val="0"/>
                <w:color w:val="000000" w:themeColor="text1"/>
                <w:kern w:val="0"/>
                <w:sz w:val="24"/>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施工废水主要为</w:t>
            </w:r>
            <w:r>
              <w:rPr>
                <w:rFonts w:hint="eastAsia"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路面</w:t>
            </w:r>
            <w:r>
              <w:rPr>
                <w:rFonts w:hint="default" w:ascii="Times New Roman" w:hAnsi="Times New Roman" w:eastAsia="宋体" w:cs="Times New Roman"/>
                <w:b w:val="0"/>
                <w:bCs w:val="0"/>
                <w:color w:val="000000" w:themeColor="text1"/>
                <w:kern w:val="0"/>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运输车辆的</w:t>
            </w:r>
            <w:r>
              <w:rPr>
                <w:rFonts w:hint="default" w:ascii="Times New Roman" w:hAnsi="Times New Roman" w:eastAsia="宋体" w:cs="Times New Roman"/>
                <w:b w:val="0"/>
                <w:bCs w:val="0"/>
                <w:color w:val="000000" w:themeColor="text1"/>
                <w:kern w:val="0"/>
                <w:sz w:val="24"/>
                <w:highlight w:val="none"/>
                <w14:textFill>
                  <w14:solidFill>
                    <w14:schemeClr w14:val="tx1"/>
                  </w14:solidFill>
                </w14:textFill>
              </w:rPr>
              <w:t>冲洗水</w:t>
            </w:r>
            <w:r>
              <w:rPr>
                <w:rFonts w:hint="default" w:ascii="Times New Roman" w:hAnsi="Times New Roman" w:eastAsia="宋体" w:cs="Times New Roman"/>
                <w:b w:val="0"/>
                <w:bCs w:val="0"/>
                <w:color w:val="000000" w:themeColor="text1"/>
                <w:kern w:val="0"/>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水中</w:t>
            </w:r>
            <w:r>
              <w:rPr>
                <w:rFonts w:hint="default" w:ascii="Times New Roman" w:hAnsi="Times New Roman" w:eastAsia="宋体" w:cs="Times New Roman"/>
                <w:b w:val="0"/>
                <w:bCs w:val="0"/>
                <w:color w:val="000000" w:themeColor="text1"/>
                <w:kern w:val="0"/>
                <w:sz w:val="24"/>
                <w:highlight w:val="none"/>
                <w14:textFill>
                  <w14:solidFill>
                    <w14:schemeClr w14:val="tx1"/>
                  </w14:solidFill>
                </w14:textFill>
              </w:rPr>
              <w:t>只含有少量泥沙，不含其它杂质，排放量较小</w:t>
            </w:r>
            <w:r>
              <w:rPr>
                <w:rFonts w:hint="eastAsia" w:ascii="Times New Roman" w:hAnsi="Times New Roman" w:eastAsia="宋体" w:cs="Times New Roman"/>
                <w:b w:val="0"/>
                <w:bCs w:val="0"/>
                <w:color w:val="000000" w:themeColor="text1"/>
                <w:kern w:val="0"/>
                <w:sz w:val="24"/>
                <w:highlight w:val="none"/>
                <w:lang w:eastAsia="zh-CN"/>
                <w14:textFill>
                  <w14:solidFill>
                    <w14:schemeClr w14:val="tx1"/>
                  </w14:solidFill>
                </w14:textFill>
              </w:rPr>
              <w:t>。</w:t>
            </w:r>
            <w:r>
              <w:rPr>
                <w:rFonts w:hint="default"/>
                <w:color w:val="000000" w:themeColor="text1"/>
                <w:sz w:val="24"/>
                <w:highlight w:val="none"/>
                <w14:textFill>
                  <w14:solidFill>
                    <w14:schemeClr w14:val="tx1"/>
                  </w14:solidFill>
                </w14:textFill>
              </w:rPr>
              <w:t>在施工场地对施工器械的冲洗设置固定场所，冲洗水进入</w:t>
            </w:r>
            <w:r>
              <w:rPr>
                <w:rFonts w:hint="eastAsia"/>
                <w:color w:val="000000" w:themeColor="text1"/>
                <w:sz w:val="24"/>
                <w:highlight w:val="none"/>
                <w:lang w:val="en-US" w:eastAsia="zh-CN"/>
                <w14:textFill>
                  <w14:solidFill>
                    <w14:schemeClr w14:val="tx1"/>
                  </w14:solidFill>
                </w14:textFill>
              </w:rPr>
              <w:t>厂区出入口洗车平台</w:t>
            </w:r>
            <w:r>
              <w:rPr>
                <w:rFonts w:hint="default"/>
                <w:color w:val="000000" w:themeColor="text1"/>
                <w:sz w:val="24"/>
                <w:highlight w:val="none"/>
                <w14:textFill>
                  <w14:solidFill>
                    <w14:schemeClr w14:val="tx1"/>
                  </w14:solidFill>
                </w14:textFill>
              </w:rPr>
              <w:t>沉淀池，</w:t>
            </w:r>
            <w:r>
              <w:rPr>
                <w:rFonts w:hint="eastAsia"/>
                <w:color w:val="000000" w:themeColor="text1"/>
                <w:sz w:val="24"/>
                <w:highlight w:val="none"/>
                <w:lang w:val="en-US" w:eastAsia="zh-CN"/>
                <w14:textFill>
                  <w14:solidFill>
                    <w14:schemeClr w14:val="tx1"/>
                  </w14:solidFill>
                </w14:textFill>
              </w:rPr>
              <w:t>沉淀后用于洗车工序，不外排</w:t>
            </w:r>
            <w:r>
              <w:rPr>
                <w:rFonts w:hint="eastAsia"/>
                <w:color w:val="000000" w:themeColor="text1"/>
                <w:sz w:val="24"/>
                <w:highlight w:val="none"/>
                <w:lang w:eastAsia="zh-CN"/>
                <w14:textFill>
                  <w14:solidFill>
                    <w14:schemeClr w14:val="tx1"/>
                  </w14:solidFill>
                </w14:textFill>
              </w:rPr>
              <w:t>；</w:t>
            </w:r>
            <w:r>
              <w:rPr>
                <w:rFonts w:hint="default"/>
                <w:color w:val="000000" w:themeColor="text1"/>
                <w:sz w:val="24"/>
                <w:highlight w:val="none"/>
                <w14:textFill>
                  <w14:solidFill>
                    <w14:schemeClr w14:val="tx1"/>
                  </w14:solidFill>
                </w14:textFill>
              </w:rPr>
              <w:t>路面降尘及喷洒用水，不外排</w:t>
            </w:r>
            <w:r>
              <w:rPr>
                <w:rFonts w:hint="default" w:ascii="Times New Roman" w:hAnsi="Times New Roman" w:eastAsia="宋体" w:cs="Times New Roman"/>
                <w:b w:val="0"/>
                <w:bCs w:val="0"/>
                <w:color w:val="000000" w:themeColor="text1"/>
                <w:kern w:val="0"/>
                <w:sz w:val="24"/>
                <w:highlight w:val="none"/>
                <w14:textFill>
                  <w14:solidFill>
                    <w14:schemeClr w14:val="tx1"/>
                  </w14:solidFill>
                </w14:textFill>
              </w:rPr>
              <w:t>。</w:t>
            </w:r>
          </w:p>
          <w:p w14:paraId="2656EF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val="0"/>
                <w:bCs w:val="0"/>
                <w:color w:val="000000" w:themeColor="text1"/>
                <w:kern w:val="0"/>
                <w:sz w:val="24"/>
                <w:highlight w:val="none"/>
                <w14:textFill>
                  <w14:solidFill>
                    <w14:schemeClr w14:val="tx1"/>
                  </w14:solidFill>
                </w14:textFill>
              </w:rPr>
            </w:pPr>
            <w:r>
              <w:rPr>
                <w:rFonts w:hint="eastAsia" w:cs="Times New Roman"/>
                <w:b/>
                <w:bCs/>
                <w:color w:val="000000" w:themeColor="text1"/>
                <w:kern w:val="0"/>
                <w:sz w:val="24"/>
                <w:highlight w:val="none"/>
                <w:lang w:val="en-US" w:eastAsia="zh-CN"/>
                <w14:textFill>
                  <w14:solidFill>
                    <w14:schemeClr w14:val="tx1"/>
                  </w14:solidFill>
                </w14:textFill>
              </w:rPr>
              <w:t>4.2.</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4"/>
                <w:highlight w:val="none"/>
                <w14:textFill>
                  <w14:solidFill>
                    <w14:schemeClr w14:val="tx1"/>
                  </w14:solidFill>
                </w14:textFill>
              </w:rPr>
              <w:t>施工人员的生活污水</w:t>
            </w:r>
          </w:p>
          <w:p w14:paraId="6F8F49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default"/>
                <w:color w:val="000000" w:themeColor="text1"/>
                <w:sz w:val="24"/>
                <w14:textFill>
                  <w14:solidFill>
                    <w14:schemeClr w14:val="tx1"/>
                  </w14:solidFill>
                </w14:textFill>
              </w:rPr>
              <w:t>施工人员生活污水收集后</w:t>
            </w:r>
            <w:r>
              <w:rPr>
                <w:rFonts w:hint="eastAsia"/>
                <w:color w:val="000000" w:themeColor="text1"/>
                <w:sz w:val="24"/>
                <w:lang w:val="en-US" w:eastAsia="zh-CN"/>
                <w14:textFill>
                  <w14:solidFill>
                    <w14:schemeClr w14:val="tx1"/>
                  </w14:solidFill>
                </w14:textFill>
              </w:rPr>
              <w:t>排入厂区旱厕</w:t>
            </w:r>
            <w:r>
              <w:rPr>
                <w:rFonts w:hint="eastAsia" w:ascii="Times New Roman" w:hAnsi="Times New Roman" w:cs="Times New Roman"/>
                <w:b w:val="0"/>
                <w:bCs w:val="0"/>
                <w:color w:val="000000" w:themeColor="text1"/>
                <w:sz w:val="24"/>
                <w:szCs w:val="22"/>
                <w:highlight w:val="none"/>
                <w:lang w:eastAsia="zh-CN"/>
                <w14:textFill>
                  <w14:solidFill>
                    <w14:schemeClr w14:val="tx1"/>
                  </w14:solidFill>
                </w14:textFill>
              </w:rPr>
              <w:t>。</w:t>
            </w:r>
          </w:p>
          <w:p w14:paraId="397D76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pacing w:val="-4"/>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综上所述，本项目施工期对水环境的影响很小</w:t>
            </w:r>
            <w:r>
              <w:rPr>
                <w:rFonts w:hint="default" w:ascii="Times New Roman" w:hAnsi="Times New Roman" w:eastAsia="宋体" w:cs="Times New Roman"/>
                <w:color w:val="000000" w:themeColor="text1"/>
                <w:spacing w:val="-4"/>
                <w:sz w:val="24"/>
                <w:highlight w:val="none"/>
                <w14:textFill>
                  <w14:solidFill>
                    <w14:schemeClr w14:val="tx1"/>
                  </w14:solidFill>
                </w14:textFill>
              </w:rPr>
              <w:t>。</w:t>
            </w:r>
          </w:p>
          <w:p w14:paraId="32CC360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color w:val="000000" w:themeColor="text1"/>
                <w:spacing w:val="0"/>
                <w:sz w:val="24"/>
                <w:szCs w:val="24"/>
                <w:highlight w:val="none"/>
                <w:lang w:val="en-US" w:eastAsia="zh-CN"/>
                <w14:textFill>
                  <w14:solidFill>
                    <w14:schemeClr w14:val="tx1"/>
                  </w14:solidFill>
                </w14:textFill>
              </w:rPr>
            </w:pPr>
            <w:r>
              <w:rPr>
                <w:rFonts w:hint="eastAsia" w:cs="Times New Roman"/>
                <w:b/>
                <w:color w:val="000000" w:themeColor="text1"/>
                <w:spacing w:val="0"/>
                <w:sz w:val="24"/>
                <w:szCs w:val="24"/>
                <w:highlight w:val="none"/>
                <w:lang w:val="en-US" w:eastAsia="zh-CN"/>
                <w14:textFill>
                  <w14:solidFill>
                    <w14:schemeClr w14:val="tx1"/>
                  </w14:solidFill>
                </w14:textFill>
              </w:rPr>
              <w:t>4.3</w:t>
            </w:r>
            <w:r>
              <w:rPr>
                <w:rFonts w:hint="default" w:ascii="Times New Roman" w:hAnsi="Times New Roman" w:eastAsia="宋体" w:cs="Times New Roman"/>
                <w:b/>
                <w:color w:val="000000" w:themeColor="text1"/>
                <w:spacing w:val="0"/>
                <w:sz w:val="24"/>
                <w:szCs w:val="24"/>
                <w:highlight w:val="none"/>
                <w:lang w:val="en-US" w:eastAsia="zh-CN"/>
                <w14:textFill>
                  <w14:solidFill>
                    <w14:schemeClr w14:val="tx1"/>
                  </w14:solidFill>
                </w14:textFill>
              </w:rPr>
              <w:t>施工期固体废物环境污染防治措施</w:t>
            </w:r>
          </w:p>
          <w:p w14:paraId="702045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在施工过程中</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产生的固体废物主要是施工产生的建筑垃圾以及施工人员的生活垃圾。</w:t>
            </w:r>
          </w:p>
          <w:p w14:paraId="3D6A3D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eastAsia" w:cs="Times New Roman"/>
                <w:b w:val="0"/>
                <w:bCs w:val="0"/>
                <w:color w:val="000000" w:themeColor="text1"/>
                <w:sz w:val="24"/>
                <w:highlight w:val="none"/>
                <w:lang w:eastAsia="zh-CN"/>
                <w14:textFill>
                  <w14:solidFill>
                    <w14:schemeClr w14:val="tx1"/>
                  </w14:solidFill>
                </w14:textFill>
              </w:rPr>
              <w:t>（</w:t>
            </w:r>
            <w:r>
              <w:rPr>
                <w:rFonts w:hint="eastAsia" w:cs="Times New Roman"/>
                <w:b w:val="0"/>
                <w:bCs w:val="0"/>
                <w:color w:val="000000" w:themeColor="text1"/>
                <w:sz w:val="24"/>
                <w:highlight w:val="none"/>
                <w:lang w:val="en-US" w:eastAsia="zh-CN"/>
                <w14:textFill>
                  <w14:solidFill>
                    <w14:schemeClr w14:val="tx1"/>
                  </w14:solidFill>
                </w14:textFill>
              </w:rPr>
              <w:t>1</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建筑垃圾</w:t>
            </w:r>
          </w:p>
          <w:p w14:paraId="15FFC4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14:textFill>
                  <w14:solidFill>
                    <w14:schemeClr w14:val="tx1"/>
                  </w14:solidFill>
                </w14:textFill>
              </w:rPr>
              <w:t>本项目施工期间会产生一定量的建筑垃圾</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能回收利用的要回收利用</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不能回收利用的要及时运至环卫部门指定的地点</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必须定时、及时处理</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保持环境卫生</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运输车辆应加盖篷布防止扬尘。</w:t>
            </w:r>
          </w:p>
          <w:p w14:paraId="14A9F8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施工人员的生活垃圾</w:t>
            </w:r>
          </w:p>
          <w:p w14:paraId="127FCD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施工期施工人员产生的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生活垃圾产生量按0.5kg/人•d计，以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人次/天计算，</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生活垃圾产生量为10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kg/d，设置垃圾桶收集后</w:t>
            </w:r>
            <w:r>
              <w:rPr>
                <w:rFonts w:hint="default" w:ascii="Times New Roman" w:hAnsi="Times New Roman" w:eastAsia="宋体" w:cs="Times New Roman"/>
                <w:color w:val="000000" w:themeColor="text1"/>
                <w:sz w:val="24"/>
                <w:highlight w:val="none"/>
                <w14:textFill>
                  <w14:solidFill>
                    <w14:schemeClr w14:val="tx1"/>
                  </w14:solidFill>
                </w14:textFill>
              </w:rPr>
              <w:t>委托环卫部门处置。</w:t>
            </w:r>
          </w:p>
          <w:p w14:paraId="67F528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采取上述措施后</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本项目施工期产生的固体废物不会对周围环境产生明显影响。</w:t>
            </w:r>
          </w:p>
          <w:p w14:paraId="3FF6F33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color w:val="000000" w:themeColor="text1"/>
                <w:spacing w:val="0"/>
                <w:sz w:val="24"/>
                <w:szCs w:val="24"/>
                <w:highlight w:val="none"/>
                <w:lang w:val="en-US" w:eastAsia="zh-CN"/>
                <w14:textFill>
                  <w14:solidFill>
                    <w14:schemeClr w14:val="tx1"/>
                  </w14:solidFill>
                </w14:textFill>
              </w:rPr>
            </w:pPr>
            <w:r>
              <w:rPr>
                <w:rFonts w:hint="eastAsia" w:cs="Times New Roman"/>
                <w:b/>
                <w:color w:val="000000" w:themeColor="text1"/>
                <w:spacing w:val="0"/>
                <w:sz w:val="24"/>
                <w:szCs w:val="24"/>
                <w:highlight w:val="none"/>
                <w:lang w:val="en-US" w:eastAsia="zh-CN"/>
                <w14:textFill>
                  <w14:solidFill>
                    <w14:schemeClr w14:val="tx1"/>
                  </w14:solidFill>
                </w14:textFill>
              </w:rPr>
              <w:t>4.4</w:t>
            </w:r>
            <w:r>
              <w:rPr>
                <w:rFonts w:hint="default" w:ascii="Times New Roman" w:hAnsi="Times New Roman" w:eastAsia="宋体" w:cs="Times New Roman"/>
                <w:b/>
                <w:color w:val="000000" w:themeColor="text1"/>
                <w:spacing w:val="0"/>
                <w:sz w:val="24"/>
                <w:szCs w:val="24"/>
                <w:highlight w:val="none"/>
                <w:lang w:val="en-US" w:eastAsia="zh-CN"/>
                <w14:textFill>
                  <w14:solidFill>
                    <w14:schemeClr w14:val="tx1"/>
                  </w14:solidFill>
                </w14:textFill>
              </w:rPr>
              <w:t>施工期声环境污染防治措施</w:t>
            </w:r>
          </w:p>
          <w:p w14:paraId="6CCAA1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施工期主要噪声源为</w:t>
            </w:r>
            <w:r>
              <w:rPr>
                <w:rFonts w:hint="default" w:ascii="Times New Roman" w:hAnsi="Times New Roman" w:cs="Times New Roman"/>
                <w:bCs/>
                <w:color w:val="000000" w:themeColor="text1"/>
                <w:sz w:val="24"/>
                <w:highlight w:val="none"/>
                <w:lang w:val="en-US" w:eastAsia="zh-CN"/>
                <w14:textFill>
                  <w14:solidFill>
                    <w14:schemeClr w14:val="tx1"/>
                  </w14:solidFill>
                </w14:textFill>
              </w:rPr>
              <w:t>施工场地噪声</w:t>
            </w:r>
            <w:r>
              <w:rPr>
                <w:rFonts w:hint="eastAsia" w:ascii="Times New Roman" w:hAnsi="Times New Roman" w:cs="Times New Roman"/>
                <w:bCs/>
                <w:color w:val="000000" w:themeColor="text1"/>
                <w:sz w:val="24"/>
                <w:highlight w:val="none"/>
                <w:lang w:val="en-US" w:eastAsia="zh-CN"/>
                <w14:textFill>
                  <w14:solidFill>
                    <w14:schemeClr w14:val="tx1"/>
                  </w14:solidFill>
                </w14:textFill>
              </w:rPr>
              <w:t>以及建筑物料运输造成的交通噪声</w:t>
            </w:r>
            <w:r>
              <w:rPr>
                <w:rFonts w:hint="default" w:ascii="Times New Roman" w:hAnsi="Times New Roman" w:cs="Times New Roman"/>
                <w:bCs/>
                <w:color w:val="000000" w:themeColor="text1"/>
                <w:sz w:val="24"/>
                <w:highlight w:val="none"/>
                <w14:textFill>
                  <w14:solidFill>
                    <w14:schemeClr w14:val="tx1"/>
                  </w14:solidFill>
                </w14:textFill>
              </w:rPr>
              <w:t>。</w:t>
            </w:r>
          </w:p>
          <w:p w14:paraId="50DCC3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val="0"/>
                <w:color w:val="000000" w:themeColor="text1"/>
                <w:spacing w:val="0"/>
                <w:sz w:val="24"/>
                <w:szCs w:val="20"/>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0"/>
                <w:sz w:val="24"/>
                <w:szCs w:val="20"/>
                <w:highlight w:val="none"/>
                <w14:textFill>
                  <w14:solidFill>
                    <w14:schemeClr w14:val="tx1"/>
                  </w14:solidFill>
                </w14:textFill>
              </w:rPr>
              <w:t>为了避免施工噪声对周围环境造成影响，建设单位拟采取以下措施：</w:t>
            </w:r>
          </w:p>
          <w:p w14:paraId="554923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1）施工单位应使用符合国家标准的低噪声机械设备，并在施工中应有专人对其进行保养维护，施工单位应对现场使用设备的人员进行培训，严格按操作规范使用各类机械；保持设备处于良好的运转状态，闲置设备及时关闭，定时检修。</w:t>
            </w:r>
          </w:p>
          <w:p w14:paraId="6B7F6C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（2）在施工的结构阶段和装修阶段，对建筑物的外部采用围挡，设置高噪声设备施工带减轻施工噪声对外环境的影响。</w:t>
            </w:r>
          </w:p>
          <w:p w14:paraId="7FFE31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）加强管理，文明施工，施工所需材料均为外购成品，严禁在施工营地和施工沿线进行材料加工，减轻对沿线敏感点居民造成的影响。</w:t>
            </w:r>
          </w:p>
          <w:p w14:paraId="167080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）施工活动均在昼间进行，严禁在夜间进行，不在同一时间集中使用大量的动力机械设备，期间若使用噪声值大的设备则分散使用，保证周边居民的正常休息。</w:t>
            </w:r>
          </w:p>
          <w:p w14:paraId="312D61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）对于运输建筑材料、土石方等物料的车辆，不在敏感时段运输，加强管理，车辆减速、不鸣笛，场地内运输车辆不长时间行驶</w:t>
            </w:r>
            <w:r>
              <w:rPr>
                <w:rFonts w:hint="default" w:ascii="Times New Roman" w:hAnsi="Times New Roman" w:eastAsia="宋体" w:cs="Times New Roman"/>
                <w:color w:val="000000" w:themeColor="text1"/>
                <w:sz w:val="24"/>
                <w:szCs w:val="20"/>
                <w:highlight w:val="none"/>
                <w14:textFill>
                  <w14:solidFill>
                    <w14:schemeClr w14:val="tx1"/>
                  </w14:solidFill>
                </w14:textFill>
              </w:rPr>
              <w:t>。</w:t>
            </w:r>
          </w:p>
          <w:p w14:paraId="67469C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p>
          <w:p w14:paraId="2669F8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p>
          <w:p w14:paraId="4F840A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p>
          <w:p w14:paraId="36850E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p>
          <w:p w14:paraId="1A583B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p>
          <w:p w14:paraId="77A316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p>
          <w:p w14:paraId="265C44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p>
          <w:p w14:paraId="383BCC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p>
          <w:p w14:paraId="05AFC3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p>
          <w:p w14:paraId="3A9003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0" w:firstLineChars="200"/>
              <w:jc w:val="both"/>
              <w:textAlignment w:val="auto"/>
              <w:rPr>
                <w:rFonts w:hint="eastAsia" w:ascii="Times New Roman" w:hAnsi="Times New Roman" w:eastAsia="宋体" w:cs="Times New Roman"/>
                <w:bCs/>
                <w:color w:val="000000" w:themeColor="text1"/>
                <w:spacing w:val="-10"/>
                <w:sz w:val="24"/>
                <w:szCs w:val="24"/>
                <w:highlight w:val="none"/>
                <w:lang w:eastAsia="zh-CN"/>
                <w14:textFill>
                  <w14:solidFill>
                    <w14:schemeClr w14:val="tx1"/>
                  </w14:solidFill>
                </w14:textFill>
              </w:rPr>
            </w:pPr>
          </w:p>
        </w:tc>
      </w:tr>
    </w:tbl>
    <w:p w14:paraId="3B5FFFAE">
      <w:pPr>
        <w:rPr>
          <w:color w:val="000000" w:themeColor="text1"/>
          <w:highlight w:val="none"/>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52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5066"/>
      </w:tblGrid>
      <w:tr w14:paraId="34496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1" w:hRule="atLeast"/>
          <w:jc w:val="center"/>
        </w:trPr>
        <w:tc>
          <w:tcPr>
            <w:tcW w:w="210" w:type="pct"/>
            <w:vAlign w:val="center"/>
          </w:tcPr>
          <w:p w14:paraId="3E20B83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运营</w:t>
            </w:r>
          </w:p>
          <w:p w14:paraId="64F41F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期环</w:t>
            </w:r>
          </w:p>
          <w:p w14:paraId="6593790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境影</w:t>
            </w:r>
          </w:p>
          <w:p w14:paraId="0CB1C0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响和</w:t>
            </w:r>
          </w:p>
          <w:p w14:paraId="283ECB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保护</w:t>
            </w:r>
          </w:p>
          <w:p w14:paraId="4FC53BA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val="0"/>
                <w:color w:val="000000" w:themeColor="text1"/>
                <w:spacing w:val="-1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措施</w:t>
            </w:r>
          </w:p>
        </w:tc>
        <w:tc>
          <w:tcPr>
            <w:tcW w:w="4789" w:type="pct"/>
          </w:tcPr>
          <w:p w14:paraId="55E0080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color w:val="000000" w:themeColor="text1"/>
                <w:spacing w:val="0"/>
                <w:sz w:val="24"/>
                <w:szCs w:val="24"/>
                <w:highlight w:val="none"/>
                <w:lang w:val="en-US" w:eastAsia="zh-CN"/>
                <w14:textFill>
                  <w14:solidFill>
                    <w14:schemeClr w14:val="tx1"/>
                  </w14:solidFill>
                </w14:textFill>
              </w:rPr>
            </w:pPr>
            <w:r>
              <w:rPr>
                <w:rFonts w:hint="eastAsia" w:cs="Times New Roman"/>
                <w:b/>
                <w:color w:val="000000" w:themeColor="text1"/>
                <w:spacing w:val="0"/>
                <w:sz w:val="24"/>
                <w:szCs w:val="24"/>
                <w:highlight w:val="none"/>
                <w:lang w:val="en-US" w:eastAsia="zh-CN"/>
                <w14:textFill>
                  <w14:solidFill>
                    <w14:schemeClr w14:val="tx1"/>
                  </w14:solidFill>
                </w14:textFill>
              </w:rPr>
              <w:t>4.5</w:t>
            </w:r>
            <w:r>
              <w:rPr>
                <w:rFonts w:hint="eastAsia" w:ascii="Times New Roman" w:hAnsi="Times New Roman" w:eastAsia="宋体" w:cs="Times New Roman"/>
                <w:b/>
                <w:color w:val="000000" w:themeColor="text1"/>
                <w:spacing w:val="0"/>
                <w:sz w:val="24"/>
                <w:szCs w:val="24"/>
                <w:highlight w:val="none"/>
                <w:lang w:val="en-US" w:eastAsia="zh-CN"/>
                <w14:textFill>
                  <w14:solidFill>
                    <w14:schemeClr w14:val="tx1"/>
                  </w14:solidFill>
                </w14:textFill>
              </w:rPr>
              <w:t>废气</w:t>
            </w:r>
          </w:p>
          <w:p w14:paraId="1876C7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本项目大气污染源产生排放情况见表4</w:t>
            </w:r>
            <w:r>
              <w:rPr>
                <w:rFonts w:hint="eastAsia" w:cs="Times New Roman"/>
                <w:bCs/>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-1。</w:t>
            </w:r>
          </w:p>
          <w:p w14:paraId="6029F7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t>表4</w:t>
            </w:r>
            <w:r>
              <w:rPr>
                <w:rFonts w:hint="eastAsia" w:cs="Times New Roman"/>
                <w:b/>
                <w:bCs w:val="0"/>
                <w:color w:val="000000" w:themeColor="text1"/>
                <w:sz w:val="21"/>
                <w:szCs w:val="16"/>
                <w:highlight w:val="none"/>
                <w:lang w:val="en-US" w:eastAsia="zh-CN"/>
                <w14:textFill>
                  <w14:solidFill>
                    <w14:schemeClr w14:val="tx1"/>
                  </w14:solidFill>
                </w14:textFill>
              </w:rPr>
              <w:t>.5</w:t>
            </w:r>
            <w:r>
              <w:rPr>
                <w:rFonts w:hint="default"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t>-1  大气污染源产生排放情况表</w:t>
            </w:r>
          </w:p>
          <w:tbl>
            <w:tblPr>
              <w:tblStyle w:val="30"/>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0"/>
              <w:gridCol w:w="1099"/>
              <w:gridCol w:w="951"/>
              <w:gridCol w:w="994"/>
              <w:gridCol w:w="916"/>
              <w:gridCol w:w="772"/>
              <w:gridCol w:w="1216"/>
              <w:gridCol w:w="694"/>
              <w:gridCol w:w="725"/>
              <w:gridCol w:w="1045"/>
              <w:gridCol w:w="1006"/>
              <w:gridCol w:w="960"/>
              <w:gridCol w:w="836"/>
              <w:gridCol w:w="912"/>
              <w:gridCol w:w="801"/>
              <w:gridCol w:w="779"/>
              <w:gridCol w:w="680"/>
            </w:tblGrid>
            <w:tr w14:paraId="6786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64" w:type="pct"/>
                  <w:vMerge w:val="restart"/>
                  <w:tcBorders>
                    <w:tl2br w:val="nil"/>
                    <w:tr2bl w:val="nil"/>
                  </w:tcBorders>
                  <w:vAlign w:val="center"/>
                </w:tcPr>
                <w:p w14:paraId="7FA70E2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序号</w:t>
                  </w:r>
                </w:p>
              </w:tc>
              <w:tc>
                <w:tcPr>
                  <w:tcW w:w="369" w:type="pct"/>
                  <w:vMerge w:val="restart"/>
                  <w:tcBorders>
                    <w:tl2br w:val="nil"/>
                    <w:tr2bl w:val="nil"/>
                  </w:tcBorders>
                  <w:vAlign w:val="center"/>
                </w:tcPr>
                <w:p w14:paraId="661931C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产排污</w:t>
                  </w:r>
                </w:p>
                <w:p w14:paraId="5FB5632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环节</w:t>
                  </w:r>
                </w:p>
              </w:tc>
              <w:tc>
                <w:tcPr>
                  <w:tcW w:w="319" w:type="pct"/>
                  <w:vMerge w:val="restart"/>
                  <w:tcBorders>
                    <w:tl2br w:val="nil"/>
                    <w:tr2bl w:val="nil"/>
                  </w:tcBorders>
                  <w:vAlign w:val="center"/>
                </w:tcPr>
                <w:p w14:paraId="4D35FD00">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污染物</w:t>
                  </w:r>
                </w:p>
                <w:p w14:paraId="6FA01E5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种类</w:t>
                  </w:r>
                </w:p>
              </w:tc>
              <w:tc>
                <w:tcPr>
                  <w:tcW w:w="334" w:type="pct"/>
                  <w:vMerge w:val="restart"/>
                  <w:tcBorders>
                    <w:tl2br w:val="nil"/>
                    <w:tr2bl w:val="nil"/>
                  </w:tcBorders>
                  <w:vAlign w:val="center"/>
                </w:tcPr>
                <w:p w14:paraId="1A4C0AE7">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污染物产生浓度mg/m</w:t>
                  </w:r>
                  <w:r>
                    <w:rPr>
                      <w:rFonts w:hint="default" w:ascii="Times New Roman" w:hAnsi="Times New Roman" w:eastAsia="宋体" w:cs="Times New Roman"/>
                      <w:b/>
                      <w:bCs/>
                      <w:color w:val="000000" w:themeColor="text1"/>
                      <w:kern w:val="2"/>
                      <w:sz w:val="21"/>
                      <w:szCs w:val="21"/>
                      <w:highlight w:val="none"/>
                      <w:vertAlign w:val="superscript"/>
                      <w:lang w:val="en-US" w:eastAsia="zh-CN" w:bidi="ar-SA"/>
                      <w14:textFill>
                        <w14:solidFill>
                          <w14:schemeClr w14:val="tx1"/>
                        </w14:solidFill>
                      </w14:textFill>
                    </w:rPr>
                    <w:t>3</w:t>
                  </w:r>
                </w:p>
              </w:tc>
              <w:tc>
                <w:tcPr>
                  <w:tcW w:w="307" w:type="pct"/>
                  <w:vMerge w:val="restart"/>
                  <w:tcBorders>
                    <w:tl2br w:val="nil"/>
                    <w:tr2bl w:val="nil"/>
                  </w:tcBorders>
                  <w:vAlign w:val="center"/>
                </w:tcPr>
                <w:p w14:paraId="38E6C74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污染物产生速率kg/h</w:t>
                  </w:r>
                </w:p>
              </w:tc>
              <w:tc>
                <w:tcPr>
                  <w:tcW w:w="259" w:type="pct"/>
                  <w:vMerge w:val="restart"/>
                  <w:tcBorders>
                    <w:tl2br w:val="nil"/>
                    <w:tr2bl w:val="nil"/>
                  </w:tcBorders>
                  <w:vAlign w:val="center"/>
                </w:tcPr>
                <w:p w14:paraId="207860A5">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排放</w:t>
                  </w:r>
                </w:p>
                <w:p w14:paraId="48F9D6B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方式</w:t>
                  </w:r>
                </w:p>
              </w:tc>
              <w:tc>
                <w:tcPr>
                  <w:tcW w:w="1575" w:type="pct"/>
                  <w:gridSpan w:val="5"/>
                  <w:tcBorders>
                    <w:tl2br w:val="nil"/>
                    <w:tr2bl w:val="nil"/>
                  </w:tcBorders>
                  <w:vAlign w:val="center"/>
                </w:tcPr>
                <w:p w14:paraId="3C00C4B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治理设施</w:t>
                  </w:r>
                </w:p>
              </w:tc>
              <w:tc>
                <w:tcPr>
                  <w:tcW w:w="322" w:type="pct"/>
                  <w:vMerge w:val="restart"/>
                  <w:tcBorders>
                    <w:tl2br w:val="nil"/>
                    <w:tr2bl w:val="nil"/>
                  </w:tcBorders>
                  <w:vAlign w:val="center"/>
                </w:tcPr>
                <w:p w14:paraId="32682D5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污染物排放浓度mg/m</w:t>
                  </w:r>
                  <w:r>
                    <w:rPr>
                      <w:rFonts w:hint="default" w:ascii="Times New Roman" w:hAnsi="Times New Roman" w:eastAsia="宋体" w:cs="Times New Roman"/>
                      <w:b/>
                      <w:bCs/>
                      <w:color w:val="000000" w:themeColor="text1"/>
                      <w:kern w:val="2"/>
                      <w:sz w:val="21"/>
                      <w:szCs w:val="21"/>
                      <w:highlight w:val="none"/>
                      <w:vertAlign w:val="superscript"/>
                      <w:lang w:val="en-US" w:eastAsia="zh-CN" w:bidi="ar-SA"/>
                      <w14:textFill>
                        <w14:solidFill>
                          <w14:schemeClr w14:val="tx1"/>
                        </w14:solidFill>
                      </w14:textFill>
                    </w:rPr>
                    <w:t>3</w:t>
                  </w:r>
                </w:p>
              </w:tc>
              <w:tc>
                <w:tcPr>
                  <w:tcW w:w="280" w:type="pct"/>
                  <w:vMerge w:val="restart"/>
                  <w:tcBorders>
                    <w:tl2br w:val="nil"/>
                    <w:tr2bl w:val="nil"/>
                  </w:tcBorders>
                  <w:vAlign w:val="center"/>
                </w:tcPr>
                <w:p w14:paraId="493FCE8C">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污染物排放速率kg/h</w:t>
                  </w:r>
                </w:p>
              </w:tc>
              <w:tc>
                <w:tcPr>
                  <w:tcW w:w="306" w:type="pct"/>
                  <w:vMerge w:val="restart"/>
                  <w:tcBorders>
                    <w:tl2br w:val="nil"/>
                    <w:tr2bl w:val="nil"/>
                  </w:tcBorders>
                  <w:vAlign w:val="center"/>
                </w:tcPr>
                <w:p w14:paraId="1559006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年运行时间h</w:t>
                  </w:r>
                </w:p>
              </w:tc>
              <w:tc>
                <w:tcPr>
                  <w:tcW w:w="269" w:type="pct"/>
                  <w:vMerge w:val="restart"/>
                  <w:tcBorders>
                    <w:tl2br w:val="nil"/>
                    <w:tr2bl w:val="nil"/>
                  </w:tcBorders>
                  <w:vAlign w:val="center"/>
                </w:tcPr>
                <w:p w14:paraId="034337D9">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污染物排放量t/a</w:t>
                  </w:r>
                </w:p>
              </w:tc>
              <w:tc>
                <w:tcPr>
                  <w:tcW w:w="261" w:type="pct"/>
                  <w:vMerge w:val="restart"/>
                  <w:tcBorders>
                    <w:tl2br w:val="nil"/>
                    <w:tr2bl w:val="nil"/>
                  </w:tcBorders>
                  <w:vAlign w:val="center"/>
                </w:tcPr>
                <w:p w14:paraId="1D4F46F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排放口编号</w:t>
                  </w:r>
                </w:p>
              </w:tc>
              <w:tc>
                <w:tcPr>
                  <w:tcW w:w="228" w:type="pct"/>
                  <w:vMerge w:val="restart"/>
                  <w:tcBorders>
                    <w:tl2br w:val="nil"/>
                    <w:tr2bl w:val="nil"/>
                  </w:tcBorders>
                  <w:vAlign w:val="center"/>
                </w:tcPr>
                <w:p w14:paraId="50B8AF73">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排放标准mg/m</w:t>
                  </w:r>
                  <w:r>
                    <w:rPr>
                      <w:rFonts w:hint="default" w:ascii="Times New Roman" w:hAnsi="Times New Roman" w:eastAsia="宋体" w:cs="Times New Roman"/>
                      <w:b/>
                      <w:bCs/>
                      <w:color w:val="000000" w:themeColor="text1"/>
                      <w:kern w:val="2"/>
                      <w:sz w:val="21"/>
                      <w:szCs w:val="21"/>
                      <w:highlight w:val="none"/>
                      <w:vertAlign w:val="superscript"/>
                      <w:lang w:val="en-US" w:eastAsia="zh-CN" w:bidi="ar-SA"/>
                      <w14:textFill>
                        <w14:solidFill>
                          <w14:schemeClr w14:val="tx1"/>
                        </w14:solidFill>
                      </w14:textFill>
                    </w:rPr>
                    <w:t>3</w:t>
                  </w:r>
                </w:p>
              </w:tc>
            </w:tr>
            <w:tr w14:paraId="0E40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64" w:type="pct"/>
                  <w:vMerge w:val="continue"/>
                  <w:tcBorders>
                    <w:tl2br w:val="nil"/>
                    <w:tr2bl w:val="nil"/>
                  </w:tcBorders>
                  <w:vAlign w:val="center"/>
                </w:tcPr>
                <w:p w14:paraId="677EBE5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369" w:type="pct"/>
                  <w:vMerge w:val="continue"/>
                  <w:tcBorders>
                    <w:tl2br w:val="nil"/>
                    <w:tr2bl w:val="nil"/>
                  </w:tcBorders>
                  <w:vAlign w:val="center"/>
                </w:tcPr>
                <w:p w14:paraId="29A9315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319" w:type="pct"/>
                  <w:vMerge w:val="continue"/>
                  <w:tcBorders>
                    <w:tl2br w:val="nil"/>
                    <w:tr2bl w:val="nil"/>
                  </w:tcBorders>
                  <w:vAlign w:val="center"/>
                </w:tcPr>
                <w:p w14:paraId="6FEFB54A">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334" w:type="pct"/>
                  <w:vMerge w:val="continue"/>
                  <w:tcBorders>
                    <w:tl2br w:val="nil"/>
                    <w:tr2bl w:val="nil"/>
                  </w:tcBorders>
                  <w:vAlign w:val="center"/>
                </w:tcPr>
                <w:p w14:paraId="6AF90827">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307" w:type="pct"/>
                  <w:vMerge w:val="continue"/>
                  <w:tcBorders>
                    <w:tl2br w:val="nil"/>
                    <w:tr2bl w:val="nil"/>
                  </w:tcBorders>
                  <w:vAlign w:val="center"/>
                </w:tcPr>
                <w:p w14:paraId="2503E22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259" w:type="pct"/>
                  <w:vMerge w:val="continue"/>
                  <w:tcBorders>
                    <w:tl2br w:val="nil"/>
                    <w:tr2bl w:val="nil"/>
                  </w:tcBorders>
                  <w:vAlign w:val="center"/>
                </w:tcPr>
                <w:p w14:paraId="515491F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408" w:type="pct"/>
                  <w:tcBorders>
                    <w:tl2br w:val="nil"/>
                    <w:tr2bl w:val="nil"/>
                  </w:tcBorders>
                  <w:vAlign w:val="center"/>
                </w:tcPr>
                <w:p w14:paraId="68D831A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污染防治</w:t>
                  </w:r>
                </w:p>
                <w:p w14:paraId="480E1FB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设施</w:t>
                  </w:r>
                </w:p>
              </w:tc>
              <w:tc>
                <w:tcPr>
                  <w:tcW w:w="233" w:type="pct"/>
                  <w:tcBorders>
                    <w:tl2br w:val="nil"/>
                    <w:tr2bl w:val="nil"/>
                  </w:tcBorders>
                  <w:vAlign w:val="center"/>
                </w:tcPr>
                <w:p w14:paraId="3C6E92A4">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风量</w:t>
                  </w:r>
                </w:p>
                <w:p w14:paraId="0759A206">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m</w:t>
                  </w:r>
                  <w:r>
                    <w:rPr>
                      <w:rFonts w:hint="default" w:ascii="Times New Roman" w:hAnsi="Times New Roman" w:eastAsia="宋体" w:cs="Times New Roman"/>
                      <w:b/>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/h</w:t>
                  </w:r>
                </w:p>
              </w:tc>
              <w:tc>
                <w:tcPr>
                  <w:tcW w:w="244" w:type="pct"/>
                  <w:tcBorders>
                    <w:tl2br w:val="nil"/>
                    <w:tr2bl w:val="nil"/>
                  </w:tcBorders>
                  <w:vAlign w:val="center"/>
                </w:tcPr>
                <w:p w14:paraId="0A47A33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收集效率</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351" w:type="pct"/>
                  <w:tcBorders>
                    <w:tl2br w:val="nil"/>
                    <w:tr2bl w:val="nil"/>
                  </w:tcBorders>
                  <w:vAlign w:val="center"/>
                </w:tcPr>
                <w:p w14:paraId="03D07C8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治理工艺去除率</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338" w:type="pct"/>
                  <w:tcBorders>
                    <w:tl2br w:val="nil"/>
                    <w:tr2bl w:val="nil"/>
                  </w:tcBorders>
                  <w:vAlign w:val="center"/>
                </w:tcPr>
                <w:p w14:paraId="5563FE3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是否为可行技术</w:t>
                  </w:r>
                </w:p>
              </w:tc>
              <w:tc>
                <w:tcPr>
                  <w:tcW w:w="322" w:type="pct"/>
                  <w:vMerge w:val="continue"/>
                  <w:tcBorders>
                    <w:tl2br w:val="nil"/>
                    <w:tr2bl w:val="nil"/>
                  </w:tcBorders>
                  <w:vAlign w:val="center"/>
                </w:tcPr>
                <w:p w14:paraId="15370A07">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280" w:type="pct"/>
                  <w:vMerge w:val="continue"/>
                  <w:tcBorders>
                    <w:tl2br w:val="nil"/>
                    <w:tr2bl w:val="nil"/>
                  </w:tcBorders>
                  <w:vAlign w:val="center"/>
                </w:tcPr>
                <w:p w14:paraId="5D9FB577">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306" w:type="pct"/>
                  <w:vMerge w:val="continue"/>
                  <w:tcBorders>
                    <w:tl2br w:val="nil"/>
                    <w:tr2bl w:val="nil"/>
                  </w:tcBorders>
                  <w:vAlign w:val="center"/>
                </w:tcPr>
                <w:p w14:paraId="0D61E104">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269" w:type="pct"/>
                  <w:vMerge w:val="continue"/>
                  <w:tcBorders>
                    <w:tl2br w:val="nil"/>
                    <w:tr2bl w:val="nil"/>
                  </w:tcBorders>
                  <w:vAlign w:val="center"/>
                </w:tcPr>
                <w:p w14:paraId="4C1281B4">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261" w:type="pct"/>
                  <w:vMerge w:val="continue"/>
                  <w:tcBorders>
                    <w:tl2br w:val="nil"/>
                    <w:tr2bl w:val="nil"/>
                  </w:tcBorders>
                  <w:vAlign w:val="center"/>
                </w:tcPr>
                <w:p w14:paraId="3D979F17">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228" w:type="pct"/>
                  <w:vMerge w:val="continue"/>
                  <w:tcBorders>
                    <w:tl2br w:val="nil"/>
                    <w:tr2bl w:val="nil"/>
                  </w:tcBorders>
                  <w:vAlign w:val="center"/>
                </w:tcPr>
                <w:p w14:paraId="4410AC23">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r>
            <w:tr w14:paraId="497C3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64" w:type="pct"/>
                  <w:tcBorders>
                    <w:tl2br w:val="nil"/>
                    <w:tr2bl w:val="nil"/>
                  </w:tcBorders>
                  <w:vAlign w:val="center"/>
                </w:tcPr>
                <w:p w14:paraId="2A102F5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369" w:type="pct"/>
                  <w:tcBorders>
                    <w:tl2br w:val="nil"/>
                    <w:tr2bl w:val="nil"/>
                  </w:tcBorders>
                  <w:shd w:val="clear" w:color="auto" w:fill="auto"/>
                  <w:vAlign w:val="center"/>
                </w:tcPr>
                <w:p w14:paraId="4EA8A73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运输</w:t>
                  </w: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废气</w:t>
                  </w:r>
                </w:p>
              </w:tc>
              <w:tc>
                <w:tcPr>
                  <w:tcW w:w="319" w:type="pct"/>
                  <w:tcBorders>
                    <w:tl2br w:val="nil"/>
                    <w:tr2bl w:val="nil"/>
                  </w:tcBorders>
                  <w:shd w:val="clear" w:color="auto" w:fill="auto"/>
                  <w:vAlign w:val="center"/>
                </w:tcPr>
                <w:p w14:paraId="616FE85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颗粒物</w:t>
                  </w:r>
                </w:p>
              </w:tc>
              <w:tc>
                <w:tcPr>
                  <w:tcW w:w="334" w:type="pct"/>
                  <w:tcBorders>
                    <w:tl2br w:val="nil"/>
                    <w:tr2bl w:val="nil"/>
                  </w:tcBorders>
                  <w:shd w:val="clear" w:color="auto" w:fill="auto"/>
                  <w:vAlign w:val="center"/>
                </w:tcPr>
                <w:p w14:paraId="1A2D30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307" w:type="pct"/>
                  <w:tcBorders>
                    <w:tl2br w:val="nil"/>
                    <w:tr2bl w:val="nil"/>
                  </w:tcBorders>
                  <w:shd w:val="clear" w:color="auto" w:fill="auto"/>
                  <w:vAlign w:val="center"/>
                </w:tcPr>
                <w:p w14:paraId="719A4F15">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259" w:type="pct"/>
                  <w:tcBorders>
                    <w:tl2br w:val="nil"/>
                    <w:tr2bl w:val="nil"/>
                  </w:tcBorders>
                  <w:shd w:val="clear" w:color="auto" w:fill="auto"/>
                  <w:vAlign w:val="center"/>
                </w:tcPr>
                <w:p w14:paraId="77C7385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无组织</w:t>
                  </w:r>
                </w:p>
              </w:tc>
              <w:tc>
                <w:tcPr>
                  <w:tcW w:w="1237" w:type="pct"/>
                  <w:gridSpan w:val="4"/>
                  <w:tcBorders>
                    <w:tl2br w:val="nil"/>
                    <w:tr2bl w:val="nil"/>
                  </w:tcBorders>
                  <w:shd w:val="clear" w:color="auto" w:fill="auto"/>
                  <w:vAlign w:val="center"/>
                </w:tcPr>
                <w:p w14:paraId="12F6277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依托</w:t>
                  </w:r>
                  <w:r>
                    <w:rPr>
                      <w:rFonts w:hint="eastAsia" w:cs="Times New Roman"/>
                      <w:b w:val="0"/>
                      <w:bCs w:val="0"/>
                      <w:color w:val="000000" w:themeColor="text1"/>
                      <w:sz w:val="21"/>
                      <w:szCs w:val="21"/>
                      <w:highlight w:val="none"/>
                      <w:lang w:val="en-US" w:eastAsia="zh-CN"/>
                      <w14:textFill>
                        <w14:solidFill>
                          <w14:schemeClr w14:val="tx1"/>
                        </w14:solidFill>
                      </w14:textFill>
                    </w:rPr>
                    <w:t>厂区</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现有</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洗车平台，出厂对车辆轮胎清洗</w:t>
                  </w:r>
                  <w:r>
                    <w:rPr>
                      <w:rFonts w:hint="default" w:ascii="Times New Roman" w:hAnsi="Times New Roman" w:cs="Times New Roman"/>
                      <w:b w:val="0"/>
                      <w:bCs w:val="0"/>
                      <w:color w:val="000000" w:themeColor="text1"/>
                      <w:sz w:val="21"/>
                      <w:szCs w:val="21"/>
                      <w:highlight w:val="none"/>
                      <w:lang w:eastAsia="zh-CN"/>
                      <w14:textFill>
                        <w14:solidFill>
                          <w14:schemeClr w14:val="tx1"/>
                        </w14:solidFill>
                      </w14:textFill>
                    </w:rPr>
                    <w:t>；对厂区地面、道路全部进行硬化，道路定时洒水；</w:t>
                  </w:r>
                  <w:r>
                    <w:rPr>
                      <w:rFonts w:hint="default" w:ascii="Times New Roman" w:hAnsi="Times New Roman" w:cs="Times New Roman"/>
                      <w:b w:val="0"/>
                      <w:bCs w:val="0"/>
                      <w:color w:val="000000" w:themeColor="text1"/>
                      <w:sz w:val="21"/>
                      <w:szCs w:val="21"/>
                      <w:highlight w:val="none"/>
                      <w14:textFill>
                        <w14:solidFill>
                          <w14:schemeClr w14:val="tx1"/>
                        </w14:solidFill>
                      </w14:textFill>
                    </w:rPr>
                    <w:t>限制汽车超载，采用箱式车</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运输</w:t>
                  </w:r>
                  <w:r>
                    <w:rPr>
                      <w:rFonts w:hint="eastAsia" w:cs="Times New Roman"/>
                      <w:b w:val="0"/>
                      <w:bCs w:val="0"/>
                      <w:color w:val="000000" w:themeColor="text1"/>
                      <w:sz w:val="21"/>
                      <w:szCs w:val="21"/>
                      <w:highlight w:val="none"/>
                      <w:lang w:val="en-US" w:eastAsia="zh-CN"/>
                      <w14:textFill>
                        <w14:solidFill>
                          <w14:schemeClr w14:val="tx1"/>
                        </w14:solidFill>
                      </w14:textFill>
                    </w:rPr>
                    <w:t>，采取篷布苫盖</w:t>
                  </w:r>
                </w:p>
              </w:tc>
              <w:tc>
                <w:tcPr>
                  <w:tcW w:w="338" w:type="pct"/>
                  <w:tcBorders>
                    <w:tl2br w:val="nil"/>
                    <w:tr2bl w:val="nil"/>
                  </w:tcBorders>
                  <w:shd w:val="clear" w:color="auto" w:fill="auto"/>
                  <w:vAlign w:val="center"/>
                </w:tcPr>
                <w:p w14:paraId="14EE0840">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是</w:t>
                  </w:r>
                </w:p>
              </w:tc>
              <w:tc>
                <w:tcPr>
                  <w:tcW w:w="322" w:type="pct"/>
                  <w:tcBorders>
                    <w:tl2br w:val="nil"/>
                    <w:tr2bl w:val="nil"/>
                  </w:tcBorders>
                  <w:shd w:val="clear" w:color="auto" w:fill="auto"/>
                  <w:vAlign w:val="center"/>
                </w:tcPr>
                <w:p w14:paraId="41961AB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280" w:type="pct"/>
                  <w:tcBorders>
                    <w:tl2br w:val="nil"/>
                    <w:tr2bl w:val="nil"/>
                  </w:tcBorders>
                  <w:shd w:val="clear" w:color="auto" w:fill="auto"/>
                  <w:vAlign w:val="center"/>
                </w:tcPr>
                <w:p w14:paraId="44662D83">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306" w:type="pct"/>
                  <w:tcBorders>
                    <w:tl2br w:val="nil"/>
                    <w:tr2bl w:val="nil"/>
                  </w:tcBorders>
                  <w:shd w:val="clear" w:color="auto" w:fill="auto"/>
                  <w:vAlign w:val="center"/>
                </w:tcPr>
                <w:p w14:paraId="38868E44">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269" w:type="pct"/>
                  <w:tcBorders>
                    <w:tl2br w:val="nil"/>
                    <w:tr2bl w:val="nil"/>
                  </w:tcBorders>
                  <w:shd w:val="clear" w:color="auto" w:fill="auto"/>
                  <w:vAlign w:val="center"/>
                </w:tcPr>
                <w:p w14:paraId="58AA9CB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0.0</w:t>
                  </w: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43</w:t>
                  </w:r>
                </w:p>
              </w:tc>
              <w:tc>
                <w:tcPr>
                  <w:tcW w:w="261" w:type="pct"/>
                  <w:tcBorders>
                    <w:tl2br w:val="nil"/>
                    <w:tr2bl w:val="nil"/>
                  </w:tcBorders>
                  <w:shd w:val="clear" w:color="auto" w:fill="auto"/>
                  <w:vAlign w:val="center"/>
                </w:tcPr>
                <w:p w14:paraId="29816F9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228" w:type="pct"/>
                  <w:tcBorders>
                    <w:tl2br w:val="nil"/>
                    <w:tr2bl w:val="nil"/>
                  </w:tcBorders>
                  <w:shd w:val="clear" w:color="auto" w:fill="auto"/>
                  <w:vAlign w:val="center"/>
                </w:tcPr>
                <w:p w14:paraId="79CAF24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1.0</w:t>
                  </w:r>
                </w:p>
              </w:tc>
            </w:tr>
            <w:tr w14:paraId="4EB5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64" w:type="pct"/>
                  <w:tcBorders>
                    <w:tl2br w:val="nil"/>
                    <w:tr2bl w:val="nil"/>
                  </w:tcBorders>
                  <w:vAlign w:val="center"/>
                </w:tcPr>
                <w:p w14:paraId="42010CA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2</w:t>
                  </w:r>
                </w:p>
              </w:tc>
              <w:tc>
                <w:tcPr>
                  <w:tcW w:w="369" w:type="pct"/>
                  <w:tcBorders>
                    <w:tl2br w:val="nil"/>
                    <w:tr2bl w:val="nil"/>
                  </w:tcBorders>
                  <w:shd w:val="clear" w:color="auto" w:fill="auto"/>
                  <w:vAlign w:val="center"/>
                </w:tcPr>
                <w:p w14:paraId="4C14706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原料及成品堆放</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、装卸</w:t>
                  </w: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废气</w:t>
                  </w:r>
                </w:p>
              </w:tc>
              <w:tc>
                <w:tcPr>
                  <w:tcW w:w="319" w:type="pct"/>
                  <w:tcBorders>
                    <w:tl2br w:val="nil"/>
                    <w:tr2bl w:val="nil"/>
                  </w:tcBorders>
                  <w:shd w:val="clear" w:color="auto" w:fill="auto"/>
                  <w:vAlign w:val="center"/>
                </w:tcPr>
                <w:p w14:paraId="2C73CDC3">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颗粒物</w:t>
                  </w:r>
                </w:p>
              </w:tc>
              <w:tc>
                <w:tcPr>
                  <w:tcW w:w="334" w:type="pct"/>
                  <w:tcBorders>
                    <w:tl2br w:val="nil"/>
                    <w:tr2bl w:val="nil"/>
                  </w:tcBorders>
                  <w:shd w:val="clear" w:color="auto" w:fill="auto"/>
                  <w:vAlign w:val="center"/>
                </w:tcPr>
                <w:p w14:paraId="04D3292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307" w:type="pct"/>
                  <w:tcBorders>
                    <w:tl2br w:val="nil"/>
                    <w:tr2bl w:val="nil"/>
                  </w:tcBorders>
                  <w:shd w:val="clear" w:color="auto" w:fill="auto"/>
                  <w:vAlign w:val="center"/>
                </w:tcPr>
                <w:p w14:paraId="4183589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259" w:type="pct"/>
                  <w:tcBorders>
                    <w:tl2br w:val="nil"/>
                    <w:tr2bl w:val="nil"/>
                  </w:tcBorders>
                  <w:shd w:val="clear" w:color="auto" w:fill="auto"/>
                  <w:vAlign w:val="center"/>
                </w:tcPr>
                <w:p w14:paraId="6D14CB9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无组织</w:t>
                  </w:r>
                </w:p>
              </w:tc>
              <w:tc>
                <w:tcPr>
                  <w:tcW w:w="1237" w:type="pct"/>
                  <w:gridSpan w:val="4"/>
                  <w:tcBorders>
                    <w:tl2br w:val="nil"/>
                    <w:tr2bl w:val="nil"/>
                  </w:tcBorders>
                  <w:shd w:val="clear" w:color="auto" w:fill="auto"/>
                  <w:vAlign w:val="center"/>
                </w:tcPr>
                <w:p w14:paraId="7258540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全封闭储库</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库顶设置喷雾洒水抑尘</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措施，移动式雾炮机</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抑尘</w:t>
                  </w:r>
                </w:p>
              </w:tc>
              <w:tc>
                <w:tcPr>
                  <w:tcW w:w="338" w:type="pct"/>
                  <w:tcBorders>
                    <w:tl2br w:val="nil"/>
                    <w:tr2bl w:val="nil"/>
                  </w:tcBorders>
                  <w:shd w:val="clear" w:color="auto" w:fill="auto"/>
                  <w:vAlign w:val="center"/>
                </w:tcPr>
                <w:p w14:paraId="485EE94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是</w:t>
                  </w:r>
                </w:p>
              </w:tc>
              <w:tc>
                <w:tcPr>
                  <w:tcW w:w="322" w:type="pct"/>
                  <w:tcBorders>
                    <w:tl2br w:val="nil"/>
                    <w:tr2bl w:val="nil"/>
                  </w:tcBorders>
                  <w:shd w:val="clear" w:color="auto" w:fill="auto"/>
                  <w:vAlign w:val="center"/>
                </w:tcPr>
                <w:p w14:paraId="6F31ED2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280" w:type="pct"/>
                  <w:tcBorders>
                    <w:tl2br w:val="nil"/>
                    <w:tr2bl w:val="nil"/>
                  </w:tcBorders>
                  <w:shd w:val="clear" w:color="auto" w:fill="auto"/>
                  <w:vAlign w:val="center"/>
                </w:tcPr>
                <w:p w14:paraId="37EDA34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306" w:type="pct"/>
                  <w:tcBorders>
                    <w:tl2br w:val="nil"/>
                    <w:tr2bl w:val="nil"/>
                  </w:tcBorders>
                  <w:shd w:val="clear" w:color="auto" w:fill="auto"/>
                  <w:vAlign w:val="center"/>
                </w:tcPr>
                <w:p w14:paraId="73FC74E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269" w:type="pct"/>
                  <w:tcBorders>
                    <w:tl2br w:val="nil"/>
                    <w:tr2bl w:val="nil"/>
                  </w:tcBorders>
                  <w:shd w:val="clear" w:color="auto" w:fill="auto"/>
                  <w:vAlign w:val="center"/>
                </w:tcPr>
                <w:p w14:paraId="1A15266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Regular" w:hAnsi="Times New Roman Regular" w:cs="Times New Roman Regular"/>
                      <w:color w:val="000000" w:themeColor="text1"/>
                      <w:sz w:val="21"/>
                      <w:szCs w:val="21"/>
                      <w:highlight w:val="none"/>
                      <w:lang w:val="en-US" w:eastAsia="zh-CN"/>
                      <w14:textFill>
                        <w14:solidFill>
                          <w14:schemeClr w14:val="tx1"/>
                        </w14:solidFill>
                      </w14:textFill>
                    </w:rPr>
                    <w:t>1.27</w:t>
                  </w:r>
                </w:p>
              </w:tc>
              <w:tc>
                <w:tcPr>
                  <w:tcW w:w="261" w:type="pct"/>
                  <w:tcBorders>
                    <w:tl2br w:val="nil"/>
                    <w:tr2bl w:val="nil"/>
                  </w:tcBorders>
                  <w:shd w:val="clear" w:color="auto" w:fill="auto"/>
                  <w:vAlign w:val="center"/>
                </w:tcPr>
                <w:p w14:paraId="19510C0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228" w:type="pct"/>
                  <w:tcBorders>
                    <w:tl2br w:val="nil"/>
                    <w:tr2bl w:val="nil"/>
                  </w:tcBorders>
                  <w:shd w:val="clear" w:color="auto" w:fill="auto"/>
                  <w:vAlign w:val="center"/>
                </w:tcPr>
                <w:p w14:paraId="34C9E35C">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1.0</w:t>
                  </w:r>
                </w:p>
              </w:tc>
            </w:tr>
            <w:tr w14:paraId="042A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64" w:type="pct"/>
                  <w:tcBorders>
                    <w:tl2br w:val="nil"/>
                    <w:tr2bl w:val="nil"/>
                  </w:tcBorders>
                  <w:vAlign w:val="center"/>
                </w:tcPr>
                <w:p w14:paraId="00471AE7">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3</w:t>
                  </w:r>
                </w:p>
              </w:tc>
              <w:tc>
                <w:tcPr>
                  <w:tcW w:w="369" w:type="pct"/>
                  <w:tcBorders>
                    <w:tl2br w:val="nil"/>
                    <w:tr2bl w:val="nil"/>
                  </w:tcBorders>
                  <w:shd w:val="clear" w:color="auto" w:fill="auto"/>
                  <w:vAlign w:val="center"/>
                </w:tcPr>
                <w:p w14:paraId="72E7EF1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物料</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转载</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输送</w:t>
                  </w: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废气</w:t>
                  </w:r>
                </w:p>
              </w:tc>
              <w:tc>
                <w:tcPr>
                  <w:tcW w:w="319" w:type="pct"/>
                  <w:tcBorders>
                    <w:tl2br w:val="nil"/>
                    <w:tr2bl w:val="nil"/>
                  </w:tcBorders>
                  <w:shd w:val="clear" w:color="auto" w:fill="auto"/>
                  <w:vAlign w:val="center"/>
                </w:tcPr>
                <w:p w14:paraId="0FD61FE3">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颗粒物</w:t>
                  </w:r>
                </w:p>
              </w:tc>
              <w:tc>
                <w:tcPr>
                  <w:tcW w:w="334" w:type="pct"/>
                  <w:tcBorders>
                    <w:tl2br w:val="nil"/>
                    <w:tr2bl w:val="nil"/>
                  </w:tcBorders>
                  <w:shd w:val="clear" w:color="auto" w:fill="auto"/>
                  <w:vAlign w:val="center"/>
                </w:tcPr>
                <w:p w14:paraId="7ABAAEF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307" w:type="pct"/>
                  <w:tcBorders>
                    <w:tl2br w:val="nil"/>
                    <w:tr2bl w:val="nil"/>
                  </w:tcBorders>
                  <w:shd w:val="clear" w:color="auto" w:fill="auto"/>
                  <w:vAlign w:val="center"/>
                </w:tcPr>
                <w:p w14:paraId="41F52A4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259" w:type="pct"/>
                  <w:tcBorders>
                    <w:tl2br w:val="nil"/>
                    <w:tr2bl w:val="nil"/>
                  </w:tcBorders>
                  <w:shd w:val="clear" w:color="auto" w:fill="auto"/>
                  <w:vAlign w:val="center"/>
                </w:tcPr>
                <w:p w14:paraId="24A61133">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无组织</w:t>
                  </w:r>
                </w:p>
              </w:tc>
              <w:tc>
                <w:tcPr>
                  <w:tcW w:w="1237" w:type="pct"/>
                  <w:gridSpan w:val="4"/>
                  <w:tcBorders>
                    <w:tl2br w:val="nil"/>
                    <w:tr2bl w:val="nil"/>
                  </w:tcBorders>
                  <w:shd w:val="clear" w:color="auto" w:fill="auto"/>
                  <w:vAlign w:val="center"/>
                </w:tcPr>
                <w:p w14:paraId="3D9D4E7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采用全封闭皮带</w:t>
                  </w:r>
                  <w:r>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输送</w:t>
                  </w: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，皮带转运跌落点降低高度，并设置固定式雾化喷头</w:t>
                  </w:r>
                </w:p>
              </w:tc>
              <w:tc>
                <w:tcPr>
                  <w:tcW w:w="338" w:type="pct"/>
                  <w:tcBorders>
                    <w:tl2br w:val="nil"/>
                    <w:tr2bl w:val="nil"/>
                  </w:tcBorders>
                  <w:shd w:val="clear" w:color="auto" w:fill="auto"/>
                  <w:vAlign w:val="center"/>
                </w:tcPr>
                <w:p w14:paraId="4C34887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是</w:t>
                  </w:r>
                </w:p>
              </w:tc>
              <w:tc>
                <w:tcPr>
                  <w:tcW w:w="322" w:type="pct"/>
                  <w:tcBorders>
                    <w:tl2br w:val="nil"/>
                    <w:tr2bl w:val="nil"/>
                  </w:tcBorders>
                  <w:shd w:val="clear" w:color="auto" w:fill="auto"/>
                  <w:vAlign w:val="center"/>
                </w:tcPr>
                <w:p w14:paraId="5034F78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280" w:type="pct"/>
                  <w:tcBorders>
                    <w:tl2br w:val="nil"/>
                    <w:tr2bl w:val="nil"/>
                  </w:tcBorders>
                  <w:shd w:val="clear" w:color="auto" w:fill="auto"/>
                  <w:vAlign w:val="center"/>
                </w:tcPr>
                <w:p w14:paraId="2A9F9D7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306" w:type="pct"/>
                  <w:tcBorders>
                    <w:tl2br w:val="nil"/>
                    <w:tr2bl w:val="nil"/>
                  </w:tcBorders>
                  <w:shd w:val="clear" w:color="auto" w:fill="auto"/>
                  <w:vAlign w:val="center"/>
                </w:tcPr>
                <w:p w14:paraId="174E977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269" w:type="pct"/>
                  <w:tcBorders>
                    <w:tl2br w:val="nil"/>
                    <w:tr2bl w:val="nil"/>
                  </w:tcBorders>
                  <w:shd w:val="clear" w:color="auto" w:fill="auto"/>
                  <w:vAlign w:val="center"/>
                </w:tcPr>
                <w:p w14:paraId="32C6DA89">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Regular" w:hAnsi="Times New Roman Regular" w:cs="Times New Roman Regular"/>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261" w:type="pct"/>
                  <w:tcBorders>
                    <w:tl2br w:val="nil"/>
                    <w:tr2bl w:val="nil"/>
                  </w:tcBorders>
                  <w:shd w:val="clear" w:color="auto" w:fill="auto"/>
                  <w:vAlign w:val="center"/>
                </w:tcPr>
                <w:p w14:paraId="36A3FA9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228" w:type="pct"/>
                  <w:tcBorders>
                    <w:tl2br w:val="nil"/>
                    <w:tr2bl w:val="nil"/>
                  </w:tcBorders>
                  <w:shd w:val="clear" w:color="auto" w:fill="auto"/>
                  <w:vAlign w:val="center"/>
                </w:tcPr>
                <w:p w14:paraId="253110B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1.0</w:t>
                  </w:r>
                </w:p>
              </w:tc>
            </w:tr>
            <w:tr w14:paraId="0B33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64" w:type="pct"/>
                  <w:vMerge w:val="restart"/>
                  <w:tcBorders>
                    <w:tl2br w:val="nil"/>
                    <w:tr2bl w:val="nil"/>
                  </w:tcBorders>
                  <w:shd w:val="clear" w:color="auto" w:fill="auto"/>
                  <w:vAlign w:val="center"/>
                </w:tcPr>
                <w:p w14:paraId="035C7183">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4</w:t>
                  </w:r>
                </w:p>
              </w:tc>
              <w:tc>
                <w:tcPr>
                  <w:tcW w:w="369" w:type="pct"/>
                  <w:tcBorders>
                    <w:tl2br w:val="nil"/>
                    <w:tr2bl w:val="nil"/>
                  </w:tcBorders>
                  <w:vAlign w:val="center"/>
                </w:tcPr>
                <w:p w14:paraId="7776F8E9">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给料</w:t>
                  </w: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废气</w:t>
                  </w:r>
                </w:p>
              </w:tc>
              <w:tc>
                <w:tcPr>
                  <w:tcW w:w="319" w:type="pct"/>
                  <w:vMerge w:val="restart"/>
                  <w:tcBorders>
                    <w:tl2br w:val="nil"/>
                    <w:tr2bl w:val="nil"/>
                  </w:tcBorders>
                  <w:vAlign w:val="center"/>
                </w:tcPr>
                <w:p w14:paraId="7676127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颗粒物</w:t>
                  </w:r>
                </w:p>
              </w:tc>
              <w:tc>
                <w:tcPr>
                  <w:tcW w:w="334" w:type="pct"/>
                  <w:vMerge w:val="restart"/>
                  <w:tcBorders>
                    <w:tl2br w:val="nil"/>
                    <w:tr2bl w:val="nil"/>
                  </w:tcBorders>
                  <w:vAlign w:val="center"/>
                </w:tcPr>
                <w:p w14:paraId="2D17C43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5819</w:t>
                  </w:r>
                </w:p>
              </w:tc>
              <w:tc>
                <w:tcPr>
                  <w:tcW w:w="307" w:type="pct"/>
                  <w:tcBorders>
                    <w:tl2br w:val="nil"/>
                    <w:tr2bl w:val="nil"/>
                  </w:tcBorders>
                  <w:vAlign w:val="center"/>
                </w:tcPr>
                <w:p w14:paraId="3EFEE65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22.7</w:t>
                  </w:r>
                </w:p>
              </w:tc>
              <w:tc>
                <w:tcPr>
                  <w:tcW w:w="259" w:type="pct"/>
                  <w:vMerge w:val="restart"/>
                  <w:tcBorders>
                    <w:tl2br w:val="nil"/>
                    <w:tr2bl w:val="nil"/>
                  </w:tcBorders>
                  <w:vAlign w:val="center"/>
                </w:tcPr>
                <w:p w14:paraId="677DCBD5">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有组织</w:t>
                  </w:r>
                </w:p>
              </w:tc>
              <w:tc>
                <w:tcPr>
                  <w:tcW w:w="408" w:type="pct"/>
                  <w:vMerge w:val="restart"/>
                  <w:tcBorders>
                    <w:tl2br w:val="nil"/>
                    <w:tr2bl w:val="nil"/>
                  </w:tcBorders>
                  <w:vAlign w:val="center"/>
                </w:tcPr>
                <w:p w14:paraId="12F2131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袋式除尘器</w:t>
                  </w:r>
                </w:p>
              </w:tc>
              <w:tc>
                <w:tcPr>
                  <w:tcW w:w="233" w:type="pct"/>
                  <w:vMerge w:val="restart"/>
                  <w:tcBorders>
                    <w:tl2br w:val="nil"/>
                    <w:tr2bl w:val="nil"/>
                  </w:tcBorders>
                  <w:vAlign w:val="center"/>
                </w:tcPr>
                <w:p w14:paraId="72ED96A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sz w:val="21"/>
                      <w:szCs w:val="21"/>
                      <w:highlight w:val="none"/>
                      <w:lang w:val="en-US" w:eastAsia="zh-CN"/>
                      <w14:textFill>
                        <w14:solidFill>
                          <w14:schemeClr w14:val="tx1"/>
                        </w14:solidFill>
                      </w14:textFill>
                    </w:rPr>
                    <w:t>11720</w:t>
                  </w:r>
                </w:p>
              </w:tc>
              <w:tc>
                <w:tcPr>
                  <w:tcW w:w="244" w:type="pct"/>
                  <w:tcBorders>
                    <w:tl2br w:val="nil"/>
                    <w:tr2bl w:val="nil"/>
                  </w:tcBorders>
                  <w:vAlign w:val="center"/>
                </w:tcPr>
                <w:p w14:paraId="0DD728D9">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90</w:t>
                  </w:r>
                </w:p>
              </w:tc>
              <w:tc>
                <w:tcPr>
                  <w:tcW w:w="351" w:type="pct"/>
                  <w:vMerge w:val="restart"/>
                  <w:tcBorders>
                    <w:tl2br w:val="nil"/>
                    <w:tr2bl w:val="nil"/>
                  </w:tcBorders>
                  <w:vAlign w:val="center"/>
                </w:tcPr>
                <w:p w14:paraId="70BD876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99.8</w:t>
                  </w:r>
                </w:p>
              </w:tc>
              <w:tc>
                <w:tcPr>
                  <w:tcW w:w="338" w:type="pct"/>
                  <w:vMerge w:val="restart"/>
                  <w:tcBorders>
                    <w:tl2br w:val="nil"/>
                    <w:tr2bl w:val="nil"/>
                  </w:tcBorders>
                  <w:vAlign w:val="center"/>
                </w:tcPr>
                <w:p w14:paraId="2CED0AB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是</w:t>
                  </w:r>
                </w:p>
              </w:tc>
              <w:tc>
                <w:tcPr>
                  <w:tcW w:w="322" w:type="pct"/>
                  <w:vMerge w:val="restart"/>
                  <w:tcBorders>
                    <w:tl2br w:val="nil"/>
                    <w:tr2bl w:val="nil"/>
                  </w:tcBorders>
                  <w:vAlign w:val="center"/>
                </w:tcPr>
                <w:p w14:paraId="7454085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14:textFill>
                        <w14:solidFill>
                          <w14:schemeClr w14:val="tx1"/>
                        </w14:solidFill>
                      </w14:textFill>
                    </w:rPr>
                    <w:t>10</w:t>
                  </w:r>
                </w:p>
              </w:tc>
              <w:tc>
                <w:tcPr>
                  <w:tcW w:w="280" w:type="pct"/>
                  <w:vMerge w:val="restart"/>
                  <w:tcBorders>
                    <w:tl2br w:val="nil"/>
                    <w:tr2bl w:val="nil"/>
                  </w:tcBorders>
                  <w:vAlign w:val="center"/>
                </w:tcPr>
                <w:p w14:paraId="37B41F2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u w:val="none"/>
                      <w:lang w:val="en-US" w:eastAsia="zh-CN"/>
                      <w14:textFill>
                        <w14:solidFill>
                          <w14:schemeClr w14:val="tx1"/>
                        </w14:solidFill>
                      </w14:textFill>
                    </w:rPr>
                    <w:t>0.12</w:t>
                  </w:r>
                </w:p>
              </w:tc>
              <w:tc>
                <w:tcPr>
                  <w:tcW w:w="306" w:type="pct"/>
                  <w:vMerge w:val="restart"/>
                  <w:tcBorders>
                    <w:tl2br w:val="nil"/>
                    <w:tr2bl w:val="nil"/>
                  </w:tcBorders>
                  <w:vAlign w:val="center"/>
                </w:tcPr>
                <w:p w14:paraId="24C9EEC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none"/>
                      <w:lang w:val="en-US" w:eastAsia="zh-CN"/>
                      <w14:textFill>
                        <w14:solidFill>
                          <w14:schemeClr w14:val="tx1"/>
                        </w14:solidFill>
                      </w14:textFill>
                    </w:rPr>
                    <w:t>5280</w:t>
                  </w:r>
                </w:p>
              </w:tc>
              <w:tc>
                <w:tcPr>
                  <w:tcW w:w="269" w:type="pct"/>
                  <w:vMerge w:val="restart"/>
                  <w:tcBorders>
                    <w:tl2br w:val="nil"/>
                    <w:tr2bl w:val="nil"/>
                  </w:tcBorders>
                  <w:vAlign w:val="center"/>
                </w:tcPr>
                <w:p w14:paraId="387A7A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bidi="ar-SA"/>
                      <w14:textFill>
                        <w14:solidFill>
                          <w14:schemeClr w14:val="tx1"/>
                        </w14:solidFill>
                      </w14:textFill>
                    </w:rPr>
                    <w:t>0.619</w:t>
                  </w:r>
                </w:p>
              </w:tc>
              <w:tc>
                <w:tcPr>
                  <w:tcW w:w="261" w:type="pct"/>
                  <w:vMerge w:val="restart"/>
                  <w:tcBorders>
                    <w:tl2br w:val="nil"/>
                    <w:tr2bl w:val="nil"/>
                  </w:tcBorders>
                  <w:vAlign w:val="center"/>
                </w:tcPr>
                <w:p w14:paraId="5ADE0576">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DA00</w:t>
                  </w:r>
                  <w:r>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228" w:type="pct"/>
                  <w:vMerge w:val="restart"/>
                  <w:tcBorders>
                    <w:tl2br w:val="nil"/>
                    <w:tr2bl w:val="nil"/>
                  </w:tcBorders>
                  <w:vAlign w:val="center"/>
                </w:tcPr>
                <w:p w14:paraId="30D7861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14:textFill>
                        <w14:solidFill>
                          <w14:schemeClr w14:val="tx1"/>
                        </w14:solidFill>
                      </w14:textFill>
                    </w:rPr>
                    <w:t>10</w:t>
                  </w:r>
                </w:p>
              </w:tc>
            </w:tr>
            <w:tr w14:paraId="38BD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64" w:type="pct"/>
                  <w:vMerge w:val="continue"/>
                  <w:tcBorders>
                    <w:tl2br w:val="nil"/>
                    <w:tr2bl w:val="nil"/>
                  </w:tcBorders>
                  <w:shd w:val="clear" w:color="auto" w:fill="auto"/>
                  <w:vAlign w:val="center"/>
                </w:tcPr>
                <w:p w14:paraId="3ECDA2B4">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olor w:val="000000" w:themeColor="text1"/>
                      <w:sz w:val="21"/>
                      <w:szCs w:val="21"/>
                      <w:highlight w:val="none"/>
                      <w14:textFill>
                        <w14:solidFill>
                          <w14:schemeClr w14:val="tx1"/>
                        </w14:solidFill>
                      </w14:textFill>
                    </w:rPr>
                  </w:pPr>
                </w:p>
              </w:tc>
              <w:tc>
                <w:tcPr>
                  <w:tcW w:w="369" w:type="pct"/>
                  <w:tcBorders>
                    <w:tl2br w:val="nil"/>
                    <w:tr2bl w:val="nil"/>
                  </w:tcBorders>
                  <w:vAlign w:val="center"/>
                </w:tcPr>
                <w:p w14:paraId="1154F4C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破碎</w:t>
                  </w: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废气</w:t>
                  </w:r>
                </w:p>
              </w:tc>
              <w:tc>
                <w:tcPr>
                  <w:tcW w:w="319" w:type="pct"/>
                  <w:vMerge w:val="continue"/>
                  <w:tcBorders>
                    <w:tl2br w:val="nil"/>
                    <w:tr2bl w:val="nil"/>
                  </w:tcBorders>
                  <w:vAlign w:val="center"/>
                </w:tcPr>
                <w:p w14:paraId="23986B5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olor w:val="000000" w:themeColor="text1"/>
                      <w:sz w:val="21"/>
                      <w:szCs w:val="21"/>
                      <w:highlight w:val="none"/>
                      <w14:textFill>
                        <w14:solidFill>
                          <w14:schemeClr w14:val="tx1"/>
                        </w14:solidFill>
                      </w14:textFill>
                    </w:rPr>
                  </w:pPr>
                </w:p>
              </w:tc>
              <w:tc>
                <w:tcPr>
                  <w:tcW w:w="334" w:type="pct"/>
                  <w:vMerge w:val="continue"/>
                  <w:tcBorders>
                    <w:tl2br w:val="nil"/>
                    <w:tr2bl w:val="nil"/>
                  </w:tcBorders>
                  <w:vAlign w:val="center"/>
                </w:tcPr>
                <w:p w14:paraId="59265157">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p>
              </w:tc>
              <w:tc>
                <w:tcPr>
                  <w:tcW w:w="307" w:type="pct"/>
                  <w:tcBorders>
                    <w:tl2br w:val="nil"/>
                    <w:tr2bl w:val="nil"/>
                  </w:tcBorders>
                  <w:vAlign w:val="center"/>
                </w:tcPr>
                <w:p w14:paraId="340ED35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t>45.5</w:t>
                  </w:r>
                </w:p>
              </w:tc>
              <w:tc>
                <w:tcPr>
                  <w:tcW w:w="259" w:type="pct"/>
                  <w:vMerge w:val="continue"/>
                  <w:tcBorders>
                    <w:tl2br w:val="nil"/>
                    <w:tr2bl w:val="nil"/>
                  </w:tcBorders>
                  <w:vAlign w:val="center"/>
                </w:tcPr>
                <w:p w14:paraId="691370A3">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p>
              </w:tc>
              <w:tc>
                <w:tcPr>
                  <w:tcW w:w="408" w:type="pct"/>
                  <w:vMerge w:val="continue"/>
                  <w:tcBorders>
                    <w:tl2br w:val="nil"/>
                    <w:tr2bl w:val="nil"/>
                  </w:tcBorders>
                  <w:vAlign w:val="center"/>
                </w:tcPr>
                <w:p w14:paraId="042141E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p>
              </w:tc>
              <w:tc>
                <w:tcPr>
                  <w:tcW w:w="233" w:type="pct"/>
                  <w:vMerge w:val="continue"/>
                  <w:tcBorders>
                    <w:tl2br w:val="nil"/>
                    <w:tr2bl w:val="nil"/>
                  </w:tcBorders>
                  <w:vAlign w:val="center"/>
                </w:tcPr>
                <w:p w14:paraId="5C56171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p>
              </w:tc>
              <w:tc>
                <w:tcPr>
                  <w:tcW w:w="244" w:type="pct"/>
                  <w:tcBorders>
                    <w:tl2br w:val="nil"/>
                    <w:tr2bl w:val="nil"/>
                  </w:tcBorders>
                  <w:vAlign w:val="center"/>
                </w:tcPr>
                <w:p w14:paraId="684D0B6C">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eastAsia="仿宋"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eastAsia="仿宋" w:cs="Times New Roman"/>
                      <w:b w:val="0"/>
                      <w:bCs w:val="0"/>
                      <w:color w:val="000000" w:themeColor="text1"/>
                      <w:kern w:val="2"/>
                      <w:sz w:val="21"/>
                      <w:szCs w:val="21"/>
                      <w:highlight w:val="none"/>
                      <w:lang w:val="en-US" w:eastAsia="zh-CN" w:bidi="ar-SA"/>
                      <w14:textFill>
                        <w14:solidFill>
                          <w14:schemeClr w14:val="tx1"/>
                        </w14:solidFill>
                      </w14:textFill>
                    </w:rPr>
                    <w:t>100</w:t>
                  </w:r>
                </w:p>
              </w:tc>
              <w:tc>
                <w:tcPr>
                  <w:tcW w:w="351" w:type="pct"/>
                  <w:vMerge w:val="continue"/>
                  <w:tcBorders>
                    <w:tl2br w:val="nil"/>
                    <w:tr2bl w:val="nil"/>
                  </w:tcBorders>
                  <w:vAlign w:val="center"/>
                </w:tcPr>
                <w:p w14:paraId="4417841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p>
              </w:tc>
              <w:tc>
                <w:tcPr>
                  <w:tcW w:w="338" w:type="pct"/>
                  <w:vMerge w:val="continue"/>
                  <w:tcBorders>
                    <w:tl2br w:val="nil"/>
                    <w:tr2bl w:val="nil"/>
                  </w:tcBorders>
                  <w:vAlign w:val="center"/>
                </w:tcPr>
                <w:p w14:paraId="4B2DB4D5">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p>
              </w:tc>
              <w:tc>
                <w:tcPr>
                  <w:tcW w:w="322" w:type="pct"/>
                  <w:vMerge w:val="continue"/>
                  <w:tcBorders>
                    <w:tl2br w:val="nil"/>
                    <w:tr2bl w:val="nil"/>
                  </w:tcBorders>
                  <w:vAlign w:val="center"/>
                </w:tcPr>
                <w:p w14:paraId="176389BC">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p>
              </w:tc>
              <w:tc>
                <w:tcPr>
                  <w:tcW w:w="280" w:type="pct"/>
                  <w:vMerge w:val="continue"/>
                  <w:tcBorders>
                    <w:tl2br w:val="nil"/>
                    <w:tr2bl w:val="nil"/>
                  </w:tcBorders>
                  <w:vAlign w:val="center"/>
                </w:tcPr>
                <w:p w14:paraId="57B27356">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p>
              </w:tc>
              <w:tc>
                <w:tcPr>
                  <w:tcW w:w="306" w:type="pct"/>
                  <w:vMerge w:val="continue"/>
                  <w:tcBorders>
                    <w:tl2br w:val="nil"/>
                    <w:tr2bl w:val="nil"/>
                  </w:tcBorders>
                  <w:vAlign w:val="center"/>
                </w:tcPr>
                <w:p w14:paraId="74285330">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p>
              </w:tc>
              <w:tc>
                <w:tcPr>
                  <w:tcW w:w="269" w:type="pct"/>
                  <w:vMerge w:val="continue"/>
                  <w:tcBorders>
                    <w:tl2br w:val="nil"/>
                    <w:tr2bl w:val="nil"/>
                  </w:tcBorders>
                  <w:vAlign w:val="center"/>
                </w:tcPr>
                <w:p w14:paraId="7C63925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p>
              </w:tc>
              <w:tc>
                <w:tcPr>
                  <w:tcW w:w="261" w:type="pct"/>
                  <w:vMerge w:val="continue"/>
                  <w:tcBorders>
                    <w:tl2br w:val="nil"/>
                    <w:tr2bl w:val="nil"/>
                  </w:tcBorders>
                  <w:vAlign w:val="center"/>
                </w:tcPr>
                <w:p w14:paraId="23DE2E2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p>
              </w:tc>
              <w:tc>
                <w:tcPr>
                  <w:tcW w:w="228" w:type="pct"/>
                  <w:vMerge w:val="continue"/>
                  <w:tcBorders>
                    <w:tl2br w:val="nil"/>
                    <w:tr2bl w:val="nil"/>
                  </w:tcBorders>
                  <w:vAlign w:val="center"/>
                </w:tcPr>
                <w:p w14:paraId="4CC3FAF0">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p>
              </w:tc>
            </w:tr>
            <w:tr w14:paraId="77B7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64" w:type="pct"/>
                  <w:vMerge w:val="restart"/>
                  <w:tcBorders>
                    <w:tl2br w:val="nil"/>
                    <w:tr2bl w:val="nil"/>
                  </w:tcBorders>
                  <w:shd w:val="clear" w:color="auto" w:fill="auto"/>
                  <w:vAlign w:val="center"/>
                </w:tcPr>
                <w:p w14:paraId="4F388266">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5</w:t>
                  </w:r>
                </w:p>
              </w:tc>
              <w:tc>
                <w:tcPr>
                  <w:tcW w:w="369" w:type="pct"/>
                  <w:tcBorders>
                    <w:tl2br w:val="nil"/>
                    <w:tr2bl w:val="nil"/>
                  </w:tcBorders>
                  <w:vAlign w:val="center"/>
                </w:tcPr>
                <w:p w14:paraId="08FB19A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制砂废气</w:t>
                  </w:r>
                </w:p>
              </w:tc>
              <w:tc>
                <w:tcPr>
                  <w:tcW w:w="319" w:type="pct"/>
                  <w:vMerge w:val="restart"/>
                  <w:tcBorders>
                    <w:tl2br w:val="nil"/>
                    <w:tr2bl w:val="nil"/>
                  </w:tcBorders>
                  <w:vAlign w:val="center"/>
                </w:tcPr>
                <w:p w14:paraId="01B15CC5">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颗粒物</w:t>
                  </w:r>
                </w:p>
              </w:tc>
              <w:tc>
                <w:tcPr>
                  <w:tcW w:w="334" w:type="pct"/>
                  <w:vMerge w:val="restart"/>
                  <w:tcBorders>
                    <w:tl2br w:val="nil"/>
                    <w:tr2bl w:val="nil"/>
                  </w:tcBorders>
                  <w:vAlign w:val="center"/>
                </w:tcPr>
                <w:p w14:paraId="5994631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4878</w:t>
                  </w:r>
                </w:p>
              </w:tc>
              <w:tc>
                <w:tcPr>
                  <w:tcW w:w="307" w:type="pct"/>
                  <w:tcBorders>
                    <w:tl2br w:val="nil"/>
                    <w:tr2bl w:val="nil"/>
                  </w:tcBorders>
                  <w:vAlign w:val="center"/>
                </w:tcPr>
                <w:p w14:paraId="0DA3A44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50</w:t>
                  </w:r>
                </w:p>
              </w:tc>
              <w:tc>
                <w:tcPr>
                  <w:tcW w:w="259" w:type="pct"/>
                  <w:vMerge w:val="restart"/>
                  <w:tcBorders>
                    <w:tl2br w:val="nil"/>
                    <w:tr2bl w:val="nil"/>
                  </w:tcBorders>
                  <w:vAlign w:val="center"/>
                </w:tcPr>
                <w:p w14:paraId="2DDC4BF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有组织</w:t>
                  </w:r>
                </w:p>
              </w:tc>
              <w:tc>
                <w:tcPr>
                  <w:tcW w:w="408" w:type="pct"/>
                  <w:vMerge w:val="restart"/>
                  <w:tcBorders>
                    <w:tl2br w:val="nil"/>
                    <w:tr2bl w:val="nil"/>
                  </w:tcBorders>
                  <w:vAlign w:val="center"/>
                </w:tcPr>
                <w:p w14:paraId="12343189">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袋式除尘器</w:t>
                  </w:r>
                </w:p>
              </w:tc>
              <w:tc>
                <w:tcPr>
                  <w:tcW w:w="233" w:type="pct"/>
                  <w:vMerge w:val="restart"/>
                  <w:tcBorders>
                    <w:tl2br w:val="nil"/>
                    <w:tr2bl w:val="nil"/>
                  </w:tcBorders>
                  <w:vAlign w:val="center"/>
                </w:tcPr>
                <w:p w14:paraId="1AF57C7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sz w:val="21"/>
                      <w:szCs w:val="21"/>
                      <w:highlight w:val="none"/>
                      <w:lang w:val="en-US" w:eastAsia="zh-CN"/>
                      <w14:textFill>
                        <w14:solidFill>
                          <w14:schemeClr w14:val="tx1"/>
                        </w14:solidFill>
                      </w14:textFill>
                    </w:rPr>
                    <w:t>20500</w:t>
                  </w:r>
                </w:p>
              </w:tc>
              <w:tc>
                <w:tcPr>
                  <w:tcW w:w="244" w:type="pct"/>
                  <w:vMerge w:val="restart"/>
                  <w:tcBorders>
                    <w:tl2br w:val="nil"/>
                    <w:tr2bl w:val="nil"/>
                  </w:tcBorders>
                  <w:vAlign w:val="center"/>
                </w:tcPr>
                <w:p w14:paraId="497B8670">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100</w:t>
                  </w:r>
                </w:p>
              </w:tc>
              <w:tc>
                <w:tcPr>
                  <w:tcW w:w="351" w:type="pct"/>
                  <w:vMerge w:val="restart"/>
                  <w:tcBorders>
                    <w:tl2br w:val="nil"/>
                    <w:tr2bl w:val="nil"/>
                  </w:tcBorders>
                  <w:vAlign w:val="center"/>
                </w:tcPr>
                <w:p w14:paraId="1B58E78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99.8</w:t>
                  </w:r>
                </w:p>
              </w:tc>
              <w:tc>
                <w:tcPr>
                  <w:tcW w:w="338" w:type="pct"/>
                  <w:vMerge w:val="restart"/>
                  <w:tcBorders>
                    <w:tl2br w:val="nil"/>
                    <w:tr2bl w:val="nil"/>
                  </w:tcBorders>
                  <w:vAlign w:val="center"/>
                </w:tcPr>
                <w:p w14:paraId="1A8DB6E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是</w:t>
                  </w:r>
                </w:p>
              </w:tc>
              <w:tc>
                <w:tcPr>
                  <w:tcW w:w="322" w:type="pct"/>
                  <w:vMerge w:val="restart"/>
                  <w:tcBorders>
                    <w:tl2br w:val="nil"/>
                    <w:tr2bl w:val="nil"/>
                  </w:tcBorders>
                  <w:vAlign w:val="center"/>
                </w:tcPr>
                <w:p w14:paraId="0EF875E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14:textFill>
                        <w14:solidFill>
                          <w14:schemeClr w14:val="tx1"/>
                        </w14:solidFill>
                      </w14:textFill>
                    </w:rPr>
                    <w:t>10</w:t>
                  </w:r>
                </w:p>
              </w:tc>
              <w:tc>
                <w:tcPr>
                  <w:tcW w:w="280" w:type="pct"/>
                  <w:vMerge w:val="restart"/>
                  <w:tcBorders>
                    <w:tl2br w:val="nil"/>
                    <w:tr2bl w:val="nil"/>
                  </w:tcBorders>
                  <w:vAlign w:val="center"/>
                </w:tcPr>
                <w:p w14:paraId="3477B17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b w:val="0"/>
                      <w:bCs w:val="0"/>
                      <w:color w:val="000000" w:themeColor="text1"/>
                      <w:kern w:val="2"/>
                      <w:sz w:val="21"/>
                      <w:szCs w:val="21"/>
                      <w:highlight w:val="none"/>
                      <w:u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w:t>
                  </w:r>
                </w:p>
              </w:tc>
              <w:tc>
                <w:tcPr>
                  <w:tcW w:w="306" w:type="pct"/>
                  <w:vMerge w:val="restart"/>
                  <w:tcBorders>
                    <w:tl2br w:val="nil"/>
                    <w:tr2bl w:val="nil"/>
                  </w:tcBorders>
                  <w:vAlign w:val="center"/>
                </w:tcPr>
                <w:p w14:paraId="0C57C50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b w:val="0"/>
                      <w:bCs w:val="0"/>
                      <w:color w:val="000000" w:themeColor="text1"/>
                      <w:kern w:val="2"/>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none"/>
                      <w:lang w:val="en-US" w:eastAsia="zh-CN"/>
                      <w14:textFill>
                        <w14:solidFill>
                          <w14:schemeClr w14:val="tx1"/>
                        </w14:solidFill>
                      </w14:textFill>
                    </w:rPr>
                    <w:t>5280</w:t>
                  </w:r>
                </w:p>
              </w:tc>
              <w:tc>
                <w:tcPr>
                  <w:tcW w:w="269" w:type="pct"/>
                  <w:vMerge w:val="restart"/>
                  <w:tcBorders>
                    <w:tl2br w:val="nil"/>
                    <w:tr2bl w:val="nil"/>
                  </w:tcBorders>
                  <w:vAlign w:val="center"/>
                </w:tcPr>
                <w:p w14:paraId="533516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1.082</w:t>
                  </w:r>
                </w:p>
              </w:tc>
              <w:tc>
                <w:tcPr>
                  <w:tcW w:w="261" w:type="pct"/>
                  <w:vMerge w:val="restart"/>
                  <w:tcBorders>
                    <w:tl2br w:val="nil"/>
                    <w:tr2bl w:val="nil"/>
                  </w:tcBorders>
                  <w:vAlign w:val="center"/>
                </w:tcPr>
                <w:p w14:paraId="7B903376">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DA00</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2</w:t>
                  </w:r>
                </w:p>
              </w:tc>
              <w:tc>
                <w:tcPr>
                  <w:tcW w:w="228" w:type="pct"/>
                  <w:vMerge w:val="restart"/>
                  <w:tcBorders>
                    <w:tl2br w:val="nil"/>
                    <w:tr2bl w:val="nil"/>
                  </w:tcBorders>
                  <w:vAlign w:val="center"/>
                </w:tcPr>
                <w:p w14:paraId="3C896CA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u w:val="none"/>
                      <w:lang w:val="en-US" w:eastAsia="zh-CN"/>
                      <w14:textFill>
                        <w14:solidFill>
                          <w14:schemeClr w14:val="tx1"/>
                        </w14:solidFill>
                      </w14:textFill>
                    </w:rPr>
                    <w:t>10</w:t>
                  </w:r>
                </w:p>
              </w:tc>
            </w:tr>
            <w:tr w14:paraId="6990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64" w:type="pct"/>
                  <w:vMerge w:val="continue"/>
                  <w:tcBorders>
                    <w:tl2br w:val="nil"/>
                    <w:tr2bl w:val="nil"/>
                  </w:tcBorders>
                  <w:shd w:val="clear" w:color="auto" w:fill="auto"/>
                  <w:vAlign w:val="center"/>
                </w:tcPr>
                <w:p w14:paraId="77D7CFAC">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000000" w:themeColor="text1"/>
                      <w:sz w:val="21"/>
                      <w:szCs w:val="21"/>
                      <w14:textFill>
                        <w14:solidFill>
                          <w14:schemeClr w14:val="tx1"/>
                        </w14:solidFill>
                      </w14:textFill>
                    </w:rPr>
                  </w:pPr>
                </w:p>
              </w:tc>
              <w:tc>
                <w:tcPr>
                  <w:tcW w:w="369" w:type="pct"/>
                  <w:tcBorders>
                    <w:tl2br w:val="nil"/>
                    <w:tr2bl w:val="nil"/>
                  </w:tcBorders>
                  <w:vAlign w:val="center"/>
                </w:tcPr>
                <w:p w14:paraId="38EC5CC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筛分废气</w:t>
                  </w:r>
                </w:p>
              </w:tc>
              <w:tc>
                <w:tcPr>
                  <w:tcW w:w="319" w:type="pct"/>
                  <w:vMerge w:val="continue"/>
                  <w:tcBorders>
                    <w:tl2br w:val="nil"/>
                    <w:tr2bl w:val="nil"/>
                  </w:tcBorders>
                  <w:vAlign w:val="center"/>
                </w:tcPr>
                <w:p w14:paraId="34B0629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000000" w:themeColor="text1"/>
                      <w:sz w:val="21"/>
                      <w:szCs w:val="21"/>
                      <w14:textFill>
                        <w14:solidFill>
                          <w14:schemeClr w14:val="tx1"/>
                        </w14:solidFill>
                      </w14:textFill>
                    </w:rPr>
                  </w:pPr>
                </w:p>
              </w:tc>
              <w:tc>
                <w:tcPr>
                  <w:tcW w:w="334" w:type="pct"/>
                  <w:vMerge w:val="continue"/>
                  <w:tcBorders>
                    <w:tl2br w:val="nil"/>
                    <w:tr2bl w:val="nil"/>
                  </w:tcBorders>
                  <w:vAlign w:val="center"/>
                </w:tcPr>
                <w:p w14:paraId="460D20AC">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000000" w:themeColor="text1"/>
                      <w:sz w:val="21"/>
                      <w:szCs w:val="21"/>
                      <w14:textFill>
                        <w14:solidFill>
                          <w14:schemeClr w14:val="tx1"/>
                        </w14:solidFill>
                      </w14:textFill>
                    </w:rPr>
                  </w:pPr>
                </w:p>
              </w:tc>
              <w:tc>
                <w:tcPr>
                  <w:tcW w:w="307" w:type="pct"/>
                  <w:tcBorders>
                    <w:tl2br w:val="nil"/>
                    <w:tr2bl w:val="nil"/>
                  </w:tcBorders>
                  <w:vAlign w:val="center"/>
                </w:tcPr>
                <w:p w14:paraId="7D1420B4">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50</w:t>
                  </w:r>
                </w:p>
              </w:tc>
              <w:tc>
                <w:tcPr>
                  <w:tcW w:w="259" w:type="pct"/>
                  <w:vMerge w:val="continue"/>
                  <w:tcBorders>
                    <w:tl2br w:val="nil"/>
                    <w:tr2bl w:val="nil"/>
                  </w:tcBorders>
                  <w:vAlign w:val="center"/>
                </w:tcPr>
                <w:p w14:paraId="03EA301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p>
              </w:tc>
              <w:tc>
                <w:tcPr>
                  <w:tcW w:w="408" w:type="pct"/>
                  <w:vMerge w:val="continue"/>
                  <w:tcBorders>
                    <w:tl2br w:val="nil"/>
                    <w:tr2bl w:val="nil"/>
                  </w:tcBorders>
                  <w:vAlign w:val="center"/>
                </w:tcPr>
                <w:p w14:paraId="5A2C6926">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p>
              </w:tc>
              <w:tc>
                <w:tcPr>
                  <w:tcW w:w="233" w:type="pct"/>
                  <w:vMerge w:val="continue"/>
                  <w:tcBorders>
                    <w:tl2br w:val="nil"/>
                    <w:tr2bl w:val="nil"/>
                  </w:tcBorders>
                  <w:vAlign w:val="center"/>
                </w:tcPr>
                <w:p w14:paraId="53FF802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p>
              </w:tc>
              <w:tc>
                <w:tcPr>
                  <w:tcW w:w="244" w:type="pct"/>
                  <w:vMerge w:val="continue"/>
                  <w:tcBorders>
                    <w:tl2br w:val="nil"/>
                    <w:tr2bl w:val="nil"/>
                  </w:tcBorders>
                  <w:vAlign w:val="center"/>
                </w:tcPr>
                <w:p w14:paraId="55907447">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p>
              </w:tc>
              <w:tc>
                <w:tcPr>
                  <w:tcW w:w="351" w:type="pct"/>
                  <w:vMerge w:val="continue"/>
                  <w:tcBorders>
                    <w:tl2br w:val="nil"/>
                    <w:tr2bl w:val="nil"/>
                  </w:tcBorders>
                  <w:vAlign w:val="center"/>
                </w:tcPr>
                <w:p w14:paraId="223146FC">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p>
              </w:tc>
              <w:tc>
                <w:tcPr>
                  <w:tcW w:w="338" w:type="pct"/>
                  <w:vMerge w:val="continue"/>
                  <w:tcBorders>
                    <w:tl2br w:val="nil"/>
                    <w:tr2bl w:val="nil"/>
                  </w:tcBorders>
                  <w:vAlign w:val="center"/>
                </w:tcPr>
                <w:p w14:paraId="1E9BD393">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p>
              </w:tc>
              <w:tc>
                <w:tcPr>
                  <w:tcW w:w="322" w:type="pct"/>
                  <w:vMerge w:val="continue"/>
                  <w:tcBorders>
                    <w:tl2br w:val="nil"/>
                    <w:tr2bl w:val="nil"/>
                  </w:tcBorders>
                  <w:vAlign w:val="center"/>
                </w:tcPr>
                <w:p w14:paraId="25632063">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p>
              </w:tc>
              <w:tc>
                <w:tcPr>
                  <w:tcW w:w="280" w:type="pct"/>
                  <w:vMerge w:val="continue"/>
                  <w:tcBorders>
                    <w:tl2br w:val="nil"/>
                    <w:tr2bl w:val="nil"/>
                  </w:tcBorders>
                  <w:vAlign w:val="center"/>
                </w:tcPr>
                <w:p w14:paraId="62849C0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p>
              </w:tc>
              <w:tc>
                <w:tcPr>
                  <w:tcW w:w="306" w:type="pct"/>
                  <w:vMerge w:val="continue"/>
                  <w:tcBorders>
                    <w:tl2br w:val="nil"/>
                    <w:tr2bl w:val="nil"/>
                  </w:tcBorders>
                  <w:vAlign w:val="center"/>
                </w:tcPr>
                <w:p w14:paraId="14914C0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p>
              </w:tc>
              <w:tc>
                <w:tcPr>
                  <w:tcW w:w="269" w:type="pct"/>
                  <w:vMerge w:val="continue"/>
                  <w:tcBorders>
                    <w:tl2br w:val="nil"/>
                    <w:tr2bl w:val="nil"/>
                  </w:tcBorders>
                  <w:vAlign w:val="center"/>
                </w:tcPr>
                <w:p w14:paraId="5C0671D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p>
              </w:tc>
              <w:tc>
                <w:tcPr>
                  <w:tcW w:w="261" w:type="pct"/>
                  <w:vMerge w:val="continue"/>
                  <w:tcBorders>
                    <w:tl2br w:val="nil"/>
                    <w:tr2bl w:val="nil"/>
                  </w:tcBorders>
                  <w:vAlign w:val="center"/>
                </w:tcPr>
                <w:p w14:paraId="5118C5C7">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p>
              </w:tc>
              <w:tc>
                <w:tcPr>
                  <w:tcW w:w="228" w:type="pct"/>
                  <w:vMerge w:val="continue"/>
                  <w:tcBorders>
                    <w:tl2br w:val="nil"/>
                    <w:tr2bl w:val="nil"/>
                  </w:tcBorders>
                  <w:vAlign w:val="center"/>
                </w:tcPr>
                <w:p w14:paraId="707A7DF7">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p>
              </w:tc>
            </w:tr>
          </w:tbl>
          <w:p w14:paraId="29700D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pPr>
          </w:p>
          <w:p w14:paraId="1DA57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eastAsia" w:ascii="Times New Roman" w:hAnsi="Times New Roman" w:eastAsia="宋体" w:cs="Times New Roman"/>
                <w:b/>
                <w:bCs w:val="0"/>
                <w:color w:val="000000" w:themeColor="text1"/>
                <w:spacing w:val="-10"/>
                <w:sz w:val="24"/>
                <w:szCs w:val="24"/>
                <w:highlight w:val="none"/>
                <w:vertAlign w:val="baseline"/>
                <w:lang w:val="en-US" w:eastAsia="zh-CN"/>
                <w14:textFill>
                  <w14:solidFill>
                    <w14:schemeClr w14:val="tx1"/>
                  </w14:solidFill>
                </w14:textFill>
              </w:rPr>
            </w:pPr>
          </w:p>
        </w:tc>
      </w:tr>
    </w:tbl>
    <w:p w14:paraId="20476838">
      <w:pPr>
        <w:rPr>
          <w:color w:val="000000" w:themeColor="text1"/>
          <w:highlight w:val="none"/>
          <w14:textFill>
            <w14:solidFill>
              <w14:schemeClr w14:val="tx1"/>
            </w14:solidFill>
          </w14:textFill>
        </w:rPr>
        <w:sectPr>
          <w:pgSz w:w="16840" w:h="11907" w:orient="landscape"/>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89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5"/>
        <w:gridCol w:w="8352"/>
      </w:tblGrid>
      <w:tr w14:paraId="36A567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dxa"/>
            <w:tcMar>
              <w:left w:w="28" w:type="dxa"/>
              <w:right w:w="28" w:type="dxa"/>
            </w:tcMar>
            <w:vAlign w:val="center"/>
          </w:tcPr>
          <w:p w14:paraId="4AC3F3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cs="Times New Roman"/>
                <w:b/>
                <w:bCs w:val="0"/>
                <w:color w:val="000000" w:themeColor="text1"/>
                <w:szCs w:val="21"/>
                <w:highlight w:val="none"/>
                <w14:textFill>
                  <w14:solidFill>
                    <w14:schemeClr w14:val="tx1"/>
                  </w14:solidFill>
                </w14:textFill>
              </w:rPr>
              <w:t>运</w:t>
            </w:r>
            <w:r>
              <w:rPr>
                <w:rFonts w:hint="default" w:ascii="Times New Roman" w:hAnsi="Times New Roman" w:eastAsia="宋体" w:cs="Times New Roman"/>
                <w:b/>
                <w:bCs w:val="0"/>
                <w:color w:val="000000" w:themeColor="text1"/>
                <w:szCs w:val="21"/>
                <w:highlight w:val="none"/>
                <w14:textFill>
                  <w14:solidFill>
                    <w14:schemeClr w14:val="tx1"/>
                  </w14:solidFill>
                </w14:textFill>
              </w:rPr>
              <w:t>营</w:t>
            </w:r>
          </w:p>
          <w:p w14:paraId="4546946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期环</w:t>
            </w:r>
          </w:p>
          <w:p w14:paraId="476654A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境影</w:t>
            </w:r>
          </w:p>
          <w:p w14:paraId="467BFD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响和</w:t>
            </w:r>
          </w:p>
          <w:p w14:paraId="7E0C44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保护</w:t>
            </w:r>
          </w:p>
          <w:p w14:paraId="4631D91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措施</w:t>
            </w:r>
          </w:p>
        </w:tc>
        <w:tc>
          <w:tcPr>
            <w:tcW w:w="8352" w:type="dxa"/>
            <w:vAlign w:val="center"/>
          </w:tcPr>
          <w:p w14:paraId="023770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4.5.</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1污染物源强计算及防治措施</w:t>
            </w:r>
          </w:p>
          <w:p w14:paraId="35D7A441">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1</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原料及成品运输产生的废气</w:t>
            </w:r>
          </w:p>
          <w:p w14:paraId="7EAB4D3E">
            <w:pPr>
              <w:pStyle w:val="6"/>
              <w:keepNext w:val="0"/>
              <w:keepLines w:val="0"/>
              <w:suppressLineNumbers w:val="0"/>
              <w:spacing w:before="0" w:beforeAutospacing="0" w:after="0" w:afterAutospacing="0" w:line="480" w:lineRule="exact"/>
              <w:ind w:left="0" w:right="0" w:firstLine="480"/>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lang w:eastAsia="zh-CN"/>
                <w14:textFill>
                  <w14:solidFill>
                    <w14:schemeClr w14:val="tx1"/>
                  </w14:solidFill>
                </w14:textFill>
              </w:rPr>
              <w:t>运输扬尘采用上海港环境保护中心和武汉水运工程学院提出的经验公式进行估算：</w:t>
            </w:r>
          </w:p>
          <w:p w14:paraId="5F29E842">
            <w:pPr>
              <w:pStyle w:val="6"/>
              <w:keepNext w:val="0"/>
              <w:keepLines w:val="0"/>
              <w:suppressLineNumbers w:val="0"/>
              <w:spacing w:before="0" w:beforeAutospacing="0" w:after="0" w:afterAutospacing="0" w:line="480" w:lineRule="exact"/>
              <w:ind w:left="0" w:right="0" w:firstLine="480"/>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14:textFill>
                  <w14:solidFill>
                    <w14:schemeClr w14:val="tx1"/>
                  </w14:solidFill>
                </w14:textFill>
              </w:rPr>
              <w:drawing>
                <wp:anchor distT="0" distB="0" distL="114300" distR="114300" simplePos="0" relativeHeight="251666432" behindDoc="0" locked="0" layoutInCell="1" allowOverlap="1">
                  <wp:simplePos x="0" y="0"/>
                  <wp:positionH relativeFrom="column">
                    <wp:posOffset>781050</wp:posOffset>
                  </wp:positionH>
                  <wp:positionV relativeFrom="paragraph">
                    <wp:posOffset>24130</wp:posOffset>
                  </wp:positionV>
                  <wp:extent cx="2505075" cy="514350"/>
                  <wp:effectExtent l="0" t="0" r="0" b="0"/>
                  <wp:wrapNone/>
                  <wp:docPr id="185" name="Object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Object 863"/>
                          <pic:cNvPicPr>
                            <a:picLocks noChangeAspect="1"/>
                          </pic:cNvPicPr>
                        </pic:nvPicPr>
                        <pic:blipFill>
                          <a:blip r:embed="rId13"/>
                          <a:stretch>
                            <a:fillRect/>
                          </a:stretch>
                        </pic:blipFill>
                        <pic:spPr>
                          <a:xfrm>
                            <a:off x="0" y="0"/>
                            <a:ext cx="2505075" cy="514350"/>
                          </a:xfrm>
                          <a:prstGeom prst="rect">
                            <a:avLst/>
                          </a:prstGeom>
                          <a:noFill/>
                          <a:ln>
                            <a:noFill/>
                          </a:ln>
                        </pic:spPr>
                      </pic:pic>
                    </a:graphicData>
                  </a:graphic>
                </wp:anchor>
              </w:drawing>
            </w:r>
          </w:p>
          <w:p w14:paraId="46A7D8E7">
            <w:pPr>
              <w:pStyle w:val="6"/>
              <w:keepNext w:val="0"/>
              <w:keepLines w:val="0"/>
              <w:suppressLineNumbers w:val="0"/>
              <w:spacing w:before="0" w:beforeAutospacing="0" w:after="0" w:afterAutospacing="0" w:line="480" w:lineRule="exact"/>
              <w:ind w:left="0" w:right="0" w:firstLine="480"/>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14:textFill>
                  <w14:solidFill>
                    <w14:schemeClr w14:val="tx1"/>
                  </w14:solidFill>
                </w14:textFill>
              </w:rPr>
              <w:drawing>
                <wp:anchor distT="0" distB="0" distL="114300" distR="114300" simplePos="0" relativeHeight="251665408" behindDoc="0" locked="0" layoutInCell="1" allowOverlap="1">
                  <wp:simplePos x="0" y="0"/>
                  <wp:positionH relativeFrom="column">
                    <wp:posOffset>1294765</wp:posOffset>
                  </wp:positionH>
                  <wp:positionV relativeFrom="paragraph">
                    <wp:posOffset>221615</wp:posOffset>
                  </wp:positionV>
                  <wp:extent cx="1619885" cy="545465"/>
                  <wp:effectExtent l="0" t="0" r="0" b="0"/>
                  <wp:wrapNone/>
                  <wp:docPr id="184" name="对象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对象 1385"/>
                          <pic:cNvPicPr>
                            <a:picLocks noChangeAspect="1"/>
                          </pic:cNvPicPr>
                        </pic:nvPicPr>
                        <pic:blipFill>
                          <a:blip r:embed="rId14"/>
                          <a:stretch>
                            <a:fillRect/>
                          </a:stretch>
                        </pic:blipFill>
                        <pic:spPr>
                          <a:xfrm>
                            <a:off x="0" y="0"/>
                            <a:ext cx="1619885" cy="545465"/>
                          </a:xfrm>
                          <a:prstGeom prst="rect">
                            <a:avLst/>
                          </a:prstGeom>
                          <a:noFill/>
                          <a:ln>
                            <a:noFill/>
                          </a:ln>
                        </pic:spPr>
                      </pic:pic>
                    </a:graphicData>
                  </a:graphic>
                </wp:anchor>
              </w:drawing>
            </w:r>
          </w:p>
          <w:p w14:paraId="315B6A1A">
            <w:pPr>
              <w:pStyle w:val="6"/>
              <w:keepNext w:val="0"/>
              <w:keepLines w:val="0"/>
              <w:suppressLineNumbers w:val="0"/>
              <w:spacing w:before="0" w:beforeAutospacing="0" w:after="0" w:afterAutospacing="0" w:line="480" w:lineRule="exact"/>
              <w:ind w:left="0" w:right="0" w:firstLine="0" w:firstLineChars="0"/>
              <w:rPr>
                <w:rFonts w:hint="default" w:ascii="Times New Roman" w:hAnsi="Times New Roman"/>
                <w:color w:val="000000" w:themeColor="text1"/>
                <w:sz w:val="24"/>
                <w:lang w:eastAsia="zh-CN"/>
                <w14:textFill>
                  <w14:solidFill>
                    <w14:schemeClr w14:val="tx1"/>
                  </w14:solidFill>
                </w14:textFill>
              </w:rPr>
            </w:pPr>
          </w:p>
          <w:p w14:paraId="5CE097FA">
            <w:pPr>
              <w:pStyle w:val="6"/>
              <w:keepNext w:val="0"/>
              <w:keepLines w:val="0"/>
              <w:suppressLineNumbers w:val="0"/>
              <w:spacing w:before="0" w:beforeAutospacing="0" w:after="0" w:afterAutospacing="0" w:line="480" w:lineRule="exact"/>
              <w:ind w:left="0" w:right="0" w:firstLine="480"/>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lang w:eastAsia="zh-CN"/>
                <w14:textFill>
                  <w14:solidFill>
                    <w14:schemeClr w14:val="tx1"/>
                  </w14:solidFill>
                </w14:textFill>
              </w:rPr>
              <w:t>式中：</w:t>
            </w:r>
          </w:p>
          <w:p w14:paraId="02F4019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960" w:firstLineChars="400"/>
              <w:textAlignment w:val="auto"/>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lang w:eastAsia="zh-CN"/>
                <w14:textFill>
                  <w14:solidFill>
                    <w14:schemeClr w14:val="tx1"/>
                  </w14:solidFill>
                </w14:textFill>
              </w:rPr>
              <w:t>Qy——交通运输起尘量，kg/km·辆；</w:t>
            </w:r>
          </w:p>
          <w:p w14:paraId="3F275B0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960" w:firstLineChars="400"/>
              <w:textAlignment w:val="auto"/>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lang w:eastAsia="zh-CN"/>
                <w14:textFill>
                  <w14:solidFill>
                    <w14:schemeClr w14:val="tx1"/>
                  </w14:solidFill>
                </w14:textFill>
              </w:rPr>
              <w:t>Qt——运输途中起尘量，t/a；</w:t>
            </w:r>
          </w:p>
          <w:p w14:paraId="56F7392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960" w:firstLineChars="400"/>
              <w:textAlignment w:val="auto"/>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lang w:eastAsia="zh-CN"/>
                <w14:textFill>
                  <w14:solidFill>
                    <w14:schemeClr w14:val="tx1"/>
                  </w14:solidFill>
                </w14:textFill>
              </w:rPr>
              <w:t>V——车辆行驶速度，20km/h；</w:t>
            </w:r>
          </w:p>
          <w:p w14:paraId="33A6D5E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960" w:firstLineChars="400"/>
              <w:textAlignment w:val="auto"/>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lang w:eastAsia="zh-CN"/>
                <w14:textFill>
                  <w14:solidFill>
                    <w14:schemeClr w14:val="tx1"/>
                  </w14:solidFill>
                </w14:textFill>
              </w:rPr>
              <w:t>P——路面状况，以每平方米路面灰尘覆盖率表示</w:t>
            </w:r>
            <w:r>
              <w:rPr>
                <w:rFonts w:hint="default" w:ascii="Times New Roman" w:hAnsi="Times New Roman"/>
                <w:color w:val="000000" w:themeColor="text1"/>
                <w:sz w:val="24"/>
                <w:highlight w:val="none"/>
                <w:lang w:eastAsia="zh-CN"/>
                <w14:textFill>
                  <w14:solidFill>
                    <w14:schemeClr w14:val="tx1"/>
                  </w14:solidFill>
                </w14:textFill>
              </w:rPr>
              <w:t>，0.</w:t>
            </w:r>
            <w:r>
              <w:rPr>
                <w:rFonts w:hint="eastAsia"/>
                <w:color w:val="000000" w:themeColor="text1"/>
                <w:sz w:val="24"/>
                <w:highlight w:val="none"/>
                <w:lang w:val="en-US" w:eastAsia="zh-CN"/>
                <w14:textFill>
                  <w14:solidFill>
                    <w14:schemeClr w14:val="tx1"/>
                  </w14:solidFill>
                </w14:textFill>
              </w:rPr>
              <w:t>05</w:t>
            </w:r>
            <w:r>
              <w:rPr>
                <w:rFonts w:hint="default" w:ascii="Times New Roman" w:hAnsi="Times New Roman"/>
                <w:color w:val="000000" w:themeColor="text1"/>
                <w:sz w:val="24"/>
                <w:highlight w:val="none"/>
                <w:lang w:eastAsia="zh-CN"/>
                <w14:textFill>
                  <w14:solidFill>
                    <w14:schemeClr w14:val="tx1"/>
                  </w14:solidFill>
                </w14:textFill>
              </w:rPr>
              <w:t>kg/m</w:t>
            </w:r>
            <w:r>
              <w:rPr>
                <w:rFonts w:hint="default" w:ascii="Times New Roman" w:hAnsi="Times New Roman"/>
                <w:color w:val="000000" w:themeColor="text1"/>
                <w:sz w:val="24"/>
                <w:highlight w:val="none"/>
                <w:vertAlign w:val="superscript"/>
                <w:lang w:eastAsia="zh-CN"/>
                <w14:textFill>
                  <w14:solidFill>
                    <w14:schemeClr w14:val="tx1"/>
                  </w14:solidFill>
                </w14:textFill>
              </w:rPr>
              <w:t>2</w:t>
            </w:r>
            <w:r>
              <w:rPr>
                <w:rFonts w:hint="default" w:ascii="Times New Roman" w:hAnsi="Times New Roman"/>
                <w:color w:val="000000" w:themeColor="text1"/>
                <w:sz w:val="24"/>
                <w:highlight w:val="none"/>
                <w:lang w:eastAsia="zh-CN"/>
                <w14:textFill>
                  <w14:solidFill>
                    <w14:schemeClr w14:val="tx1"/>
                  </w14:solidFill>
                </w14:textFill>
              </w:rPr>
              <w:t>；</w:t>
            </w:r>
          </w:p>
          <w:p w14:paraId="5F88987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960" w:firstLineChars="400"/>
              <w:textAlignment w:val="auto"/>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lang w:eastAsia="zh-CN"/>
                <w14:textFill>
                  <w14:solidFill>
                    <w14:schemeClr w14:val="tx1"/>
                  </w14:solidFill>
                </w14:textFill>
              </w:rPr>
              <w:t>M——汽车载重量，</w:t>
            </w:r>
            <w:r>
              <w:rPr>
                <w:rFonts w:hint="eastAsia"/>
                <w:color w:val="000000" w:themeColor="text1"/>
                <w:sz w:val="24"/>
                <w:lang w:val="en-US" w:eastAsia="zh-CN"/>
                <w14:textFill>
                  <w14:solidFill>
                    <w14:schemeClr w14:val="tx1"/>
                  </w14:solidFill>
                </w14:textFill>
              </w:rPr>
              <w:t>4</w:t>
            </w:r>
            <w:r>
              <w:rPr>
                <w:rFonts w:hint="default" w:ascii="Times New Roman" w:hAnsi="Times New Roman"/>
                <w:color w:val="000000" w:themeColor="text1"/>
                <w:sz w:val="24"/>
                <w:lang w:eastAsia="zh-CN"/>
                <w14:textFill>
                  <w14:solidFill>
                    <w14:schemeClr w14:val="tx1"/>
                  </w14:solidFill>
                </w14:textFill>
              </w:rPr>
              <w:t>0t/辆；</w:t>
            </w:r>
          </w:p>
          <w:p w14:paraId="7B019EE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960" w:firstLineChars="400"/>
              <w:textAlignment w:val="auto"/>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lang w:eastAsia="zh-CN"/>
                <w14:textFill>
                  <w14:solidFill>
                    <w14:schemeClr w14:val="tx1"/>
                  </w14:solidFill>
                </w14:textFill>
              </w:rPr>
              <w:t>L——运输距离，取</w:t>
            </w:r>
            <w:r>
              <w:rPr>
                <w:rFonts w:hint="eastAsia"/>
                <w:color w:val="000000" w:themeColor="text1"/>
                <w:sz w:val="24"/>
                <w:lang w:val="en-US" w:eastAsia="zh-CN"/>
                <w14:textFill>
                  <w14:solidFill>
                    <w14:schemeClr w14:val="tx1"/>
                  </w14:solidFill>
                </w14:textFill>
              </w:rPr>
              <w:t>0.02</w:t>
            </w:r>
            <w:r>
              <w:rPr>
                <w:rFonts w:hint="default" w:ascii="Times New Roman" w:hAnsi="Times New Roman"/>
                <w:color w:val="000000" w:themeColor="text1"/>
                <w:sz w:val="24"/>
                <w:lang w:eastAsia="zh-CN"/>
                <w14:textFill>
                  <w14:solidFill>
                    <w14:schemeClr w14:val="tx1"/>
                  </w14:solidFill>
                </w14:textFill>
              </w:rPr>
              <w:t>km；</w:t>
            </w:r>
          </w:p>
          <w:p w14:paraId="57BFF5A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960" w:firstLineChars="400"/>
              <w:textAlignment w:val="auto"/>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lang w:eastAsia="zh-CN"/>
                <w14:textFill>
                  <w14:solidFill>
                    <w14:schemeClr w14:val="tx1"/>
                  </w14:solidFill>
                </w14:textFill>
              </w:rPr>
              <w:t>Q——运输量，</w:t>
            </w:r>
            <w:r>
              <w:rPr>
                <w:rFonts w:hint="eastAsia"/>
                <w:color w:val="000000" w:themeColor="text1"/>
                <w:sz w:val="24"/>
                <w:highlight w:val="none"/>
                <w:lang w:val="en-US" w:eastAsia="zh-CN"/>
                <w14:textFill>
                  <w14:solidFill>
                    <w14:schemeClr w14:val="tx1"/>
                  </w14:solidFill>
                </w14:textFill>
              </w:rPr>
              <w:t>200</w:t>
            </w:r>
            <w:r>
              <w:rPr>
                <w:rFonts w:hint="default" w:ascii="Times New Roman" w:hAnsi="Times New Roman"/>
                <w:color w:val="000000" w:themeColor="text1"/>
                <w:sz w:val="24"/>
                <w:highlight w:val="none"/>
                <w:lang w:eastAsia="zh-CN"/>
                <w14:textFill>
                  <w14:solidFill>
                    <w14:schemeClr w14:val="tx1"/>
                  </w14:solidFill>
                </w14:textFill>
              </w:rPr>
              <w:t>万t/a。</w:t>
            </w:r>
          </w:p>
          <w:p w14:paraId="2BD773E9">
            <w:pPr>
              <w:pStyle w:val="6"/>
              <w:keepNext w:val="0"/>
              <w:keepLines w:val="0"/>
              <w:suppressLineNumbers w:val="0"/>
              <w:spacing w:before="0" w:beforeAutospacing="0" w:after="0" w:afterAutospacing="0" w:line="480" w:lineRule="exact"/>
              <w:ind w:left="0" w:right="0" w:firstLine="480"/>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lang w:eastAsia="zh-CN"/>
                <w14:textFill>
                  <w14:solidFill>
                    <w14:schemeClr w14:val="tx1"/>
                  </w14:solidFill>
                </w14:textFill>
              </w:rPr>
              <w:t>综合考虑粒径、密度、硬度、风速、风频等因素，在露天堆放、不采取任何措施的情形下，运输</w:t>
            </w:r>
            <w:r>
              <w:rPr>
                <w:rFonts w:hint="eastAsia"/>
                <w:color w:val="000000" w:themeColor="text1"/>
                <w:sz w:val="24"/>
                <w:lang w:val="en-US" w:eastAsia="zh-CN"/>
                <w14:textFill>
                  <w14:solidFill>
                    <w14:schemeClr w14:val="tx1"/>
                  </w14:solidFill>
                </w14:textFill>
              </w:rPr>
              <w:t>扬尘产生量</w:t>
            </w:r>
            <w:r>
              <w:rPr>
                <w:rFonts w:hint="default" w:ascii="Times New Roman" w:hAnsi="Times New Roman"/>
                <w:color w:val="000000" w:themeColor="text1"/>
                <w:sz w:val="24"/>
                <w:lang w:eastAsia="zh-CN"/>
                <w14:textFill>
                  <w14:solidFill>
                    <w14:schemeClr w14:val="tx1"/>
                  </w14:solidFill>
                </w14:textFill>
              </w:rPr>
              <w:t>为</w:t>
            </w:r>
            <w:r>
              <w:rPr>
                <w:rFonts w:hint="eastAsia"/>
                <w:color w:val="000000" w:themeColor="text1"/>
                <w:sz w:val="24"/>
                <w:lang w:val="en-US" w:eastAsia="zh-CN"/>
                <w14:textFill>
                  <w14:solidFill>
                    <w14:schemeClr w14:val="tx1"/>
                  </w14:solidFill>
                </w14:textFill>
              </w:rPr>
              <w:t>0.43</w:t>
            </w:r>
            <w:r>
              <w:rPr>
                <w:rFonts w:hint="default" w:ascii="Times New Roman" w:hAnsi="Times New Roman"/>
                <w:color w:val="000000" w:themeColor="text1"/>
                <w:sz w:val="24"/>
                <w:lang w:val="en-US" w:eastAsia="zh-CN"/>
                <w14:textFill>
                  <w14:solidFill>
                    <w14:schemeClr w14:val="tx1"/>
                  </w14:solidFill>
                </w14:textFill>
              </w:rPr>
              <w:t>t</w:t>
            </w:r>
            <w:r>
              <w:rPr>
                <w:rFonts w:hint="default" w:ascii="Times New Roman" w:hAnsi="Times New Roman"/>
                <w:color w:val="000000" w:themeColor="text1"/>
                <w:sz w:val="24"/>
                <w:lang w:eastAsia="zh-CN"/>
                <w14:textFill>
                  <w14:solidFill>
                    <w14:schemeClr w14:val="tx1"/>
                  </w14:solidFill>
                </w14:textFill>
              </w:rPr>
              <w:t>/a。</w:t>
            </w:r>
          </w:p>
          <w:p w14:paraId="267156F9">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eastAsia="宋体" w:cs="Times New Roman"/>
                <w:color w:val="000000" w:themeColor="text1"/>
                <w:sz w:val="24"/>
                <w:highlight w:val="none"/>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环评提出以下防治措施：</w:t>
            </w:r>
          </w:p>
          <w:p w14:paraId="726A6A39">
            <w:pPr>
              <w:pStyle w:val="6"/>
              <w:keepNext w:val="0"/>
              <w:keepLines w:val="0"/>
              <w:suppressLineNumbers w:val="0"/>
              <w:spacing w:before="0" w:beforeAutospacing="0" w:after="0" w:afterAutospacing="0" w:line="480" w:lineRule="exact"/>
              <w:ind w:left="0" w:right="0" w:firstLine="480"/>
              <w:rPr>
                <w:rFonts w:hint="default" w:ascii="Times New Roman" w:hAnsi="Times New Roman"/>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①</w:t>
            </w:r>
            <w:r>
              <w:rPr>
                <w:rFonts w:hint="eastAsia"/>
                <w:color w:val="000000" w:themeColor="text1"/>
                <w:sz w:val="24"/>
                <w:lang w:val="en-US" w:eastAsia="zh-CN"/>
                <w14:textFill>
                  <w14:solidFill>
                    <w14:schemeClr w14:val="tx1"/>
                  </w14:solidFill>
                </w14:textFill>
              </w:rPr>
              <w:t>依托厂区现有全自动</w:t>
            </w:r>
            <w:r>
              <w:rPr>
                <w:rFonts w:hint="default" w:ascii="Times New Roman" w:hAnsi="Times New Roman"/>
                <w:color w:val="000000" w:themeColor="text1"/>
                <w:sz w:val="24"/>
                <w:lang w:eastAsia="zh-CN"/>
                <w14:textFill>
                  <w14:solidFill>
                    <w14:schemeClr w14:val="tx1"/>
                  </w14:solidFill>
                </w14:textFill>
              </w:rPr>
              <w:t>车辆清洗平台，对进出厂车辆轮胎及车身进行清洗；</w:t>
            </w:r>
          </w:p>
          <w:p w14:paraId="25DF0E2C">
            <w:pPr>
              <w:pStyle w:val="6"/>
              <w:keepNext w:val="0"/>
              <w:keepLines w:val="0"/>
              <w:suppressLineNumbers w:val="0"/>
              <w:spacing w:before="0" w:beforeAutospacing="0" w:after="0" w:afterAutospacing="0" w:line="480" w:lineRule="exact"/>
              <w:ind w:left="0" w:right="0" w:firstLine="480"/>
              <w:rPr>
                <w:rFonts w:hint="default" w:ascii="Times New Roman" w:hAnsi="Times New Roman"/>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②</w:t>
            </w:r>
            <w:r>
              <w:rPr>
                <w:rFonts w:hint="default" w:ascii="Times New Roman" w:hAnsi="Times New Roman"/>
                <w:color w:val="000000" w:themeColor="text1"/>
                <w:sz w:val="24"/>
                <w:lang w:eastAsia="zh-CN"/>
                <w14:textFill>
                  <w14:solidFill>
                    <w14:schemeClr w14:val="tx1"/>
                  </w14:solidFill>
                </w14:textFill>
              </w:rPr>
              <w:t>对厂区内及周边道路定时洒水，厂区</w:t>
            </w:r>
            <w:r>
              <w:rPr>
                <w:rFonts w:hint="eastAsia"/>
                <w:color w:val="000000" w:themeColor="text1"/>
                <w:sz w:val="24"/>
                <w:lang w:val="en-US" w:eastAsia="zh-CN"/>
                <w14:textFill>
                  <w14:solidFill>
                    <w14:schemeClr w14:val="tx1"/>
                  </w14:solidFill>
                </w14:textFill>
              </w:rPr>
              <w:t>内生产车间</w:t>
            </w:r>
            <w:r>
              <w:rPr>
                <w:rFonts w:hint="default" w:ascii="Times New Roman" w:hAnsi="Times New Roman"/>
                <w:color w:val="000000" w:themeColor="text1"/>
                <w:sz w:val="24"/>
                <w:lang w:eastAsia="zh-CN"/>
                <w14:textFill>
                  <w14:solidFill>
                    <w14:schemeClr w14:val="tx1"/>
                  </w14:solidFill>
                </w14:textFill>
              </w:rPr>
              <w:t>及</w:t>
            </w:r>
            <w:r>
              <w:rPr>
                <w:rFonts w:hint="eastAsia"/>
                <w:color w:val="000000" w:themeColor="text1"/>
                <w:sz w:val="24"/>
                <w:lang w:val="en-US" w:eastAsia="zh-CN"/>
                <w14:textFill>
                  <w14:solidFill>
                    <w14:schemeClr w14:val="tx1"/>
                  </w14:solidFill>
                </w14:textFill>
              </w:rPr>
              <w:t>堆放区</w:t>
            </w:r>
            <w:r>
              <w:rPr>
                <w:rFonts w:hint="default" w:ascii="Times New Roman" w:hAnsi="Times New Roman"/>
                <w:color w:val="000000" w:themeColor="text1"/>
                <w:sz w:val="24"/>
                <w:lang w:eastAsia="zh-CN"/>
                <w14:textFill>
                  <w14:solidFill>
                    <w14:schemeClr w14:val="tx1"/>
                  </w14:solidFill>
                </w14:textFill>
              </w:rPr>
              <w:t>地面积尘定期清理，减少二次扬尘；</w:t>
            </w:r>
          </w:p>
          <w:p w14:paraId="3A0AEB37">
            <w:pPr>
              <w:pStyle w:val="6"/>
              <w:keepNext w:val="0"/>
              <w:keepLines w:val="0"/>
              <w:suppressLineNumbers w:val="0"/>
              <w:spacing w:before="0" w:beforeAutospacing="0" w:after="0" w:afterAutospacing="0" w:line="480" w:lineRule="exact"/>
              <w:ind w:left="0" w:right="0" w:firstLine="480"/>
              <w:rPr>
                <w:rFonts w:hint="default" w:ascii="Times New Roman" w:hAnsi="Times New Roman"/>
                <w:color w:val="000000" w:themeColor="text1"/>
                <w:sz w:val="24"/>
                <w:lang w:val="en-US"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③</w:t>
            </w:r>
            <w:r>
              <w:rPr>
                <w:rFonts w:hint="default" w:ascii="Times New Roman" w:hAnsi="Times New Roman"/>
                <w:color w:val="000000" w:themeColor="text1"/>
                <w:sz w:val="24"/>
                <w14:textFill>
                  <w14:solidFill>
                    <w14:schemeClr w14:val="tx1"/>
                  </w14:solidFill>
                </w14:textFill>
              </w:rPr>
              <w:t>限制汽车超载，采用</w:t>
            </w:r>
            <w:r>
              <w:rPr>
                <w:rFonts w:hint="eastAsia"/>
                <w:color w:val="000000" w:themeColor="text1"/>
                <w:sz w:val="24"/>
                <w:lang w:eastAsia="zh-CN"/>
                <w14:textFill>
                  <w14:solidFill>
                    <w14:schemeClr w14:val="tx1"/>
                  </w14:solidFill>
                </w14:textFill>
              </w:rPr>
              <w:t>厢式车</w:t>
            </w:r>
            <w:r>
              <w:rPr>
                <w:rFonts w:hint="default" w:ascii="Times New Roman" w:hAnsi="Times New Roman"/>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篷布苫盖，</w:t>
            </w:r>
            <w:r>
              <w:rPr>
                <w:rFonts w:hint="default" w:ascii="Times New Roman" w:hAnsi="Times New Roman"/>
                <w:color w:val="000000" w:themeColor="text1"/>
                <w:sz w:val="24"/>
                <w:lang w:eastAsia="zh-CN"/>
                <w14:textFill>
                  <w14:solidFill>
                    <w14:schemeClr w14:val="tx1"/>
                  </w14:solidFill>
                </w14:textFill>
              </w:rPr>
              <w:t>物料及产品运输车辆采用新能源车辆，</w:t>
            </w:r>
            <w:r>
              <w:rPr>
                <w:rFonts w:hint="eastAsia" w:ascii="Times New Roman" w:hAnsi="Times New Roman"/>
                <w:color w:val="000000" w:themeColor="text1"/>
                <w:sz w:val="24"/>
                <w:lang w:val="en-US" w:eastAsia="zh-CN"/>
                <w14:textFill>
                  <w14:solidFill>
                    <w14:schemeClr w14:val="tx1"/>
                  </w14:solidFill>
                </w14:textFill>
              </w:rPr>
              <w:t>按照“长治市生态环境局关于贯彻落实《长治市大气和水污染物排放管控要求》的通知”（长环函〔2023〕106号），</w:t>
            </w:r>
            <w:r>
              <w:rPr>
                <w:rFonts w:hint="default" w:ascii="Times New Roman" w:hAnsi="Times New Roman"/>
                <w:color w:val="000000" w:themeColor="text1"/>
                <w:sz w:val="24"/>
                <w:lang w:eastAsia="zh-CN"/>
                <w14:textFill>
                  <w14:solidFill>
                    <w14:schemeClr w14:val="tx1"/>
                  </w14:solidFill>
                </w14:textFill>
              </w:rPr>
              <w:t>厂区内非道路移动机械采用国</w:t>
            </w:r>
            <w:r>
              <w:rPr>
                <w:rFonts w:hint="eastAsia" w:ascii="Times New Roman" w:hAnsi="Times New Roman"/>
                <w:color w:val="000000" w:themeColor="text1"/>
                <w:sz w:val="24"/>
                <w:lang w:val="en-US" w:eastAsia="zh-CN"/>
                <w14:textFill>
                  <w14:solidFill>
                    <w14:schemeClr w14:val="tx1"/>
                  </w14:solidFill>
                </w14:textFill>
              </w:rPr>
              <w:t>四</w:t>
            </w:r>
            <w:r>
              <w:rPr>
                <w:rFonts w:hint="default" w:ascii="Times New Roman" w:hAnsi="Times New Roman"/>
                <w:color w:val="000000" w:themeColor="text1"/>
                <w:sz w:val="24"/>
                <w:lang w:eastAsia="zh-CN"/>
                <w14:textFill>
                  <w14:solidFill>
                    <w14:schemeClr w14:val="tx1"/>
                  </w14:solidFill>
                </w14:textFill>
              </w:rPr>
              <w:t>及以上标准或新能源机械。</w:t>
            </w:r>
            <w:r>
              <w:rPr>
                <w:rFonts w:hint="default" w:ascii="Times New Roman" w:hAnsi="Times New Roman"/>
                <w:color w:val="000000" w:themeColor="text1"/>
                <w:sz w:val="24"/>
                <w:lang w:val="en-US" w:eastAsia="zh-CN"/>
                <w14:textFill>
                  <w14:solidFill>
                    <w14:schemeClr w14:val="tx1"/>
                  </w14:solidFill>
                </w14:textFill>
              </w:rPr>
              <w:t>运输车辆使用国六标准以上的运输车辆或新能源清洁燃料车辆。</w:t>
            </w:r>
          </w:p>
          <w:p w14:paraId="1361F392">
            <w:pPr>
              <w:pStyle w:val="6"/>
              <w:keepNext w:val="0"/>
              <w:keepLines w:val="0"/>
              <w:suppressLineNumbers w:val="0"/>
              <w:spacing w:before="0" w:beforeAutospacing="0" w:after="0" w:afterAutospacing="0" w:line="480" w:lineRule="exact"/>
              <w:ind w:left="0" w:right="0" w:firstLine="480"/>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lang w:val="en-US" w:eastAsia="zh-CN"/>
                <w14:textFill>
                  <w14:solidFill>
                    <w14:schemeClr w14:val="tx1"/>
                  </w14:solidFill>
                </w14:textFill>
              </w:rPr>
              <w:t>采取以上措施，</w:t>
            </w:r>
            <w:r>
              <w:rPr>
                <w:rFonts w:hint="default" w:ascii="Times New Roman" w:hAnsi="Times New Roman"/>
                <w:color w:val="000000" w:themeColor="text1"/>
                <w:sz w:val="24"/>
                <w:lang w:eastAsia="zh-CN"/>
                <w14:textFill>
                  <w14:solidFill>
                    <w14:schemeClr w14:val="tx1"/>
                  </w14:solidFill>
                </w14:textFill>
              </w:rPr>
              <w:t>抑尘效率</w:t>
            </w:r>
            <w:r>
              <w:rPr>
                <w:rFonts w:hint="default" w:ascii="Times New Roman" w:hAnsi="Times New Roman"/>
                <w:color w:val="000000" w:themeColor="text1"/>
                <w:sz w:val="24"/>
                <w:lang w:val="en-US" w:eastAsia="zh-CN"/>
                <w14:textFill>
                  <w14:solidFill>
                    <w14:schemeClr w14:val="tx1"/>
                  </w14:solidFill>
                </w14:textFill>
              </w:rPr>
              <w:t>可达</w:t>
            </w:r>
            <w:r>
              <w:rPr>
                <w:rFonts w:hint="default" w:ascii="Times New Roman" w:hAnsi="Times New Roman"/>
                <w:color w:val="000000" w:themeColor="text1"/>
                <w:sz w:val="24"/>
                <w:lang w:eastAsia="zh-CN"/>
                <w14:textFill>
                  <w14:solidFill>
                    <w14:schemeClr w14:val="tx1"/>
                  </w14:solidFill>
                </w14:textFill>
              </w:rPr>
              <w:t>90%以上，则无组织扬尘排放量约为</w:t>
            </w:r>
            <w:r>
              <w:rPr>
                <w:rFonts w:hint="eastAsia" w:ascii="Times New Roman" w:hAnsi="Times New Roman"/>
                <w:color w:val="000000" w:themeColor="text1"/>
                <w:sz w:val="24"/>
                <w:lang w:val="en-US" w:eastAsia="zh-CN"/>
                <w14:textFill>
                  <w14:solidFill>
                    <w14:schemeClr w14:val="tx1"/>
                  </w14:solidFill>
                </w14:textFill>
              </w:rPr>
              <w:t>0.</w:t>
            </w:r>
            <w:r>
              <w:rPr>
                <w:rFonts w:hint="eastAsia"/>
                <w:color w:val="000000" w:themeColor="text1"/>
                <w:sz w:val="24"/>
                <w:lang w:val="en-US" w:eastAsia="zh-CN"/>
                <w14:textFill>
                  <w14:solidFill>
                    <w14:schemeClr w14:val="tx1"/>
                  </w14:solidFill>
                </w14:textFill>
              </w:rPr>
              <w:t>043</w:t>
            </w:r>
            <w:r>
              <w:rPr>
                <w:rFonts w:hint="default" w:ascii="Times New Roman" w:hAnsi="Times New Roman"/>
                <w:color w:val="000000" w:themeColor="text1"/>
                <w:sz w:val="24"/>
                <w:lang w:eastAsia="zh-CN"/>
                <w14:textFill>
                  <w14:solidFill>
                    <w14:schemeClr w14:val="tx1"/>
                  </w14:solidFill>
                </w14:textFill>
              </w:rPr>
              <w:t>t/a。</w:t>
            </w:r>
          </w:p>
          <w:p w14:paraId="69004A53">
            <w:pPr>
              <w:pStyle w:val="6"/>
              <w:keepNext w:val="0"/>
              <w:keepLines w:val="0"/>
              <w:suppressLineNumbers w:val="0"/>
              <w:spacing w:before="0" w:beforeAutospacing="0" w:after="0" w:afterAutospacing="0" w:line="480" w:lineRule="exact"/>
              <w:ind w:left="0" w:right="0" w:firstLine="482"/>
              <w:rPr>
                <w:rFonts w:hint="default" w:ascii="Times New Roman" w:hAnsi="Times New Roman"/>
                <w:b/>
                <w:bCs/>
                <w:color w:val="000000" w:themeColor="text1"/>
                <w:sz w:val="24"/>
                <w:lang w:eastAsia="zh-CN"/>
                <w14:textFill>
                  <w14:solidFill>
                    <w14:schemeClr w14:val="tx1"/>
                  </w14:solidFill>
                </w14:textFill>
              </w:rPr>
            </w:pPr>
            <w:r>
              <w:rPr>
                <w:rFonts w:hint="eastAsia" w:ascii="Times New Roman" w:hAnsi="Times New Roman"/>
                <w:b/>
                <w:bCs/>
                <w:color w:val="000000" w:themeColor="text1"/>
                <w:sz w:val="24"/>
                <w:lang w:eastAsia="zh-CN"/>
                <w14:textFill>
                  <w14:solidFill>
                    <w14:schemeClr w14:val="tx1"/>
                  </w14:solidFill>
                </w14:textFill>
              </w:rPr>
              <w:t>运输沿线影响分析：</w:t>
            </w:r>
          </w:p>
          <w:p w14:paraId="7FDEC64F">
            <w:pPr>
              <w:pStyle w:val="6"/>
              <w:keepNext w:val="0"/>
              <w:keepLines w:val="0"/>
              <w:suppressLineNumbers w:val="0"/>
              <w:spacing w:before="0" w:beforeAutospacing="0" w:after="0" w:afterAutospacing="0" w:line="480" w:lineRule="exact"/>
              <w:ind w:left="0" w:right="0" w:firstLine="480"/>
              <w:rPr>
                <w:rFonts w:hint="eastAsia" w:ascii="Times New Roman" w:hAnsi="Times New Roman"/>
                <w:color w:val="000000" w:themeColor="text1"/>
                <w:sz w:val="24"/>
                <w:lang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原料煤矸石由厂区内南侧富健达洗煤厂和厂区西侧余吾煤矿提供，原料均由封闭式厢式运输车运输至原料堆放区。产品机制砂外售屯留区周边商砼搅拌站，通过厂区北侧、西侧等乡村道路运输，运输最远距离3km，项目出入厂区道路现状均为硬化处理，</w:t>
            </w:r>
            <w:r>
              <w:rPr>
                <w:rFonts w:hint="eastAsia" w:ascii="Times New Roman" w:hAnsi="Times New Roman"/>
                <w:color w:val="000000" w:themeColor="text1"/>
                <w:sz w:val="24"/>
                <w:lang w:eastAsia="zh-CN"/>
                <w14:textFill>
                  <w14:solidFill>
                    <w14:schemeClr w14:val="tx1"/>
                  </w14:solidFill>
                </w14:textFill>
              </w:rPr>
              <w:t>运输路线距离最近的村庄为</w:t>
            </w:r>
            <w:r>
              <w:rPr>
                <w:rFonts w:hint="eastAsia" w:ascii="Times New Roman" w:hAnsi="Times New Roman"/>
                <w:color w:val="000000" w:themeColor="text1"/>
                <w:sz w:val="24"/>
                <w:lang w:val="en-US" w:eastAsia="zh-CN"/>
                <w14:textFill>
                  <w14:solidFill>
                    <w14:schemeClr w14:val="tx1"/>
                  </w14:solidFill>
                </w14:textFill>
              </w:rPr>
              <w:t>前苏村</w:t>
            </w:r>
            <w:r>
              <w:rPr>
                <w:rFonts w:hint="eastAsia" w:ascii="Times New Roman" w:hAnsi="Times New Roman"/>
                <w:color w:val="000000" w:themeColor="text1"/>
                <w:sz w:val="24"/>
                <w:lang w:eastAsia="zh-CN"/>
                <w14:textFill>
                  <w14:solidFill>
                    <w14:schemeClr w14:val="tx1"/>
                  </w14:solidFill>
                </w14:textFill>
              </w:rPr>
              <w:t>，提出减轻运输扬尘的防治措施如下：</w:t>
            </w:r>
          </w:p>
          <w:p w14:paraId="11470455">
            <w:pPr>
              <w:pStyle w:val="6"/>
              <w:keepNext w:val="0"/>
              <w:keepLines w:val="0"/>
              <w:suppressLineNumbers w:val="0"/>
              <w:spacing w:before="0" w:beforeAutospacing="0" w:after="0" w:afterAutospacing="0" w:line="480" w:lineRule="exact"/>
              <w:ind w:left="0" w:right="0" w:firstLine="480"/>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lang w:eastAsia="zh-CN"/>
                <w14:textFill>
                  <w14:solidFill>
                    <w14:schemeClr w14:val="tx1"/>
                  </w14:solidFill>
                </w14:textFill>
              </w:rPr>
              <w:t>①本次拟建项目可以控制的运输道路为厂区的道路，评价要求要注意保持该路面的清洁和相对湿度，当路面出现损坏及时修复，同时对该道路要进行定时洒水，并应视路面状况调整洒水频次，厂区配置路面清扫车及洒水车各一台，对厂区及出厂道路进行清扫。</w:t>
            </w:r>
          </w:p>
          <w:p w14:paraId="40F03513">
            <w:pPr>
              <w:pStyle w:val="6"/>
              <w:keepNext w:val="0"/>
              <w:keepLines w:val="0"/>
              <w:suppressLineNumbers w:val="0"/>
              <w:spacing w:before="0" w:beforeAutospacing="0" w:after="0" w:afterAutospacing="0" w:line="480" w:lineRule="exact"/>
              <w:ind w:left="0" w:right="0" w:firstLine="480"/>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lang w:eastAsia="zh-CN"/>
                <w14:textFill>
                  <w14:solidFill>
                    <w14:schemeClr w14:val="tx1"/>
                  </w14:solidFill>
                </w14:textFill>
              </w:rPr>
              <w:t>②对于厂区外的运输道路，从</w:t>
            </w:r>
            <w:r>
              <w:rPr>
                <w:rFonts w:hint="eastAsia"/>
                <w:color w:val="000000" w:themeColor="text1"/>
                <w:sz w:val="24"/>
                <w:lang w:val="en-US" w:eastAsia="zh-CN"/>
                <w14:textFill>
                  <w14:solidFill>
                    <w14:schemeClr w14:val="tx1"/>
                  </w14:solidFill>
                </w14:textFill>
              </w:rPr>
              <w:t>富健达洗煤厂</w:t>
            </w:r>
            <w:r>
              <w:rPr>
                <w:rFonts w:hint="default" w:ascii="Times New Roman" w:hAnsi="Times New Roman"/>
                <w:color w:val="000000" w:themeColor="text1"/>
                <w:sz w:val="24"/>
                <w:lang w:eastAsia="zh-CN"/>
                <w14:textFill>
                  <w14:solidFill>
                    <w14:schemeClr w14:val="tx1"/>
                  </w14:solidFill>
                </w14:textFill>
              </w:rPr>
              <w:t>原煤运输路线看，</w:t>
            </w:r>
            <w:r>
              <w:rPr>
                <w:rFonts w:hint="eastAsia"/>
                <w:color w:val="000000" w:themeColor="text1"/>
                <w:sz w:val="24"/>
                <w:lang w:val="en-US" w:eastAsia="zh-CN"/>
                <w14:textFill>
                  <w14:solidFill>
                    <w14:schemeClr w14:val="tx1"/>
                  </w14:solidFill>
                </w14:textFill>
              </w:rPr>
              <w:t>原料及产品</w:t>
            </w:r>
            <w:r>
              <w:rPr>
                <w:rFonts w:hint="default" w:ascii="Times New Roman" w:hAnsi="Times New Roman"/>
                <w:color w:val="000000" w:themeColor="text1"/>
                <w:sz w:val="24"/>
                <w:lang w:eastAsia="zh-CN"/>
                <w14:textFill>
                  <w14:solidFill>
                    <w14:schemeClr w14:val="tx1"/>
                  </w14:solidFill>
                </w14:textFill>
              </w:rPr>
              <w:t>进出厂均要经过部分村庄，因此，</w:t>
            </w:r>
            <w:r>
              <w:rPr>
                <w:rFonts w:hint="eastAsia"/>
                <w:color w:val="000000" w:themeColor="text1"/>
                <w:sz w:val="24"/>
                <w:lang w:val="en-US" w:eastAsia="zh-CN"/>
                <w14:textFill>
                  <w14:solidFill>
                    <w14:schemeClr w14:val="tx1"/>
                  </w14:solidFill>
                </w14:textFill>
              </w:rPr>
              <w:t>该厂</w:t>
            </w:r>
            <w:r>
              <w:rPr>
                <w:rFonts w:hint="default" w:ascii="Times New Roman" w:hAnsi="Times New Roman"/>
                <w:color w:val="000000" w:themeColor="text1"/>
                <w:sz w:val="24"/>
                <w:lang w:eastAsia="zh-CN"/>
                <w14:textFill>
                  <w14:solidFill>
                    <w14:schemeClr w14:val="tx1"/>
                  </w14:solidFill>
                </w14:textFill>
              </w:rPr>
              <w:t>应严格控制运输扬尘的污染，厂方应要求运输单位采取以下措施：</w:t>
            </w:r>
          </w:p>
          <w:p w14:paraId="7173E175">
            <w:pPr>
              <w:pStyle w:val="6"/>
              <w:keepNext w:val="0"/>
              <w:keepLines w:val="0"/>
              <w:suppressLineNumbers w:val="0"/>
              <w:spacing w:before="0" w:beforeAutospacing="0" w:after="0" w:afterAutospacing="0" w:line="480" w:lineRule="exact"/>
              <w:ind w:left="0" w:right="0" w:firstLine="480"/>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lang w:eastAsia="zh-CN"/>
                <w14:textFill>
                  <w14:solidFill>
                    <w14:schemeClr w14:val="tx1"/>
                  </w14:solidFill>
                </w14:textFill>
              </w:rPr>
              <w:t>a、严格控制汽车装载量；</w:t>
            </w:r>
          </w:p>
          <w:p w14:paraId="28A57B2A">
            <w:pPr>
              <w:pStyle w:val="6"/>
              <w:keepNext w:val="0"/>
              <w:keepLines w:val="0"/>
              <w:suppressLineNumbers w:val="0"/>
              <w:spacing w:before="0" w:beforeAutospacing="0" w:after="0" w:afterAutospacing="0" w:line="480" w:lineRule="exact"/>
              <w:ind w:left="0" w:right="0" w:firstLine="480"/>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lang w:eastAsia="zh-CN"/>
                <w14:textFill>
                  <w14:solidFill>
                    <w14:schemeClr w14:val="tx1"/>
                  </w14:solidFill>
                </w14:textFill>
              </w:rPr>
              <w:t>b、煤炭运输车辆采用厢式货车；</w:t>
            </w:r>
          </w:p>
          <w:p w14:paraId="1503AE00">
            <w:pPr>
              <w:pStyle w:val="6"/>
              <w:keepNext w:val="0"/>
              <w:keepLines w:val="0"/>
              <w:suppressLineNumbers w:val="0"/>
              <w:spacing w:before="0" w:beforeAutospacing="0" w:after="0" w:afterAutospacing="0" w:line="480" w:lineRule="exact"/>
              <w:ind w:left="0" w:right="0" w:firstLine="480"/>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lang w:eastAsia="zh-CN"/>
                <w14:textFill>
                  <w14:solidFill>
                    <w14:schemeClr w14:val="tx1"/>
                  </w14:solidFill>
                </w14:textFill>
              </w:rPr>
              <w:t>c、限制车速，特别是经过村庄时，要低速行驶，最大限度减少车辆煤尘抛洒。</w:t>
            </w:r>
          </w:p>
          <w:p w14:paraId="0E4545E0">
            <w:pPr>
              <w:pStyle w:val="6"/>
              <w:keepNext w:val="0"/>
              <w:keepLines w:val="0"/>
              <w:suppressLineNumbers w:val="0"/>
              <w:spacing w:before="0" w:beforeAutospacing="0" w:after="0" w:afterAutospacing="0" w:line="480" w:lineRule="exact"/>
              <w:ind w:left="0" w:right="0" w:firstLine="482"/>
              <w:rPr>
                <w:rFonts w:hint="default" w:ascii="Times New Roman" w:hAnsi="Times New Roman"/>
                <w:b/>
                <w:bCs/>
                <w:color w:val="000000" w:themeColor="text1"/>
                <w:sz w:val="24"/>
                <w:lang w:eastAsia="zh-CN"/>
                <w14:textFill>
                  <w14:solidFill>
                    <w14:schemeClr w14:val="tx1"/>
                  </w14:solidFill>
                </w14:textFill>
              </w:rPr>
            </w:pPr>
            <w:r>
              <w:rPr>
                <w:rFonts w:hint="eastAsia" w:ascii="Times New Roman" w:hAnsi="Times New Roman"/>
                <w:b/>
                <w:bCs/>
                <w:color w:val="000000" w:themeColor="text1"/>
                <w:sz w:val="24"/>
                <w:lang w:eastAsia="zh-CN"/>
                <w14:textFill>
                  <w14:solidFill>
                    <w14:schemeClr w14:val="tx1"/>
                  </w14:solidFill>
                </w14:textFill>
              </w:rPr>
              <w:t>非道路移动机械废气：</w:t>
            </w:r>
          </w:p>
          <w:p w14:paraId="548DC4F4">
            <w:pPr>
              <w:pStyle w:val="6"/>
              <w:keepNext w:val="0"/>
              <w:keepLines w:val="0"/>
              <w:suppressLineNumbers w:val="0"/>
              <w:spacing w:before="0" w:beforeAutospacing="0" w:after="0" w:afterAutospacing="0" w:line="480" w:lineRule="exact"/>
              <w:ind w:left="0" w:right="0" w:firstLine="480"/>
              <w:rPr>
                <w:rFonts w:hint="default" w:ascii="Times New Roman" w:hAnsi="Times New Roman"/>
                <w:color w:val="000000" w:themeColor="text1"/>
                <w:sz w:val="24"/>
                <w:lang w:eastAsia="zh-CN"/>
                <w14:textFill>
                  <w14:solidFill>
                    <w14:schemeClr w14:val="tx1"/>
                  </w14:solidFill>
                </w14:textFill>
              </w:rPr>
            </w:pPr>
            <w:r>
              <w:rPr>
                <w:rFonts w:hint="eastAsia" w:ascii="Times New Roman" w:hAnsi="Times New Roman"/>
                <w:color w:val="000000" w:themeColor="text1"/>
                <w:sz w:val="24"/>
                <w:lang w:eastAsia="zh-CN"/>
                <w14:textFill>
                  <w14:solidFill>
                    <w14:schemeClr w14:val="tx1"/>
                  </w14:solidFill>
                </w14:textFill>
              </w:rPr>
              <w:t>根据企业生产设备，项目主要非道路移动机械主要为装载机。机械在使用过程中将产生一定的一氧化碳、碳氢化合物、氮氧化物和粉尘。</w:t>
            </w:r>
          </w:p>
          <w:p w14:paraId="6E6BF293">
            <w:pPr>
              <w:pStyle w:val="102"/>
              <w:keepNext w:val="0"/>
              <w:keepLines w:val="0"/>
              <w:suppressLineNumbers w:val="0"/>
              <w:adjustRightInd w:val="0"/>
              <w:snapToGrid w:val="0"/>
              <w:spacing w:before="0" w:beforeAutospacing="0" w:after="0" w:afterAutospacing="0" w:line="480" w:lineRule="exact"/>
              <w:ind w:left="0" w:right="0" w:firstLine="0" w:firstLineChars="0"/>
              <w:jc w:val="center"/>
              <w:rPr>
                <w:rFonts w:hint="default"/>
                <w:b/>
                <w:bCs w:val="0"/>
                <w:color w:val="000000" w:themeColor="text1"/>
                <w:sz w:val="24"/>
                <w:szCs w:val="24"/>
                <w14:textFill>
                  <w14:solidFill>
                    <w14:schemeClr w14:val="tx1"/>
                  </w14:solidFill>
                </w14:textFill>
              </w:rPr>
            </w:pPr>
            <w:r>
              <w:rPr>
                <w:rFonts w:hint="default"/>
                <w:b/>
                <w:bCs w:val="0"/>
                <w:color w:val="000000" w:themeColor="text1"/>
                <w:sz w:val="21"/>
                <w:szCs w:val="21"/>
                <w14:textFill>
                  <w14:solidFill>
                    <w14:schemeClr w14:val="tx1"/>
                  </w14:solidFill>
                </w14:textFill>
              </w:rPr>
              <w:t>表</w:t>
            </w:r>
            <w:r>
              <w:rPr>
                <w:rFonts w:hint="default"/>
                <w:b/>
                <w:bCs w:val="0"/>
                <w:color w:val="000000" w:themeColor="text1"/>
                <w:sz w:val="21"/>
                <w:szCs w:val="21"/>
                <w:lang w:val="en-US" w:eastAsia="zh-CN"/>
                <w14:textFill>
                  <w14:solidFill>
                    <w14:schemeClr w14:val="tx1"/>
                  </w14:solidFill>
                </w14:textFill>
              </w:rPr>
              <w:t>4</w:t>
            </w:r>
            <w:r>
              <w:rPr>
                <w:rFonts w:hint="eastAsia"/>
                <w:b/>
                <w:bCs w:val="0"/>
                <w:color w:val="000000" w:themeColor="text1"/>
                <w:sz w:val="21"/>
                <w:szCs w:val="21"/>
                <w:lang w:val="en-US" w:eastAsia="zh-CN"/>
                <w14:textFill>
                  <w14:solidFill>
                    <w14:schemeClr w14:val="tx1"/>
                  </w14:solidFill>
                </w14:textFill>
              </w:rPr>
              <w:t>.5-</w:t>
            </w:r>
            <w:r>
              <w:rPr>
                <w:rFonts w:hint="default"/>
                <w:b/>
                <w:bCs w:val="0"/>
                <w:color w:val="000000" w:themeColor="text1"/>
                <w:sz w:val="21"/>
                <w:szCs w:val="21"/>
                <w14:textFill>
                  <w14:solidFill>
                    <w14:schemeClr w14:val="tx1"/>
                  </w14:solidFill>
                </w14:textFill>
              </w:rPr>
              <w:t>2  非道路移动机械一览表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416"/>
              <w:gridCol w:w="2789"/>
              <w:gridCol w:w="1975"/>
              <w:gridCol w:w="892"/>
            </w:tblGrid>
            <w:tr w14:paraId="2A3F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pct"/>
                  <w:tcBorders>
                    <w:tl2br w:val="nil"/>
                    <w:tr2bl w:val="nil"/>
                  </w:tcBorders>
                  <w:noWrap w:val="0"/>
                  <w:vAlign w:val="center"/>
                </w:tcPr>
                <w:p w14:paraId="5625EDF4">
                  <w:pPr>
                    <w:keepNext w:val="0"/>
                    <w:keepLines w:val="0"/>
                    <w:suppressLineNumbers w:val="0"/>
                    <w:spacing w:before="0" w:beforeAutospacing="0" w:after="0" w:afterAutospacing="0"/>
                    <w:ind w:left="0" w:right="0"/>
                    <w:jc w:val="center"/>
                    <w:rPr>
                      <w:rFonts w:hint="default"/>
                      <w:b/>
                      <w:color w:val="000000" w:themeColor="text1"/>
                      <w:szCs w:val="21"/>
                      <w14:textFill>
                        <w14:solidFill>
                          <w14:schemeClr w14:val="tx1"/>
                        </w14:solidFill>
                      </w14:textFill>
                    </w:rPr>
                  </w:pPr>
                  <w:r>
                    <w:rPr>
                      <w:rFonts w:hint="default"/>
                      <w:b/>
                      <w:color w:val="000000" w:themeColor="text1"/>
                      <w:szCs w:val="21"/>
                      <w14:textFill>
                        <w14:solidFill>
                          <w14:schemeClr w14:val="tx1"/>
                        </w14:solidFill>
                      </w14:textFill>
                    </w:rPr>
                    <w:t>序号</w:t>
                  </w:r>
                </w:p>
              </w:tc>
              <w:tc>
                <w:tcPr>
                  <w:tcW w:w="871" w:type="pct"/>
                  <w:tcBorders>
                    <w:tl2br w:val="nil"/>
                    <w:tr2bl w:val="nil"/>
                  </w:tcBorders>
                  <w:noWrap w:val="0"/>
                  <w:vAlign w:val="center"/>
                </w:tcPr>
                <w:p w14:paraId="5A66A4DB">
                  <w:pPr>
                    <w:keepNext w:val="0"/>
                    <w:keepLines w:val="0"/>
                    <w:suppressLineNumbers w:val="0"/>
                    <w:spacing w:before="0" w:beforeAutospacing="0" w:after="0" w:afterAutospacing="0"/>
                    <w:ind w:left="0" w:right="0"/>
                    <w:jc w:val="center"/>
                    <w:rPr>
                      <w:rFonts w:hint="default"/>
                      <w:b/>
                      <w:color w:val="000000" w:themeColor="text1"/>
                      <w:szCs w:val="21"/>
                      <w14:textFill>
                        <w14:solidFill>
                          <w14:schemeClr w14:val="tx1"/>
                        </w14:solidFill>
                      </w14:textFill>
                    </w:rPr>
                  </w:pPr>
                  <w:r>
                    <w:rPr>
                      <w:rFonts w:hint="default"/>
                      <w:b/>
                      <w:color w:val="000000" w:themeColor="text1"/>
                      <w:szCs w:val="21"/>
                      <w14:textFill>
                        <w14:solidFill>
                          <w14:schemeClr w14:val="tx1"/>
                        </w14:solidFill>
                      </w14:textFill>
                    </w:rPr>
                    <w:t>设备名称</w:t>
                  </w:r>
                </w:p>
              </w:tc>
              <w:tc>
                <w:tcPr>
                  <w:tcW w:w="1716" w:type="pct"/>
                  <w:tcBorders>
                    <w:tl2br w:val="nil"/>
                    <w:tr2bl w:val="nil"/>
                  </w:tcBorders>
                  <w:noWrap w:val="0"/>
                  <w:vAlign w:val="center"/>
                </w:tcPr>
                <w:p w14:paraId="58E472A0">
                  <w:pPr>
                    <w:keepNext w:val="0"/>
                    <w:keepLines w:val="0"/>
                    <w:suppressLineNumbers w:val="0"/>
                    <w:spacing w:before="0" w:beforeAutospacing="0" w:after="0" w:afterAutospacing="0"/>
                    <w:ind w:left="0" w:right="0"/>
                    <w:jc w:val="center"/>
                    <w:rPr>
                      <w:rFonts w:hint="default"/>
                      <w:b/>
                      <w:color w:val="000000" w:themeColor="text1"/>
                      <w:szCs w:val="21"/>
                      <w14:textFill>
                        <w14:solidFill>
                          <w14:schemeClr w14:val="tx1"/>
                        </w14:solidFill>
                      </w14:textFill>
                    </w:rPr>
                  </w:pPr>
                  <w:r>
                    <w:rPr>
                      <w:rFonts w:hint="default"/>
                      <w:b/>
                      <w:color w:val="000000" w:themeColor="text1"/>
                      <w:szCs w:val="21"/>
                      <w14:textFill>
                        <w14:solidFill>
                          <w14:schemeClr w14:val="tx1"/>
                        </w14:solidFill>
                      </w14:textFill>
                    </w:rPr>
                    <w:t>规格、型号、性能参数</w:t>
                  </w:r>
                </w:p>
              </w:tc>
              <w:tc>
                <w:tcPr>
                  <w:tcW w:w="1215" w:type="pct"/>
                  <w:tcBorders>
                    <w:tl2br w:val="nil"/>
                    <w:tr2bl w:val="nil"/>
                  </w:tcBorders>
                  <w:noWrap w:val="0"/>
                  <w:vAlign w:val="center"/>
                </w:tcPr>
                <w:p w14:paraId="67E205AF">
                  <w:pPr>
                    <w:keepNext w:val="0"/>
                    <w:keepLines w:val="0"/>
                    <w:suppressLineNumbers w:val="0"/>
                    <w:spacing w:before="0" w:beforeAutospacing="0" w:after="0" w:afterAutospacing="0"/>
                    <w:ind w:left="0" w:right="0"/>
                    <w:jc w:val="center"/>
                    <w:rPr>
                      <w:rFonts w:hint="default"/>
                      <w:b/>
                      <w:color w:val="000000" w:themeColor="text1"/>
                      <w:szCs w:val="21"/>
                      <w14:textFill>
                        <w14:solidFill>
                          <w14:schemeClr w14:val="tx1"/>
                        </w14:solidFill>
                      </w14:textFill>
                    </w:rPr>
                  </w:pPr>
                  <w:r>
                    <w:rPr>
                      <w:rFonts w:hint="default"/>
                      <w:b/>
                      <w:color w:val="000000" w:themeColor="text1"/>
                      <w:szCs w:val="21"/>
                      <w14:textFill>
                        <w14:solidFill>
                          <w14:schemeClr w14:val="tx1"/>
                        </w14:solidFill>
                      </w14:textFill>
                    </w:rPr>
                    <w:t>数量</w:t>
                  </w:r>
                </w:p>
              </w:tc>
              <w:tc>
                <w:tcPr>
                  <w:tcW w:w="549" w:type="pct"/>
                  <w:tcBorders>
                    <w:tl2br w:val="nil"/>
                    <w:tr2bl w:val="nil"/>
                  </w:tcBorders>
                  <w:noWrap w:val="0"/>
                  <w:vAlign w:val="center"/>
                </w:tcPr>
                <w:p w14:paraId="4B6265AD">
                  <w:pPr>
                    <w:keepNext w:val="0"/>
                    <w:keepLines w:val="0"/>
                    <w:suppressLineNumbers w:val="0"/>
                    <w:spacing w:before="0" w:beforeAutospacing="0" w:after="0" w:afterAutospacing="0"/>
                    <w:ind w:left="0" w:right="0"/>
                    <w:jc w:val="center"/>
                    <w:rPr>
                      <w:rFonts w:hint="default"/>
                      <w:b/>
                      <w:color w:val="000000" w:themeColor="text1"/>
                      <w:szCs w:val="21"/>
                      <w14:textFill>
                        <w14:solidFill>
                          <w14:schemeClr w14:val="tx1"/>
                        </w14:solidFill>
                      </w14:textFill>
                    </w:rPr>
                  </w:pPr>
                  <w:r>
                    <w:rPr>
                      <w:rFonts w:hint="default"/>
                      <w:b/>
                      <w:color w:val="000000" w:themeColor="text1"/>
                      <w:szCs w:val="21"/>
                      <w14:textFill>
                        <w14:solidFill>
                          <w14:schemeClr w14:val="tx1"/>
                        </w14:solidFill>
                      </w14:textFill>
                    </w:rPr>
                    <w:t>备注</w:t>
                  </w:r>
                </w:p>
              </w:tc>
            </w:tr>
            <w:tr w14:paraId="6101C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pct"/>
                  <w:vMerge w:val="restart"/>
                  <w:tcBorders>
                    <w:tl2br w:val="nil"/>
                    <w:tr2bl w:val="nil"/>
                  </w:tcBorders>
                  <w:noWrap w:val="0"/>
                  <w:vAlign w:val="center"/>
                </w:tcPr>
                <w:p w14:paraId="4EBF43CC">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w:t>
                  </w:r>
                </w:p>
              </w:tc>
              <w:tc>
                <w:tcPr>
                  <w:tcW w:w="871" w:type="pct"/>
                  <w:vMerge w:val="restart"/>
                  <w:tcBorders>
                    <w:tl2br w:val="nil"/>
                    <w:tr2bl w:val="nil"/>
                  </w:tcBorders>
                  <w:noWrap w:val="0"/>
                  <w:vAlign w:val="center"/>
                </w:tcPr>
                <w:p w14:paraId="2BEC1CC8">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装载机</w:t>
                  </w:r>
                </w:p>
              </w:tc>
              <w:tc>
                <w:tcPr>
                  <w:tcW w:w="1716" w:type="pct"/>
                  <w:tcBorders>
                    <w:tl2br w:val="nil"/>
                    <w:tr2bl w:val="nil"/>
                  </w:tcBorders>
                  <w:noWrap w:val="0"/>
                  <w:vAlign w:val="center"/>
                </w:tcPr>
                <w:p w14:paraId="6E7FDAD8">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龙工855</w:t>
                  </w:r>
                </w:p>
              </w:tc>
              <w:tc>
                <w:tcPr>
                  <w:tcW w:w="1215" w:type="pct"/>
                  <w:tcBorders>
                    <w:tl2br w:val="nil"/>
                    <w:tr2bl w:val="nil"/>
                  </w:tcBorders>
                  <w:noWrap w:val="0"/>
                  <w:vAlign w:val="center"/>
                </w:tcPr>
                <w:p w14:paraId="16010B52">
                  <w:pPr>
                    <w:keepNext w:val="0"/>
                    <w:keepLines w:val="0"/>
                    <w:suppressLineNumbers w:val="0"/>
                    <w:spacing w:before="0" w:beforeAutospacing="0" w:after="0" w:afterAutospacing="0"/>
                    <w:ind w:left="0" w:right="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549" w:type="pct"/>
                  <w:tcBorders>
                    <w:tl2br w:val="nil"/>
                    <w:tr2bl w:val="nil"/>
                  </w:tcBorders>
                  <w:noWrap w:val="0"/>
                  <w:vAlign w:val="center"/>
                </w:tcPr>
                <w:p w14:paraId="6397E61E">
                  <w:pPr>
                    <w:keepNext w:val="0"/>
                    <w:keepLines w:val="0"/>
                    <w:suppressLineNumbers w:val="0"/>
                    <w:spacing w:before="0" w:beforeAutospacing="0" w:after="0" w:afterAutospacing="0"/>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1D7D8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pct"/>
                  <w:vMerge w:val="continue"/>
                  <w:tcBorders>
                    <w:tl2br w:val="nil"/>
                    <w:tr2bl w:val="nil"/>
                  </w:tcBorders>
                  <w:noWrap w:val="0"/>
                  <w:vAlign w:val="center"/>
                </w:tcPr>
                <w:p w14:paraId="51C03034">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71" w:type="pct"/>
                  <w:vMerge w:val="continue"/>
                  <w:tcBorders>
                    <w:tl2br w:val="nil"/>
                    <w:tr2bl w:val="nil"/>
                  </w:tcBorders>
                  <w:noWrap w:val="0"/>
                  <w:vAlign w:val="center"/>
                </w:tcPr>
                <w:p w14:paraId="546C5AB1">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1716" w:type="pct"/>
                  <w:tcBorders>
                    <w:tl2br w:val="nil"/>
                    <w:tr2bl w:val="nil"/>
                  </w:tcBorders>
                  <w:noWrap w:val="0"/>
                  <w:vAlign w:val="center"/>
                </w:tcPr>
                <w:p w14:paraId="5A0D3604">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夏工955</w:t>
                  </w:r>
                </w:p>
              </w:tc>
              <w:tc>
                <w:tcPr>
                  <w:tcW w:w="1215" w:type="pct"/>
                  <w:tcBorders>
                    <w:tl2br w:val="nil"/>
                    <w:tr2bl w:val="nil"/>
                  </w:tcBorders>
                  <w:noWrap w:val="0"/>
                  <w:vAlign w:val="center"/>
                </w:tcPr>
                <w:p w14:paraId="0694C074">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549" w:type="pct"/>
                  <w:tcBorders>
                    <w:tl2br w:val="nil"/>
                    <w:tr2bl w:val="nil"/>
                  </w:tcBorders>
                  <w:noWrap w:val="0"/>
                  <w:vAlign w:val="center"/>
                </w:tcPr>
                <w:p w14:paraId="7491973F">
                  <w:pPr>
                    <w:keepNext w:val="0"/>
                    <w:keepLines w:val="0"/>
                    <w:suppressLineNumbers w:val="0"/>
                    <w:spacing w:before="0" w:beforeAutospacing="0" w:after="0" w:afterAutospacing="0"/>
                    <w:ind w:left="0" w:right="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bl>
          <w:p w14:paraId="50303A91">
            <w:pPr>
              <w:pStyle w:val="6"/>
              <w:keepNext w:val="0"/>
              <w:keepLines w:val="0"/>
              <w:suppressLineNumbers w:val="0"/>
              <w:spacing w:before="0" w:beforeAutospacing="0" w:after="0" w:afterAutospacing="0" w:line="480" w:lineRule="exact"/>
              <w:ind w:left="0" w:right="0" w:firstLine="480"/>
              <w:rPr>
                <w:rFonts w:hint="default" w:ascii="Times New Roman" w:hAnsi="Times New Roman"/>
                <w:color w:val="000000" w:themeColor="text1"/>
                <w:sz w:val="24"/>
                <w:lang w:eastAsia="zh-CN"/>
                <w14:textFill>
                  <w14:solidFill>
                    <w14:schemeClr w14:val="tx1"/>
                  </w14:solidFill>
                </w14:textFill>
              </w:rPr>
            </w:pPr>
            <w:r>
              <w:rPr>
                <w:rFonts w:hint="eastAsia" w:ascii="Times New Roman" w:hAnsi="Times New Roman"/>
                <w:color w:val="000000" w:themeColor="text1"/>
                <w:sz w:val="24"/>
                <w:lang w:eastAsia="zh-CN"/>
                <w14:textFill>
                  <w14:solidFill>
                    <w14:schemeClr w14:val="tx1"/>
                  </w14:solidFill>
                </w14:textFill>
              </w:rPr>
              <w:t>根据《非道路移动机械污染防治技术政策》，环评提出以下环保措施：</w:t>
            </w:r>
          </w:p>
          <w:p w14:paraId="3FB0C9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①建立非道路移动机械登记制度，并对其排放状况进行监督检查；</w:t>
            </w:r>
          </w:p>
          <w:p w14:paraId="43F1A7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②加强在用非道路移动机械的排放检测和维修，保证非道路移动机械及其污染控制装置处于正常技术状态，确保维修后的非道路移动机械排放稳定达标，同时妥善保存维修记录；</w:t>
            </w:r>
          </w:p>
          <w:p w14:paraId="55AB06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③加强非道路移动机械的排放治理改造，保证非移动设备尾气达标排放；</w:t>
            </w:r>
          </w:p>
          <w:p w14:paraId="6C73C3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olor w:val="000000" w:themeColor="text1"/>
                <w:sz w:val="24"/>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④不使用国六及以下排放标准车辆</w:t>
            </w:r>
            <w:r>
              <w:rPr>
                <w:rFonts w:hint="default"/>
                <w:color w:val="000000" w:themeColor="text1"/>
                <w:sz w:val="24"/>
                <w:lang w:val="en-US" w:eastAsia="zh-CN"/>
                <w14:textFill>
                  <w14:solidFill>
                    <w14:schemeClr w14:val="tx1"/>
                  </w14:solidFill>
                </w14:textFill>
              </w:rPr>
              <w:t>，提升非道路移动机械燃料的清洁性，使用满足标准要求的燃油，鼓励使用清洁能源，并留存燃料购买台账，留存备查；</w:t>
            </w:r>
          </w:p>
          <w:p w14:paraId="1BB7D5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olor w:val="000000" w:themeColor="text1"/>
                <w:sz w:val="24"/>
                <w:lang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⑤加强非道路移动机械的噪声控制。禁止任何单位或个人擅自拆除弃用非道路移动机械的消声、隔声和吸声装置，加强对噪声控制装置的维护保养。</w:t>
            </w:r>
          </w:p>
          <w:p w14:paraId="67E8D912">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2</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原料及成品堆放、</w:t>
            </w:r>
            <w:r>
              <w:rPr>
                <w:rFonts w:hint="default"/>
                <w:bCs/>
                <w:color w:val="000000" w:themeColor="text1"/>
                <w:sz w:val="24"/>
                <w14:textFill>
                  <w14:solidFill>
                    <w14:schemeClr w14:val="tx1"/>
                  </w14:solidFill>
                </w14:textFill>
              </w:rPr>
              <w:t>装卸产生的</w:t>
            </w:r>
            <w:r>
              <w:rPr>
                <w:rFonts w:hint="eastAsia" w:cs="Times New Roman"/>
                <w:color w:val="000000" w:themeColor="text1"/>
                <w:sz w:val="24"/>
                <w:highlight w:val="none"/>
                <w:lang w:val="en-US" w:eastAsia="zh-CN"/>
                <w14:textFill>
                  <w14:solidFill>
                    <w14:schemeClr w14:val="tx1"/>
                  </w14:solidFill>
                </w14:textFill>
              </w:rPr>
              <w:t>废气</w:t>
            </w:r>
          </w:p>
          <w:p w14:paraId="5948BB67">
            <w:pPr>
              <w:pStyle w:val="6"/>
              <w:keepNext w:val="0"/>
              <w:keepLines w:val="0"/>
              <w:suppressLineNumbers w:val="0"/>
              <w:spacing w:before="0" w:beforeAutospacing="0" w:after="0" w:afterAutospacing="0" w:line="480" w:lineRule="exact"/>
              <w:ind w:left="0" w:right="0" w:firstLine="480"/>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lang w:val="en-US" w:eastAsia="zh-CN"/>
                <w14:textFill>
                  <w14:solidFill>
                    <w14:schemeClr w14:val="tx1"/>
                  </w14:solidFill>
                </w14:textFill>
              </w:rPr>
              <w:t>物料堆存、装卸粉尘产生量计算根据《固体物料堆存粉尘产排污核算系数手册》</w:t>
            </w:r>
            <w:r>
              <w:rPr>
                <w:rFonts w:hint="default" w:ascii="Times New Roman" w:hAnsi="Times New Roman"/>
                <w:color w:val="000000" w:themeColor="text1"/>
                <w:sz w:val="24"/>
                <w:lang w:eastAsia="zh-CN"/>
                <w14:textFill>
                  <w14:solidFill>
                    <w14:schemeClr w14:val="tx1"/>
                  </w14:solidFill>
                </w14:textFill>
              </w:rPr>
              <w:t>，计算公式如下：</w:t>
            </w:r>
          </w:p>
          <w:p w14:paraId="5A96EB57">
            <w:pPr>
              <w:pStyle w:val="6"/>
              <w:keepNext w:val="0"/>
              <w:keepLines w:val="0"/>
              <w:suppressLineNumbers w:val="0"/>
              <w:spacing w:before="0" w:beforeAutospacing="0" w:after="0" w:afterAutospacing="0" w:line="480" w:lineRule="exact"/>
              <w:ind w:left="0" w:right="0" w:firstLine="0" w:firstLineChars="0"/>
              <w:jc w:val="center"/>
              <w:rPr>
                <w:rFonts w:hint="default" w:ascii="Times New Roman" w:hAnsi="Times New Roman"/>
                <w:color w:val="000000" w:themeColor="text1"/>
                <w:sz w:val="24"/>
                <w:lang w:val="en-US" w:eastAsia="zh-CN"/>
                <w14:textFill>
                  <w14:solidFill>
                    <w14:schemeClr w14:val="tx1"/>
                  </w14:solidFill>
                </w14:textFill>
              </w:rPr>
            </w:pPr>
            <w:r>
              <w:rPr>
                <w:rFonts w:hint="default" w:ascii="Times New Roman" w:hAnsi="Times New Roman"/>
                <w:color w:val="000000" w:themeColor="text1"/>
                <w:sz w:val="24"/>
                <w:lang w:val="en-US" w:eastAsia="zh-CN"/>
                <w14:textFill>
                  <w14:solidFill>
                    <w14:schemeClr w14:val="tx1"/>
                  </w14:solidFill>
                </w14:textFill>
              </w:rPr>
              <w:t>P=ZC</w:t>
            </w:r>
            <w:r>
              <w:rPr>
                <w:rFonts w:hint="default" w:ascii="Times New Roman" w:hAnsi="Times New Roman"/>
                <w:color w:val="000000" w:themeColor="text1"/>
                <w:sz w:val="24"/>
                <w:vertAlign w:val="subscript"/>
                <w:lang w:val="en-US" w:eastAsia="zh-CN"/>
                <w14:textFill>
                  <w14:solidFill>
                    <w14:schemeClr w14:val="tx1"/>
                  </w14:solidFill>
                </w14:textFill>
              </w:rPr>
              <w:t>y</w:t>
            </w:r>
            <w:r>
              <w:rPr>
                <w:rFonts w:hint="default" w:ascii="Times New Roman" w:hAnsi="Times New Roman"/>
                <w:color w:val="000000" w:themeColor="text1"/>
                <w:sz w:val="24"/>
                <w:lang w:val="en-US" w:eastAsia="zh-CN"/>
                <w14:textFill>
                  <w14:solidFill>
                    <w14:schemeClr w14:val="tx1"/>
                  </w14:solidFill>
                </w14:textFill>
              </w:rPr>
              <w:t>+FC</w:t>
            </w:r>
            <w:r>
              <w:rPr>
                <w:rFonts w:hint="default" w:ascii="Times New Roman" w:hAnsi="Times New Roman"/>
                <w:color w:val="000000" w:themeColor="text1"/>
                <w:sz w:val="24"/>
                <w:vertAlign w:val="subscript"/>
                <w:lang w:val="en-US" w:eastAsia="zh-CN"/>
                <w14:textFill>
                  <w14:solidFill>
                    <w14:schemeClr w14:val="tx1"/>
                  </w14:solidFill>
                </w14:textFill>
              </w:rPr>
              <w:t>y</w:t>
            </w:r>
            <w:r>
              <w:rPr>
                <w:rFonts w:hint="default" w:ascii="Times New Roman" w:hAnsi="Times New Roman"/>
                <w:color w:val="000000" w:themeColor="text1"/>
                <w:sz w:val="24"/>
                <w:lang w:val="en-US" w:eastAsia="zh-CN"/>
                <w14:textFill>
                  <w14:solidFill>
                    <w14:schemeClr w14:val="tx1"/>
                  </w14:solidFill>
                </w14:textFill>
              </w:rPr>
              <w:t>={N</w:t>
            </w:r>
            <w:r>
              <w:rPr>
                <w:rFonts w:hint="default" w:ascii="Times New Roman" w:hAnsi="Times New Roman"/>
                <w:color w:val="000000" w:themeColor="text1"/>
                <w:sz w:val="24"/>
                <w:vertAlign w:val="subscript"/>
                <w:lang w:val="en-US" w:eastAsia="zh-CN"/>
                <w14:textFill>
                  <w14:solidFill>
                    <w14:schemeClr w14:val="tx1"/>
                  </w14:solidFill>
                </w14:textFill>
              </w:rPr>
              <w:t>c</w:t>
            </w:r>
            <w:r>
              <w:rPr>
                <w:rFonts w:hint="default" w:ascii="Times New Roman" w:hAnsi="Times New Roman"/>
                <w:color w:val="000000" w:themeColor="text1"/>
                <w:sz w:val="24"/>
                <w:lang w:val="en-US" w:eastAsia="zh-CN"/>
                <w14:textFill>
                  <w14:solidFill>
                    <w14:schemeClr w14:val="tx1"/>
                  </w14:solidFill>
                </w14:textFill>
              </w:rPr>
              <w:t>×D×</w:t>
            </w:r>
            <w:r>
              <w:rPr>
                <w:rFonts w:hint="eastAsia"/>
                <w:color w:val="000000" w:themeColor="text1"/>
                <w:sz w:val="24"/>
                <w:lang w:val="en-US" w:eastAsia="zh-CN"/>
                <w14:textFill>
                  <w14:solidFill>
                    <w14:schemeClr w14:val="tx1"/>
                  </w14:solidFill>
                </w14:textFill>
              </w:rPr>
              <w:t>（</w:t>
            </w:r>
            <w:r>
              <w:rPr>
                <w:rFonts w:hint="default" w:ascii="Times New Roman" w:hAnsi="Times New Roman"/>
                <w:color w:val="000000" w:themeColor="text1"/>
                <w:sz w:val="24"/>
                <w:lang w:val="en-US" w:eastAsia="zh-CN"/>
                <w14:textFill>
                  <w14:solidFill>
                    <w14:schemeClr w14:val="tx1"/>
                  </w14:solidFill>
                </w14:textFill>
              </w:rPr>
              <w:t>a/b</w:t>
            </w:r>
            <w:r>
              <w:rPr>
                <w:rFonts w:hint="eastAsia"/>
                <w:color w:val="000000" w:themeColor="text1"/>
                <w:sz w:val="24"/>
                <w:lang w:val="en-US" w:eastAsia="zh-CN"/>
                <w14:textFill>
                  <w14:solidFill>
                    <w14:schemeClr w14:val="tx1"/>
                  </w14:solidFill>
                </w14:textFill>
              </w:rPr>
              <w:t>）</w:t>
            </w:r>
            <w:r>
              <w:rPr>
                <w:rFonts w:hint="default" w:ascii="Times New Roman" w:hAnsi="Times New Roman"/>
                <w:color w:val="000000" w:themeColor="text1"/>
                <w:sz w:val="24"/>
                <w:lang w:val="en-US" w:eastAsia="zh-CN"/>
                <w14:textFill>
                  <w14:solidFill>
                    <w14:schemeClr w14:val="tx1"/>
                  </w14:solidFill>
                </w14:textFill>
              </w:rPr>
              <w:t>+2×E</w:t>
            </w:r>
            <w:r>
              <w:rPr>
                <w:rFonts w:hint="default" w:ascii="Times New Roman" w:hAnsi="Times New Roman"/>
                <w:color w:val="000000" w:themeColor="text1"/>
                <w:sz w:val="24"/>
                <w:vertAlign w:val="subscript"/>
                <w:lang w:val="en-US" w:eastAsia="zh-CN"/>
                <w14:textFill>
                  <w14:solidFill>
                    <w14:schemeClr w14:val="tx1"/>
                  </w14:solidFill>
                </w14:textFill>
              </w:rPr>
              <w:t>f</w:t>
            </w:r>
            <w:r>
              <w:rPr>
                <w:rFonts w:hint="default" w:ascii="Times New Roman" w:hAnsi="Times New Roman"/>
                <w:color w:val="000000" w:themeColor="text1"/>
                <w:sz w:val="24"/>
                <w:lang w:val="en-US" w:eastAsia="zh-CN"/>
                <w14:textFill>
                  <w14:solidFill>
                    <w14:schemeClr w14:val="tx1"/>
                  </w14:solidFill>
                </w14:textFill>
              </w:rPr>
              <w:t>×S}×10</w:t>
            </w:r>
            <w:r>
              <w:rPr>
                <w:rFonts w:hint="default" w:ascii="Times New Roman" w:hAnsi="Times New Roman"/>
                <w:color w:val="000000" w:themeColor="text1"/>
                <w:sz w:val="24"/>
                <w:vertAlign w:val="superscript"/>
                <w:lang w:val="en-US" w:eastAsia="zh-CN"/>
                <w14:textFill>
                  <w14:solidFill>
                    <w14:schemeClr w14:val="tx1"/>
                  </w14:solidFill>
                </w14:textFill>
              </w:rPr>
              <w:t>-3</w:t>
            </w:r>
          </w:p>
          <w:p w14:paraId="2BB9A7D3">
            <w:pPr>
              <w:pStyle w:val="6"/>
              <w:keepNext w:val="0"/>
              <w:keepLines w:val="0"/>
              <w:suppressLineNumbers w:val="0"/>
              <w:spacing w:before="0" w:beforeAutospacing="0" w:after="0" w:afterAutospacing="0" w:line="480" w:lineRule="exact"/>
              <w:ind w:left="0" w:right="0" w:firstLine="480"/>
              <w:rPr>
                <w:rFonts w:hint="default" w:ascii="Times New Roman" w:hAnsi="Times New Roman"/>
                <w:color w:val="000000" w:themeColor="text1"/>
                <w:sz w:val="24"/>
                <w:lang w:val="en-US" w:eastAsia="zh-CN"/>
                <w14:textFill>
                  <w14:solidFill>
                    <w14:schemeClr w14:val="tx1"/>
                  </w14:solidFill>
                </w14:textFill>
              </w:rPr>
            </w:pPr>
            <w:r>
              <w:rPr>
                <w:rFonts w:hint="default" w:ascii="Times New Roman" w:hAnsi="Times New Roman"/>
                <w:color w:val="000000" w:themeColor="text1"/>
                <w:sz w:val="24"/>
                <w:lang w:val="en-US" w:eastAsia="zh-CN"/>
                <w14:textFill>
                  <w14:solidFill>
                    <w14:schemeClr w14:val="tx1"/>
                  </w14:solidFill>
                </w14:textFill>
              </w:rPr>
              <w:t>式中：</w:t>
            </w:r>
          </w:p>
          <w:p w14:paraId="3387632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960" w:firstLineChars="400"/>
              <w:textAlignment w:val="auto"/>
              <w:rPr>
                <w:rFonts w:hint="default" w:ascii="Times New Roman" w:hAnsi="Times New Roman"/>
                <w:color w:val="000000" w:themeColor="text1"/>
                <w:sz w:val="24"/>
                <w:lang w:val="en-US" w:eastAsia="zh-CN"/>
                <w14:textFill>
                  <w14:solidFill>
                    <w14:schemeClr w14:val="tx1"/>
                  </w14:solidFill>
                </w14:textFill>
              </w:rPr>
            </w:pPr>
            <w:r>
              <w:rPr>
                <w:rFonts w:hint="default" w:ascii="Times New Roman" w:hAnsi="Times New Roman"/>
                <w:color w:val="000000" w:themeColor="text1"/>
                <w:sz w:val="24"/>
                <w:lang w:val="en-US" w:eastAsia="zh-CN"/>
                <w14:textFill>
                  <w14:solidFill>
                    <w14:schemeClr w14:val="tx1"/>
                  </w14:solidFill>
                </w14:textFill>
              </w:rPr>
              <w:t>P—粉尘产生量，t/a；</w:t>
            </w:r>
          </w:p>
          <w:p w14:paraId="4D2539E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960" w:firstLineChars="400"/>
              <w:textAlignment w:val="auto"/>
              <w:rPr>
                <w:rFonts w:hint="default" w:ascii="Times New Roman" w:hAnsi="Times New Roman"/>
                <w:color w:val="000000" w:themeColor="text1"/>
                <w:sz w:val="24"/>
                <w:lang w:val="en-US" w:eastAsia="zh-CN"/>
                <w14:textFill>
                  <w14:solidFill>
                    <w14:schemeClr w14:val="tx1"/>
                  </w14:solidFill>
                </w14:textFill>
              </w:rPr>
            </w:pPr>
            <w:r>
              <w:rPr>
                <w:rFonts w:hint="default" w:ascii="Times New Roman" w:hAnsi="Times New Roman"/>
                <w:color w:val="000000" w:themeColor="text1"/>
                <w:sz w:val="24"/>
                <w:lang w:val="en-US" w:eastAsia="zh-CN"/>
                <w14:textFill>
                  <w14:solidFill>
                    <w14:schemeClr w14:val="tx1"/>
                  </w14:solidFill>
                </w14:textFill>
              </w:rPr>
              <w:t>ZC</w:t>
            </w:r>
            <w:r>
              <w:rPr>
                <w:rFonts w:hint="default" w:ascii="Times New Roman" w:hAnsi="Times New Roman"/>
                <w:color w:val="000000" w:themeColor="text1"/>
                <w:sz w:val="24"/>
                <w:vertAlign w:val="subscript"/>
                <w:lang w:val="en-US" w:eastAsia="zh-CN"/>
                <w14:textFill>
                  <w14:solidFill>
                    <w14:schemeClr w14:val="tx1"/>
                  </w14:solidFill>
                </w14:textFill>
              </w:rPr>
              <w:t>y</w:t>
            </w:r>
            <w:r>
              <w:rPr>
                <w:rFonts w:hint="default" w:ascii="Times New Roman" w:hAnsi="Times New Roman"/>
                <w:color w:val="000000" w:themeColor="text1"/>
                <w:sz w:val="24"/>
                <w:lang w:val="en-US" w:eastAsia="zh-CN"/>
                <w14:textFill>
                  <w14:solidFill>
                    <w14:schemeClr w14:val="tx1"/>
                  </w14:solidFill>
                </w14:textFill>
              </w:rPr>
              <w:t>—装卸扬尘产生量，t/a；</w:t>
            </w:r>
          </w:p>
          <w:p w14:paraId="1E763E9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960" w:firstLineChars="400"/>
              <w:textAlignment w:val="auto"/>
              <w:rPr>
                <w:rFonts w:hint="default" w:ascii="Times New Roman" w:hAnsi="Times New Roman"/>
                <w:color w:val="000000" w:themeColor="text1"/>
                <w:sz w:val="24"/>
                <w:lang w:val="en-US" w:eastAsia="zh-CN"/>
                <w14:textFill>
                  <w14:solidFill>
                    <w14:schemeClr w14:val="tx1"/>
                  </w14:solidFill>
                </w14:textFill>
              </w:rPr>
            </w:pPr>
            <w:r>
              <w:rPr>
                <w:rFonts w:hint="default" w:ascii="Times New Roman" w:hAnsi="Times New Roman"/>
                <w:color w:val="000000" w:themeColor="text1"/>
                <w:sz w:val="24"/>
                <w:lang w:val="en-US" w:eastAsia="zh-CN"/>
                <w14:textFill>
                  <w14:solidFill>
                    <w14:schemeClr w14:val="tx1"/>
                  </w14:solidFill>
                </w14:textFill>
              </w:rPr>
              <w:t>FC</w:t>
            </w:r>
            <w:r>
              <w:rPr>
                <w:rFonts w:hint="default" w:ascii="Times New Roman" w:hAnsi="Times New Roman"/>
                <w:color w:val="000000" w:themeColor="text1"/>
                <w:sz w:val="24"/>
                <w:vertAlign w:val="subscript"/>
                <w:lang w:val="en-US" w:eastAsia="zh-CN"/>
                <w14:textFill>
                  <w14:solidFill>
                    <w14:schemeClr w14:val="tx1"/>
                  </w14:solidFill>
                </w14:textFill>
              </w:rPr>
              <w:t>y</w:t>
            </w:r>
            <w:r>
              <w:rPr>
                <w:rFonts w:hint="default" w:ascii="Times New Roman" w:hAnsi="Times New Roman"/>
                <w:color w:val="000000" w:themeColor="text1"/>
                <w:sz w:val="24"/>
                <w:lang w:val="en-US" w:eastAsia="zh-CN"/>
                <w14:textFill>
                  <w14:solidFill>
                    <w14:schemeClr w14:val="tx1"/>
                  </w14:solidFill>
                </w14:textFill>
              </w:rPr>
              <w:t>—风蚀扬尘产生量，t/a；</w:t>
            </w:r>
          </w:p>
          <w:p w14:paraId="502B618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960" w:firstLineChars="400"/>
              <w:textAlignment w:val="auto"/>
              <w:rPr>
                <w:rFonts w:hint="default" w:ascii="Times New Roman" w:hAnsi="Times New Roman"/>
                <w:color w:val="000000" w:themeColor="text1"/>
                <w:sz w:val="24"/>
                <w:lang w:val="en-US" w:eastAsia="zh-CN"/>
                <w14:textFill>
                  <w14:solidFill>
                    <w14:schemeClr w14:val="tx1"/>
                  </w14:solidFill>
                </w14:textFill>
              </w:rPr>
            </w:pPr>
            <w:r>
              <w:rPr>
                <w:rFonts w:hint="default" w:ascii="Times New Roman" w:hAnsi="Times New Roman"/>
                <w:color w:val="000000" w:themeColor="text1"/>
                <w:sz w:val="24"/>
                <w:lang w:val="en-US" w:eastAsia="zh-CN"/>
                <w14:textFill>
                  <w14:solidFill>
                    <w14:schemeClr w14:val="tx1"/>
                  </w14:solidFill>
                </w14:textFill>
              </w:rPr>
              <w:t>N</w:t>
            </w:r>
            <w:r>
              <w:rPr>
                <w:rFonts w:hint="default" w:ascii="Times New Roman" w:hAnsi="Times New Roman"/>
                <w:color w:val="000000" w:themeColor="text1"/>
                <w:sz w:val="24"/>
                <w:vertAlign w:val="subscript"/>
                <w:lang w:val="en-US" w:eastAsia="zh-CN"/>
                <w14:textFill>
                  <w14:solidFill>
                    <w14:schemeClr w14:val="tx1"/>
                  </w14:solidFill>
                </w14:textFill>
              </w:rPr>
              <w:t>c</w:t>
            </w:r>
            <w:r>
              <w:rPr>
                <w:rFonts w:hint="default" w:ascii="Times New Roman" w:hAnsi="Times New Roman"/>
                <w:color w:val="000000" w:themeColor="text1"/>
                <w:sz w:val="24"/>
                <w:lang w:val="en-US" w:eastAsia="zh-CN"/>
                <w14:textFill>
                  <w14:solidFill>
                    <w14:schemeClr w14:val="tx1"/>
                  </w14:solidFill>
                </w14:textFill>
              </w:rPr>
              <w:t>—年物料运载车次，车；</w:t>
            </w:r>
          </w:p>
          <w:p w14:paraId="5926195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960" w:firstLineChars="400"/>
              <w:textAlignment w:val="auto"/>
              <w:rPr>
                <w:rFonts w:hint="default" w:ascii="Times New Roman" w:hAnsi="Times New Roman"/>
                <w:color w:val="000000" w:themeColor="text1"/>
                <w:sz w:val="24"/>
                <w:lang w:val="en-US" w:eastAsia="zh-CN"/>
                <w14:textFill>
                  <w14:solidFill>
                    <w14:schemeClr w14:val="tx1"/>
                  </w14:solidFill>
                </w14:textFill>
              </w:rPr>
            </w:pPr>
            <w:r>
              <w:rPr>
                <w:rFonts w:hint="default" w:ascii="Times New Roman" w:hAnsi="Times New Roman"/>
                <w:color w:val="000000" w:themeColor="text1"/>
                <w:sz w:val="24"/>
                <w:lang w:val="en-US" w:eastAsia="zh-CN"/>
                <w14:textFill>
                  <w14:solidFill>
                    <w14:schemeClr w14:val="tx1"/>
                  </w14:solidFill>
                </w14:textFill>
              </w:rPr>
              <w:t>D—单车平均运载量，t/车；</w:t>
            </w:r>
          </w:p>
          <w:p w14:paraId="0046843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960" w:firstLineChars="400"/>
              <w:textAlignment w:val="auto"/>
              <w:rPr>
                <w:rFonts w:hint="default" w:ascii="Times New Roman" w:hAnsi="Times New Roman"/>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w:t>
            </w:r>
            <w:r>
              <w:rPr>
                <w:rFonts w:hint="default" w:ascii="Times New Roman" w:hAnsi="Times New Roman"/>
                <w:color w:val="000000" w:themeColor="text1"/>
                <w:sz w:val="24"/>
                <w:lang w:val="en-US" w:eastAsia="zh-CN"/>
                <w14:textFill>
                  <w14:solidFill>
                    <w14:schemeClr w14:val="tx1"/>
                  </w14:solidFill>
                </w14:textFill>
              </w:rPr>
              <w:t>a/b</w:t>
            </w:r>
            <w:r>
              <w:rPr>
                <w:rFonts w:hint="eastAsia"/>
                <w:color w:val="000000" w:themeColor="text1"/>
                <w:sz w:val="24"/>
                <w:lang w:val="en-US" w:eastAsia="zh-CN"/>
                <w14:textFill>
                  <w14:solidFill>
                    <w14:schemeClr w14:val="tx1"/>
                  </w14:solidFill>
                </w14:textFill>
              </w:rPr>
              <w:t>）</w:t>
            </w:r>
            <w:r>
              <w:rPr>
                <w:rFonts w:hint="default" w:ascii="Times New Roman" w:hAnsi="Times New Roman"/>
                <w:color w:val="000000" w:themeColor="text1"/>
                <w:sz w:val="24"/>
                <w:lang w:val="en-US" w:eastAsia="zh-CN"/>
                <w14:textFill>
                  <w14:solidFill>
                    <w14:schemeClr w14:val="tx1"/>
                  </w14:solidFill>
                </w14:textFill>
              </w:rPr>
              <w:t>—装卸扬尘概化系数，kg/m</w:t>
            </w:r>
            <w:r>
              <w:rPr>
                <w:rFonts w:hint="default" w:ascii="Times New Roman" w:hAnsi="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olor w:val="000000" w:themeColor="text1"/>
                <w:sz w:val="24"/>
                <w:lang w:val="en-US" w:eastAsia="zh-CN"/>
                <w14:textFill>
                  <w14:solidFill>
                    <w14:schemeClr w14:val="tx1"/>
                  </w14:solidFill>
                </w14:textFill>
              </w:rPr>
              <w:t>；a取0.001，b取0.0049；</w:t>
            </w:r>
          </w:p>
          <w:p w14:paraId="1E92D6A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960" w:firstLineChars="400"/>
              <w:textAlignment w:val="auto"/>
              <w:rPr>
                <w:rFonts w:hint="default" w:ascii="Times New Roman" w:hAnsi="Times New Roman"/>
                <w:color w:val="000000" w:themeColor="text1"/>
                <w:sz w:val="24"/>
                <w:lang w:val="en-US" w:eastAsia="zh-CN"/>
                <w14:textFill>
                  <w14:solidFill>
                    <w14:schemeClr w14:val="tx1"/>
                  </w14:solidFill>
                </w14:textFill>
              </w:rPr>
            </w:pPr>
            <w:r>
              <w:rPr>
                <w:rFonts w:hint="default" w:ascii="Times New Roman" w:hAnsi="Times New Roman"/>
                <w:color w:val="000000" w:themeColor="text1"/>
                <w:sz w:val="24"/>
                <w:lang w:val="en-US" w:eastAsia="zh-CN"/>
                <w14:textFill>
                  <w14:solidFill>
                    <w14:schemeClr w14:val="tx1"/>
                  </w14:solidFill>
                </w14:textFill>
              </w:rPr>
              <w:t>S—堆场占地面积，m</w:t>
            </w:r>
            <w:r>
              <w:rPr>
                <w:rFonts w:hint="default" w:ascii="Times New Roman" w:hAnsi="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olor w:val="000000" w:themeColor="text1"/>
                <w:sz w:val="24"/>
                <w:lang w:val="en-US"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原料</w:t>
            </w:r>
            <w:r>
              <w:rPr>
                <w:rFonts w:hint="eastAsia"/>
                <w:color w:val="000000" w:themeColor="text1"/>
                <w:sz w:val="24"/>
                <w:lang w:val="en-US" w:eastAsia="zh-CN"/>
                <w14:textFill>
                  <w14:solidFill>
                    <w14:schemeClr w14:val="tx1"/>
                  </w14:solidFill>
                </w14:textFill>
              </w:rPr>
              <w:t>堆放区28</w:t>
            </w:r>
            <w:r>
              <w:rPr>
                <w:rFonts w:hint="eastAsia" w:ascii="Times New Roman" w:hAnsi="Times New Roman"/>
                <w:color w:val="000000" w:themeColor="text1"/>
                <w:sz w:val="24"/>
                <w:lang w:val="en-US" w:eastAsia="zh-CN"/>
                <w14:textFill>
                  <w14:solidFill>
                    <w14:schemeClr w14:val="tx1"/>
                  </w14:solidFill>
                </w14:textFill>
              </w:rPr>
              <w:t>0</w:t>
            </w:r>
            <w:r>
              <w:rPr>
                <w:rFonts w:hint="default" w:ascii="Times New Roman" w:hAnsi="Times New Roman"/>
                <w:color w:val="000000" w:themeColor="text1"/>
                <w:sz w:val="24"/>
                <w:lang w:val="en-US" w:eastAsia="zh-CN"/>
                <w14:textFill>
                  <w14:solidFill>
                    <w14:schemeClr w14:val="tx1"/>
                  </w14:solidFill>
                </w14:textFill>
              </w:rPr>
              <w:t>0m</w:t>
            </w:r>
            <w:r>
              <w:rPr>
                <w:rFonts w:hint="default" w:ascii="Times New Roman" w:hAnsi="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olor w:val="000000" w:themeColor="text1"/>
                <w:sz w:val="24"/>
                <w:lang w:val="en-US"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成品</w:t>
            </w:r>
            <w:r>
              <w:rPr>
                <w:rFonts w:hint="eastAsia"/>
                <w:color w:val="000000" w:themeColor="text1"/>
                <w:sz w:val="24"/>
                <w:lang w:val="en-US" w:eastAsia="zh-CN"/>
                <w14:textFill>
                  <w14:solidFill>
                    <w14:schemeClr w14:val="tx1"/>
                  </w14:solidFill>
                </w14:textFill>
              </w:rPr>
              <w:t>堆放区27</w:t>
            </w:r>
            <w:r>
              <w:rPr>
                <w:rFonts w:hint="default" w:ascii="Times New Roman" w:hAnsi="Times New Roman"/>
                <w:color w:val="000000" w:themeColor="text1"/>
                <w:sz w:val="24"/>
                <w:lang w:val="en-US" w:eastAsia="zh-CN"/>
                <w14:textFill>
                  <w14:solidFill>
                    <w14:schemeClr w14:val="tx1"/>
                  </w14:solidFill>
                </w14:textFill>
              </w:rPr>
              <w:t>00m</w:t>
            </w:r>
            <w:r>
              <w:rPr>
                <w:rFonts w:hint="default" w:ascii="Times New Roman" w:hAnsi="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olor w:val="000000" w:themeColor="text1"/>
                <w:sz w:val="24"/>
                <w:lang w:val="en-US" w:eastAsia="zh-CN"/>
                <w14:textFill>
                  <w14:solidFill>
                    <w14:schemeClr w14:val="tx1"/>
                  </w14:solidFill>
                </w14:textFill>
              </w:rPr>
              <w:t>；</w:t>
            </w:r>
          </w:p>
          <w:p w14:paraId="7D5B7B5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960" w:firstLineChars="400"/>
              <w:textAlignment w:val="auto"/>
              <w:rPr>
                <w:rFonts w:hint="default" w:ascii="Times New Roman" w:hAnsi="Times New Roman"/>
                <w:color w:val="000000" w:themeColor="text1"/>
                <w:sz w:val="24"/>
                <w:vertAlign w:val="superscript"/>
                <w:lang w:val="en-US" w:eastAsia="zh-CN"/>
                <w14:textFill>
                  <w14:solidFill>
                    <w14:schemeClr w14:val="tx1"/>
                  </w14:solidFill>
                </w14:textFill>
              </w:rPr>
            </w:pPr>
            <w:r>
              <w:rPr>
                <w:rFonts w:hint="default" w:ascii="Times New Roman" w:hAnsi="Times New Roman"/>
                <w:color w:val="000000" w:themeColor="text1"/>
                <w:sz w:val="24"/>
                <w:lang w:val="en-US" w:eastAsia="zh-CN"/>
                <w14:textFill>
                  <w14:solidFill>
                    <w14:schemeClr w14:val="tx1"/>
                  </w14:solidFill>
                </w14:textFill>
              </w:rPr>
              <w:t>E</w:t>
            </w:r>
            <w:r>
              <w:rPr>
                <w:rFonts w:hint="default" w:ascii="Times New Roman" w:hAnsi="Times New Roman"/>
                <w:color w:val="000000" w:themeColor="text1"/>
                <w:sz w:val="24"/>
                <w:vertAlign w:val="subscript"/>
                <w:lang w:val="en-US" w:eastAsia="zh-CN"/>
                <w14:textFill>
                  <w14:solidFill>
                    <w14:schemeClr w14:val="tx1"/>
                  </w14:solidFill>
                </w14:textFill>
              </w:rPr>
              <w:t>f</w:t>
            </w:r>
            <w:r>
              <w:rPr>
                <w:rFonts w:hint="default" w:ascii="Times New Roman" w:hAnsi="Times New Roman"/>
                <w:color w:val="000000" w:themeColor="text1"/>
                <w:sz w:val="24"/>
                <w:lang w:val="en-US" w:eastAsia="zh-CN"/>
                <w14:textFill>
                  <w14:solidFill>
                    <w14:schemeClr w14:val="tx1"/>
                  </w14:solidFill>
                </w14:textFill>
              </w:rPr>
              <w:t>—堆场风蚀扬尘概化系数，kg/m</w:t>
            </w:r>
            <w:r>
              <w:rPr>
                <w:rFonts w:hint="default" w:ascii="Times New Roman" w:hAnsi="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olor w:val="000000" w:themeColor="text1"/>
                <w:sz w:val="24"/>
                <w:lang w:val="en-US" w:eastAsia="zh-CN"/>
                <w14:textFill>
                  <w14:solidFill>
                    <w14:schemeClr w14:val="tx1"/>
                  </w14:solidFill>
                </w14:textFill>
              </w:rPr>
              <w:t>，取</w:t>
            </w:r>
            <w:r>
              <w:rPr>
                <w:rFonts w:hint="eastAsia"/>
                <w:color w:val="000000" w:themeColor="text1"/>
                <w:sz w:val="24"/>
                <w:lang w:val="en-US" w:eastAsia="zh-CN"/>
                <w14:textFill>
                  <w14:solidFill>
                    <w14:schemeClr w14:val="tx1"/>
                  </w14:solidFill>
                </w14:textFill>
              </w:rPr>
              <w:t>0（本项目原料及成品堆放区均位于全封闭式生产车间内）；</w:t>
            </w:r>
          </w:p>
          <w:p w14:paraId="18D0368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olor w:val="000000" w:themeColor="text1"/>
                <w:sz w:val="24"/>
                <w:lang w:val="en-US" w:eastAsia="zh-CN"/>
                <w14:textFill>
                  <w14:solidFill>
                    <w14:schemeClr w14:val="tx1"/>
                  </w14:solidFill>
                </w14:textFill>
              </w:rPr>
            </w:pPr>
            <w:r>
              <w:rPr>
                <w:rFonts w:hint="default" w:ascii="Times New Roman" w:hAnsi="Times New Roman"/>
                <w:color w:val="000000" w:themeColor="text1"/>
                <w:sz w:val="24"/>
                <w:lang w:val="en-US" w:eastAsia="zh-CN"/>
                <w14:textFill>
                  <w14:solidFill>
                    <w14:schemeClr w14:val="tx1"/>
                  </w14:solidFill>
                </w14:textFill>
              </w:rPr>
              <w:t>查手册选取对应参数，计算如下：</w:t>
            </w:r>
          </w:p>
          <w:p w14:paraId="79B94A8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ascii="Times New Roman" w:hAnsi="Times New Roman"/>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原料</w:t>
            </w:r>
            <w:r>
              <w:rPr>
                <w:rFonts w:hint="eastAsia"/>
                <w:color w:val="000000" w:themeColor="text1"/>
                <w:sz w:val="24"/>
                <w:lang w:val="en-US" w:eastAsia="zh-CN"/>
                <w14:textFill>
                  <w14:solidFill>
                    <w14:schemeClr w14:val="tx1"/>
                  </w14:solidFill>
                </w14:textFill>
              </w:rPr>
              <w:t>堆放区</w:t>
            </w:r>
            <w:r>
              <w:rPr>
                <w:rFonts w:hint="default" w:ascii="Times New Roman" w:hAnsi="Times New Roman"/>
                <w:color w:val="000000" w:themeColor="text1"/>
                <w:sz w:val="24"/>
                <w:lang w:val="en-US" w:eastAsia="zh-CN"/>
                <w14:textFill>
                  <w14:solidFill>
                    <w14:schemeClr w14:val="tx1"/>
                  </w14:solidFill>
                </w14:textFill>
              </w:rPr>
              <w:t>堆存装卸粉尘产生量</w:t>
            </w:r>
          </w:p>
          <w:p w14:paraId="56A69C7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ascii="Times New Roman" w:hAnsi="Times New Roman"/>
                <w:color w:val="000000" w:themeColor="text1"/>
                <w:sz w:val="24"/>
                <w:lang w:val="en-US" w:eastAsia="zh-CN"/>
                <w14:textFill>
                  <w14:solidFill>
                    <w14:schemeClr w14:val="tx1"/>
                  </w14:solidFill>
                </w14:textFill>
              </w:rPr>
            </w:pPr>
            <w:r>
              <w:rPr>
                <w:rFonts w:hint="default" w:ascii="Times New Roman" w:hAnsi="Times New Roman"/>
                <w:color w:val="000000" w:themeColor="text1"/>
                <w:sz w:val="24"/>
                <w:lang w:val="en-US" w:eastAsia="zh-CN"/>
                <w14:textFill>
                  <w14:solidFill>
                    <w14:schemeClr w14:val="tx1"/>
                  </w14:solidFill>
                </w14:textFill>
              </w:rPr>
              <w:t>P={</w:t>
            </w:r>
            <w:r>
              <w:rPr>
                <w:rFonts w:hint="eastAsia"/>
                <w:color w:val="000000" w:themeColor="text1"/>
                <w:sz w:val="24"/>
                <w:lang w:val="en-US" w:eastAsia="zh-CN"/>
                <w14:textFill>
                  <w14:solidFill>
                    <w14:schemeClr w14:val="tx1"/>
                  </w14:solidFill>
                </w14:textFill>
              </w:rPr>
              <w:t>1200000</w:t>
            </w:r>
            <w:r>
              <w:rPr>
                <w:rFonts w:hint="default" w:ascii="Times New Roman" w:hAnsi="Times New Roman"/>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w:t>
            </w:r>
            <w:r>
              <w:rPr>
                <w:rFonts w:hint="default" w:ascii="Times New Roman" w:hAnsi="Times New Roman"/>
                <w:color w:val="000000" w:themeColor="text1"/>
                <w:sz w:val="24"/>
                <w:lang w:val="en-US" w:eastAsia="zh-CN"/>
                <w14:textFill>
                  <w14:solidFill>
                    <w14:schemeClr w14:val="tx1"/>
                  </w14:solidFill>
                </w14:textFill>
              </w:rPr>
              <w:t>0.001/0.0049</w:t>
            </w:r>
            <w:r>
              <w:rPr>
                <w:rFonts w:hint="eastAsia"/>
                <w:color w:val="000000" w:themeColor="text1"/>
                <w:sz w:val="24"/>
                <w:lang w:val="en-US" w:eastAsia="zh-CN"/>
                <w14:textFill>
                  <w14:solidFill>
                    <w14:schemeClr w14:val="tx1"/>
                  </w14:solidFill>
                </w14:textFill>
              </w:rPr>
              <w:t>）</w:t>
            </w:r>
            <w:r>
              <w:rPr>
                <w:rFonts w:hint="default" w:ascii="Times New Roman" w:hAnsi="Times New Roman"/>
                <w:color w:val="000000" w:themeColor="text1"/>
                <w:sz w:val="24"/>
                <w:lang w:val="en-US" w:eastAsia="zh-CN"/>
                <w14:textFill>
                  <w14:solidFill>
                    <w14:schemeClr w14:val="tx1"/>
                  </w14:solidFill>
                </w14:textFill>
              </w:rPr>
              <w:t>}×10</w:t>
            </w:r>
            <w:r>
              <w:rPr>
                <w:rFonts w:hint="default" w:ascii="Times New Roman" w:hAnsi="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244.9</w:t>
            </w:r>
            <w:r>
              <w:rPr>
                <w:rFonts w:hint="default" w:ascii="Times New Roman" w:hAnsi="Times New Roman"/>
                <w:color w:val="000000" w:themeColor="text1"/>
                <w:sz w:val="24"/>
                <w:lang w:val="en-US" w:eastAsia="zh-CN"/>
                <w14:textFill>
                  <w14:solidFill>
                    <w14:schemeClr w14:val="tx1"/>
                  </w14:solidFill>
                </w14:textFill>
              </w:rPr>
              <w:t>t/a；</w:t>
            </w:r>
          </w:p>
          <w:p w14:paraId="46D062F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成品</w:t>
            </w:r>
            <w:r>
              <w:rPr>
                <w:rFonts w:hint="eastAsia"/>
                <w:color w:val="000000" w:themeColor="text1"/>
                <w:sz w:val="24"/>
                <w:lang w:val="en-US" w:eastAsia="zh-CN"/>
                <w14:textFill>
                  <w14:solidFill>
                    <w14:schemeClr w14:val="tx1"/>
                  </w14:solidFill>
                </w14:textFill>
              </w:rPr>
              <w:t>堆放区</w:t>
            </w:r>
            <w:r>
              <w:rPr>
                <w:rFonts w:hint="default" w:ascii="Times New Roman" w:hAnsi="Times New Roman"/>
                <w:color w:val="000000" w:themeColor="text1"/>
                <w:sz w:val="24"/>
                <w:lang w:val="en-US" w:eastAsia="zh-CN"/>
                <w14:textFill>
                  <w14:solidFill>
                    <w14:schemeClr w14:val="tx1"/>
                  </w14:solidFill>
                </w14:textFill>
              </w:rPr>
              <w:t>堆存装卸粉尘产生量</w:t>
            </w:r>
          </w:p>
          <w:p w14:paraId="74C1765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olor w:val="000000" w:themeColor="text1"/>
                <w:sz w:val="24"/>
                <w:lang w:val="en-US" w:eastAsia="zh-CN"/>
                <w14:textFill>
                  <w14:solidFill>
                    <w14:schemeClr w14:val="tx1"/>
                  </w14:solidFill>
                </w14:textFill>
              </w:rPr>
            </w:pPr>
            <w:r>
              <w:rPr>
                <w:rFonts w:hint="default" w:ascii="Times New Roman" w:hAnsi="Times New Roman"/>
                <w:color w:val="000000" w:themeColor="text1"/>
                <w:sz w:val="24"/>
                <w:lang w:val="en-US" w:eastAsia="zh-CN"/>
                <w14:textFill>
                  <w14:solidFill>
                    <w14:schemeClr w14:val="tx1"/>
                  </w14:solidFill>
                </w14:textFill>
              </w:rPr>
              <w:t>P={</w:t>
            </w:r>
            <w:r>
              <w:rPr>
                <w:rFonts w:hint="eastAsia"/>
                <w:color w:val="000000" w:themeColor="text1"/>
                <w:sz w:val="24"/>
                <w:lang w:val="en-US" w:eastAsia="zh-CN"/>
                <w14:textFill>
                  <w14:solidFill>
                    <w14:schemeClr w14:val="tx1"/>
                  </w14:solidFill>
                </w14:textFill>
              </w:rPr>
              <w:t>1200000</w:t>
            </w:r>
            <w:r>
              <w:rPr>
                <w:rFonts w:hint="default" w:ascii="Times New Roman" w:hAnsi="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olor w:val="000000" w:themeColor="text1"/>
                <w:sz w:val="24"/>
                <w:lang w:val="en-US" w:eastAsia="zh-CN"/>
                <w14:textFill>
                  <w14:solidFill>
                    <w14:schemeClr w14:val="tx1"/>
                  </w14:solidFill>
                </w14:textFill>
              </w:rPr>
              <w:t>0.001/0.0049</w:t>
            </w:r>
            <w:r>
              <w:rPr>
                <w:rFonts w:hint="eastAsia"/>
                <w:color w:val="000000" w:themeColor="text1"/>
                <w:sz w:val="24"/>
                <w:lang w:val="en-US" w:eastAsia="zh-CN"/>
                <w14:textFill>
                  <w14:solidFill>
                    <w14:schemeClr w14:val="tx1"/>
                  </w14:solidFill>
                </w14:textFill>
              </w:rPr>
              <w:t>）</w:t>
            </w:r>
            <w:r>
              <w:rPr>
                <w:rFonts w:hint="default" w:ascii="Times New Roman" w:hAnsi="Times New Roman"/>
                <w:color w:val="000000" w:themeColor="text1"/>
                <w:sz w:val="24"/>
                <w:lang w:val="en-US" w:eastAsia="zh-CN"/>
                <w14:textFill>
                  <w14:solidFill>
                    <w14:schemeClr w14:val="tx1"/>
                  </w14:solidFill>
                </w14:textFill>
              </w:rPr>
              <w:t>}×10</w:t>
            </w:r>
            <w:r>
              <w:rPr>
                <w:rFonts w:hint="default" w:ascii="Times New Roman" w:hAnsi="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244.9</w:t>
            </w:r>
            <w:r>
              <w:rPr>
                <w:rFonts w:hint="default" w:ascii="Times New Roman" w:hAnsi="Times New Roman"/>
                <w:color w:val="000000" w:themeColor="text1"/>
                <w:sz w:val="24"/>
                <w:lang w:val="en-US" w:eastAsia="zh-CN"/>
                <w14:textFill>
                  <w14:solidFill>
                    <w14:schemeClr w14:val="tx1"/>
                  </w14:solidFill>
                </w14:textFill>
              </w:rPr>
              <w:t>t/a；</w:t>
            </w:r>
          </w:p>
          <w:p w14:paraId="4A804AA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lang w:eastAsia="zh-CN"/>
                <w14:textFill>
                  <w14:solidFill>
                    <w14:schemeClr w14:val="tx1"/>
                  </w14:solidFill>
                </w14:textFill>
              </w:rPr>
              <w:t>经计算，</w:t>
            </w:r>
            <w:r>
              <w:rPr>
                <w:rFonts w:hint="eastAsia" w:ascii="Times New Roman" w:hAnsi="Times New Roman"/>
                <w:color w:val="000000" w:themeColor="text1"/>
                <w:sz w:val="24"/>
                <w:lang w:val="en-US" w:eastAsia="zh-CN"/>
                <w14:textFill>
                  <w14:solidFill>
                    <w14:schemeClr w14:val="tx1"/>
                  </w14:solidFill>
                </w14:textFill>
              </w:rPr>
              <w:t>原料</w:t>
            </w:r>
            <w:r>
              <w:rPr>
                <w:rFonts w:hint="eastAsia"/>
                <w:color w:val="000000" w:themeColor="text1"/>
                <w:sz w:val="24"/>
                <w:lang w:val="en-US" w:eastAsia="zh-CN"/>
                <w14:textFill>
                  <w14:solidFill>
                    <w14:schemeClr w14:val="tx1"/>
                  </w14:solidFill>
                </w14:textFill>
              </w:rPr>
              <w:t>及成品堆放区</w:t>
            </w:r>
            <w:r>
              <w:rPr>
                <w:rFonts w:hint="default" w:ascii="Times New Roman" w:hAnsi="Times New Roman"/>
                <w:color w:val="000000" w:themeColor="text1"/>
                <w:sz w:val="24"/>
                <w:lang w:val="en-US" w:eastAsia="zh-CN"/>
                <w14:textFill>
                  <w14:solidFill>
                    <w14:schemeClr w14:val="tx1"/>
                  </w14:solidFill>
                </w14:textFill>
              </w:rPr>
              <w:t>堆存装卸粉尘</w:t>
            </w:r>
            <w:r>
              <w:rPr>
                <w:rFonts w:hint="default" w:ascii="Times New Roman" w:hAnsi="Times New Roman"/>
                <w:color w:val="000000" w:themeColor="text1"/>
                <w:sz w:val="24"/>
                <w:lang w:eastAsia="zh-CN"/>
                <w14:textFill>
                  <w14:solidFill>
                    <w14:schemeClr w14:val="tx1"/>
                  </w14:solidFill>
                </w14:textFill>
              </w:rPr>
              <w:t>为</w:t>
            </w:r>
            <w:r>
              <w:rPr>
                <w:rFonts w:hint="eastAsia"/>
                <w:color w:val="000000" w:themeColor="text1"/>
                <w:sz w:val="24"/>
                <w:lang w:val="en-US" w:eastAsia="zh-CN"/>
                <w14:textFill>
                  <w14:solidFill>
                    <w14:schemeClr w14:val="tx1"/>
                  </w14:solidFill>
                </w14:textFill>
              </w:rPr>
              <w:t>489.8</w:t>
            </w:r>
            <w:r>
              <w:rPr>
                <w:rFonts w:hint="default" w:ascii="Times New Roman" w:hAnsi="Times New Roman"/>
                <w:color w:val="000000" w:themeColor="text1"/>
                <w:sz w:val="24"/>
                <w:lang w:eastAsia="zh-CN"/>
                <w14:textFill>
                  <w14:solidFill>
                    <w14:schemeClr w14:val="tx1"/>
                  </w14:solidFill>
                </w14:textFill>
              </w:rPr>
              <w:t>t/a。</w:t>
            </w:r>
          </w:p>
          <w:p w14:paraId="36B08F1C">
            <w:pPr>
              <w:keepNext w:val="0"/>
              <w:keepLines w:val="0"/>
              <w:suppressLineNumbers w:val="0"/>
              <w:spacing w:before="0" w:beforeAutospacing="0" w:after="0" w:afterAutospacing="0" w:line="480" w:lineRule="exact"/>
              <w:ind w:left="0" w:right="0" w:firstLine="480" w:firstLineChars="200"/>
              <w:rPr>
                <w:rFonts w:hint="default" w:ascii="Times New Roman Regular" w:hAnsi="Times New Roman Regular" w:cs="Times New Roman Regular"/>
                <w:color w:val="000000" w:themeColor="text1"/>
                <w:sz w:val="24"/>
                <w:szCs w:val="24"/>
                <w:highlight w:val="none"/>
                <w:lang w:val="en-US" w:eastAsia="zh-CN"/>
                <w14:textFill>
                  <w14:solidFill>
                    <w14:schemeClr w14:val="tx1"/>
                  </w14:solidFill>
                </w14:textFill>
              </w:rPr>
            </w:pPr>
            <w:r>
              <w:rPr>
                <w:rFonts w:hint="default" w:ascii="Times New Roman Regular" w:hAnsi="Times New Roman Regular" w:cs="Times New Roman Regular"/>
                <w:bCs/>
                <w:color w:val="000000" w:themeColor="text1"/>
                <w:sz w:val="24"/>
                <w:highlight w:val="none"/>
                <w14:textFill>
                  <w14:solidFill>
                    <w14:schemeClr w14:val="tx1"/>
                  </w14:solidFill>
                </w14:textFill>
              </w:rPr>
              <w:t>根据《中华人民共和国大气污染防治法》（2015年修订）“第七十二条贮存煤炭、煤矸石、煤渣、煤灰、水泥、石灰、石膏、砂土等易产生扬尘的物料应当密闭；不能密闭的</w:t>
            </w:r>
            <w:r>
              <w:rPr>
                <w:rFonts w:hint="default" w:ascii="Times New Roman Regular" w:hAnsi="Times New Roman Regular" w:cs="Times New Roman Regular"/>
                <w:color w:val="000000" w:themeColor="text1"/>
                <w:sz w:val="24"/>
                <w:highlight w:val="none"/>
                <w14:textFill>
                  <w14:solidFill>
                    <w14:schemeClr w14:val="tx1"/>
                  </w14:solidFill>
                </w14:textFill>
              </w:rPr>
              <w:t>，应当设置不低于堆放物高度的严密围挡，并采取有效覆盖措施防治扬尘污染”，本次评价要求</w:t>
            </w:r>
            <w:r>
              <w:rPr>
                <w:rFonts w:hint="default" w:ascii="Times New Roman Regular" w:hAnsi="Times New Roman Regular" w:cs="Times New Roman Regular"/>
                <w:color w:val="000000" w:themeColor="text1"/>
                <w:sz w:val="24"/>
                <w:highlight w:val="none"/>
                <w:lang w:val="en-US" w:eastAsia="zh-CN"/>
                <w14:textFill>
                  <w14:solidFill>
                    <w14:schemeClr w14:val="tx1"/>
                  </w14:solidFill>
                </w14:textFill>
              </w:rPr>
              <w:t>对</w:t>
            </w:r>
            <w:r>
              <w:rPr>
                <w:rFonts w:hint="default" w:ascii="Times New Roman Regular" w:hAnsi="Times New Roman Regular" w:cs="Times New Roman Regular"/>
                <w:color w:val="000000" w:themeColor="text1"/>
                <w:sz w:val="24"/>
                <w:highlight w:val="none"/>
                <w14:textFill>
                  <w14:solidFill>
                    <w14:schemeClr w14:val="tx1"/>
                  </w14:solidFill>
                </w14:textFill>
              </w:rPr>
              <w:t>全封闭轻钢结构</w:t>
            </w:r>
            <w:r>
              <w:rPr>
                <w:rFonts w:hint="default" w:ascii="Times New Roman Regular" w:hAnsi="Times New Roman Regular" w:cs="Times New Roman Regular"/>
                <w:color w:val="000000" w:themeColor="text1"/>
                <w:sz w:val="24"/>
                <w:highlight w:val="none"/>
                <w:lang w:val="en-US" w:eastAsia="zh-CN"/>
                <w14:textFill>
                  <w14:solidFill>
                    <w14:schemeClr w14:val="tx1"/>
                  </w14:solidFill>
                </w14:textFill>
              </w:rPr>
              <w:t>存储车间进行分区</w:t>
            </w:r>
            <w:r>
              <w:rPr>
                <w:rFonts w:hint="default" w:ascii="Times New Roman Regular" w:hAnsi="Times New Roman Regular" w:cs="Times New Roman Regular"/>
                <w:color w:val="000000" w:themeColor="text1"/>
                <w:sz w:val="24"/>
                <w:highlight w:val="none"/>
                <w14:textFill>
                  <w14:solidFill>
                    <w14:schemeClr w14:val="tx1"/>
                  </w14:solidFill>
                </w14:textFill>
              </w:rPr>
              <w:t>，在各储</w:t>
            </w:r>
            <w:r>
              <w:rPr>
                <w:rFonts w:hint="default" w:ascii="Times New Roman Regular" w:hAnsi="Times New Roman Regular" w:cs="Times New Roman Regular"/>
                <w:color w:val="000000" w:themeColor="text1"/>
                <w:sz w:val="24"/>
                <w:highlight w:val="none"/>
                <w:lang w:val="en-US" w:eastAsia="zh-CN"/>
                <w14:textFill>
                  <w14:solidFill>
                    <w14:schemeClr w14:val="tx1"/>
                  </w14:solidFill>
                </w14:textFill>
              </w:rPr>
              <w:t>车间</w:t>
            </w:r>
            <w:r>
              <w:rPr>
                <w:rFonts w:hint="default" w:ascii="Times New Roman Regular" w:hAnsi="Times New Roman Regular" w:cs="Times New Roman Regular"/>
                <w:color w:val="000000" w:themeColor="text1"/>
                <w:sz w:val="24"/>
                <w:highlight w:val="none"/>
                <w14:textFill>
                  <w14:solidFill>
                    <w14:schemeClr w14:val="tx1"/>
                  </w14:solidFill>
                </w14:textFill>
              </w:rPr>
              <w:t>顶部</w:t>
            </w:r>
            <w:r>
              <w:rPr>
                <w:rFonts w:hint="default" w:ascii="Times New Roman Regular" w:hAnsi="Times New Roman Regular" w:cs="Times New Roman Regular"/>
                <w:color w:val="000000" w:themeColor="text1"/>
                <w:sz w:val="24"/>
                <w:highlight w:val="none"/>
                <w:lang w:val="en-US" w:eastAsia="zh-CN"/>
                <w14:textFill>
                  <w14:solidFill>
                    <w14:schemeClr w14:val="tx1"/>
                  </w14:solidFill>
                </w14:textFill>
              </w:rPr>
              <w:t>合理</w:t>
            </w:r>
            <w:r>
              <w:rPr>
                <w:rFonts w:hint="default" w:ascii="Times New Roman Regular" w:hAnsi="Times New Roman Regular" w:cs="Times New Roman Regular"/>
                <w:color w:val="000000" w:themeColor="text1"/>
                <w:sz w:val="24"/>
                <w:highlight w:val="none"/>
                <w14:textFill>
                  <w14:solidFill>
                    <w14:schemeClr w14:val="tx1"/>
                  </w14:solidFill>
                </w14:textFill>
              </w:rPr>
              <w:t>加装喷雾</w:t>
            </w:r>
            <w:r>
              <w:rPr>
                <w:rFonts w:hint="eastAsia" w:ascii="Times New Roman Regular" w:hAnsi="Times New Roman Regular" w:cs="Times New Roman Regular"/>
                <w:color w:val="000000" w:themeColor="text1"/>
                <w:sz w:val="24"/>
                <w:highlight w:val="none"/>
                <w:lang w:val="en-US" w:eastAsia="zh-CN"/>
                <w14:textFill>
                  <w14:solidFill>
                    <w14:schemeClr w14:val="tx1"/>
                  </w14:solidFill>
                </w14:textFill>
              </w:rPr>
              <w:t>抑尘</w:t>
            </w:r>
            <w:r>
              <w:rPr>
                <w:rFonts w:hint="default" w:ascii="Times New Roman Regular" w:hAnsi="Times New Roman Regular" w:cs="Times New Roman Regular"/>
                <w:color w:val="000000" w:themeColor="text1"/>
                <w:sz w:val="24"/>
                <w:highlight w:val="none"/>
                <w14:textFill>
                  <w14:solidFill>
                    <w14:schemeClr w14:val="tx1"/>
                  </w14:solidFill>
                </w14:textFill>
              </w:rPr>
              <w:t>装置，确保可以覆盖整个物料表面，有效</w:t>
            </w:r>
            <w:r>
              <w:rPr>
                <w:rFonts w:hint="eastAsia" w:ascii="Times New Roman Regular" w:hAnsi="Times New Roman Regular" w:cs="Times New Roman Regular"/>
                <w:color w:val="000000" w:themeColor="text1"/>
                <w:sz w:val="24"/>
                <w:highlight w:val="none"/>
                <w:lang w:eastAsia="zh-CN"/>
                <w14:textFill>
                  <w14:solidFill>
                    <w14:schemeClr w14:val="tx1"/>
                  </w14:solidFill>
                </w14:textFill>
              </w:rPr>
              <w:t>抑制</w:t>
            </w:r>
            <w:r>
              <w:rPr>
                <w:rFonts w:hint="default" w:ascii="Times New Roman Regular" w:hAnsi="Times New Roman Regular" w:cs="Times New Roman Regular"/>
                <w:color w:val="000000" w:themeColor="text1"/>
                <w:sz w:val="24"/>
                <w:highlight w:val="none"/>
                <w14:textFill>
                  <w14:solidFill>
                    <w14:schemeClr w14:val="tx1"/>
                  </w14:solidFill>
                </w14:textFill>
              </w:rPr>
              <w:t>扬尘的产生。物料装卸时，装载机应尽量靠近运输车辆，并尽可能缩小装卸时的高差，同时使用雾炮车进行喷雾抑尘，喷枪、喷头洒水雨雾均匀并自动旋转，角度可调</w:t>
            </w:r>
            <w:r>
              <w:rPr>
                <w:rFonts w:hint="default" w:ascii="Times New Roman Regular" w:hAnsi="Times New Roman Regular" w:cs="Times New Roman Regular"/>
                <w:color w:val="000000" w:themeColor="text1"/>
                <w:sz w:val="24"/>
                <w:highlight w:val="none"/>
                <w:lang w:eastAsia="zh-CN"/>
                <w14:textFill>
                  <w14:solidFill>
                    <w14:schemeClr w14:val="tx1"/>
                  </w14:solidFill>
                </w14:textFill>
              </w:rPr>
              <w:t>，</w:t>
            </w:r>
            <w:r>
              <w:rPr>
                <w:rFonts w:hint="default" w:ascii="Times New Roman Regular" w:hAnsi="Times New Roman Regular" w:cs="Times New Roman Regular"/>
                <w:color w:val="000000" w:themeColor="text1"/>
                <w:sz w:val="24"/>
                <w:highlight w:val="none"/>
                <w:lang w:val="en-US" w:eastAsia="zh-CN"/>
                <w14:textFill>
                  <w14:solidFill>
                    <w14:schemeClr w14:val="tx1"/>
                  </w14:solidFill>
                </w14:textFill>
              </w:rPr>
              <w:t>喷雾水罐位于车间内，定期加水，</w:t>
            </w:r>
            <w:r>
              <w:rPr>
                <w:rFonts w:hint="default" w:ascii="Times New Roman Regular" w:hAnsi="Times New Roman Regular" w:cs="Times New Roman Regular"/>
                <w:color w:val="000000" w:themeColor="text1"/>
                <w:sz w:val="24"/>
                <w:highlight w:val="none"/>
                <w:lang w:eastAsia="zh-CN"/>
                <w14:textFill>
                  <w14:solidFill>
                    <w14:schemeClr w14:val="tx1"/>
                  </w14:solidFill>
                </w14:textFill>
              </w:rPr>
              <w:t>为了防止喷雾装置冬季不能正常工作，要求在</w:t>
            </w:r>
            <w:r>
              <w:rPr>
                <w:rFonts w:hint="default" w:ascii="Times New Roman Regular" w:hAnsi="Times New Roman Regular" w:cs="Times New Roman Regular"/>
                <w:color w:val="000000" w:themeColor="text1"/>
                <w:sz w:val="24"/>
                <w:highlight w:val="none"/>
                <w:lang w:val="en-US" w:eastAsia="zh-CN"/>
                <w14:textFill>
                  <w14:solidFill>
                    <w14:schemeClr w14:val="tx1"/>
                  </w14:solidFill>
                </w14:textFill>
              </w:rPr>
              <w:t>罐体设置保温措施，</w:t>
            </w:r>
            <w:r>
              <w:rPr>
                <w:rFonts w:hint="default" w:ascii="Times New Roman Regular" w:hAnsi="Times New Roman Regular" w:cs="Times New Roman Regular"/>
                <w:color w:val="000000" w:themeColor="text1"/>
                <w:sz w:val="24"/>
                <w:highlight w:val="none"/>
                <w:lang w:eastAsia="zh-CN"/>
                <w14:textFill>
                  <w14:solidFill>
                    <w14:schemeClr w14:val="tx1"/>
                  </w14:solidFill>
                </w14:textFill>
              </w:rPr>
              <w:t>输水管道上增加一层保温层，在管线的尾部加装放水阀，维持一直流水的状态，放水经收集后可用于洒水抑尘</w:t>
            </w:r>
            <w:r>
              <w:rPr>
                <w:rFonts w:hint="default" w:ascii="Times New Roman Regular" w:hAnsi="Times New Roman Regular" w:cs="Times New Roman Regular"/>
                <w:color w:val="000000" w:themeColor="text1"/>
                <w:sz w:val="24"/>
                <w:szCs w:val="24"/>
                <w:highlight w:val="none"/>
                <w:lang w:val="en-US" w:eastAsia="zh-CN"/>
                <w14:textFill>
                  <w14:solidFill>
                    <w14:schemeClr w14:val="tx1"/>
                  </w14:solidFill>
                </w14:textFill>
              </w:rPr>
              <w:t>。</w:t>
            </w:r>
          </w:p>
          <w:p w14:paraId="73D5C51E">
            <w:pPr>
              <w:keepNext w:val="0"/>
              <w:keepLines w:val="0"/>
              <w:suppressLineNumbers w:val="0"/>
              <w:spacing w:before="0" w:beforeAutospacing="0" w:after="0" w:afterAutospacing="0" w:line="480" w:lineRule="exact"/>
              <w:ind w:left="0" w:right="0" w:firstLine="480" w:firstLineChars="200"/>
              <w:rPr>
                <w:rFonts w:hint="default" w:ascii="Times New Roman Regular" w:hAnsi="Times New Roman Regular" w:cs="Times New Roman Regular"/>
                <w:color w:val="000000" w:themeColor="text1"/>
                <w:sz w:val="24"/>
                <w:highlight w:val="none"/>
                <w14:textFill>
                  <w14:solidFill>
                    <w14:schemeClr w14:val="tx1"/>
                  </w14:solidFill>
                </w14:textFill>
              </w:rPr>
            </w:pPr>
            <w:r>
              <w:rPr>
                <w:rFonts w:hint="default" w:ascii="Times New Roman Regular" w:hAnsi="Times New Roman Regular" w:cs="Times New Roman Regular"/>
                <w:color w:val="000000" w:themeColor="text1"/>
                <w:sz w:val="24"/>
                <w:highlight w:val="none"/>
                <w14:textFill>
                  <w14:solidFill>
                    <w14:schemeClr w14:val="tx1"/>
                  </w14:solidFill>
                </w14:textFill>
              </w:rPr>
              <w:t>工业固体物料堆存颗粒物排放量核算公式如下：</w:t>
            </w:r>
          </w:p>
          <w:p w14:paraId="1F3F7320">
            <w:pPr>
              <w:pStyle w:val="20"/>
              <w:keepNext w:val="0"/>
              <w:keepLines w:val="0"/>
              <w:suppressLineNumbers w:val="0"/>
              <w:spacing w:before="0" w:beforeAutospacing="0" w:after="0" w:afterAutospacing="0" w:line="480" w:lineRule="exact"/>
              <w:ind w:left="0" w:right="0"/>
              <w:jc w:val="center"/>
              <w:rPr>
                <w:rFonts w:hint="default" w:ascii="Times New Roman Regular" w:hAnsi="Times New Roman Regular" w:cs="Times New Roman Regular"/>
                <w:color w:val="000000" w:themeColor="text1"/>
                <w:sz w:val="24"/>
                <w:highlight w:val="none"/>
                <w14:textFill>
                  <w14:solidFill>
                    <w14:schemeClr w14:val="tx1"/>
                  </w14:solidFill>
                </w14:textFill>
              </w:rPr>
            </w:pPr>
            <w:r>
              <w:rPr>
                <w:rFonts w:hint="default" w:ascii="Times New Roman Regular" w:hAnsi="Times New Roman Regular" w:cs="Times New Roman Regular"/>
                <w:color w:val="000000" w:themeColor="text1"/>
                <w:sz w:val="24"/>
                <w:highlight w:val="none"/>
                <w14:textFill>
                  <w14:solidFill>
                    <w14:schemeClr w14:val="tx1"/>
                  </w14:solidFill>
                </w14:textFill>
              </w:rPr>
              <w:t>U</w:t>
            </w:r>
            <w:r>
              <w:rPr>
                <w:rFonts w:hint="default" w:ascii="Times New Roman Regular" w:hAnsi="Times New Roman Regular" w:cs="Times New Roman Regular"/>
                <w:color w:val="000000" w:themeColor="text1"/>
                <w:sz w:val="24"/>
                <w:highlight w:val="none"/>
                <w:vertAlign w:val="subscript"/>
                <w14:textFill>
                  <w14:solidFill>
                    <w14:schemeClr w14:val="tx1"/>
                  </w14:solidFill>
                </w14:textFill>
              </w:rPr>
              <w:t>c</w:t>
            </w:r>
            <w:r>
              <w:rPr>
                <w:rFonts w:hint="default" w:ascii="Times New Roman Regular" w:hAnsi="Times New Roman Regular" w:cs="Times New Roman Regular"/>
                <w:color w:val="000000" w:themeColor="text1"/>
                <w:sz w:val="24"/>
                <w:highlight w:val="none"/>
                <w14:textFill>
                  <w14:solidFill>
                    <w14:schemeClr w14:val="tx1"/>
                  </w14:solidFill>
                </w14:textFill>
              </w:rPr>
              <w:t>=P×(1-C</w:t>
            </w:r>
            <w:r>
              <w:rPr>
                <w:rFonts w:hint="default" w:ascii="Times New Roman Regular" w:hAnsi="Times New Roman Regular" w:cs="Times New Roman Regular"/>
                <w:color w:val="000000" w:themeColor="text1"/>
                <w:sz w:val="24"/>
                <w:highlight w:val="none"/>
                <w:vertAlign w:val="subscript"/>
                <w14:textFill>
                  <w14:solidFill>
                    <w14:schemeClr w14:val="tx1"/>
                  </w14:solidFill>
                </w14:textFill>
              </w:rPr>
              <w:t>m</w:t>
            </w:r>
            <w:r>
              <w:rPr>
                <w:rFonts w:hint="default" w:ascii="Times New Roman Regular" w:hAnsi="Times New Roman Regular" w:cs="Times New Roman Regular"/>
                <w:color w:val="000000" w:themeColor="text1"/>
                <w:sz w:val="24"/>
                <w:highlight w:val="none"/>
                <w14:textFill>
                  <w14:solidFill>
                    <w14:schemeClr w14:val="tx1"/>
                  </w14:solidFill>
                </w14:textFill>
              </w:rPr>
              <w:t>)×(1-T</w:t>
            </w:r>
            <w:r>
              <w:rPr>
                <w:rFonts w:hint="default" w:ascii="Times New Roman Regular" w:hAnsi="Times New Roman Regular" w:cs="Times New Roman Regular"/>
                <w:color w:val="000000" w:themeColor="text1"/>
                <w:sz w:val="24"/>
                <w:highlight w:val="none"/>
                <w:vertAlign w:val="subscript"/>
                <w14:textFill>
                  <w14:solidFill>
                    <w14:schemeClr w14:val="tx1"/>
                  </w14:solidFill>
                </w14:textFill>
              </w:rPr>
              <w:t>m</w:t>
            </w:r>
            <w:r>
              <w:rPr>
                <w:rFonts w:hint="default" w:ascii="Times New Roman Regular" w:hAnsi="Times New Roman Regular" w:cs="Times New Roman Regular"/>
                <w:color w:val="000000" w:themeColor="text1"/>
                <w:sz w:val="24"/>
                <w:highlight w:val="none"/>
                <w14:textFill>
                  <w14:solidFill>
                    <w14:schemeClr w14:val="tx1"/>
                  </w14:solidFill>
                </w14:textFill>
              </w:rPr>
              <w:t>)</w:t>
            </w:r>
          </w:p>
          <w:p w14:paraId="662578C0">
            <w:pPr>
              <w:keepNext w:val="0"/>
              <w:keepLines w:val="0"/>
              <w:suppressLineNumbers w:val="0"/>
              <w:spacing w:before="0" w:beforeAutospacing="0" w:after="0" w:afterAutospacing="0" w:line="480" w:lineRule="exact"/>
              <w:ind w:left="0" w:right="0" w:firstLine="480" w:firstLineChars="200"/>
              <w:rPr>
                <w:rFonts w:hint="default" w:ascii="Times New Roman Regular" w:hAnsi="Times New Roman Regular" w:cs="Times New Roman Regular"/>
                <w:color w:val="000000" w:themeColor="text1"/>
                <w:sz w:val="24"/>
                <w:highlight w:val="none"/>
                <w14:textFill>
                  <w14:solidFill>
                    <w14:schemeClr w14:val="tx1"/>
                  </w14:solidFill>
                </w14:textFill>
              </w:rPr>
            </w:pPr>
            <w:r>
              <w:rPr>
                <w:rFonts w:hint="default" w:ascii="Times New Roman Regular" w:hAnsi="Times New Roman Regular" w:cs="Times New Roman Regular"/>
                <w:color w:val="000000" w:themeColor="text1"/>
                <w:sz w:val="24"/>
                <w:highlight w:val="none"/>
                <w14:textFill>
                  <w14:solidFill>
                    <w14:schemeClr w14:val="tx1"/>
                  </w14:solidFill>
                </w14:textFill>
              </w:rPr>
              <w:t>式中：P指颗粒物产生量（单位：吨）；</w:t>
            </w:r>
          </w:p>
          <w:p w14:paraId="3607BCB3">
            <w:pPr>
              <w:keepNext w:val="0"/>
              <w:keepLines w:val="0"/>
              <w:suppressLineNumbers w:val="0"/>
              <w:spacing w:before="0" w:beforeAutospacing="0" w:after="0" w:afterAutospacing="0" w:line="480" w:lineRule="exact"/>
              <w:ind w:left="0" w:right="0" w:firstLine="1200" w:firstLineChars="500"/>
              <w:rPr>
                <w:rFonts w:hint="default" w:ascii="Times New Roman Regular" w:hAnsi="Times New Roman Regular" w:cs="Times New Roman Regular"/>
                <w:color w:val="000000" w:themeColor="text1"/>
                <w:sz w:val="24"/>
                <w:highlight w:val="none"/>
                <w14:textFill>
                  <w14:solidFill>
                    <w14:schemeClr w14:val="tx1"/>
                  </w14:solidFill>
                </w14:textFill>
              </w:rPr>
            </w:pPr>
            <w:r>
              <w:rPr>
                <w:rFonts w:hint="default" w:ascii="Times New Roman Regular" w:hAnsi="Times New Roman Regular" w:cs="Times New Roman Regular"/>
                <w:color w:val="000000" w:themeColor="text1"/>
                <w:sz w:val="24"/>
                <w:highlight w:val="none"/>
                <w14:textFill>
                  <w14:solidFill>
                    <w14:schemeClr w14:val="tx1"/>
                  </w14:solidFill>
                </w14:textFill>
              </w:rPr>
              <w:t>U</w:t>
            </w:r>
            <w:r>
              <w:rPr>
                <w:rFonts w:hint="default" w:ascii="Times New Roman Regular" w:hAnsi="Times New Roman Regular" w:cs="Times New Roman Regular"/>
                <w:color w:val="000000" w:themeColor="text1"/>
                <w:sz w:val="24"/>
                <w:highlight w:val="none"/>
                <w:vertAlign w:val="subscript"/>
                <w14:textFill>
                  <w14:solidFill>
                    <w14:schemeClr w14:val="tx1"/>
                  </w14:solidFill>
                </w14:textFill>
              </w:rPr>
              <w:t>c</w:t>
            </w:r>
            <w:r>
              <w:rPr>
                <w:rFonts w:hint="default" w:ascii="Times New Roman Regular" w:hAnsi="Times New Roman Regular" w:cs="Times New Roman Regular"/>
                <w:color w:val="000000" w:themeColor="text1"/>
                <w:sz w:val="24"/>
                <w:highlight w:val="none"/>
                <w14:textFill>
                  <w14:solidFill>
                    <w14:schemeClr w14:val="tx1"/>
                  </w14:solidFill>
                </w14:textFill>
              </w:rPr>
              <w:t>指颗粒物排放量（单位：吨）；</w:t>
            </w:r>
          </w:p>
          <w:p w14:paraId="06867E85">
            <w:pPr>
              <w:keepNext w:val="0"/>
              <w:keepLines w:val="0"/>
              <w:suppressLineNumbers w:val="0"/>
              <w:spacing w:before="0" w:beforeAutospacing="0" w:after="0" w:afterAutospacing="0" w:line="480" w:lineRule="exact"/>
              <w:ind w:left="0" w:right="0" w:firstLine="1200" w:firstLineChars="500"/>
              <w:rPr>
                <w:rFonts w:hint="default" w:ascii="Times New Roman Regular" w:hAnsi="Times New Roman Regular" w:cs="Times New Roman Regular"/>
                <w:color w:val="000000" w:themeColor="text1"/>
                <w:sz w:val="24"/>
                <w:highlight w:val="none"/>
                <w14:textFill>
                  <w14:solidFill>
                    <w14:schemeClr w14:val="tx1"/>
                  </w14:solidFill>
                </w14:textFill>
              </w:rPr>
            </w:pPr>
            <w:r>
              <w:rPr>
                <w:rFonts w:hint="default" w:ascii="Times New Roman Regular" w:hAnsi="Times New Roman Regular" w:cs="Times New Roman Regular"/>
                <w:color w:val="000000" w:themeColor="text1"/>
                <w:sz w:val="24"/>
                <w:highlight w:val="none"/>
                <w14:textFill>
                  <w14:solidFill>
                    <w14:schemeClr w14:val="tx1"/>
                  </w14:solidFill>
                </w14:textFill>
              </w:rPr>
              <w:t>C</w:t>
            </w:r>
            <w:r>
              <w:rPr>
                <w:rFonts w:hint="default" w:ascii="Times New Roman Regular" w:hAnsi="Times New Roman Regular" w:cs="Times New Roman Regular"/>
                <w:color w:val="000000" w:themeColor="text1"/>
                <w:sz w:val="24"/>
                <w:highlight w:val="none"/>
                <w:vertAlign w:val="subscript"/>
                <w14:textFill>
                  <w14:solidFill>
                    <w14:schemeClr w14:val="tx1"/>
                  </w14:solidFill>
                </w14:textFill>
              </w:rPr>
              <w:t>m</w:t>
            </w:r>
            <w:r>
              <w:rPr>
                <w:rFonts w:hint="default" w:ascii="Times New Roman Regular" w:hAnsi="Times New Roman Regular" w:cs="Times New Roman Regular"/>
                <w:color w:val="000000" w:themeColor="text1"/>
                <w:sz w:val="24"/>
                <w:highlight w:val="none"/>
                <w14:textFill>
                  <w14:solidFill>
                    <w14:schemeClr w14:val="tx1"/>
                  </w14:solidFill>
                </w14:textFill>
              </w:rPr>
              <w:t>指颗粒物控制措施控制效率（单位：%）（本项目采用洒水抑尘措施，控制效率取值74%）；</w:t>
            </w:r>
          </w:p>
          <w:p w14:paraId="0C101638">
            <w:pPr>
              <w:keepNext w:val="0"/>
              <w:keepLines w:val="0"/>
              <w:suppressLineNumbers w:val="0"/>
              <w:spacing w:before="0" w:beforeAutospacing="0" w:after="0" w:afterAutospacing="0" w:line="480" w:lineRule="exact"/>
              <w:ind w:left="0" w:right="0" w:firstLine="1200" w:firstLineChars="500"/>
              <w:rPr>
                <w:rFonts w:hint="default" w:ascii="Times New Roman Regular" w:hAnsi="Times New Roman Regular" w:cs="Times New Roman Regular"/>
                <w:color w:val="000000" w:themeColor="text1"/>
                <w:sz w:val="24"/>
                <w:highlight w:val="none"/>
                <w14:textFill>
                  <w14:solidFill>
                    <w14:schemeClr w14:val="tx1"/>
                  </w14:solidFill>
                </w14:textFill>
              </w:rPr>
            </w:pPr>
            <w:r>
              <w:rPr>
                <w:rFonts w:hint="default" w:ascii="Times New Roman Regular" w:hAnsi="Times New Roman Regular" w:cs="Times New Roman Regular"/>
                <w:color w:val="000000" w:themeColor="text1"/>
                <w:sz w:val="24"/>
                <w:highlight w:val="none"/>
                <w14:textFill>
                  <w14:solidFill>
                    <w14:schemeClr w14:val="tx1"/>
                  </w14:solidFill>
                </w14:textFill>
              </w:rPr>
              <w:t>T</w:t>
            </w:r>
            <w:r>
              <w:rPr>
                <w:rFonts w:hint="default" w:ascii="Times New Roman Regular" w:hAnsi="Times New Roman Regular" w:cs="Times New Roman Regular"/>
                <w:color w:val="000000" w:themeColor="text1"/>
                <w:sz w:val="24"/>
                <w:highlight w:val="none"/>
                <w:vertAlign w:val="subscript"/>
                <w14:textFill>
                  <w14:solidFill>
                    <w14:schemeClr w14:val="tx1"/>
                  </w14:solidFill>
                </w14:textFill>
              </w:rPr>
              <w:t>m</w:t>
            </w:r>
            <w:r>
              <w:rPr>
                <w:rFonts w:hint="default" w:ascii="Times New Roman Regular" w:hAnsi="Times New Roman Regular" w:cs="Times New Roman Regular"/>
                <w:color w:val="000000" w:themeColor="text1"/>
                <w:sz w:val="24"/>
                <w:highlight w:val="none"/>
                <w14:textFill>
                  <w14:solidFill>
                    <w14:schemeClr w14:val="tx1"/>
                  </w14:solidFill>
                </w14:textFill>
              </w:rPr>
              <w:t>指堆场类型控制效率（单位：%）（本项目采用全封闭式储库储存，属于密闭式，取值99%）；</w:t>
            </w:r>
          </w:p>
          <w:p w14:paraId="18501C88">
            <w:pPr>
              <w:keepNext w:val="0"/>
              <w:keepLines w:val="0"/>
              <w:suppressLineNumbers w:val="0"/>
              <w:spacing w:before="0" w:beforeAutospacing="0" w:after="0" w:afterAutospacing="0" w:line="480" w:lineRule="exact"/>
              <w:ind w:left="0" w:right="0" w:firstLine="480" w:firstLineChars="200"/>
              <w:rPr>
                <w:rFonts w:hint="default" w:ascii="Times New Roman Regular" w:hAnsi="Times New Roman Regular" w:eastAsia="宋体" w:cs="Times New Roman Regular"/>
                <w:color w:val="000000" w:themeColor="text1"/>
                <w:sz w:val="24"/>
                <w:highlight w:val="none"/>
                <w:lang w:eastAsia="zh-CN"/>
                <w14:textFill>
                  <w14:solidFill>
                    <w14:schemeClr w14:val="tx1"/>
                  </w14:solidFill>
                </w14:textFill>
              </w:rPr>
            </w:pPr>
            <w:r>
              <w:rPr>
                <w:rFonts w:hint="default" w:ascii="Times New Roman Regular" w:hAnsi="Times New Roman Regular" w:cs="Times New Roman Regular"/>
                <w:color w:val="000000" w:themeColor="text1"/>
                <w:sz w:val="24"/>
                <w:highlight w:val="none"/>
                <w14:textFill>
                  <w14:solidFill>
                    <w14:schemeClr w14:val="tx1"/>
                  </w14:solidFill>
                </w14:textFill>
              </w:rPr>
              <w:t>经过上述计算，采取措施后，原料和成品堆存颗粒物排放量为</w:t>
            </w:r>
            <w:r>
              <w:rPr>
                <w:rFonts w:hint="default" w:ascii="Times New Roman Regular" w:hAnsi="Times New Roman Regular" w:cs="Times New Roman Regular"/>
                <w:color w:val="000000" w:themeColor="text1"/>
                <w:sz w:val="24"/>
                <w:highlight w:val="none"/>
                <w:lang w:eastAsia="zh-CN"/>
                <w14:textFill>
                  <w14:solidFill>
                    <w14:schemeClr w14:val="tx1"/>
                  </w14:solidFill>
                </w14:textFill>
              </w:rPr>
              <w:t>：</w:t>
            </w:r>
          </w:p>
          <w:p w14:paraId="314EC14A">
            <w:pPr>
              <w:keepNext w:val="0"/>
              <w:keepLines w:val="0"/>
              <w:suppressLineNumbers w:val="0"/>
              <w:spacing w:before="0" w:beforeAutospacing="0" w:after="0" w:afterAutospacing="0" w:line="480" w:lineRule="exact"/>
              <w:ind w:left="0" w:right="0" w:firstLine="480" w:firstLineChars="200"/>
              <w:rPr>
                <w:rFonts w:hint="default" w:ascii="Times New Roman Regular" w:hAnsi="Times New Roman Regular" w:cs="Times New Roman Regular"/>
                <w:color w:val="000000" w:themeColor="text1"/>
                <w:sz w:val="24"/>
                <w:szCs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489.8t/a</w:t>
            </w:r>
            <w:r>
              <w:rPr>
                <w:rFonts w:hint="default" w:ascii="Times New Roman Regular" w:hAnsi="Times New Roman Regular" w:cs="Times New Roman Regular"/>
                <w:color w:val="000000" w:themeColor="text1"/>
                <w:sz w:val="24"/>
                <w:highlight w:val="none"/>
                <w14:textFill>
                  <w14:solidFill>
                    <w14:schemeClr w14:val="tx1"/>
                  </w14:solidFill>
                </w14:textFill>
              </w:rPr>
              <w:t>×</w:t>
            </w:r>
            <w:r>
              <w:rPr>
                <w:rFonts w:hint="eastAsia" w:ascii="Times New Roman Regular" w:hAnsi="Times New Roman Regular" w:cs="Times New Roman Regular"/>
                <w:color w:val="000000" w:themeColor="text1"/>
                <w:sz w:val="24"/>
                <w:highlight w:val="none"/>
                <w:lang w:val="en-US" w:eastAsia="zh-CN"/>
                <w14:textFill>
                  <w14:solidFill>
                    <w14:schemeClr w14:val="tx1"/>
                  </w14:solidFill>
                </w14:textFill>
              </w:rPr>
              <w:t>（</w:t>
            </w:r>
            <w:r>
              <w:rPr>
                <w:rFonts w:hint="default" w:ascii="Times New Roman Regular" w:hAnsi="Times New Roman Regular" w:cs="Times New Roman Regular"/>
                <w:color w:val="000000" w:themeColor="text1"/>
                <w:sz w:val="24"/>
                <w:highlight w:val="none"/>
                <w14:textFill>
                  <w14:solidFill>
                    <w14:schemeClr w14:val="tx1"/>
                  </w14:solidFill>
                </w14:textFill>
              </w:rPr>
              <w:t>1-</w:t>
            </w:r>
            <w:r>
              <w:rPr>
                <w:rFonts w:hint="default" w:ascii="Times New Roman Regular" w:hAnsi="Times New Roman Regular" w:cs="Times New Roman Regular"/>
                <w:color w:val="000000" w:themeColor="text1"/>
                <w:sz w:val="24"/>
                <w:highlight w:val="none"/>
                <w:lang w:val="en-US" w:eastAsia="zh-CN"/>
                <w14:textFill>
                  <w14:solidFill>
                    <w14:schemeClr w14:val="tx1"/>
                  </w14:solidFill>
                </w14:textFill>
              </w:rPr>
              <w:t>74%</w:t>
            </w:r>
            <w:r>
              <w:rPr>
                <w:rFonts w:hint="eastAsia" w:ascii="Times New Roman Regular" w:hAnsi="Times New Roman Regular" w:cs="Times New Roman Regular"/>
                <w:color w:val="000000" w:themeColor="text1"/>
                <w:sz w:val="24"/>
                <w:highlight w:val="none"/>
                <w:lang w:val="en-US" w:eastAsia="zh-CN"/>
                <w14:textFill>
                  <w14:solidFill>
                    <w14:schemeClr w14:val="tx1"/>
                  </w14:solidFill>
                </w14:textFill>
              </w:rPr>
              <w:t>）</w:t>
            </w:r>
            <w:r>
              <w:rPr>
                <w:rFonts w:hint="default" w:ascii="Times New Roman Regular" w:hAnsi="Times New Roman Regular" w:cs="Times New Roman Regular"/>
                <w:color w:val="000000" w:themeColor="text1"/>
                <w:sz w:val="24"/>
                <w:highlight w:val="none"/>
                <w14:textFill>
                  <w14:solidFill>
                    <w14:schemeClr w14:val="tx1"/>
                  </w14:solidFill>
                </w14:textFill>
              </w:rPr>
              <w:t>×</w:t>
            </w:r>
            <w:r>
              <w:rPr>
                <w:rFonts w:hint="eastAsia" w:ascii="Times New Roman Regular" w:hAnsi="Times New Roman Regular" w:cs="Times New Roman Regular"/>
                <w:color w:val="000000" w:themeColor="text1"/>
                <w:sz w:val="24"/>
                <w:highlight w:val="none"/>
                <w:lang w:val="en-US" w:eastAsia="zh-CN"/>
                <w14:textFill>
                  <w14:solidFill>
                    <w14:schemeClr w14:val="tx1"/>
                  </w14:solidFill>
                </w14:textFill>
              </w:rPr>
              <w:t>（</w:t>
            </w:r>
            <w:r>
              <w:rPr>
                <w:rFonts w:hint="default" w:ascii="Times New Roman Regular" w:hAnsi="Times New Roman Regular" w:cs="Times New Roman Regular"/>
                <w:color w:val="000000" w:themeColor="text1"/>
                <w:sz w:val="24"/>
                <w:highlight w:val="none"/>
                <w14:textFill>
                  <w14:solidFill>
                    <w14:schemeClr w14:val="tx1"/>
                  </w14:solidFill>
                </w14:textFill>
              </w:rPr>
              <w:t>1-99%</w:t>
            </w:r>
            <w:r>
              <w:rPr>
                <w:rFonts w:hint="default" w:ascii="Times New Roman Regular" w:hAnsi="Times New Roman Regular" w:cs="Times New Roman Regular"/>
                <w:color w:val="000000" w:themeColor="text1"/>
                <w:sz w:val="24"/>
                <w:highlight w:val="none"/>
                <w:lang w:eastAsia="zh-CN"/>
                <w14:textFill>
                  <w14:solidFill>
                    <w14:schemeClr w14:val="tx1"/>
                  </w14:solidFill>
                </w14:textFill>
              </w:rPr>
              <w:t>）</w:t>
            </w:r>
            <w:r>
              <w:rPr>
                <w:rFonts w:hint="default" w:ascii="Times New Roman Regular" w:hAnsi="Times New Roman Regular" w:cs="Times New Roman Regular"/>
                <w:color w:val="000000" w:themeColor="text1"/>
                <w:sz w:val="24"/>
                <w:highlight w:val="none"/>
                <w:lang w:val="en-US" w:eastAsia="zh-CN"/>
                <w14:textFill>
                  <w14:solidFill>
                    <w14:schemeClr w14:val="tx1"/>
                  </w14:solidFill>
                </w14:textFill>
              </w:rPr>
              <w:t>=</w:t>
            </w:r>
            <w:r>
              <w:rPr>
                <w:rFonts w:hint="eastAsia" w:ascii="Times New Roman Regular" w:hAnsi="Times New Roman Regular" w:cs="Times New Roman Regular"/>
                <w:color w:val="000000" w:themeColor="text1"/>
                <w:sz w:val="24"/>
                <w:highlight w:val="none"/>
                <w:lang w:val="en-US" w:eastAsia="zh-CN"/>
                <w14:textFill>
                  <w14:solidFill>
                    <w14:schemeClr w14:val="tx1"/>
                  </w14:solidFill>
                </w14:textFill>
              </w:rPr>
              <w:t>1.27</w:t>
            </w:r>
            <w:r>
              <w:rPr>
                <w:rFonts w:hint="default" w:ascii="Times New Roman Regular" w:hAnsi="Times New Roman Regular" w:cs="Times New Roman Regular"/>
                <w:color w:val="000000" w:themeColor="text1"/>
                <w:sz w:val="24"/>
                <w:highlight w:val="none"/>
                <w:lang w:eastAsia="zh-CN"/>
                <w14:textFill>
                  <w14:solidFill>
                    <w14:schemeClr w14:val="tx1"/>
                  </w14:solidFill>
                </w14:textFill>
              </w:rPr>
              <w:t>t/a</w:t>
            </w:r>
          </w:p>
          <w:p w14:paraId="0C627C24">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3</w:t>
            </w:r>
            <w:r>
              <w:rPr>
                <w:rFonts w:hint="eastAsia" w:cs="Times New Roman"/>
                <w:color w:val="000000" w:themeColor="text1"/>
                <w:sz w:val="24"/>
                <w:highlight w:val="none"/>
                <w:lang w:eastAsia="zh-CN"/>
                <w14:textFill>
                  <w14:solidFill>
                    <w14:schemeClr w14:val="tx1"/>
                  </w14:solidFill>
                </w14:textFill>
              </w:rPr>
              <w:t>）</w:t>
            </w:r>
            <w:r>
              <w:rPr>
                <w:rFonts w:hint="default"/>
                <w:bCs/>
                <w:color w:val="000000" w:themeColor="text1"/>
                <w:sz w:val="24"/>
                <w14:textFill>
                  <w14:solidFill>
                    <w14:schemeClr w14:val="tx1"/>
                  </w14:solidFill>
                </w14:textFill>
              </w:rPr>
              <w:t>皮带运输及衔接转载产生的</w:t>
            </w:r>
            <w:r>
              <w:rPr>
                <w:rFonts w:hint="eastAsia"/>
                <w:bCs/>
                <w:color w:val="000000" w:themeColor="text1"/>
                <w:sz w:val="24"/>
                <w:lang w:val="en-US" w:eastAsia="zh-CN"/>
                <w14:textFill>
                  <w14:solidFill>
                    <w14:schemeClr w14:val="tx1"/>
                  </w14:solidFill>
                </w14:textFill>
              </w:rPr>
              <w:t>废气</w:t>
            </w:r>
          </w:p>
          <w:p w14:paraId="4B0B68B6">
            <w:pPr>
              <w:pStyle w:val="6"/>
              <w:keepNext w:val="0"/>
              <w:keepLines w:val="0"/>
              <w:suppressLineNumbers w:val="0"/>
              <w:spacing w:before="0" w:beforeAutospacing="0" w:after="0" w:afterAutospacing="0" w:line="480" w:lineRule="exact"/>
              <w:ind w:left="0" w:right="0" w:firstLine="480"/>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lang w:eastAsia="zh-CN"/>
                <w14:textFill>
                  <w14:solidFill>
                    <w14:schemeClr w14:val="tx1"/>
                  </w14:solidFill>
                </w14:textFill>
              </w:rPr>
              <w:t>本项目生产过程中物料在各工段间输送转载主要通过皮带进行输送和转载，在物料输送过程中会产生一定量的粉尘。</w:t>
            </w:r>
          </w:p>
          <w:p w14:paraId="7B2C5884">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olor w:val="000000" w:themeColor="text1"/>
                <w:sz w:val="24"/>
                <w:lang w:eastAsia="zh-CN"/>
                <w14:textFill>
                  <w14:solidFill>
                    <w14:schemeClr w14:val="tx1"/>
                  </w14:solidFill>
                </w14:textFill>
              </w:rPr>
            </w:pPr>
            <w:r>
              <w:rPr>
                <w:rFonts w:hint="default" w:ascii="Times New Roman" w:hAnsi="Times New Roman"/>
                <w:color w:val="000000" w:themeColor="text1"/>
                <w:sz w:val="24"/>
                <w:lang w:eastAsia="zh-CN"/>
                <w14:textFill>
                  <w14:solidFill>
                    <w14:schemeClr w14:val="tx1"/>
                  </w14:solidFill>
                </w14:textFill>
              </w:rPr>
              <w:t>评价要求：</w:t>
            </w:r>
          </w:p>
          <w:p w14:paraId="3DD18D50">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①</w:t>
            </w:r>
            <w:r>
              <w:rPr>
                <w:rFonts w:hint="default" w:ascii="Times New Roman" w:hAnsi="Times New Roman"/>
                <w:color w:val="000000" w:themeColor="text1"/>
                <w:sz w:val="24"/>
                <w:lang w:eastAsia="zh-CN"/>
                <w14:textFill>
                  <w14:solidFill>
                    <w14:schemeClr w14:val="tx1"/>
                  </w14:solidFill>
                </w14:textFill>
              </w:rPr>
              <w:t>所有输送、转运设备全部安装在全封闭的加工车间内，并采用轻钢结构对物料输送皮带进行全封闭处理，降低物料跌落高度；</w:t>
            </w:r>
          </w:p>
          <w:p w14:paraId="2904E2D4">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②</w:t>
            </w:r>
            <w:r>
              <w:rPr>
                <w:rFonts w:hint="default" w:ascii="Times New Roman" w:hAnsi="Times New Roman"/>
                <w:color w:val="000000" w:themeColor="text1"/>
                <w:sz w:val="24"/>
                <w:lang w:eastAsia="zh-CN"/>
                <w14:textFill>
                  <w14:solidFill>
                    <w14:schemeClr w14:val="tx1"/>
                  </w14:solidFill>
                </w14:textFill>
              </w:rPr>
              <w:t>在原料堆放处、皮带转运跌落点处</w:t>
            </w:r>
            <w:r>
              <w:rPr>
                <w:rFonts w:hint="eastAsia"/>
                <w:color w:val="000000" w:themeColor="text1"/>
                <w:sz w:val="24"/>
                <w:lang w:eastAsia="zh-CN"/>
                <w14:textFill>
                  <w14:solidFill>
                    <w14:schemeClr w14:val="tx1"/>
                  </w14:solidFill>
                </w14:textFill>
              </w:rPr>
              <w:t>设置</w:t>
            </w:r>
            <w:r>
              <w:rPr>
                <w:rFonts w:hint="default" w:ascii="Times New Roman" w:hAnsi="Times New Roman"/>
                <w:color w:val="000000" w:themeColor="text1"/>
                <w:sz w:val="24"/>
                <w:lang w:eastAsia="zh-CN"/>
                <w14:textFill>
                  <w14:solidFill>
                    <w14:schemeClr w14:val="tx1"/>
                  </w14:solidFill>
                </w14:textFill>
              </w:rPr>
              <w:t>固定式雾化喷头，生产时适当喷雾抑尘；</w:t>
            </w:r>
          </w:p>
          <w:p w14:paraId="0C063C2D">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cs="Times New Roman"/>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③</w:t>
            </w:r>
            <w:r>
              <w:rPr>
                <w:rFonts w:hint="default" w:ascii="Times New Roman" w:hAnsi="Times New Roman"/>
                <w:color w:val="000000" w:themeColor="text1"/>
                <w:sz w:val="24"/>
                <w:lang w:eastAsia="zh-CN"/>
                <w14:textFill>
                  <w14:solidFill>
                    <w14:schemeClr w14:val="tx1"/>
                  </w14:solidFill>
                </w14:textFill>
              </w:rPr>
              <w:t>车间内跌落物料要及时清扫，定期洒水抑尘。采取本措施后在输送过程中粉尘排放量可忽略不计，本次评价不对此量化分析</w:t>
            </w:r>
            <w:r>
              <w:rPr>
                <w:rFonts w:hint="eastAsia" w:ascii="Times New Roman" w:hAnsi="Times New Roman"/>
                <w:color w:val="000000" w:themeColor="text1"/>
                <w:sz w:val="24"/>
                <w:lang w:eastAsia="zh-CN"/>
                <w14:textFill>
                  <w14:solidFill>
                    <w14:schemeClr w14:val="tx1"/>
                  </w14:solidFill>
                </w14:textFill>
              </w:rPr>
              <w:t>。</w:t>
            </w:r>
          </w:p>
          <w:p w14:paraId="6CF7B8E9">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（4）</w:t>
            </w:r>
            <w:r>
              <w:rPr>
                <w:rFonts w:hint="default"/>
                <w:bCs/>
                <w:color w:val="000000" w:themeColor="text1"/>
                <w:sz w:val="24"/>
                <w14:textFill>
                  <w14:solidFill>
                    <w14:schemeClr w14:val="tx1"/>
                  </w14:solidFill>
                </w14:textFill>
              </w:rPr>
              <w:t>给料、</w:t>
            </w:r>
            <w:r>
              <w:rPr>
                <w:rFonts w:hint="eastAsia"/>
                <w:bCs/>
                <w:color w:val="000000" w:themeColor="text1"/>
                <w:sz w:val="24"/>
                <w:lang w:val="en-US" w:eastAsia="zh-CN"/>
                <w14:textFill>
                  <w14:solidFill>
                    <w14:schemeClr w14:val="tx1"/>
                  </w14:solidFill>
                </w14:textFill>
              </w:rPr>
              <w:t>破碎</w:t>
            </w:r>
            <w:r>
              <w:rPr>
                <w:rFonts w:hint="default"/>
                <w:bCs/>
                <w:color w:val="000000" w:themeColor="text1"/>
                <w:sz w:val="24"/>
                <w14:textFill>
                  <w14:solidFill>
                    <w14:schemeClr w14:val="tx1"/>
                  </w14:solidFill>
                </w14:textFill>
              </w:rPr>
              <w:t>工序生产过程中产生的</w:t>
            </w:r>
            <w:r>
              <w:rPr>
                <w:rFonts w:hint="eastAsia"/>
                <w:bCs/>
                <w:color w:val="000000" w:themeColor="text1"/>
                <w:sz w:val="24"/>
                <w:lang w:val="en-US" w:eastAsia="zh-CN"/>
                <w14:textFill>
                  <w14:solidFill>
                    <w14:schemeClr w14:val="tx1"/>
                  </w14:solidFill>
                </w14:textFill>
              </w:rPr>
              <w:t>废气</w:t>
            </w:r>
          </w:p>
          <w:p w14:paraId="79F253A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eastAsia="黑体"/>
                <w:color w:val="000000" w:themeColor="text1"/>
                <w:sz w:val="24"/>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本项目原料在上料工序会有粉尘产生，年工作时间5280h，</w:t>
            </w:r>
            <w:r>
              <w:rPr>
                <w:rFonts w:hint="default"/>
                <w:color w:val="000000" w:themeColor="text1"/>
                <w:sz w:val="24"/>
                <w14:textFill>
                  <w14:solidFill>
                    <w14:schemeClr w14:val="tx1"/>
                  </w14:solidFill>
                </w14:textFill>
              </w:rPr>
              <w:t>评价要求</w:t>
            </w:r>
            <w:r>
              <w:rPr>
                <w:rFonts w:hint="eastAsia"/>
                <w:color w:val="000000" w:themeColor="text1"/>
                <w:sz w:val="24"/>
                <w:lang w:val="en-US" w:eastAsia="zh-CN"/>
                <w14:textFill>
                  <w14:solidFill>
                    <w14:schemeClr w14:val="tx1"/>
                  </w14:solidFill>
                </w14:textFill>
              </w:rPr>
              <w:t>给料机</w:t>
            </w:r>
            <w:r>
              <w:rPr>
                <w:rFonts w:hint="default"/>
                <w:color w:val="000000" w:themeColor="text1"/>
                <w:sz w:val="24"/>
                <w14:textFill>
                  <w14:solidFill>
                    <w14:schemeClr w14:val="tx1"/>
                  </w14:solidFill>
                </w14:textFill>
              </w:rPr>
              <w:t>上方设置</w:t>
            </w:r>
            <w:r>
              <w:rPr>
                <w:rFonts w:hint="eastAsia"/>
                <w:color w:val="000000" w:themeColor="text1"/>
                <w:sz w:val="24"/>
                <w:lang w:val="en-US" w:eastAsia="zh-CN"/>
                <w14:textFill>
                  <w14:solidFill>
                    <w14:schemeClr w14:val="tx1"/>
                  </w14:solidFill>
                </w14:textFill>
              </w:rPr>
              <w:t>1个顶吸式</w:t>
            </w:r>
            <w:r>
              <w:rPr>
                <w:rFonts w:hint="default"/>
                <w:color w:val="000000" w:themeColor="text1"/>
                <w:sz w:val="24"/>
                <w14:textFill>
                  <w14:solidFill>
                    <w14:schemeClr w14:val="tx1"/>
                  </w14:solidFill>
                </w14:textFill>
              </w:rPr>
              <w:t>集气罩，</w:t>
            </w:r>
            <w:r>
              <w:rPr>
                <w:rFonts w:hint="eastAsia"/>
                <w:color w:val="000000" w:themeColor="text1"/>
                <w:sz w:val="24"/>
                <w14:textFill>
                  <w14:solidFill>
                    <w14:schemeClr w14:val="tx1"/>
                  </w14:solidFill>
                </w14:textFill>
              </w:rPr>
              <w:t>废气经</w:t>
            </w:r>
            <w:r>
              <w:rPr>
                <w:rFonts w:hint="eastAsia"/>
                <w:color w:val="000000" w:themeColor="text1"/>
                <w:sz w:val="24"/>
                <w:lang w:val="en-US" w:eastAsia="zh-CN"/>
                <w14:textFill>
                  <w14:solidFill>
                    <w14:schemeClr w14:val="tx1"/>
                  </w14:solidFill>
                </w14:textFill>
              </w:rPr>
              <w:t>集气罩</w:t>
            </w:r>
            <w:r>
              <w:rPr>
                <w:rFonts w:hint="eastAsia"/>
                <w:color w:val="000000" w:themeColor="text1"/>
                <w:sz w:val="24"/>
                <w14:textFill>
                  <w14:solidFill>
                    <w14:schemeClr w14:val="tx1"/>
                  </w14:solidFill>
                </w14:textFill>
              </w:rPr>
              <w:t>收集后</w:t>
            </w:r>
            <w:r>
              <w:rPr>
                <w:rFonts w:hint="eastAsia"/>
                <w:color w:val="000000" w:themeColor="text1"/>
                <w:sz w:val="24"/>
                <w:highlight w:val="none"/>
                <w:lang w:val="en-US" w:eastAsia="zh-CN"/>
                <w14:textFill>
                  <w14:solidFill>
                    <w14:schemeClr w14:val="tx1"/>
                  </w14:solidFill>
                </w14:textFill>
              </w:rPr>
              <w:t>引入1台</w:t>
            </w:r>
            <w:r>
              <w:rPr>
                <w:rFonts w:hint="eastAsia"/>
                <w:color w:val="000000" w:themeColor="text1"/>
                <w:sz w:val="24"/>
                <w:highlight w:val="none"/>
                <w14:textFill>
                  <w14:solidFill>
                    <w14:schemeClr w14:val="tx1"/>
                  </w14:solidFill>
                </w14:textFill>
              </w:rPr>
              <w:t>布袋除尘器</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TA001</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14:textFill>
                  <w14:solidFill>
                    <w14:schemeClr w14:val="tx1"/>
                  </w14:solidFill>
                </w14:textFill>
              </w:rPr>
              <w:t>处理</w:t>
            </w:r>
            <w:r>
              <w:rPr>
                <w:rFonts w:hint="eastAsia"/>
                <w:color w:val="000000" w:themeColor="text1"/>
                <w:sz w:val="24"/>
                <w:lang w:val="en-US" w:eastAsia="zh-CN"/>
                <w14:textFill>
                  <w14:solidFill>
                    <w14:schemeClr w14:val="tx1"/>
                  </w14:solidFill>
                </w14:textFill>
              </w:rPr>
              <w:t>后</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由</w:t>
            </w:r>
            <w:r>
              <w:rPr>
                <w:rFonts w:hint="default"/>
                <w:color w:val="000000" w:themeColor="text1"/>
                <w:sz w:val="24"/>
                <w14:textFill>
                  <w14:solidFill>
                    <w14:schemeClr w14:val="tx1"/>
                  </w14:solidFill>
                </w14:textFill>
              </w:rPr>
              <w:t>1根15m高排气筒（</w:t>
            </w:r>
            <w:r>
              <w:rPr>
                <w:rFonts w:hint="eastAsia"/>
                <w:color w:val="000000" w:themeColor="text1"/>
                <w:sz w:val="24"/>
                <w14:textFill>
                  <w14:solidFill>
                    <w14:schemeClr w14:val="tx1"/>
                  </w14:solidFill>
                </w14:textFill>
              </w:rPr>
              <w:t>D</w:t>
            </w:r>
            <w:r>
              <w:rPr>
                <w:rFonts w:hint="default"/>
                <w:color w:val="000000" w:themeColor="text1"/>
                <w:sz w:val="24"/>
                <w14:textFill>
                  <w14:solidFill>
                    <w14:schemeClr w14:val="tx1"/>
                  </w14:solidFill>
                </w14:textFill>
              </w:rPr>
              <w:t>A001）排放。</w:t>
            </w:r>
            <w:r>
              <w:rPr>
                <w:rFonts w:hint="eastAsia"/>
                <w:color w:val="000000" w:themeColor="text1"/>
                <w:sz w:val="24"/>
                <w:lang w:val="en-US" w:eastAsia="zh-CN"/>
                <w14:textFill>
                  <w14:solidFill>
                    <w14:schemeClr w14:val="tx1"/>
                  </w14:solidFill>
                </w14:textFill>
              </w:rPr>
              <w:t>给料</w:t>
            </w:r>
            <w:r>
              <w:rPr>
                <w:rFonts w:hint="default"/>
                <w:color w:val="000000" w:themeColor="text1"/>
                <w:sz w:val="24"/>
                <w14:textFill>
                  <w14:solidFill>
                    <w14:schemeClr w14:val="tx1"/>
                  </w14:solidFill>
                </w14:textFill>
              </w:rPr>
              <w:t>工序集气罩技术参数表见表</w:t>
            </w:r>
            <w:r>
              <w:rPr>
                <w:rFonts w:hint="default"/>
                <w:b w:val="0"/>
                <w:bCs/>
                <w:color w:val="000000" w:themeColor="text1"/>
                <w:sz w:val="24"/>
                <w:szCs w:val="24"/>
                <w:lang w:val="en-US" w:eastAsia="zh-CN"/>
                <w14:textFill>
                  <w14:solidFill>
                    <w14:schemeClr w14:val="tx1"/>
                  </w14:solidFill>
                </w14:textFill>
              </w:rPr>
              <w:t>4</w:t>
            </w:r>
            <w:r>
              <w:rPr>
                <w:rFonts w:hint="eastAsia"/>
                <w:b w:val="0"/>
                <w:bCs/>
                <w:color w:val="000000" w:themeColor="text1"/>
                <w:sz w:val="24"/>
                <w:szCs w:val="24"/>
                <w:lang w:val="en-US" w:eastAsia="zh-CN"/>
                <w14:textFill>
                  <w14:solidFill>
                    <w14:schemeClr w14:val="tx1"/>
                  </w14:solidFill>
                </w14:textFill>
              </w:rPr>
              <w:t>.5-3</w:t>
            </w:r>
            <w:r>
              <w:rPr>
                <w:rFonts w:hint="eastAsia" w:eastAsia="黑体" w:cs="Times New Roman"/>
                <w:b w:val="0"/>
                <w:bCs w:val="0"/>
                <w:color w:val="000000" w:themeColor="text1"/>
                <w:lang w:eastAsia="zh-CN"/>
                <w14:textFill>
                  <w14:solidFill>
                    <w14:schemeClr w14:val="tx1"/>
                  </w14:solidFill>
                </w14:textFill>
              </w:rPr>
              <w:t>。</w:t>
            </w:r>
          </w:p>
          <w:p w14:paraId="548607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rightChars="0"/>
              <w:jc w:val="center"/>
              <w:textAlignment w:val="auto"/>
              <w:outlineLvl w:val="9"/>
              <w:rPr>
                <w:rFonts w:hint="eastAsia" w:ascii="黑体" w:hAnsi="黑体" w:eastAsia="黑体" w:cs="黑体"/>
                <w:b w:val="0"/>
                <w:bCs w:val="0"/>
                <w:color w:val="000000" w:themeColor="text1"/>
                <w14:textFill>
                  <w14:solidFill>
                    <w14:schemeClr w14:val="tx1"/>
                  </w14:solidFill>
                </w14:textFill>
              </w:rPr>
            </w:pPr>
            <w:r>
              <w:rPr>
                <w:rFonts w:hint="eastAsia"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t>表</w:t>
            </w:r>
            <w:r>
              <w:rPr>
                <w:rFonts w:hint="default"/>
                <w:b/>
                <w:bCs w:val="0"/>
                <w:color w:val="000000" w:themeColor="text1"/>
                <w:sz w:val="21"/>
                <w:szCs w:val="21"/>
                <w:lang w:val="en-US" w:eastAsia="zh-CN"/>
                <w14:textFill>
                  <w14:solidFill>
                    <w14:schemeClr w14:val="tx1"/>
                  </w14:solidFill>
                </w14:textFill>
              </w:rPr>
              <w:t>4</w:t>
            </w:r>
            <w:r>
              <w:rPr>
                <w:rFonts w:hint="eastAsia"/>
                <w:b/>
                <w:bCs w:val="0"/>
                <w:color w:val="000000" w:themeColor="text1"/>
                <w:sz w:val="21"/>
                <w:szCs w:val="21"/>
                <w:lang w:val="en-US" w:eastAsia="zh-CN"/>
                <w14:textFill>
                  <w14:solidFill>
                    <w14:schemeClr w14:val="tx1"/>
                  </w14:solidFill>
                </w14:textFill>
              </w:rPr>
              <w:t>.5-3</w:t>
            </w:r>
            <w:r>
              <w:rPr>
                <w:rFonts w:hint="eastAsia"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t xml:space="preserve">  集气罩设置参数一览表</w:t>
            </w:r>
          </w:p>
          <w:tbl>
            <w:tblPr>
              <w:tblStyle w:val="3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216"/>
              <w:gridCol w:w="1536"/>
              <w:gridCol w:w="1477"/>
              <w:gridCol w:w="1276"/>
              <w:gridCol w:w="1450"/>
            </w:tblGrid>
            <w:tr w14:paraId="2197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pct"/>
                  <w:tcBorders>
                    <w:tl2br w:val="nil"/>
                    <w:tr2bl w:val="nil"/>
                  </w:tcBorders>
                  <w:noWrap w:val="0"/>
                  <w:vAlign w:val="center"/>
                </w:tcPr>
                <w:p w14:paraId="062AD829">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设备名称</w:t>
                  </w:r>
                </w:p>
              </w:tc>
              <w:tc>
                <w:tcPr>
                  <w:tcW w:w="748" w:type="pct"/>
                  <w:tcBorders>
                    <w:tl2br w:val="nil"/>
                    <w:tr2bl w:val="nil"/>
                  </w:tcBorders>
                  <w:noWrap w:val="0"/>
                  <w:vAlign w:val="center"/>
                </w:tcPr>
                <w:p w14:paraId="5DC05293">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风罩位置</w:t>
                  </w:r>
                </w:p>
              </w:tc>
              <w:tc>
                <w:tcPr>
                  <w:tcW w:w="945" w:type="pct"/>
                  <w:tcBorders>
                    <w:tl2br w:val="nil"/>
                    <w:tr2bl w:val="nil"/>
                  </w:tcBorders>
                  <w:noWrap w:val="0"/>
                  <w:vAlign w:val="center"/>
                </w:tcPr>
                <w:p w14:paraId="65C14331">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进料口尺寸m</w:t>
                  </w:r>
                </w:p>
              </w:tc>
              <w:tc>
                <w:tcPr>
                  <w:tcW w:w="909" w:type="pct"/>
                  <w:tcBorders>
                    <w:tl2br w:val="nil"/>
                    <w:tr2bl w:val="nil"/>
                  </w:tcBorders>
                  <w:noWrap w:val="0"/>
                  <w:vAlign w:val="center"/>
                </w:tcPr>
                <w:p w14:paraId="5ED48777">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集气效率%</w:t>
                  </w:r>
                </w:p>
              </w:tc>
              <w:tc>
                <w:tcPr>
                  <w:tcW w:w="785" w:type="pct"/>
                  <w:tcBorders>
                    <w:tl2br w:val="nil"/>
                    <w:tr2bl w:val="nil"/>
                  </w:tcBorders>
                  <w:noWrap w:val="0"/>
                  <w:vAlign w:val="center"/>
                </w:tcPr>
                <w:p w14:paraId="6CC66E6C">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处理设备</w:t>
                  </w:r>
                </w:p>
              </w:tc>
              <w:tc>
                <w:tcPr>
                  <w:tcW w:w="892" w:type="pct"/>
                  <w:tcBorders>
                    <w:tl2br w:val="nil"/>
                    <w:tr2bl w:val="nil"/>
                  </w:tcBorders>
                  <w:noWrap w:val="0"/>
                  <w:vAlign w:val="center"/>
                </w:tcPr>
                <w:p w14:paraId="37B9B3DE">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排气筒编号</w:t>
                  </w:r>
                </w:p>
              </w:tc>
            </w:tr>
            <w:tr w14:paraId="1814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pct"/>
                  <w:tcBorders>
                    <w:tl2br w:val="nil"/>
                    <w:tr2bl w:val="nil"/>
                  </w:tcBorders>
                  <w:noWrap w:val="0"/>
                  <w:vAlign w:val="center"/>
                </w:tcPr>
                <w:p w14:paraId="2FF04147">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给料机</w:t>
                  </w:r>
                </w:p>
              </w:tc>
              <w:tc>
                <w:tcPr>
                  <w:tcW w:w="748" w:type="pct"/>
                  <w:tcBorders>
                    <w:tl2br w:val="nil"/>
                    <w:tr2bl w:val="nil"/>
                  </w:tcBorders>
                  <w:noWrap w:val="0"/>
                  <w:vAlign w:val="center"/>
                </w:tcPr>
                <w:p w14:paraId="59B2C735">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顶吸罩</w:t>
                  </w:r>
                </w:p>
              </w:tc>
              <w:tc>
                <w:tcPr>
                  <w:tcW w:w="945" w:type="pct"/>
                  <w:tcBorders>
                    <w:tl2br w:val="nil"/>
                    <w:tr2bl w:val="nil"/>
                  </w:tcBorders>
                  <w:noWrap w:val="0"/>
                  <w:vAlign w:val="center"/>
                </w:tcPr>
                <w:p w14:paraId="15F4943F">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1.5</w:t>
                  </w:r>
                  <w:r>
                    <w:rPr>
                      <w:rFonts w:hint="default"/>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1.5</w:t>
                  </w:r>
                </w:p>
              </w:tc>
              <w:tc>
                <w:tcPr>
                  <w:tcW w:w="909" w:type="pct"/>
                  <w:tcBorders>
                    <w:tl2br w:val="nil"/>
                    <w:tr2bl w:val="nil"/>
                  </w:tcBorders>
                  <w:noWrap w:val="0"/>
                  <w:vAlign w:val="center"/>
                </w:tcPr>
                <w:p w14:paraId="2545B353">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90</w:t>
                  </w:r>
                </w:p>
              </w:tc>
              <w:tc>
                <w:tcPr>
                  <w:tcW w:w="785" w:type="pct"/>
                  <w:tcBorders>
                    <w:tl2br w:val="nil"/>
                    <w:tr2bl w:val="nil"/>
                  </w:tcBorders>
                  <w:noWrap w:val="0"/>
                  <w:vAlign w:val="center"/>
                </w:tcPr>
                <w:p w14:paraId="17884CBD">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eastAsia" w:eastAsia="宋体"/>
                      <w:color w:val="000000" w:themeColor="text1"/>
                      <w:szCs w:val="21"/>
                      <w:lang w:eastAsia="zh-CN"/>
                      <w14:textFill>
                        <w14:solidFill>
                          <w14:schemeClr w14:val="tx1"/>
                        </w14:solidFill>
                      </w14:textFill>
                    </w:rPr>
                  </w:pPr>
                  <w:r>
                    <w:rPr>
                      <w:rFonts w:hint="default"/>
                      <w:color w:val="000000" w:themeColor="text1"/>
                      <w:szCs w:val="21"/>
                      <w14:textFill>
                        <w14:solidFill>
                          <w14:schemeClr w14:val="tx1"/>
                        </w14:solidFill>
                      </w14:textFill>
                    </w:rPr>
                    <w:t>布袋除尘器</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TA001</w:t>
                  </w:r>
                  <w:r>
                    <w:rPr>
                      <w:rFonts w:hint="eastAsia"/>
                      <w:color w:val="000000" w:themeColor="text1"/>
                      <w:szCs w:val="21"/>
                      <w:lang w:eastAsia="zh-CN"/>
                      <w14:textFill>
                        <w14:solidFill>
                          <w14:schemeClr w14:val="tx1"/>
                        </w14:solidFill>
                      </w14:textFill>
                    </w:rPr>
                    <w:t>）</w:t>
                  </w:r>
                </w:p>
              </w:tc>
              <w:tc>
                <w:tcPr>
                  <w:tcW w:w="892" w:type="pct"/>
                  <w:tcBorders>
                    <w:tl2br w:val="nil"/>
                    <w:tr2bl w:val="nil"/>
                  </w:tcBorders>
                  <w:noWrap w:val="0"/>
                  <w:vAlign w:val="center"/>
                </w:tcPr>
                <w:p w14:paraId="6B7A8021">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DA001</w:t>
                  </w:r>
                </w:p>
              </w:tc>
            </w:tr>
          </w:tbl>
          <w:p w14:paraId="5CDEAD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根据《排风罩的分类及技术条件》（GB/T 16758-2008）附录A中排风罩的排风量计算公式：</w:t>
            </w:r>
          </w:p>
          <w:p w14:paraId="388BC3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position w:val="-10"/>
                <w:sz w:val="24"/>
                <w:szCs w:val="20"/>
                <w:highlight w:val="none"/>
                <w:lang w:val="en-US" w:eastAsia="zh-CN"/>
                <w14:textFill>
                  <w14:solidFill>
                    <w14:schemeClr w14:val="tx1"/>
                  </w14:solidFill>
                </w14:textFill>
              </w:rPr>
              <w:object>
                <v:shape id="_x0000_i1025" o:spt="75" type="#_x0000_t75" style="height:16pt;width:38pt;" o:ole="t" filled="f" o:preferrelative="t" stroked="f" coordsize="21600,21600">
                  <v:path/>
                  <v:fill on="f" focussize="0,0"/>
                  <v:stroke on="f"/>
                  <v:imagedata r:id="rId16" o:title=""/>
                  <o:lock v:ext="edit" aspectratio="t"/>
                  <w10:wrap type="none"/>
                  <w10:anchorlock/>
                </v:shape>
                <o:OLEObject Type="Embed" ProgID="Equation.KSEE3" ShapeID="_x0000_i1025" DrawAspect="Content" ObjectID="_1468075725" r:id="rId15">
                  <o:LockedField>false</o:LockedField>
                </o:OLEObject>
              </w:object>
            </w:r>
          </w:p>
          <w:p w14:paraId="5A734A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式中：Q—</w:t>
            </w:r>
            <w:r>
              <w:rPr>
                <w:rFonts w:hint="eastAsia" w:cs="Times New Roman"/>
                <w:color w:val="000000" w:themeColor="text1"/>
                <w:sz w:val="24"/>
                <w:highlight w:val="none"/>
                <w:lang w:val="en-US" w:eastAsia="zh-CN"/>
                <w14:textFill>
                  <w14:solidFill>
                    <w14:schemeClr w14:val="tx1"/>
                  </w14:solidFill>
                </w14:textFill>
              </w:rPr>
              <w:t>排风罩的</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排气量，m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/h；</w:t>
            </w:r>
          </w:p>
          <w:p w14:paraId="2CC8EC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F—</w:t>
            </w:r>
            <w:r>
              <w:rPr>
                <w:rFonts w:hint="eastAsia" w:cs="Times New Roman"/>
                <w:color w:val="000000" w:themeColor="text1"/>
                <w:sz w:val="24"/>
                <w:highlight w:val="none"/>
                <w:lang w:val="en-US" w:eastAsia="zh-CN"/>
                <w14:textFill>
                  <w14:solidFill>
                    <w14:schemeClr w14:val="tx1"/>
                  </w14:solidFill>
                </w14:textFill>
              </w:rPr>
              <w:t>排风罩罩口面积</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，m；</w:t>
            </w:r>
          </w:p>
          <w:p w14:paraId="573F82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position w:val="-6"/>
                <w:sz w:val="24"/>
                <w:szCs w:val="20"/>
                <w:highlight w:val="none"/>
                <w:lang w:val="en-US" w:eastAsia="zh-CN"/>
                <w14:textFill>
                  <w14:solidFill>
                    <w14:schemeClr w14:val="tx1"/>
                  </w14:solidFill>
                </w14:textFill>
              </w:rPr>
              <w:object>
                <v:shape id="_x0000_i1026" o:spt="75" type="#_x0000_t75" style="height:13pt;width:10pt;" o:ole="t" filled="f" o:preferrelative="t" stroked="f" coordsize="21600,21600">
                  <v:path/>
                  <v:fill on="f" focussize="0,0"/>
                  <v:stroke on="f"/>
                  <v:imagedata r:id="rId18" o:title=""/>
                  <o:lock v:ext="edit" aspectratio="t"/>
                  <w10:wrap type="none"/>
                  <w10:anchorlock/>
                </v:shape>
                <o:OLEObject Type="Embed" ProgID="Equation.KSEE3" ShapeID="_x0000_i1026" DrawAspect="Content" ObjectID="_1468075726" r:id="rId17">
                  <o:LockedField>false</o:LockedField>
                </o:OLEObject>
              </w:objec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排风罩罩口平均</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风速，m/s。</w:t>
            </w:r>
          </w:p>
          <w:p w14:paraId="14290408">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根据《局部排风设施控制风速检测与评估技术规范》（AO/T 4274-2016）中要求，本项目</w:t>
            </w:r>
            <w:r>
              <w:rPr>
                <w:rFonts w:hint="eastAsia" w:cs="Times New Roman"/>
                <w:snapToGrid w:val="0"/>
                <w:color w:val="000000" w:themeColor="text1"/>
                <w:sz w:val="24"/>
                <w:szCs w:val="20"/>
                <w:highlight w:val="none"/>
                <w:lang w:val="en-US" w:eastAsia="zh-CN"/>
                <w14:textFill>
                  <w14:solidFill>
                    <w14:schemeClr w14:val="tx1"/>
                  </w14:solidFill>
                </w14:textFill>
              </w:rPr>
              <w:t>给料机</w:t>
            </w:r>
            <w:r>
              <w:rPr>
                <w:rFonts w:hint="eastAsia"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顶吸罩罩口风速取1.2m/s。</w:t>
            </w:r>
          </w:p>
          <w:p w14:paraId="6DAF2897">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color w:val="000000" w:themeColor="text1"/>
                <w:sz w:val="24"/>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本项目设置1台</w:t>
            </w:r>
            <w:r>
              <w:rPr>
                <w:rFonts w:hint="eastAsia"/>
                <w:color w:val="000000" w:themeColor="text1"/>
                <w:sz w:val="24"/>
                <w:lang w:val="en-US" w:eastAsia="zh-CN"/>
                <w14:textFill>
                  <w14:solidFill>
                    <w14:schemeClr w14:val="tx1"/>
                  </w14:solidFill>
                </w14:textFill>
              </w:rPr>
              <w:t>颚式破碎机，为全封闭式，</w:t>
            </w:r>
            <w:r>
              <w:rPr>
                <w:rFonts w:hint="eastAsia" w:cs="Times New Roman"/>
                <w:color w:val="000000" w:themeColor="text1"/>
                <w:sz w:val="24"/>
                <w:highlight w:val="none"/>
                <w:lang w:val="en-US" w:eastAsia="zh-CN"/>
                <w14:textFill>
                  <w14:solidFill>
                    <w14:schemeClr w14:val="tx1"/>
                  </w14:solidFill>
                </w14:textFill>
              </w:rPr>
              <w:t>原料在破碎工序会有粉尘产生，年运行5280h，</w:t>
            </w:r>
            <w:r>
              <w:rPr>
                <w:rFonts w:hint="default"/>
                <w:color w:val="000000" w:themeColor="text1"/>
                <w:sz w:val="24"/>
                <w14:textFill>
                  <w14:solidFill>
                    <w14:schemeClr w14:val="tx1"/>
                  </w14:solidFill>
                </w14:textFill>
              </w:rPr>
              <w:t>评价要求</w:t>
            </w:r>
            <w:r>
              <w:rPr>
                <w:rFonts w:hint="eastAsia"/>
                <w:color w:val="000000" w:themeColor="text1"/>
                <w:sz w:val="24"/>
                <w:lang w:val="en-US" w:eastAsia="zh-CN"/>
                <w14:textFill>
                  <w14:solidFill>
                    <w14:schemeClr w14:val="tx1"/>
                  </w14:solidFill>
                </w14:textFill>
              </w:rPr>
              <w:t>颚式破碎机上方</w:t>
            </w:r>
            <w:r>
              <w:rPr>
                <w:rFonts w:hint="default"/>
                <w:color w:val="000000" w:themeColor="text1"/>
                <w:sz w:val="24"/>
                <w14:textFill>
                  <w14:solidFill>
                    <w14:schemeClr w14:val="tx1"/>
                  </w14:solidFill>
                </w14:textFill>
              </w:rPr>
              <w:t>设置</w:t>
            </w:r>
            <w:r>
              <w:rPr>
                <w:rFonts w:hint="eastAsia"/>
                <w:color w:val="000000" w:themeColor="text1"/>
                <w:sz w:val="24"/>
                <w:lang w:val="en-US" w:eastAsia="zh-CN"/>
                <w14:textFill>
                  <w14:solidFill>
                    <w14:schemeClr w14:val="tx1"/>
                  </w14:solidFill>
                </w14:textFill>
              </w:rPr>
              <w:t>集气管道</w:t>
            </w:r>
            <w:r>
              <w:rPr>
                <w:rFonts w:hint="eastAsia"/>
                <w:color w:val="000000" w:themeColor="text1"/>
                <w:sz w:val="24"/>
                <w14:textFill>
                  <w14:solidFill>
                    <w14:schemeClr w14:val="tx1"/>
                  </w14:solidFill>
                </w14:textFill>
              </w:rPr>
              <w:t>，废气经集气</w:t>
            </w:r>
            <w:r>
              <w:rPr>
                <w:rFonts w:hint="eastAsia"/>
                <w:color w:val="000000" w:themeColor="text1"/>
                <w:sz w:val="24"/>
                <w:lang w:val="en-US" w:eastAsia="zh-CN"/>
                <w14:textFill>
                  <w14:solidFill>
                    <w14:schemeClr w14:val="tx1"/>
                  </w14:solidFill>
                </w14:textFill>
              </w:rPr>
              <w:t>管道引入</w:t>
            </w:r>
            <w:r>
              <w:rPr>
                <w:rFonts w:hint="eastAsia"/>
                <w:color w:val="000000" w:themeColor="text1"/>
                <w:sz w:val="24"/>
                <w:highlight w:val="none"/>
                <w:lang w:val="en-US" w:eastAsia="zh-CN"/>
                <w14:textFill>
                  <w14:solidFill>
                    <w14:schemeClr w14:val="tx1"/>
                  </w14:solidFill>
                </w14:textFill>
              </w:rPr>
              <w:t>1台</w:t>
            </w:r>
            <w:r>
              <w:rPr>
                <w:rFonts w:hint="eastAsia"/>
                <w:color w:val="000000" w:themeColor="text1"/>
                <w:sz w:val="24"/>
                <w:highlight w:val="none"/>
                <w14:textFill>
                  <w14:solidFill>
                    <w14:schemeClr w14:val="tx1"/>
                  </w14:solidFill>
                </w14:textFill>
              </w:rPr>
              <w:t>布袋除尘器</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TA001</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14:textFill>
                  <w14:solidFill>
                    <w14:schemeClr w14:val="tx1"/>
                  </w14:solidFill>
                </w14:textFill>
              </w:rPr>
              <w:t>处理</w:t>
            </w:r>
            <w:r>
              <w:rPr>
                <w:rFonts w:hint="eastAsia"/>
                <w:color w:val="000000" w:themeColor="text1"/>
                <w:sz w:val="24"/>
                <w:lang w:val="en-US" w:eastAsia="zh-CN"/>
                <w14:textFill>
                  <w14:solidFill>
                    <w14:schemeClr w14:val="tx1"/>
                  </w14:solidFill>
                </w14:textFill>
              </w:rPr>
              <w:t>后</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由</w:t>
            </w:r>
            <w:r>
              <w:rPr>
                <w:rFonts w:hint="default"/>
                <w:color w:val="000000" w:themeColor="text1"/>
                <w:sz w:val="24"/>
                <w14:textFill>
                  <w14:solidFill>
                    <w14:schemeClr w14:val="tx1"/>
                  </w14:solidFill>
                </w14:textFill>
              </w:rPr>
              <w:t>1根15m高排气筒（</w:t>
            </w:r>
            <w:r>
              <w:rPr>
                <w:rFonts w:hint="eastAsia"/>
                <w:color w:val="000000" w:themeColor="text1"/>
                <w:sz w:val="24"/>
                <w14:textFill>
                  <w14:solidFill>
                    <w14:schemeClr w14:val="tx1"/>
                  </w14:solidFill>
                </w14:textFill>
              </w:rPr>
              <w:t>D</w:t>
            </w:r>
            <w:r>
              <w:rPr>
                <w:rFonts w:hint="default"/>
                <w:color w:val="000000" w:themeColor="text1"/>
                <w:sz w:val="24"/>
                <w14:textFill>
                  <w14:solidFill>
                    <w14:schemeClr w14:val="tx1"/>
                  </w14:solidFill>
                </w14:textFill>
              </w:rPr>
              <w:t>A00</w:t>
            </w:r>
            <w:r>
              <w:rPr>
                <w:rFonts w:hint="eastAsia"/>
                <w:color w:val="000000" w:themeColor="text1"/>
                <w:sz w:val="24"/>
                <w:lang w:val="en-US" w:eastAsia="zh-CN"/>
                <w14:textFill>
                  <w14:solidFill>
                    <w14:schemeClr w14:val="tx1"/>
                  </w14:solidFill>
                </w14:textFill>
              </w:rPr>
              <w:t>1</w:t>
            </w:r>
            <w:r>
              <w:rPr>
                <w:rFonts w:hint="default"/>
                <w:color w:val="000000" w:themeColor="text1"/>
                <w:sz w:val="24"/>
                <w14:textFill>
                  <w14:solidFill>
                    <w14:schemeClr w14:val="tx1"/>
                  </w14:solidFill>
                </w14:textFill>
              </w:rPr>
              <w:t>）排放。</w:t>
            </w:r>
          </w:p>
          <w:p w14:paraId="66D0163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olor w:val="000000" w:themeColor="text1"/>
                <w:sz w:val="24"/>
                <w:lang w:val="en-US" w:eastAsia="zh-CN"/>
                <w14:textFill>
                  <w14:solidFill>
                    <w14:schemeClr w14:val="tx1"/>
                  </w14:solidFill>
                </w14:textFill>
              </w:rPr>
            </w:pPr>
            <w:r>
              <w:rPr>
                <w:rFonts w:hint="eastAsia" w:cs="Times New Roman"/>
                <w:snapToGrid w:val="0"/>
                <w:color w:val="000000" w:themeColor="text1"/>
                <w:sz w:val="24"/>
                <w:szCs w:val="20"/>
                <w:highlight w:val="none"/>
                <w:lang w:val="en-US" w:eastAsia="zh-CN"/>
                <w14:textFill>
                  <w14:solidFill>
                    <w14:schemeClr w14:val="tx1"/>
                  </w14:solidFill>
                </w14:textFill>
              </w:rPr>
              <w:t>根据建设单位提供的资料，</w:t>
            </w:r>
            <w:r>
              <w:rPr>
                <w:rFonts w:hint="eastAsia"/>
                <w:color w:val="000000" w:themeColor="text1"/>
                <w:sz w:val="24"/>
                <w:lang w:val="en-US" w:eastAsia="zh-CN"/>
                <w14:textFill>
                  <w14:solidFill>
                    <w14:schemeClr w14:val="tx1"/>
                  </w14:solidFill>
                </w14:textFill>
              </w:rPr>
              <w:t>颚式破碎机所需风量为2000</w:t>
            </w:r>
            <w:r>
              <w:rPr>
                <w:rFonts w:hint="eastAsia" w:ascii="Times New Roman" w:hAnsi="Times New Roman"/>
                <w:color w:val="000000" w:themeColor="text1"/>
                <w:sz w:val="24"/>
                <w:lang w:val="en-US" w:eastAsia="zh-CN"/>
                <w14:textFill>
                  <w14:solidFill>
                    <w14:schemeClr w14:val="tx1"/>
                  </w14:solidFill>
                </w14:textFill>
              </w:rPr>
              <w:t>m</w:t>
            </w:r>
            <w:r>
              <w:rPr>
                <w:rFonts w:hint="eastAsia" w:ascii="Times New Roman" w:hAnsi="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olor w:val="000000" w:themeColor="text1"/>
                <w:sz w:val="24"/>
                <w:lang w:val="en-US" w:eastAsia="zh-CN"/>
                <w14:textFill>
                  <w14:solidFill>
                    <w14:schemeClr w14:val="tx1"/>
                  </w14:solidFill>
                </w14:textFill>
              </w:rPr>
              <w:t>/h</w:t>
            </w:r>
            <w:r>
              <w:rPr>
                <w:rFonts w:hint="eastAsia"/>
                <w:color w:val="000000" w:themeColor="text1"/>
                <w:sz w:val="24"/>
                <w:lang w:val="en-US" w:eastAsia="zh-CN"/>
                <w14:textFill>
                  <w14:solidFill>
                    <w14:schemeClr w14:val="tx1"/>
                  </w14:solidFill>
                </w14:textFill>
              </w:rPr>
              <w:t>。</w:t>
            </w:r>
          </w:p>
          <w:p w14:paraId="22BB659B">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经计算，</w:t>
            </w:r>
            <w:r>
              <w:rPr>
                <w:rFonts w:hint="eastAsia"/>
                <w:color w:val="000000" w:themeColor="text1"/>
                <w:sz w:val="24"/>
                <w:lang w:val="en-US" w:eastAsia="zh-CN"/>
                <w14:textFill>
                  <w14:solidFill>
                    <w14:schemeClr w14:val="tx1"/>
                  </w14:solidFill>
                </w14:textFill>
              </w:rPr>
              <w:t>给料、破碎工序</w:t>
            </w:r>
            <w:r>
              <w:rPr>
                <w:rFonts w:hint="eastAsia"/>
                <w:color w:val="000000" w:themeColor="text1"/>
                <w:sz w:val="24"/>
                <w14:textFill>
                  <w14:solidFill>
                    <w14:schemeClr w14:val="tx1"/>
                  </w14:solidFill>
                </w14:textFill>
              </w:rPr>
              <w:t>需配套的风量见下表</w:t>
            </w:r>
            <w:r>
              <w:rPr>
                <w:rFonts w:hint="default"/>
                <w:b w:val="0"/>
                <w:bCs/>
                <w:color w:val="000000" w:themeColor="text1"/>
                <w:sz w:val="24"/>
                <w:szCs w:val="24"/>
                <w:lang w:val="en-US" w:eastAsia="zh-CN"/>
                <w14:textFill>
                  <w14:solidFill>
                    <w14:schemeClr w14:val="tx1"/>
                  </w14:solidFill>
                </w14:textFill>
              </w:rPr>
              <w:t>4</w:t>
            </w:r>
            <w:r>
              <w:rPr>
                <w:rFonts w:hint="eastAsia"/>
                <w:b w:val="0"/>
                <w:bCs/>
                <w:color w:val="000000" w:themeColor="text1"/>
                <w:sz w:val="24"/>
                <w:szCs w:val="24"/>
                <w:lang w:val="en-US" w:eastAsia="zh-CN"/>
                <w14:textFill>
                  <w14:solidFill>
                    <w14:schemeClr w14:val="tx1"/>
                  </w14:solidFill>
                </w14:textFill>
              </w:rPr>
              <w:t>.5-4</w:t>
            </w:r>
            <w:r>
              <w:rPr>
                <w:rFonts w:hint="eastAsia"/>
                <w:color w:val="000000" w:themeColor="text1"/>
                <w:sz w:val="24"/>
                <w14:textFill>
                  <w14:solidFill>
                    <w14:schemeClr w14:val="tx1"/>
                  </w14:solidFill>
                </w14:textFill>
              </w:rPr>
              <w:t>。</w:t>
            </w:r>
          </w:p>
          <w:p w14:paraId="58FE53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t>表4</w:t>
            </w:r>
            <w:r>
              <w:rPr>
                <w:rFonts w:hint="eastAsia" w:cs="Times New Roman"/>
                <w:b/>
                <w:bCs w:val="0"/>
                <w:color w:val="000000" w:themeColor="text1"/>
                <w:sz w:val="21"/>
                <w:szCs w:val="16"/>
                <w:highlight w:val="none"/>
                <w:lang w:val="en-US" w:eastAsia="zh-CN"/>
                <w14:textFill>
                  <w14:solidFill>
                    <w14:schemeClr w14:val="tx1"/>
                  </w14:solidFill>
                </w14:textFill>
              </w:rPr>
              <w:t>.5-4</w:t>
            </w:r>
            <w:r>
              <w:rPr>
                <w:rFonts w:hint="default"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t xml:space="preserve"> </w:t>
            </w:r>
            <w:r>
              <w:rPr>
                <w:rFonts w:hint="eastAsia"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t xml:space="preserve"> 该工序需配套的风量一览表</w:t>
            </w:r>
          </w:p>
          <w:tbl>
            <w:tblPr>
              <w:tblStyle w:val="30"/>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9"/>
              <w:gridCol w:w="2315"/>
              <w:gridCol w:w="1879"/>
              <w:gridCol w:w="1562"/>
            </w:tblGrid>
            <w:tr w14:paraId="7F3A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57" w:type="pct"/>
                  <w:tcBorders>
                    <w:tl2br w:val="nil"/>
                    <w:tr2bl w:val="nil"/>
                  </w:tcBorders>
                  <w:noWrap w:val="0"/>
                  <w:vAlign w:val="center"/>
                </w:tcPr>
                <w:p w14:paraId="02E57329">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b/>
                      <w:bCs/>
                      <w:color w:val="000000" w:themeColor="text1"/>
                      <w:szCs w:val="21"/>
                      <w:lang w:val="en-US" w:eastAsia="zh-CN"/>
                      <w14:textFill>
                        <w14:solidFill>
                          <w14:schemeClr w14:val="tx1"/>
                        </w14:solidFill>
                      </w14:textFill>
                    </w:rPr>
                  </w:pPr>
                  <w:r>
                    <w:rPr>
                      <w:rFonts w:hint="default"/>
                      <w:b/>
                      <w:bCs/>
                      <w:color w:val="000000" w:themeColor="text1"/>
                      <w:szCs w:val="21"/>
                      <w14:textFill>
                        <w14:solidFill>
                          <w14:schemeClr w14:val="tx1"/>
                        </w14:solidFill>
                      </w14:textFill>
                    </w:rPr>
                    <w:t>设备名称</w:t>
                  </w:r>
                </w:p>
              </w:tc>
              <w:tc>
                <w:tcPr>
                  <w:tcW w:w="1424" w:type="pct"/>
                  <w:tcBorders>
                    <w:tl2br w:val="nil"/>
                    <w:tr2bl w:val="nil"/>
                  </w:tcBorders>
                  <w:noWrap w:val="0"/>
                  <w:vAlign w:val="center"/>
                </w:tcPr>
                <w:p w14:paraId="51D48BB4">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计算风量（m</w:t>
                  </w:r>
                  <w:r>
                    <w:rPr>
                      <w:rFonts w:hint="default"/>
                      <w:b/>
                      <w:bCs/>
                      <w:color w:val="000000" w:themeColor="text1"/>
                      <w:szCs w:val="21"/>
                      <w:vertAlign w:val="superscript"/>
                      <w14:textFill>
                        <w14:solidFill>
                          <w14:schemeClr w14:val="tx1"/>
                        </w14:solidFill>
                      </w14:textFill>
                    </w:rPr>
                    <w:t>3</w:t>
                  </w:r>
                  <w:r>
                    <w:rPr>
                      <w:rFonts w:hint="default"/>
                      <w:b/>
                      <w:bCs/>
                      <w:color w:val="000000" w:themeColor="text1"/>
                      <w:szCs w:val="21"/>
                      <w14:textFill>
                        <w14:solidFill>
                          <w14:schemeClr w14:val="tx1"/>
                        </w14:solidFill>
                      </w14:textFill>
                    </w:rPr>
                    <w:t>/h）</w:t>
                  </w:r>
                </w:p>
              </w:tc>
              <w:tc>
                <w:tcPr>
                  <w:tcW w:w="1156" w:type="pct"/>
                  <w:tcBorders>
                    <w:tl2br w:val="nil"/>
                    <w:tr2bl w:val="nil"/>
                  </w:tcBorders>
                  <w:noWrap w:val="0"/>
                  <w:vAlign w:val="center"/>
                </w:tcPr>
                <w:p w14:paraId="41779D69">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处理设备</w:t>
                  </w:r>
                </w:p>
              </w:tc>
              <w:tc>
                <w:tcPr>
                  <w:tcW w:w="961" w:type="pct"/>
                  <w:tcBorders>
                    <w:tl2br w:val="nil"/>
                    <w:tr2bl w:val="nil"/>
                  </w:tcBorders>
                  <w:noWrap w:val="0"/>
                  <w:vAlign w:val="center"/>
                </w:tcPr>
                <w:p w14:paraId="40A4FC4E">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排气筒编号</w:t>
                  </w:r>
                </w:p>
              </w:tc>
            </w:tr>
            <w:tr w14:paraId="135C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57" w:type="pct"/>
                  <w:tcBorders>
                    <w:tl2br w:val="nil"/>
                    <w:tr2bl w:val="nil"/>
                  </w:tcBorders>
                  <w:noWrap w:val="0"/>
                  <w:vAlign w:val="center"/>
                </w:tcPr>
                <w:p w14:paraId="3F0916AA">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给料机</w:t>
                  </w:r>
                </w:p>
              </w:tc>
              <w:tc>
                <w:tcPr>
                  <w:tcW w:w="1424" w:type="pct"/>
                  <w:tcBorders>
                    <w:tl2br w:val="nil"/>
                    <w:tr2bl w:val="nil"/>
                  </w:tcBorders>
                  <w:noWrap w:val="0"/>
                  <w:vAlign w:val="center"/>
                </w:tcPr>
                <w:p w14:paraId="5499F86C">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9720</w:t>
                  </w:r>
                </w:p>
              </w:tc>
              <w:tc>
                <w:tcPr>
                  <w:tcW w:w="1156" w:type="pct"/>
                  <w:vMerge w:val="restart"/>
                  <w:tcBorders>
                    <w:tl2br w:val="nil"/>
                    <w:tr2bl w:val="nil"/>
                  </w:tcBorders>
                  <w:noWrap w:val="0"/>
                  <w:vAlign w:val="center"/>
                </w:tcPr>
                <w:p w14:paraId="0C867C1B">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eastAsia" w:eastAsia="宋体"/>
                      <w:color w:val="000000" w:themeColor="text1"/>
                      <w:szCs w:val="21"/>
                      <w:lang w:val="en-US" w:eastAsia="zh-CN"/>
                      <w14:textFill>
                        <w14:solidFill>
                          <w14:schemeClr w14:val="tx1"/>
                        </w14:solidFill>
                      </w14:textFill>
                    </w:rPr>
                  </w:pPr>
                  <w:r>
                    <w:rPr>
                      <w:rFonts w:hint="default"/>
                      <w:color w:val="000000" w:themeColor="text1"/>
                      <w:szCs w:val="21"/>
                      <w14:textFill>
                        <w14:solidFill>
                          <w14:schemeClr w14:val="tx1"/>
                        </w14:solidFill>
                      </w14:textFill>
                    </w:rPr>
                    <w:t>布袋除尘器</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TA001</w:t>
                  </w:r>
                  <w:r>
                    <w:rPr>
                      <w:rFonts w:hint="eastAsia"/>
                      <w:color w:val="000000" w:themeColor="text1"/>
                      <w:szCs w:val="21"/>
                      <w:lang w:eastAsia="zh-CN"/>
                      <w14:textFill>
                        <w14:solidFill>
                          <w14:schemeClr w14:val="tx1"/>
                        </w14:solidFill>
                      </w14:textFill>
                    </w:rPr>
                    <w:t>）</w:t>
                  </w:r>
                </w:p>
              </w:tc>
              <w:tc>
                <w:tcPr>
                  <w:tcW w:w="961" w:type="pct"/>
                  <w:vMerge w:val="restart"/>
                  <w:tcBorders>
                    <w:tl2br w:val="nil"/>
                    <w:tr2bl w:val="nil"/>
                  </w:tcBorders>
                  <w:noWrap w:val="0"/>
                  <w:vAlign w:val="center"/>
                </w:tcPr>
                <w:p w14:paraId="1CC8CE7E">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DA001</w:t>
                  </w:r>
                </w:p>
              </w:tc>
            </w:tr>
            <w:tr w14:paraId="3EE69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57" w:type="pct"/>
                  <w:tcBorders>
                    <w:tl2br w:val="nil"/>
                    <w:tr2bl w:val="nil"/>
                  </w:tcBorders>
                  <w:noWrap w:val="0"/>
                  <w:vAlign w:val="center"/>
                </w:tcPr>
                <w:p w14:paraId="389DB873">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颚式破碎机</w:t>
                  </w:r>
                </w:p>
              </w:tc>
              <w:tc>
                <w:tcPr>
                  <w:tcW w:w="1424" w:type="pct"/>
                  <w:tcBorders>
                    <w:tl2br w:val="nil"/>
                    <w:tr2bl w:val="nil"/>
                  </w:tcBorders>
                  <w:noWrap w:val="0"/>
                  <w:vAlign w:val="center"/>
                </w:tcPr>
                <w:p w14:paraId="29461A7A">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2000</w:t>
                  </w:r>
                </w:p>
              </w:tc>
              <w:tc>
                <w:tcPr>
                  <w:tcW w:w="1156" w:type="pct"/>
                  <w:vMerge w:val="continue"/>
                  <w:tcBorders>
                    <w:tl2br w:val="nil"/>
                    <w:tr2bl w:val="nil"/>
                  </w:tcBorders>
                  <w:noWrap w:val="0"/>
                  <w:vAlign w:val="center"/>
                </w:tcPr>
                <w:p w14:paraId="707A7C75">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14:textFill>
                        <w14:solidFill>
                          <w14:schemeClr w14:val="tx1"/>
                        </w14:solidFill>
                      </w14:textFill>
                    </w:rPr>
                  </w:pPr>
                </w:p>
              </w:tc>
              <w:tc>
                <w:tcPr>
                  <w:tcW w:w="961" w:type="pct"/>
                  <w:vMerge w:val="continue"/>
                  <w:tcBorders>
                    <w:tl2br w:val="nil"/>
                    <w:tr2bl w:val="nil"/>
                  </w:tcBorders>
                  <w:noWrap w:val="0"/>
                  <w:vAlign w:val="center"/>
                </w:tcPr>
                <w:p w14:paraId="242CC264">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14:textFill>
                        <w14:solidFill>
                          <w14:schemeClr w14:val="tx1"/>
                        </w14:solidFill>
                      </w14:textFill>
                    </w:rPr>
                  </w:pPr>
                </w:p>
              </w:tc>
            </w:tr>
            <w:tr w14:paraId="269B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57" w:type="pct"/>
                  <w:tcBorders>
                    <w:tl2br w:val="nil"/>
                    <w:tr2bl w:val="nil"/>
                  </w:tcBorders>
                  <w:noWrap w:val="0"/>
                  <w:vAlign w:val="center"/>
                </w:tcPr>
                <w:p w14:paraId="64F53019">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合计</w:t>
                  </w:r>
                </w:p>
              </w:tc>
              <w:tc>
                <w:tcPr>
                  <w:tcW w:w="1424" w:type="pct"/>
                  <w:tcBorders>
                    <w:tl2br w:val="nil"/>
                    <w:tr2bl w:val="nil"/>
                  </w:tcBorders>
                  <w:noWrap w:val="0"/>
                  <w:vAlign w:val="center"/>
                </w:tcPr>
                <w:p w14:paraId="7968AA5E">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11720</w:t>
                  </w:r>
                </w:p>
              </w:tc>
              <w:tc>
                <w:tcPr>
                  <w:tcW w:w="1156" w:type="pct"/>
                  <w:vMerge w:val="continue"/>
                  <w:tcBorders>
                    <w:tl2br w:val="nil"/>
                    <w:tr2bl w:val="nil"/>
                  </w:tcBorders>
                  <w:noWrap w:val="0"/>
                  <w:vAlign w:val="center"/>
                </w:tcPr>
                <w:p w14:paraId="7780CFBF">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14:textFill>
                        <w14:solidFill>
                          <w14:schemeClr w14:val="tx1"/>
                        </w14:solidFill>
                      </w14:textFill>
                    </w:rPr>
                  </w:pPr>
                </w:p>
              </w:tc>
              <w:tc>
                <w:tcPr>
                  <w:tcW w:w="961" w:type="pct"/>
                  <w:vMerge w:val="continue"/>
                  <w:tcBorders>
                    <w:tl2br w:val="nil"/>
                    <w:tr2bl w:val="nil"/>
                  </w:tcBorders>
                  <w:noWrap w:val="0"/>
                  <w:vAlign w:val="center"/>
                </w:tcPr>
                <w:p w14:paraId="2B73E920">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14:textFill>
                        <w14:solidFill>
                          <w14:schemeClr w14:val="tx1"/>
                        </w14:solidFill>
                      </w14:textFill>
                    </w:rPr>
                  </w:pPr>
                </w:p>
              </w:tc>
            </w:tr>
          </w:tbl>
          <w:p w14:paraId="0046A95F">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color w:val="000000" w:themeColor="text1"/>
                <w:sz w:val="24"/>
                <w:highlight w:val="none"/>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经计算：</w:t>
            </w:r>
            <w:r>
              <w:rPr>
                <w:rFonts w:hint="eastAsia"/>
                <w:color w:val="000000" w:themeColor="text1"/>
                <w:sz w:val="24"/>
                <w:highlight w:val="none"/>
                <w:lang w:val="en-US" w:eastAsia="zh-CN"/>
                <w14:textFill>
                  <w14:solidFill>
                    <w14:schemeClr w14:val="tx1"/>
                  </w14:solidFill>
                </w14:textFill>
              </w:rPr>
              <w:t>给料、破碎工序</w:t>
            </w:r>
            <w:r>
              <w:rPr>
                <w:rFonts w:hint="eastAsia" w:cs="Times New Roman"/>
                <w:snapToGrid w:val="0"/>
                <w:color w:val="000000" w:themeColor="text1"/>
                <w:sz w:val="24"/>
                <w:szCs w:val="20"/>
                <w:highlight w:val="none"/>
                <w:lang w:val="en-US" w:eastAsia="zh-CN"/>
                <w14:textFill>
                  <w14:solidFill>
                    <w14:schemeClr w14:val="tx1"/>
                  </w14:solidFill>
                </w14:textFill>
              </w:rPr>
              <w:t>所需</w:t>
            </w:r>
            <w:r>
              <w:rPr>
                <w:rFonts w:hint="eastAsia"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风量为</w:t>
            </w:r>
            <w:r>
              <w:rPr>
                <w:rFonts w:hint="eastAsia" w:cs="Times New Roman"/>
                <w:snapToGrid w:val="0"/>
                <w:color w:val="000000" w:themeColor="text1"/>
                <w:sz w:val="24"/>
                <w:szCs w:val="20"/>
                <w:highlight w:val="none"/>
                <w:lang w:val="en-US" w:eastAsia="zh-CN"/>
                <w14:textFill>
                  <w14:solidFill>
                    <w14:schemeClr w14:val="tx1"/>
                  </w14:solidFill>
                </w14:textFill>
              </w:rPr>
              <w:t>11720</w:t>
            </w:r>
            <w:r>
              <w:rPr>
                <w:rFonts w:hint="eastAsia"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m</w:t>
            </w:r>
            <w:r>
              <w:rPr>
                <w:rFonts w:hint="eastAsia" w:ascii="Times New Roman" w:hAnsi="Times New Roman" w:eastAsia="宋体" w:cs="Times New Roman"/>
                <w:snapToGrid w:val="0"/>
                <w:color w:val="000000" w:themeColor="text1"/>
                <w:sz w:val="24"/>
                <w:szCs w:val="20"/>
                <w:highlight w:val="none"/>
                <w:vertAlign w:val="super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/h</w:t>
            </w:r>
            <w:r>
              <w:rPr>
                <w:rFonts w:hint="eastAsia" w:cs="Times New Roman"/>
                <w:snapToGrid w:val="0"/>
                <w:color w:val="000000" w:themeColor="text1"/>
                <w:sz w:val="24"/>
                <w:szCs w:val="20"/>
                <w:highlight w:val="none"/>
                <w:lang w:val="en-US" w:eastAsia="zh-CN"/>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布袋材质：覆膜（PTFE）涤纶针刺毡，过滤风速0.8m/min，过滤面积</w:t>
            </w:r>
            <w:r>
              <w:rPr>
                <w:rFonts w:hint="eastAsia" w:cs="Times New Roman"/>
                <w:snapToGrid w:val="0"/>
                <w:color w:val="000000" w:themeColor="text1"/>
                <w:sz w:val="24"/>
                <w:szCs w:val="20"/>
                <w:highlight w:val="none"/>
                <w:lang w:val="en-US" w:eastAsia="zh-CN"/>
                <w14:textFill>
                  <w14:solidFill>
                    <w14:schemeClr w14:val="tx1"/>
                  </w14:solidFill>
                </w14:textFill>
              </w:rPr>
              <w:t>244.2</w:t>
            </w:r>
            <w:r>
              <w:rPr>
                <w:rFonts w:hint="eastAsia"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m</w:t>
            </w:r>
            <w:r>
              <w:rPr>
                <w:rFonts w:hint="eastAsia" w:ascii="Times New Roman" w:hAnsi="Times New Roman" w:eastAsia="宋体" w:cs="Times New Roman"/>
                <w:snapToGrid w:val="0"/>
                <w:color w:val="000000" w:themeColor="text1"/>
                <w:sz w:val="24"/>
                <w:szCs w:val="20"/>
                <w:highlight w:val="none"/>
                <w:vertAlign w:val="superscript"/>
                <w:lang w:val="en-US" w:eastAsia="zh-CN"/>
                <w14:textFill>
                  <w14:solidFill>
                    <w14:schemeClr w14:val="tx1"/>
                  </w14:solidFill>
                </w14:textFill>
              </w:rPr>
              <w:t>2</w:t>
            </w:r>
            <w:r>
              <w:rPr>
                <w:rFonts w:hint="eastAsia" w:cs="Times New Roman"/>
                <w:snapToGrid w:val="0"/>
                <w:color w:val="000000" w:themeColor="text1"/>
                <w:sz w:val="24"/>
                <w:szCs w:val="20"/>
                <w:highlight w:val="none"/>
                <w:lang w:val="en-US" w:eastAsia="zh-CN"/>
                <w14:textFill>
                  <w14:solidFill>
                    <w14:schemeClr w14:val="tx1"/>
                  </w14:solidFill>
                </w14:textFill>
              </w:rPr>
              <w:t>。</w:t>
            </w:r>
          </w:p>
          <w:p w14:paraId="1958E5CE">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96" w:firstLineChars="200"/>
              <w:textAlignment w:val="auto"/>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pPr>
            <w:r>
              <w:rPr>
                <w:rFonts w:hint="eastAsia"/>
                <w:color w:val="000000" w:themeColor="text1"/>
                <w:spacing w:val="4"/>
                <w:sz w:val="24"/>
                <w:highlight w:val="none"/>
                <w:lang w:val="en-US" w:eastAsia="zh-CN"/>
                <w14:textFill>
                  <w14:solidFill>
                    <w14:schemeClr w14:val="tx1"/>
                  </w14:solidFill>
                </w14:textFill>
              </w:rPr>
              <w:t>上料</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粉尘参照《逸散性工业粉尘控制技术》，上料工序产尘系数按0.1kg/t</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原料计算</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年</w:t>
            </w:r>
            <w:r>
              <w:rPr>
                <w:rFonts w:hint="eastAsia" w:cs="Times New Roman"/>
                <w:color w:val="000000" w:themeColor="text1"/>
                <w:kern w:val="2"/>
                <w:sz w:val="24"/>
                <w:szCs w:val="24"/>
                <w:highlight w:val="none"/>
                <w:lang w:val="en-US" w:eastAsia="zh-CN" w:bidi="ar-SA"/>
                <w14:textFill>
                  <w14:solidFill>
                    <w14:schemeClr w14:val="tx1"/>
                  </w14:solidFill>
                </w14:textFill>
              </w:rPr>
              <w:t>处理煤矸石120万</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t/a，</w:t>
            </w:r>
            <w:r>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t>则有组织颗粒物产生量为</w:t>
            </w:r>
            <w:r>
              <w:rPr>
                <w:rFonts w:hint="eastAsia" w:cs="Times New Roman"/>
                <w:color w:val="000000" w:themeColor="text1"/>
                <w:sz w:val="24"/>
                <w:szCs w:val="24"/>
                <w:highlight w:val="none"/>
                <w:vertAlign w:val="baseline"/>
                <w:lang w:val="en-US" w:eastAsia="zh-CN"/>
                <w14:textFill>
                  <w14:solidFill>
                    <w14:schemeClr w14:val="tx1"/>
                  </w14:solidFill>
                </w14:textFill>
              </w:rPr>
              <w:t>120</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t/a</w:t>
            </w:r>
            <w:r>
              <w:rPr>
                <w:rFonts w:hint="eastAsia"/>
                <w:color w:val="000000" w:themeColor="text1"/>
                <w:sz w:val="24"/>
                <w:szCs w:val="24"/>
                <w:highlight w:val="none"/>
                <w:lang w:val="en-US" w:eastAsia="zh-CN"/>
                <w14:textFill>
                  <w14:solidFill>
                    <w14:schemeClr w14:val="tx1"/>
                  </w14:solidFill>
                </w14:textFill>
              </w:rPr>
              <w:t>，产生速率</w:t>
            </w:r>
            <w:r>
              <w:rPr>
                <w:rFonts w:hint="eastAsia" w:cs="Times New Roman"/>
                <w:color w:val="000000" w:themeColor="text1"/>
                <w:sz w:val="24"/>
                <w:szCs w:val="24"/>
                <w:highlight w:val="none"/>
                <w:lang w:val="en-US" w:eastAsia="zh-CN"/>
                <w14:textFill>
                  <w14:solidFill>
                    <w14:schemeClr w14:val="tx1"/>
                  </w14:solidFill>
                </w14:textFill>
              </w:rPr>
              <w:t>22.7</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kg/h</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w:t>
            </w:r>
          </w:p>
          <w:p w14:paraId="13664F11">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一次</w:t>
            </w:r>
            <w:r>
              <w:rPr>
                <w:rFonts w:hint="eastAsia" w:ascii="Times New Roman" w:hAnsi="Times New Roman"/>
                <w:color w:val="000000" w:themeColor="text1"/>
                <w:sz w:val="24"/>
                <w:lang w:val="en-US" w:eastAsia="zh-CN"/>
                <w14:textFill>
                  <w14:solidFill>
                    <w14:schemeClr w14:val="tx1"/>
                  </w14:solidFill>
                </w14:textFill>
              </w:rPr>
              <w:t>破碎粉尘</w:t>
            </w:r>
            <w:r>
              <w:rPr>
                <w:rFonts w:hint="default" w:ascii="Times New Roman" w:hAnsi="Times New Roman"/>
                <w:color w:val="000000" w:themeColor="text1"/>
                <w:sz w:val="24"/>
                <w:lang w:eastAsia="zh-CN"/>
                <w14:textFill>
                  <w14:solidFill>
                    <w14:schemeClr w14:val="tx1"/>
                  </w14:solidFill>
                </w14:textFill>
              </w:rPr>
              <w:t>参照《逸散性工业粉尘控制技术》，破碎工段产尘系数为0.2kg/t，破碎</w:t>
            </w:r>
            <w:r>
              <w:rPr>
                <w:rFonts w:hint="eastAsia"/>
                <w:color w:val="000000" w:themeColor="text1"/>
                <w:sz w:val="24"/>
                <w:lang w:val="en-US" w:eastAsia="zh-CN"/>
                <w14:textFill>
                  <w14:solidFill>
                    <w14:schemeClr w14:val="tx1"/>
                  </w14:solidFill>
                </w14:textFill>
              </w:rPr>
              <w:t>工序颚式破碎机</w:t>
            </w:r>
            <w:r>
              <w:rPr>
                <w:rFonts w:hint="default" w:ascii="Times New Roman" w:hAnsi="Times New Roman"/>
                <w:color w:val="000000" w:themeColor="text1"/>
                <w:sz w:val="24"/>
                <w:lang w:eastAsia="zh-CN"/>
                <w14:textFill>
                  <w14:solidFill>
                    <w14:schemeClr w14:val="tx1"/>
                  </w14:solidFill>
                </w14:textFill>
              </w:rPr>
              <w:t>进料量</w:t>
            </w:r>
            <w:r>
              <w:rPr>
                <w:rFonts w:hint="eastAsia"/>
                <w:color w:val="000000" w:themeColor="text1"/>
                <w:sz w:val="24"/>
                <w:lang w:val="en-US" w:eastAsia="zh-CN"/>
                <w14:textFill>
                  <w14:solidFill>
                    <w14:schemeClr w14:val="tx1"/>
                  </w14:solidFill>
                </w14:textFill>
              </w:rPr>
              <w:t>为120</w:t>
            </w:r>
            <w:r>
              <w:rPr>
                <w:rFonts w:hint="default" w:ascii="Times New Roman" w:hAnsi="Times New Roman"/>
                <w:color w:val="000000" w:themeColor="text1"/>
                <w:sz w:val="24"/>
                <w:lang w:eastAsia="zh-CN"/>
                <w14:textFill>
                  <w14:solidFill>
                    <w14:schemeClr w14:val="tx1"/>
                  </w14:solidFill>
                </w14:textFill>
              </w:rPr>
              <w:t>万t/a，则</w:t>
            </w:r>
            <w:r>
              <w:rPr>
                <w:rFonts w:hint="eastAsia"/>
                <w:color w:val="000000" w:themeColor="text1"/>
                <w:sz w:val="24"/>
                <w:lang w:val="en-US" w:eastAsia="zh-CN"/>
                <w14:textFill>
                  <w14:solidFill>
                    <w14:schemeClr w14:val="tx1"/>
                  </w14:solidFill>
                </w14:textFill>
              </w:rPr>
              <w:t>一次</w:t>
            </w:r>
            <w:r>
              <w:rPr>
                <w:rFonts w:hint="default" w:ascii="Times New Roman" w:hAnsi="Times New Roman"/>
                <w:color w:val="000000" w:themeColor="text1"/>
                <w:sz w:val="24"/>
                <w:lang w:eastAsia="zh-CN"/>
                <w14:textFill>
                  <w14:solidFill>
                    <w14:schemeClr w14:val="tx1"/>
                  </w14:solidFill>
                </w14:textFill>
              </w:rPr>
              <w:t>破碎粉尘产生量为</w:t>
            </w:r>
            <w:r>
              <w:rPr>
                <w:rFonts w:hint="eastAsia"/>
                <w:color w:val="000000" w:themeColor="text1"/>
                <w:sz w:val="24"/>
                <w:lang w:val="en-US" w:eastAsia="zh-CN"/>
                <w14:textFill>
                  <w14:solidFill>
                    <w14:schemeClr w14:val="tx1"/>
                  </w14:solidFill>
                </w14:textFill>
              </w:rPr>
              <w:t>240</w:t>
            </w:r>
            <w:r>
              <w:rPr>
                <w:rFonts w:hint="default" w:ascii="Times New Roman" w:hAnsi="Times New Roman"/>
                <w:color w:val="000000" w:themeColor="text1"/>
                <w:sz w:val="24"/>
                <w:lang w:eastAsia="zh-CN"/>
                <w14:textFill>
                  <w14:solidFill>
                    <w14:schemeClr w14:val="tx1"/>
                  </w14:solidFill>
                </w14:textFill>
              </w:rPr>
              <w:t>t/a</w:t>
            </w:r>
            <w:r>
              <w:rPr>
                <w:rFonts w:hint="eastAsia" w:ascii="Times New Roman" w:hAnsi="Times New Roman"/>
                <w:color w:val="000000" w:themeColor="text1"/>
                <w:sz w:val="24"/>
                <w:lang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产生速率</w:t>
            </w:r>
            <w:r>
              <w:rPr>
                <w:rFonts w:hint="eastAsia"/>
                <w:color w:val="000000" w:themeColor="text1"/>
                <w:sz w:val="24"/>
                <w:lang w:val="en-US" w:eastAsia="zh-CN"/>
                <w14:textFill>
                  <w14:solidFill>
                    <w14:schemeClr w14:val="tx1"/>
                  </w14:solidFill>
                </w14:textFill>
              </w:rPr>
              <w:t>45.5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kg/h</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w:t>
            </w:r>
          </w:p>
          <w:p w14:paraId="116BB703">
            <w:pPr>
              <w:pStyle w:val="6"/>
              <w:keepNext w:val="0"/>
              <w:keepLines w:val="0"/>
              <w:suppressLineNumbers w:val="0"/>
              <w:spacing w:before="0" w:beforeAutospacing="0" w:after="0" w:afterAutospacing="0" w:line="480" w:lineRule="exact"/>
              <w:ind w:left="0" w:right="0" w:firstLine="480"/>
              <w:rPr>
                <w:rFonts w:hint="eastAsia" w:cs="Times New Roman"/>
                <w:color w:val="000000" w:themeColor="text1"/>
                <w:sz w:val="24"/>
                <w:szCs w:val="24"/>
                <w:highlight w:val="none"/>
                <w:vertAlign w:val="baseline"/>
                <w:lang w:val="en-US" w:eastAsia="zh-CN"/>
                <w14:textFill>
                  <w14:solidFill>
                    <w14:schemeClr w14:val="tx1"/>
                  </w14:solidFill>
                </w14:textFill>
              </w:rPr>
            </w:pPr>
            <w:r>
              <w:rPr>
                <w:rFonts w:hint="eastAsia" w:cs="Times New Roman"/>
                <w:color w:val="000000" w:themeColor="text1"/>
                <w:sz w:val="24"/>
                <w:szCs w:val="24"/>
                <w:highlight w:val="none"/>
                <w:vertAlign w:val="baseline"/>
                <w:lang w:val="en-US" w:eastAsia="zh-CN"/>
                <w14:textFill>
                  <w14:solidFill>
                    <w14:schemeClr w14:val="tx1"/>
                  </w14:solidFill>
                </w14:textFill>
              </w:rPr>
              <w:t>则总产生速率为68.2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kg/h</w:t>
            </w:r>
            <w:r>
              <w:rPr>
                <w:rFonts w:hint="eastAsia" w:cs="Times New Roman"/>
                <w:color w:val="000000" w:themeColor="text1"/>
                <w:sz w:val="24"/>
                <w:szCs w:val="24"/>
                <w:highlight w:val="none"/>
                <w:lang w:val="en-US" w:eastAsia="zh-CN"/>
                <w14:textFill>
                  <w14:solidFill>
                    <w14:schemeClr w14:val="tx1"/>
                  </w14:solidFill>
                </w14:textFill>
              </w:rPr>
              <w:t>，产生浓度为</w:t>
            </w:r>
            <w:r>
              <w:rPr>
                <w:rFonts w:hint="eastAsia" w:cs="Times New Roman"/>
                <w:color w:val="000000" w:themeColor="text1"/>
                <w:sz w:val="24"/>
                <w:szCs w:val="24"/>
                <w:highlight w:val="none"/>
                <w:vertAlign w:val="baseline"/>
                <w:lang w:val="en-US" w:eastAsia="zh-CN"/>
                <w14:textFill>
                  <w14:solidFill>
                    <w14:schemeClr w14:val="tx1"/>
                  </w14:solidFill>
                </w14:textFill>
              </w:rPr>
              <w:t>5819</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pacing w:val="0"/>
                <w:position w:val="0"/>
                <w:sz w:val="24"/>
                <w:highlight w:val="none"/>
                <w:vertAlign w:val="superscript"/>
                <w:lang w:val="en-US" w:eastAsia="zh-CN"/>
                <w14:textFill>
                  <w14:solidFill>
                    <w14:schemeClr w14:val="tx1"/>
                  </w14:solidFill>
                </w14:textFill>
              </w:rPr>
              <w:t>3</w:t>
            </w:r>
            <w:r>
              <w:rPr>
                <w:rFonts w:hint="eastAsia" w:cs="Times New Roman"/>
                <w:color w:val="000000" w:themeColor="text1"/>
                <w:spacing w:val="0"/>
                <w:position w:val="0"/>
                <w:sz w:val="24"/>
                <w:highlight w:val="none"/>
                <w:vertAlign w:val="baseline"/>
                <w:lang w:val="en-US" w:eastAsia="zh-CN"/>
                <w14:textFill>
                  <w14:solidFill>
                    <w14:schemeClr w14:val="tx1"/>
                  </w14:solidFill>
                </w14:textFill>
              </w:rPr>
              <w:t>。</w:t>
            </w:r>
          </w:p>
          <w:p w14:paraId="5B57A521">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有组织颗粒物</w:t>
            </w:r>
            <w:r>
              <w:rPr>
                <w:rFonts w:hint="default" w:ascii="Times New Roman" w:hAnsi="Times New Roman" w:eastAsia="宋体" w:cs="Times New Roman"/>
                <w:color w:val="000000" w:themeColor="text1"/>
                <w:spacing w:val="0"/>
                <w:position w:val="0"/>
                <w:sz w:val="24"/>
                <w:highlight w:val="none"/>
                <w14:textFill>
                  <w14:solidFill>
                    <w14:schemeClr w14:val="tx1"/>
                  </w14:solidFill>
                </w14:textFill>
              </w:rPr>
              <w:t>排放浓度</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执行《长治市大气污染防治工作领导组办公室文件关于印发长治市工业企业无组织排放治理实施方案的通知》（长气防办[2019]9号）特别排放限值要求（颗粒物≤10mg/m</w:t>
            </w:r>
            <w:r>
              <w:rPr>
                <w:rFonts w:hint="default" w:ascii="Times New Roman" w:hAnsi="Times New Roman" w:eastAsia="宋体" w:cs="Times New Roman"/>
                <w:color w:val="000000" w:themeColor="text1"/>
                <w:spacing w:val="0"/>
                <w:position w:val="0"/>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w:t>
            </w:r>
            <w:r>
              <w:rPr>
                <w:rFonts w:hint="eastAsia"/>
                <w:color w:val="000000" w:themeColor="text1"/>
                <w:spacing w:val="4"/>
                <w:sz w:val="24"/>
                <w:lang w:eastAsia="zh-CN"/>
                <w14:textFill>
                  <w14:solidFill>
                    <w14:schemeClr w14:val="tx1"/>
                  </w14:solidFill>
                </w14:textFill>
              </w:rPr>
              <w:t>。</w:t>
            </w:r>
            <w:r>
              <w:rPr>
                <w:rFonts w:hint="default"/>
                <w:bCs/>
                <w:color w:val="000000" w:themeColor="text1"/>
                <w:sz w:val="24"/>
                <w14:textFill>
                  <w14:solidFill>
                    <w14:schemeClr w14:val="tx1"/>
                  </w14:solidFill>
                </w14:textFill>
              </w:rPr>
              <w:t>有组织</w:t>
            </w:r>
            <w:r>
              <w:rPr>
                <w:rFonts w:hint="eastAsia"/>
                <w:bCs/>
                <w:color w:val="000000" w:themeColor="text1"/>
                <w:sz w:val="24"/>
                <w:lang w:val="en-US" w:eastAsia="zh-CN"/>
                <w14:textFill>
                  <w14:solidFill>
                    <w14:schemeClr w14:val="tx1"/>
                  </w14:solidFill>
                </w14:textFill>
              </w:rPr>
              <w:t>颗粒物</w:t>
            </w:r>
            <w:r>
              <w:rPr>
                <w:rFonts w:hint="default"/>
                <w:bCs/>
                <w:color w:val="000000" w:themeColor="text1"/>
                <w:sz w:val="24"/>
                <w14:textFill>
                  <w14:solidFill>
                    <w14:schemeClr w14:val="tx1"/>
                  </w14:solidFill>
                </w14:textFill>
              </w:rPr>
              <w:t>排放量：10mg/m</w:t>
            </w:r>
            <w:r>
              <w:rPr>
                <w:rFonts w:hint="default"/>
                <w:bCs/>
                <w:color w:val="000000" w:themeColor="text1"/>
                <w:sz w:val="24"/>
                <w:vertAlign w:val="superscript"/>
                <w14:textFill>
                  <w14:solidFill>
                    <w14:schemeClr w14:val="tx1"/>
                  </w14:solidFill>
                </w14:textFill>
              </w:rPr>
              <w:t>3</w:t>
            </w:r>
            <w:r>
              <w:rPr>
                <w:rFonts w:hint="default"/>
                <w:bCs/>
                <w:color w:val="000000" w:themeColor="text1"/>
                <w:sz w:val="24"/>
                <w14:textFill>
                  <w14:solidFill>
                    <w14:schemeClr w14:val="tx1"/>
                  </w14:solidFill>
                </w14:textFill>
              </w:rPr>
              <w:t>×</w:t>
            </w:r>
            <w:r>
              <w:rPr>
                <w:rFonts w:hint="eastAsia" w:cs="Times New Roman"/>
                <w:snapToGrid w:val="0"/>
                <w:color w:val="000000" w:themeColor="text1"/>
                <w:sz w:val="24"/>
                <w:szCs w:val="20"/>
                <w:highlight w:val="none"/>
                <w:lang w:val="en-US" w:eastAsia="zh-CN"/>
                <w14:textFill>
                  <w14:solidFill>
                    <w14:schemeClr w14:val="tx1"/>
                  </w14:solidFill>
                </w14:textFill>
              </w:rPr>
              <w:t>11720</w:t>
            </w:r>
            <w:r>
              <w:rPr>
                <w:rFonts w:hint="default"/>
                <w:color w:val="000000" w:themeColor="text1"/>
                <w:sz w:val="24"/>
                <w14:textFill>
                  <w14:solidFill>
                    <w14:schemeClr w14:val="tx1"/>
                  </w14:solidFill>
                </w14:textFill>
              </w:rPr>
              <w:t>m</w:t>
            </w:r>
            <w:r>
              <w:rPr>
                <w:rFonts w:hint="default"/>
                <w:color w:val="000000" w:themeColor="text1"/>
                <w:sz w:val="24"/>
                <w:vertAlign w:val="superscript"/>
                <w14:textFill>
                  <w14:solidFill>
                    <w14:schemeClr w14:val="tx1"/>
                  </w14:solidFill>
                </w14:textFill>
              </w:rPr>
              <w:t>3</w:t>
            </w:r>
            <w:r>
              <w:rPr>
                <w:rFonts w:hint="default"/>
                <w:color w:val="000000" w:themeColor="text1"/>
                <w:sz w:val="24"/>
                <w14:textFill>
                  <w14:solidFill>
                    <w14:schemeClr w14:val="tx1"/>
                  </w14:solidFill>
                </w14:textFill>
              </w:rPr>
              <w:t>/h</w:t>
            </w:r>
            <w:r>
              <w:rPr>
                <w:rFonts w:hint="default"/>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5280h</w:t>
            </w:r>
            <w:r>
              <w:rPr>
                <w:rFonts w:hint="default"/>
                <w:bCs/>
                <w:color w:val="000000" w:themeColor="text1"/>
                <w:sz w:val="24"/>
                <w14:textFill>
                  <w14:solidFill>
                    <w14:schemeClr w14:val="tx1"/>
                  </w14:solidFill>
                </w14:textFill>
              </w:rPr>
              <w:t>÷10</w:t>
            </w:r>
            <w:r>
              <w:rPr>
                <w:rFonts w:hint="default"/>
                <w:bCs/>
                <w:color w:val="000000" w:themeColor="text1"/>
                <w:sz w:val="24"/>
                <w:vertAlign w:val="superscript"/>
                <w14:textFill>
                  <w14:solidFill>
                    <w14:schemeClr w14:val="tx1"/>
                  </w14:solidFill>
                </w14:textFill>
              </w:rPr>
              <w:t>9</w:t>
            </w:r>
            <w:r>
              <w:rPr>
                <w:rFonts w:hint="default"/>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0.619</w:t>
            </w:r>
            <w:r>
              <w:rPr>
                <w:rFonts w:hint="default"/>
                <w:bCs/>
                <w:color w:val="000000" w:themeColor="text1"/>
                <w:sz w:val="24"/>
                <w14:textFill>
                  <w14:solidFill>
                    <w14:schemeClr w14:val="tx1"/>
                  </w14:solidFill>
                </w14:textFill>
              </w:rPr>
              <w:t>t/a</w:t>
            </w:r>
            <w:r>
              <w:rPr>
                <w:rFonts w:hint="eastAsia"/>
                <w:bCs/>
                <w:color w:val="000000" w:themeColor="text1"/>
                <w:sz w:val="24"/>
                <w:lang w:eastAsia="zh-CN"/>
                <w14:textFill>
                  <w14:solidFill>
                    <w14:schemeClr w14:val="tx1"/>
                  </w14:solidFill>
                </w14:textFill>
              </w:rPr>
              <w:t>，</w:t>
            </w:r>
            <w:r>
              <w:rPr>
                <w:rFonts w:hint="default"/>
                <w:color w:val="000000" w:themeColor="text1"/>
                <w:sz w:val="24"/>
                <w14:textFill>
                  <w14:solidFill>
                    <w14:schemeClr w14:val="tx1"/>
                  </w14:solidFill>
                </w14:textFill>
              </w:rPr>
              <w:t>排放</w:t>
            </w:r>
            <w:r>
              <w:rPr>
                <w:rFonts w:hint="eastAsia"/>
                <w:color w:val="000000" w:themeColor="text1"/>
                <w:sz w:val="24"/>
                <w:lang w:val="en-US" w:eastAsia="zh-CN"/>
                <w14:textFill>
                  <w14:solidFill>
                    <w14:schemeClr w14:val="tx1"/>
                  </w14:solidFill>
                </w14:textFill>
              </w:rPr>
              <w:t>速率</w:t>
            </w:r>
            <w:r>
              <w:rPr>
                <w:rFonts w:hint="default"/>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0.12kg/h</w:t>
            </w:r>
            <w:r>
              <w:rPr>
                <w:rFonts w:hint="default"/>
                <w:color w:val="000000" w:themeColor="text1"/>
                <w:sz w:val="24"/>
                <w14:textFill>
                  <w14:solidFill>
                    <w14:schemeClr w14:val="tx1"/>
                  </w14:solidFill>
                </w14:textFill>
              </w:rPr>
              <w:t>。</w:t>
            </w:r>
          </w:p>
          <w:p w14:paraId="29B50DC4">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（5）</w:t>
            </w:r>
            <w:r>
              <w:rPr>
                <w:rFonts w:hint="eastAsia"/>
                <w:bCs/>
                <w:color w:val="000000" w:themeColor="text1"/>
                <w:sz w:val="24"/>
                <w:lang w:val="en-US" w:eastAsia="zh-CN"/>
                <w14:textFill>
                  <w14:solidFill>
                    <w14:schemeClr w14:val="tx1"/>
                  </w14:solidFill>
                </w14:textFill>
              </w:rPr>
              <w:t>制砂、</w:t>
            </w:r>
            <w:r>
              <w:rPr>
                <w:rFonts w:hint="default"/>
                <w:bCs/>
                <w:color w:val="000000" w:themeColor="text1"/>
                <w:sz w:val="24"/>
                <w14:textFill>
                  <w14:solidFill>
                    <w14:schemeClr w14:val="tx1"/>
                  </w14:solidFill>
                </w14:textFill>
              </w:rPr>
              <w:t>筛分工序生产过程中产生的</w:t>
            </w:r>
            <w:r>
              <w:rPr>
                <w:rFonts w:hint="eastAsia"/>
                <w:bCs/>
                <w:color w:val="000000" w:themeColor="text1"/>
                <w:sz w:val="24"/>
                <w:lang w:val="en-US" w:eastAsia="zh-CN"/>
                <w14:textFill>
                  <w14:solidFill>
                    <w14:schemeClr w14:val="tx1"/>
                  </w14:solidFill>
                </w14:textFill>
              </w:rPr>
              <w:t>废气</w:t>
            </w:r>
          </w:p>
          <w:p w14:paraId="4AF717BA">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color w:val="000000" w:themeColor="text1"/>
                <w:sz w:val="24"/>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本项目制砂工序采用双级破碎机，共设置2台双级破碎机、2台筛分机，均</w:t>
            </w:r>
            <w:r>
              <w:rPr>
                <w:rFonts w:hint="eastAsia"/>
                <w:color w:val="000000" w:themeColor="text1"/>
                <w:sz w:val="24"/>
                <w:lang w:val="en-US" w:eastAsia="zh-CN"/>
                <w14:textFill>
                  <w14:solidFill>
                    <w14:schemeClr w14:val="tx1"/>
                  </w14:solidFill>
                </w14:textFill>
              </w:rPr>
              <w:t>为全封闭式，</w:t>
            </w:r>
            <w:r>
              <w:rPr>
                <w:rFonts w:hint="eastAsia" w:cs="Times New Roman"/>
                <w:color w:val="000000" w:themeColor="text1"/>
                <w:sz w:val="24"/>
                <w:highlight w:val="none"/>
                <w:lang w:val="en-US" w:eastAsia="zh-CN"/>
                <w14:textFill>
                  <w14:solidFill>
                    <w14:schemeClr w14:val="tx1"/>
                  </w14:solidFill>
                </w14:textFill>
              </w:rPr>
              <w:t>原料在制砂、筛分工序会有粉尘产生，年运行5280h，</w:t>
            </w:r>
            <w:r>
              <w:rPr>
                <w:rFonts w:hint="default"/>
                <w:color w:val="000000" w:themeColor="text1"/>
                <w:sz w:val="24"/>
                <w14:textFill>
                  <w14:solidFill>
                    <w14:schemeClr w14:val="tx1"/>
                  </w14:solidFill>
                </w14:textFill>
              </w:rPr>
              <w:t>评价要求</w:t>
            </w:r>
            <w:r>
              <w:rPr>
                <w:rFonts w:hint="eastAsia"/>
                <w:color w:val="000000" w:themeColor="text1"/>
                <w:sz w:val="24"/>
                <w:lang w:val="en-US" w:eastAsia="zh-CN"/>
                <w14:textFill>
                  <w14:solidFill>
                    <w14:schemeClr w14:val="tx1"/>
                  </w14:solidFill>
                </w14:textFill>
              </w:rPr>
              <w:t>每台</w:t>
            </w:r>
            <w:r>
              <w:rPr>
                <w:rFonts w:hint="eastAsia" w:cs="Times New Roman"/>
                <w:color w:val="000000" w:themeColor="text1"/>
                <w:sz w:val="24"/>
                <w:highlight w:val="none"/>
                <w:lang w:val="en-US" w:eastAsia="zh-CN"/>
                <w14:textFill>
                  <w14:solidFill>
                    <w14:schemeClr w14:val="tx1"/>
                  </w14:solidFill>
                </w14:textFill>
              </w:rPr>
              <w:t>双级破碎机、筛分机</w:t>
            </w:r>
            <w:r>
              <w:rPr>
                <w:rFonts w:hint="eastAsia"/>
                <w:color w:val="000000" w:themeColor="text1"/>
                <w:sz w:val="24"/>
                <w:lang w:val="en-US" w:eastAsia="zh-CN"/>
                <w14:textFill>
                  <w14:solidFill>
                    <w14:schemeClr w14:val="tx1"/>
                  </w14:solidFill>
                </w14:textFill>
              </w:rPr>
              <w:t>上方均</w:t>
            </w:r>
            <w:r>
              <w:rPr>
                <w:rFonts w:hint="default"/>
                <w:color w:val="000000" w:themeColor="text1"/>
                <w:sz w:val="24"/>
                <w14:textFill>
                  <w14:solidFill>
                    <w14:schemeClr w14:val="tx1"/>
                  </w14:solidFill>
                </w14:textFill>
              </w:rPr>
              <w:t>设置</w:t>
            </w:r>
            <w:r>
              <w:rPr>
                <w:rFonts w:hint="eastAsia"/>
                <w:color w:val="000000" w:themeColor="text1"/>
                <w:sz w:val="24"/>
                <w:lang w:val="en-US" w:eastAsia="zh-CN"/>
                <w14:textFill>
                  <w14:solidFill>
                    <w14:schemeClr w14:val="tx1"/>
                  </w14:solidFill>
                </w14:textFill>
              </w:rPr>
              <w:t>集气管道</w:t>
            </w:r>
            <w:r>
              <w:rPr>
                <w:rFonts w:hint="eastAsia"/>
                <w:color w:val="000000" w:themeColor="text1"/>
                <w:sz w:val="24"/>
                <w14:textFill>
                  <w14:solidFill>
                    <w14:schemeClr w14:val="tx1"/>
                  </w14:solidFill>
                </w14:textFill>
              </w:rPr>
              <w:t>，废气经集气</w:t>
            </w:r>
            <w:r>
              <w:rPr>
                <w:rFonts w:hint="eastAsia"/>
                <w:color w:val="000000" w:themeColor="text1"/>
                <w:sz w:val="24"/>
                <w:lang w:val="en-US" w:eastAsia="zh-CN"/>
                <w14:textFill>
                  <w14:solidFill>
                    <w14:schemeClr w14:val="tx1"/>
                  </w14:solidFill>
                </w14:textFill>
              </w:rPr>
              <w:t>管道引入</w:t>
            </w:r>
            <w:r>
              <w:rPr>
                <w:rFonts w:hint="eastAsia"/>
                <w:color w:val="000000" w:themeColor="text1"/>
                <w:sz w:val="24"/>
                <w:highlight w:val="none"/>
                <w:lang w:val="en-US" w:eastAsia="zh-CN"/>
                <w14:textFill>
                  <w14:solidFill>
                    <w14:schemeClr w14:val="tx1"/>
                  </w14:solidFill>
                </w14:textFill>
              </w:rPr>
              <w:t>1台</w:t>
            </w:r>
            <w:r>
              <w:rPr>
                <w:rFonts w:hint="eastAsia"/>
                <w:color w:val="000000" w:themeColor="text1"/>
                <w:sz w:val="24"/>
                <w:highlight w:val="none"/>
                <w14:textFill>
                  <w14:solidFill>
                    <w14:schemeClr w14:val="tx1"/>
                  </w14:solidFill>
                </w14:textFill>
              </w:rPr>
              <w:t>布袋除尘器</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TA002</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14:textFill>
                  <w14:solidFill>
                    <w14:schemeClr w14:val="tx1"/>
                  </w14:solidFill>
                </w14:textFill>
              </w:rPr>
              <w:t>处理</w:t>
            </w:r>
            <w:r>
              <w:rPr>
                <w:rFonts w:hint="eastAsia"/>
                <w:color w:val="000000" w:themeColor="text1"/>
                <w:sz w:val="24"/>
                <w:lang w:val="en-US" w:eastAsia="zh-CN"/>
                <w14:textFill>
                  <w14:solidFill>
                    <w14:schemeClr w14:val="tx1"/>
                  </w14:solidFill>
                </w14:textFill>
              </w:rPr>
              <w:t>后</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由</w:t>
            </w:r>
            <w:r>
              <w:rPr>
                <w:rFonts w:hint="default"/>
                <w:color w:val="000000" w:themeColor="text1"/>
                <w:sz w:val="24"/>
                <w14:textFill>
                  <w14:solidFill>
                    <w14:schemeClr w14:val="tx1"/>
                  </w14:solidFill>
                </w14:textFill>
              </w:rPr>
              <w:t>1根15m高排气筒（</w:t>
            </w:r>
            <w:r>
              <w:rPr>
                <w:rFonts w:hint="eastAsia"/>
                <w:color w:val="000000" w:themeColor="text1"/>
                <w:sz w:val="24"/>
                <w14:textFill>
                  <w14:solidFill>
                    <w14:schemeClr w14:val="tx1"/>
                  </w14:solidFill>
                </w14:textFill>
              </w:rPr>
              <w:t>D</w:t>
            </w:r>
            <w:r>
              <w:rPr>
                <w:rFonts w:hint="default"/>
                <w:color w:val="000000" w:themeColor="text1"/>
                <w:sz w:val="24"/>
                <w14:textFill>
                  <w14:solidFill>
                    <w14:schemeClr w14:val="tx1"/>
                  </w14:solidFill>
                </w14:textFill>
              </w:rPr>
              <w:t>A00</w:t>
            </w:r>
            <w:r>
              <w:rPr>
                <w:rFonts w:hint="eastAsia"/>
                <w:color w:val="000000" w:themeColor="text1"/>
                <w:sz w:val="24"/>
                <w:lang w:val="en-US" w:eastAsia="zh-CN"/>
                <w14:textFill>
                  <w14:solidFill>
                    <w14:schemeClr w14:val="tx1"/>
                  </w14:solidFill>
                </w14:textFill>
              </w:rPr>
              <w:t>2</w:t>
            </w:r>
            <w:r>
              <w:rPr>
                <w:rFonts w:hint="default"/>
                <w:color w:val="000000" w:themeColor="text1"/>
                <w:sz w:val="24"/>
                <w14:textFill>
                  <w14:solidFill>
                    <w14:schemeClr w14:val="tx1"/>
                  </w14:solidFill>
                </w14:textFill>
              </w:rPr>
              <w:t>）排放。</w:t>
            </w:r>
          </w:p>
          <w:p w14:paraId="458EBA6C">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ascii="Times New Roman" w:hAnsi="Times New Roman"/>
                <w:color w:val="000000" w:themeColor="text1"/>
                <w:sz w:val="24"/>
                <w:lang w:val="en-US" w:eastAsia="zh-CN"/>
                <w14:textFill>
                  <w14:solidFill>
                    <w14:schemeClr w14:val="tx1"/>
                  </w14:solidFill>
                </w14:textFill>
              </w:rPr>
            </w:pPr>
            <w:r>
              <w:rPr>
                <w:rFonts w:hint="eastAsia" w:cs="Times New Roman"/>
                <w:snapToGrid w:val="0"/>
                <w:color w:val="000000" w:themeColor="text1"/>
                <w:sz w:val="24"/>
                <w:szCs w:val="20"/>
                <w:highlight w:val="none"/>
                <w:lang w:val="en-US" w:eastAsia="zh-CN"/>
                <w14:textFill>
                  <w14:solidFill>
                    <w14:schemeClr w14:val="tx1"/>
                  </w14:solidFill>
                </w14:textFill>
              </w:rPr>
              <w:t>根据建设单位提供的资料，</w:t>
            </w:r>
            <w:r>
              <w:rPr>
                <w:rFonts w:hint="eastAsia" w:cs="Times New Roman"/>
                <w:color w:val="000000" w:themeColor="text1"/>
                <w:sz w:val="24"/>
                <w:highlight w:val="none"/>
                <w:lang w:val="en-US" w:eastAsia="zh-CN"/>
                <w14:textFill>
                  <w14:solidFill>
                    <w14:schemeClr w14:val="tx1"/>
                  </w14:solidFill>
                </w14:textFill>
              </w:rPr>
              <w:t>每台双级破碎机</w:t>
            </w:r>
            <w:r>
              <w:rPr>
                <w:rFonts w:hint="eastAsia"/>
                <w:color w:val="000000" w:themeColor="text1"/>
                <w:sz w:val="24"/>
                <w:lang w:val="en-US" w:eastAsia="zh-CN"/>
                <w14:textFill>
                  <w14:solidFill>
                    <w14:schemeClr w14:val="tx1"/>
                  </w14:solidFill>
                </w14:textFill>
              </w:rPr>
              <w:t>所需风量均为2000</w:t>
            </w:r>
            <w:r>
              <w:rPr>
                <w:rFonts w:hint="eastAsia" w:ascii="Times New Roman" w:hAnsi="Times New Roman"/>
                <w:color w:val="000000" w:themeColor="text1"/>
                <w:sz w:val="24"/>
                <w:lang w:val="en-US" w:eastAsia="zh-CN"/>
                <w14:textFill>
                  <w14:solidFill>
                    <w14:schemeClr w14:val="tx1"/>
                  </w14:solidFill>
                </w14:textFill>
              </w:rPr>
              <w:t>m</w:t>
            </w:r>
            <w:r>
              <w:rPr>
                <w:rFonts w:hint="eastAsia" w:ascii="Times New Roman" w:hAnsi="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olor w:val="000000" w:themeColor="text1"/>
                <w:sz w:val="24"/>
                <w:lang w:val="en-US" w:eastAsia="zh-CN"/>
                <w14:textFill>
                  <w14:solidFill>
                    <w14:schemeClr w14:val="tx1"/>
                  </w14:solidFill>
                </w14:textFill>
              </w:rPr>
              <w:t>/h。</w:t>
            </w:r>
          </w:p>
          <w:p w14:paraId="3DD580B4">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color w:val="000000" w:themeColor="text1"/>
                <w:sz w:val="24"/>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每台筛分机的</w:t>
            </w:r>
            <w:r>
              <w:rPr>
                <w:rFonts w:hint="eastAsia" w:ascii="Times New Roman" w:hAnsi="Times New Roman"/>
                <w:color w:val="000000" w:themeColor="text1"/>
                <w:sz w:val="24"/>
                <w:highlight w:val="none"/>
                <w:lang w:val="en-US" w:eastAsia="zh-CN"/>
                <w14:textFill>
                  <w14:solidFill>
                    <w14:schemeClr w14:val="tx1"/>
                  </w14:solidFill>
                </w14:textFill>
              </w:rPr>
              <w:t>筛面面积</w:t>
            </w:r>
            <w:r>
              <w:rPr>
                <w:rFonts w:hint="eastAsia"/>
                <w:color w:val="000000" w:themeColor="text1"/>
                <w:sz w:val="24"/>
                <w:highlight w:val="none"/>
                <w:lang w:val="en-US" w:eastAsia="zh-CN"/>
                <w14:textFill>
                  <w14:solidFill>
                    <w14:schemeClr w14:val="tx1"/>
                  </w14:solidFill>
                </w14:textFill>
              </w:rPr>
              <w:t>约16.5</w:t>
            </w:r>
            <w:r>
              <w:rPr>
                <w:rFonts w:hint="eastAsia" w:ascii="Times New Roman" w:hAnsi="Times New Roman"/>
                <w:color w:val="000000" w:themeColor="text1"/>
                <w:sz w:val="24"/>
                <w:highlight w:val="none"/>
                <w:lang w:val="en-US" w:eastAsia="zh-CN"/>
                <w14:textFill>
                  <w14:solidFill>
                    <w14:schemeClr w14:val="tx1"/>
                  </w14:solidFill>
                </w14:textFill>
              </w:rPr>
              <w:t>m</w:t>
            </w:r>
            <w:r>
              <w:rPr>
                <w:rFonts w:hint="eastAsia" w:ascii="Times New Roman" w:hAnsi="Times New Roman"/>
                <w:color w:val="000000" w:themeColor="text1"/>
                <w:sz w:val="24"/>
                <w:highlight w:val="none"/>
                <w:vertAlign w:val="superscript"/>
                <w:lang w:val="en-US" w:eastAsia="zh-CN"/>
                <w14:textFill>
                  <w14:solidFill>
                    <w14:schemeClr w14:val="tx1"/>
                  </w14:solidFill>
                </w14:textFill>
              </w:rPr>
              <w:t>2</w:t>
            </w:r>
            <w:r>
              <w:rPr>
                <w:rFonts w:hint="eastAsia" w:ascii="Times New Roman" w:hAnsi="Times New Roman"/>
                <w:color w:val="000000" w:themeColor="text1"/>
                <w:sz w:val="24"/>
                <w:highlight w:val="none"/>
                <w:lang w:val="en-US" w:eastAsia="zh-CN"/>
                <w14:textFill>
                  <w14:solidFill>
                    <w14:schemeClr w14:val="tx1"/>
                  </w14:solidFill>
                </w14:textFill>
              </w:rPr>
              <w:t>，依据《煤炭工业供暖通风与空气调节设计标准》</w:t>
            </w:r>
            <w:r>
              <w:rPr>
                <w:rFonts w:hint="eastAsia"/>
                <w:color w:val="000000" w:themeColor="text1"/>
                <w:sz w:val="24"/>
                <w:highlight w:val="none"/>
                <w:lang w:val="en-US" w:eastAsia="zh-CN"/>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GB/T50466-2018</w:t>
            </w:r>
            <w:r>
              <w:rPr>
                <w:rFonts w:hint="eastAsia"/>
                <w:color w:val="000000" w:themeColor="text1"/>
                <w:sz w:val="24"/>
                <w:highlight w:val="none"/>
                <w:lang w:val="en-US" w:eastAsia="zh-CN"/>
                <w14:textFill>
                  <w14:solidFill>
                    <w14:schemeClr w14:val="tx1"/>
                  </w14:solidFill>
                </w14:textFill>
              </w:rPr>
              <w:t>），每平方米筛子</w:t>
            </w:r>
            <w:r>
              <w:rPr>
                <w:rFonts w:hint="eastAsia" w:ascii="Times New Roman" w:hAnsi="Times New Roman"/>
                <w:color w:val="000000" w:themeColor="text1"/>
                <w:sz w:val="24"/>
                <w:highlight w:val="none"/>
                <w:lang w:val="en-US" w:eastAsia="zh-CN"/>
                <w14:textFill>
                  <w14:solidFill>
                    <w14:schemeClr w14:val="tx1"/>
                  </w14:solidFill>
                </w14:textFill>
              </w:rPr>
              <w:t>上部</w:t>
            </w:r>
            <w:r>
              <w:rPr>
                <w:rFonts w:hint="eastAsia"/>
                <w:color w:val="000000" w:themeColor="text1"/>
                <w:sz w:val="24"/>
                <w:highlight w:val="none"/>
                <w:lang w:val="en-US" w:eastAsia="zh-CN"/>
                <w14:textFill>
                  <w14:solidFill>
                    <w14:schemeClr w14:val="tx1"/>
                  </w14:solidFill>
                </w14:textFill>
              </w:rPr>
              <w:t>抽风</w:t>
            </w:r>
            <w:r>
              <w:rPr>
                <w:rFonts w:hint="eastAsia" w:ascii="Times New Roman" w:hAnsi="Times New Roman"/>
                <w:color w:val="000000" w:themeColor="text1"/>
                <w:sz w:val="24"/>
                <w:highlight w:val="none"/>
                <w:lang w:val="en-US" w:eastAsia="zh-CN"/>
                <w14:textFill>
                  <w14:solidFill>
                    <w14:schemeClr w14:val="tx1"/>
                  </w14:solidFill>
                </w14:textFill>
              </w:rPr>
              <w:t>量</w:t>
            </w:r>
            <w:r>
              <w:rPr>
                <w:rFonts w:hint="eastAsia"/>
                <w:color w:val="000000" w:themeColor="text1"/>
                <w:sz w:val="24"/>
                <w:highlight w:val="none"/>
                <w:lang w:val="en-US" w:eastAsia="zh-CN"/>
                <w14:textFill>
                  <w14:solidFill>
                    <w14:schemeClr w14:val="tx1"/>
                  </w14:solidFill>
                </w14:textFill>
              </w:rPr>
              <w:t>按5</w:t>
            </w:r>
            <w:r>
              <w:rPr>
                <w:rFonts w:hint="eastAsia" w:ascii="Times New Roman" w:hAnsi="Times New Roman"/>
                <w:color w:val="000000" w:themeColor="text1"/>
                <w:sz w:val="24"/>
                <w:highlight w:val="none"/>
                <w:lang w:val="en-US" w:eastAsia="zh-CN"/>
                <w14:textFill>
                  <w14:solidFill>
                    <w14:schemeClr w14:val="tx1"/>
                  </w14:solidFill>
                </w14:textFill>
              </w:rPr>
              <w:t>00m</w:t>
            </w:r>
            <w:r>
              <w:rPr>
                <w:rFonts w:hint="eastAsia" w:ascii="Times New Roman" w:hAnsi="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24"/>
                <w:highlight w:val="none"/>
                <w:lang w:val="en-US" w:eastAsia="zh-CN"/>
                <w14:textFill>
                  <w14:solidFill>
                    <w14:schemeClr w14:val="tx1"/>
                  </w14:solidFill>
                </w14:textFill>
              </w:rPr>
              <w:t>/h计</w:t>
            </w:r>
            <w:r>
              <w:rPr>
                <w:rFonts w:hint="eastAsia"/>
                <w:color w:val="000000" w:themeColor="text1"/>
                <w:sz w:val="24"/>
                <w:highlight w:val="none"/>
                <w:lang w:val="en-US" w:eastAsia="zh-CN"/>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则</w:t>
            </w:r>
            <w:r>
              <w:rPr>
                <w:rFonts w:hint="eastAsia"/>
                <w:color w:val="000000" w:themeColor="text1"/>
                <w:sz w:val="24"/>
                <w:highlight w:val="none"/>
                <w:lang w:val="en-US" w:eastAsia="zh-CN"/>
                <w14:textFill>
                  <w14:solidFill>
                    <w14:schemeClr w14:val="tx1"/>
                  </w14:solidFill>
                </w14:textFill>
              </w:rPr>
              <w:t>每台筛分机</w:t>
            </w:r>
            <w:r>
              <w:rPr>
                <w:rFonts w:hint="eastAsia" w:ascii="Times New Roman" w:hAnsi="Times New Roman"/>
                <w:color w:val="000000" w:themeColor="text1"/>
                <w:sz w:val="24"/>
                <w:highlight w:val="none"/>
                <w:lang w:val="en-US" w:eastAsia="zh-CN"/>
                <w14:textFill>
                  <w14:solidFill>
                    <w14:schemeClr w14:val="tx1"/>
                  </w14:solidFill>
                </w14:textFill>
              </w:rPr>
              <w:t>设计所需风量为</w:t>
            </w:r>
            <w:r>
              <w:rPr>
                <w:rFonts w:hint="eastAsia"/>
                <w:color w:val="000000" w:themeColor="text1"/>
                <w:sz w:val="24"/>
                <w:highlight w:val="none"/>
                <w:lang w:val="en-US" w:eastAsia="zh-CN"/>
                <w14:textFill>
                  <w14:solidFill>
                    <w14:schemeClr w14:val="tx1"/>
                  </w14:solidFill>
                </w14:textFill>
              </w:rPr>
              <w:t>16.5</w:t>
            </w:r>
            <w:r>
              <w:rPr>
                <w:rFonts w:hint="eastAsia" w:ascii="Times New Roman" w:hAnsi="Times New Roman"/>
                <w:color w:val="000000" w:themeColor="text1"/>
                <w:sz w:val="24"/>
                <w:highlight w:val="none"/>
                <w:lang w:val="en-US" w:eastAsia="zh-CN"/>
                <w14:textFill>
                  <w14:solidFill>
                    <w14:schemeClr w14:val="tx1"/>
                  </w14:solidFill>
                </w14:textFill>
              </w:rPr>
              <w:t>m</w:t>
            </w:r>
            <w:r>
              <w:rPr>
                <w:rFonts w:hint="eastAsia" w:ascii="Times New Roman" w:hAnsi="Times New Roman"/>
                <w:color w:val="000000" w:themeColor="text1"/>
                <w:sz w:val="24"/>
                <w:highlight w:val="none"/>
                <w:vertAlign w:val="superscript"/>
                <w:lang w:val="en-US" w:eastAsia="zh-CN"/>
                <w14:textFill>
                  <w14:solidFill>
                    <w14:schemeClr w14:val="tx1"/>
                  </w14:solidFill>
                </w14:textFill>
              </w:rPr>
              <w:t>2</w:t>
            </w:r>
            <w:r>
              <w:rPr>
                <w:rFonts w:hint="eastAsia" w:ascii="Times New Roman" w:hAnsi="Times New Roman"/>
                <w:color w:val="000000" w:themeColor="text1"/>
                <w:sz w:val="24"/>
                <w:highlight w:val="none"/>
                <w:lang w:val="en-US"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5</w:t>
            </w:r>
            <w:r>
              <w:rPr>
                <w:rFonts w:hint="eastAsia" w:ascii="Times New Roman" w:hAnsi="Times New Roman"/>
                <w:color w:val="000000" w:themeColor="text1"/>
                <w:sz w:val="24"/>
                <w:highlight w:val="none"/>
                <w:lang w:val="en-US" w:eastAsia="zh-CN"/>
                <w14:textFill>
                  <w14:solidFill>
                    <w14:schemeClr w14:val="tx1"/>
                  </w14:solidFill>
                </w14:textFill>
              </w:rPr>
              <w:t>00m</w:t>
            </w:r>
            <w:r>
              <w:rPr>
                <w:rFonts w:hint="eastAsia" w:ascii="Times New Roman" w:hAnsi="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24"/>
                <w:highlight w:val="none"/>
                <w:lang w:val="en-US" w:eastAsia="zh-CN"/>
                <w14:textFill>
                  <w14:solidFill>
                    <w14:schemeClr w14:val="tx1"/>
                  </w14:solidFill>
                </w14:textFill>
              </w:rPr>
              <w:t>/h</w:t>
            </w:r>
            <w:r>
              <w:rPr>
                <w:rFonts w:hint="eastAsia"/>
                <w:color w:val="000000" w:themeColor="text1"/>
                <w:sz w:val="24"/>
                <w:highlight w:val="none"/>
                <w:lang w:val="en-US" w:eastAsia="zh-CN"/>
                <w14:textFill>
                  <w14:solidFill>
                    <w14:schemeClr w14:val="tx1"/>
                  </w14:solidFill>
                </w14:textFill>
              </w:rPr>
              <w:t>=8250</w:t>
            </w:r>
            <w:r>
              <w:rPr>
                <w:rFonts w:hint="eastAsia" w:ascii="Times New Roman" w:hAnsi="Times New Roman"/>
                <w:color w:val="000000" w:themeColor="text1"/>
                <w:sz w:val="24"/>
                <w:highlight w:val="none"/>
                <w:lang w:val="en-US" w:eastAsia="zh-CN"/>
                <w14:textFill>
                  <w14:solidFill>
                    <w14:schemeClr w14:val="tx1"/>
                  </w14:solidFill>
                </w14:textFill>
              </w:rPr>
              <w:t>m</w:t>
            </w:r>
            <w:r>
              <w:rPr>
                <w:rFonts w:hint="eastAsia" w:ascii="Times New Roman" w:hAnsi="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24"/>
                <w:highlight w:val="none"/>
                <w:lang w:val="en-US" w:eastAsia="zh-CN"/>
                <w14:textFill>
                  <w14:solidFill>
                    <w14:schemeClr w14:val="tx1"/>
                  </w14:solidFill>
                </w14:textFill>
              </w:rPr>
              <w:t>/h</w:t>
            </w:r>
            <w:r>
              <w:rPr>
                <w:rFonts w:hint="eastAsia" w:ascii="Times New Roman" w:hAnsi="Times New Roman"/>
                <w:color w:val="000000" w:themeColor="text1"/>
                <w:sz w:val="24"/>
                <w:lang w:val="en-US" w:eastAsia="zh-CN"/>
                <w14:textFill>
                  <w14:solidFill>
                    <w14:schemeClr w14:val="tx1"/>
                  </w14:solidFill>
                </w14:textFill>
              </w:rPr>
              <w:t>。</w:t>
            </w:r>
          </w:p>
          <w:p w14:paraId="24F51AFE">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经计算，</w:t>
            </w:r>
            <w:r>
              <w:rPr>
                <w:rFonts w:hint="eastAsia"/>
                <w:color w:val="000000" w:themeColor="text1"/>
                <w:sz w:val="24"/>
                <w:lang w:val="en-US" w:eastAsia="zh-CN"/>
                <w14:textFill>
                  <w14:solidFill>
                    <w14:schemeClr w14:val="tx1"/>
                  </w14:solidFill>
                </w14:textFill>
              </w:rPr>
              <w:t>制砂、筛分工序</w:t>
            </w:r>
            <w:r>
              <w:rPr>
                <w:rFonts w:hint="eastAsia"/>
                <w:color w:val="000000" w:themeColor="text1"/>
                <w:sz w:val="24"/>
                <w14:textFill>
                  <w14:solidFill>
                    <w14:schemeClr w14:val="tx1"/>
                  </w14:solidFill>
                </w14:textFill>
              </w:rPr>
              <w:t>需配套的风量见下表</w:t>
            </w:r>
            <w:r>
              <w:rPr>
                <w:rFonts w:hint="default"/>
                <w:b w:val="0"/>
                <w:bCs/>
                <w:color w:val="000000" w:themeColor="text1"/>
                <w:sz w:val="24"/>
                <w:szCs w:val="24"/>
                <w:lang w:val="en-US" w:eastAsia="zh-CN"/>
                <w14:textFill>
                  <w14:solidFill>
                    <w14:schemeClr w14:val="tx1"/>
                  </w14:solidFill>
                </w14:textFill>
              </w:rPr>
              <w:t>4</w:t>
            </w:r>
            <w:r>
              <w:rPr>
                <w:rFonts w:hint="eastAsia"/>
                <w:b w:val="0"/>
                <w:bCs/>
                <w:color w:val="000000" w:themeColor="text1"/>
                <w:sz w:val="24"/>
                <w:szCs w:val="24"/>
                <w:lang w:val="en-US" w:eastAsia="zh-CN"/>
                <w14:textFill>
                  <w14:solidFill>
                    <w14:schemeClr w14:val="tx1"/>
                  </w14:solidFill>
                </w14:textFill>
              </w:rPr>
              <w:t>.5-5</w:t>
            </w:r>
            <w:r>
              <w:rPr>
                <w:rFonts w:hint="eastAsia"/>
                <w:color w:val="000000" w:themeColor="text1"/>
                <w:sz w:val="24"/>
                <w14:textFill>
                  <w14:solidFill>
                    <w14:schemeClr w14:val="tx1"/>
                  </w14:solidFill>
                </w14:textFill>
              </w:rPr>
              <w:t>。</w:t>
            </w:r>
          </w:p>
          <w:p w14:paraId="35EC2C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t>表4</w:t>
            </w:r>
            <w:r>
              <w:rPr>
                <w:rFonts w:hint="eastAsia" w:cs="Times New Roman"/>
                <w:b/>
                <w:bCs w:val="0"/>
                <w:color w:val="000000" w:themeColor="text1"/>
                <w:sz w:val="21"/>
                <w:szCs w:val="16"/>
                <w:highlight w:val="none"/>
                <w:lang w:val="en-US" w:eastAsia="zh-CN"/>
                <w14:textFill>
                  <w14:solidFill>
                    <w14:schemeClr w14:val="tx1"/>
                  </w14:solidFill>
                </w14:textFill>
              </w:rPr>
              <w:t>.5-5</w:t>
            </w:r>
            <w:r>
              <w:rPr>
                <w:rFonts w:hint="default"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t xml:space="preserve"> </w:t>
            </w:r>
            <w:r>
              <w:rPr>
                <w:rFonts w:hint="eastAsia"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t xml:space="preserve"> 该工序需配套的风量一览表</w:t>
            </w:r>
          </w:p>
          <w:tbl>
            <w:tblPr>
              <w:tblStyle w:val="3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4"/>
              <w:gridCol w:w="2047"/>
              <w:gridCol w:w="2014"/>
              <w:gridCol w:w="1781"/>
            </w:tblGrid>
            <w:tr w14:paraId="2392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5" w:type="pct"/>
                  <w:tcBorders>
                    <w:tl2br w:val="nil"/>
                    <w:tr2bl w:val="nil"/>
                  </w:tcBorders>
                  <w:noWrap w:val="0"/>
                  <w:vAlign w:val="center"/>
                </w:tcPr>
                <w:p w14:paraId="76581BBC">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b/>
                      <w:bCs/>
                      <w:color w:val="000000" w:themeColor="text1"/>
                      <w:szCs w:val="21"/>
                      <w:lang w:val="en-US" w:eastAsia="zh-CN"/>
                      <w14:textFill>
                        <w14:solidFill>
                          <w14:schemeClr w14:val="tx1"/>
                        </w14:solidFill>
                      </w14:textFill>
                    </w:rPr>
                  </w:pPr>
                  <w:r>
                    <w:rPr>
                      <w:rFonts w:hint="default"/>
                      <w:b/>
                      <w:bCs/>
                      <w:color w:val="000000" w:themeColor="text1"/>
                      <w:szCs w:val="21"/>
                      <w14:textFill>
                        <w14:solidFill>
                          <w14:schemeClr w14:val="tx1"/>
                        </w14:solidFill>
                      </w14:textFill>
                    </w:rPr>
                    <w:t>设备名称</w:t>
                  </w:r>
                </w:p>
              </w:tc>
              <w:tc>
                <w:tcPr>
                  <w:tcW w:w="1259" w:type="pct"/>
                  <w:tcBorders>
                    <w:tl2br w:val="nil"/>
                    <w:tr2bl w:val="nil"/>
                  </w:tcBorders>
                  <w:noWrap w:val="0"/>
                  <w:vAlign w:val="center"/>
                </w:tcPr>
                <w:p w14:paraId="5E1FC1A3">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计算风量（m</w:t>
                  </w:r>
                  <w:r>
                    <w:rPr>
                      <w:rFonts w:hint="default"/>
                      <w:b/>
                      <w:bCs/>
                      <w:color w:val="000000" w:themeColor="text1"/>
                      <w:szCs w:val="21"/>
                      <w:vertAlign w:val="superscript"/>
                      <w14:textFill>
                        <w14:solidFill>
                          <w14:schemeClr w14:val="tx1"/>
                        </w14:solidFill>
                      </w14:textFill>
                    </w:rPr>
                    <w:t>3</w:t>
                  </w:r>
                  <w:r>
                    <w:rPr>
                      <w:rFonts w:hint="default"/>
                      <w:b/>
                      <w:bCs/>
                      <w:color w:val="000000" w:themeColor="text1"/>
                      <w:szCs w:val="21"/>
                      <w14:textFill>
                        <w14:solidFill>
                          <w14:schemeClr w14:val="tx1"/>
                        </w14:solidFill>
                      </w14:textFill>
                    </w:rPr>
                    <w:t>/h）</w:t>
                  </w:r>
                </w:p>
              </w:tc>
              <w:tc>
                <w:tcPr>
                  <w:tcW w:w="1239" w:type="pct"/>
                  <w:tcBorders>
                    <w:tl2br w:val="nil"/>
                    <w:tr2bl w:val="nil"/>
                  </w:tcBorders>
                  <w:noWrap w:val="0"/>
                  <w:vAlign w:val="center"/>
                </w:tcPr>
                <w:p w14:paraId="513F33A9">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处理设备</w:t>
                  </w:r>
                </w:p>
              </w:tc>
              <w:tc>
                <w:tcPr>
                  <w:tcW w:w="1096" w:type="pct"/>
                  <w:tcBorders>
                    <w:tl2br w:val="nil"/>
                    <w:tr2bl w:val="nil"/>
                  </w:tcBorders>
                  <w:noWrap w:val="0"/>
                  <w:vAlign w:val="center"/>
                </w:tcPr>
                <w:p w14:paraId="0AE3DB5B">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排气筒编号</w:t>
                  </w:r>
                </w:p>
              </w:tc>
            </w:tr>
            <w:tr w14:paraId="5A58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5" w:type="pct"/>
                  <w:tcBorders>
                    <w:tl2br w:val="nil"/>
                    <w:tr2bl w:val="nil"/>
                  </w:tcBorders>
                  <w:noWrap w:val="0"/>
                  <w:vAlign w:val="center"/>
                </w:tcPr>
                <w:p w14:paraId="4F53B16B">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 w:val="21"/>
                      <w:szCs w:val="21"/>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双级破碎机</w:t>
                  </w:r>
                </w:p>
              </w:tc>
              <w:tc>
                <w:tcPr>
                  <w:tcW w:w="1259" w:type="pct"/>
                  <w:tcBorders>
                    <w:tl2br w:val="nil"/>
                    <w:tr2bl w:val="nil"/>
                  </w:tcBorders>
                  <w:noWrap w:val="0"/>
                  <w:vAlign w:val="center"/>
                </w:tcPr>
                <w:p w14:paraId="494FB784">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000000" w:themeColor="text1"/>
                      <w:sz w:val="21"/>
                      <w:szCs w:val="21"/>
                      <w:highlight w:val="yellow"/>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2000</w:t>
                  </w:r>
                </w:p>
              </w:tc>
              <w:tc>
                <w:tcPr>
                  <w:tcW w:w="1239" w:type="pct"/>
                  <w:vMerge w:val="restart"/>
                  <w:tcBorders>
                    <w:tl2br w:val="nil"/>
                    <w:tr2bl w:val="nil"/>
                  </w:tcBorders>
                  <w:noWrap w:val="0"/>
                  <w:vAlign w:val="center"/>
                </w:tcPr>
                <w:p w14:paraId="2004FF66">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eastAsia" w:eastAsia="宋体"/>
                      <w:color w:val="000000" w:themeColor="text1"/>
                      <w:szCs w:val="21"/>
                      <w:lang w:val="en-US" w:eastAsia="zh-CN"/>
                      <w14:textFill>
                        <w14:solidFill>
                          <w14:schemeClr w14:val="tx1"/>
                        </w14:solidFill>
                      </w14:textFill>
                    </w:rPr>
                  </w:pPr>
                  <w:r>
                    <w:rPr>
                      <w:rFonts w:hint="default"/>
                      <w:color w:val="000000" w:themeColor="text1"/>
                      <w:szCs w:val="21"/>
                      <w14:textFill>
                        <w14:solidFill>
                          <w14:schemeClr w14:val="tx1"/>
                        </w14:solidFill>
                      </w14:textFill>
                    </w:rPr>
                    <w:t>布袋除尘器</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TA002</w:t>
                  </w:r>
                  <w:r>
                    <w:rPr>
                      <w:rFonts w:hint="eastAsia"/>
                      <w:color w:val="000000" w:themeColor="text1"/>
                      <w:szCs w:val="21"/>
                      <w:lang w:eastAsia="zh-CN"/>
                      <w14:textFill>
                        <w14:solidFill>
                          <w14:schemeClr w14:val="tx1"/>
                        </w14:solidFill>
                      </w14:textFill>
                    </w:rPr>
                    <w:t>）</w:t>
                  </w:r>
                </w:p>
              </w:tc>
              <w:tc>
                <w:tcPr>
                  <w:tcW w:w="1096" w:type="pct"/>
                  <w:vMerge w:val="restart"/>
                  <w:tcBorders>
                    <w:tl2br w:val="nil"/>
                    <w:tr2bl w:val="nil"/>
                  </w:tcBorders>
                  <w:noWrap w:val="0"/>
                  <w:vAlign w:val="center"/>
                </w:tcPr>
                <w:p w14:paraId="05FEF36A">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eastAsia" w:eastAsia="宋体"/>
                      <w:color w:val="000000" w:themeColor="text1"/>
                      <w:szCs w:val="21"/>
                      <w:lang w:eastAsia="zh-CN"/>
                      <w14:textFill>
                        <w14:solidFill>
                          <w14:schemeClr w14:val="tx1"/>
                        </w14:solidFill>
                      </w14:textFill>
                    </w:rPr>
                  </w:pPr>
                  <w:r>
                    <w:rPr>
                      <w:rFonts w:hint="default"/>
                      <w:color w:val="000000" w:themeColor="text1"/>
                      <w:szCs w:val="21"/>
                      <w14:textFill>
                        <w14:solidFill>
                          <w14:schemeClr w14:val="tx1"/>
                        </w14:solidFill>
                      </w14:textFill>
                    </w:rPr>
                    <w:t>DA00</w:t>
                  </w:r>
                  <w:r>
                    <w:rPr>
                      <w:rFonts w:hint="eastAsia"/>
                      <w:color w:val="000000" w:themeColor="text1"/>
                      <w:szCs w:val="21"/>
                      <w:lang w:val="en-US" w:eastAsia="zh-CN"/>
                      <w14:textFill>
                        <w14:solidFill>
                          <w14:schemeClr w14:val="tx1"/>
                        </w14:solidFill>
                      </w14:textFill>
                    </w:rPr>
                    <w:t>2</w:t>
                  </w:r>
                </w:p>
              </w:tc>
            </w:tr>
            <w:tr w14:paraId="093B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5" w:type="pct"/>
                  <w:tcBorders>
                    <w:tl2br w:val="nil"/>
                    <w:tr2bl w:val="nil"/>
                  </w:tcBorders>
                  <w:noWrap w:val="0"/>
                  <w:vAlign w:val="center"/>
                </w:tcPr>
                <w:p w14:paraId="5D8DFF0F">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双级破碎机</w:t>
                  </w:r>
                </w:p>
              </w:tc>
              <w:tc>
                <w:tcPr>
                  <w:tcW w:w="1259" w:type="pct"/>
                  <w:tcBorders>
                    <w:tl2br w:val="nil"/>
                    <w:tr2bl w:val="nil"/>
                  </w:tcBorders>
                  <w:noWrap w:val="0"/>
                  <w:vAlign w:val="center"/>
                </w:tcPr>
                <w:p w14:paraId="2A309E19">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eastAsia"/>
                      <w:color w:val="000000" w:themeColor="text1"/>
                      <w:sz w:val="21"/>
                      <w:szCs w:val="21"/>
                      <w:highlight w:val="yellow"/>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2000</w:t>
                  </w:r>
                </w:p>
              </w:tc>
              <w:tc>
                <w:tcPr>
                  <w:tcW w:w="1239" w:type="pct"/>
                  <w:vMerge w:val="continue"/>
                  <w:tcBorders>
                    <w:tl2br w:val="nil"/>
                    <w:tr2bl w:val="nil"/>
                  </w:tcBorders>
                  <w:noWrap w:val="0"/>
                  <w:vAlign w:val="center"/>
                </w:tcPr>
                <w:p w14:paraId="2435447B">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14:textFill>
                        <w14:solidFill>
                          <w14:schemeClr w14:val="tx1"/>
                        </w14:solidFill>
                      </w14:textFill>
                    </w:rPr>
                  </w:pPr>
                </w:p>
              </w:tc>
              <w:tc>
                <w:tcPr>
                  <w:tcW w:w="1096" w:type="pct"/>
                  <w:vMerge w:val="continue"/>
                  <w:tcBorders>
                    <w:tl2br w:val="nil"/>
                    <w:tr2bl w:val="nil"/>
                  </w:tcBorders>
                  <w:noWrap w:val="0"/>
                  <w:vAlign w:val="center"/>
                </w:tcPr>
                <w:p w14:paraId="4EAF7BC7">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14:textFill>
                        <w14:solidFill>
                          <w14:schemeClr w14:val="tx1"/>
                        </w14:solidFill>
                      </w14:textFill>
                    </w:rPr>
                  </w:pPr>
                </w:p>
              </w:tc>
            </w:tr>
            <w:tr w14:paraId="27159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5" w:type="pct"/>
                  <w:tcBorders>
                    <w:tl2br w:val="nil"/>
                    <w:tr2bl w:val="nil"/>
                  </w:tcBorders>
                  <w:noWrap w:val="0"/>
                  <w:vAlign w:val="center"/>
                </w:tcPr>
                <w:p w14:paraId="26E99446">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筛分机</w:t>
                  </w:r>
                </w:p>
              </w:tc>
              <w:tc>
                <w:tcPr>
                  <w:tcW w:w="1259" w:type="pct"/>
                  <w:tcBorders>
                    <w:tl2br w:val="nil"/>
                    <w:tr2bl w:val="nil"/>
                  </w:tcBorders>
                  <w:noWrap w:val="0"/>
                  <w:vAlign w:val="center"/>
                </w:tcPr>
                <w:p w14:paraId="5A80396C">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eastAsia"/>
                      <w:color w:val="000000" w:themeColor="text1"/>
                      <w:sz w:val="21"/>
                      <w:szCs w:val="21"/>
                      <w:highlight w:val="yellow"/>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8250</w:t>
                  </w:r>
                </w:p>
              </w:tc>
              <w:tc>
                <w:tcPr>
                  <w:tcW w:w="1239" w:type="pct"/>
                  <w:vMerge w:val="continue"/>
                  <w:tcBorders>
                    <w:tl2br w:val="nil"/>
                    <w:tr2bl w:val="nil"/>
                  </w:tcBorders>
                  <w:noWrap w:val="0"/>
                  <w:vAlign w:val="center"/>
                </w:tcPr>
                <w:p w14:paraId="2B0FF1D2">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14:textFill>
                        <w14:solidFill>
                          <w14:schemeClr w14:val="tx1"/>
                        </w14:solidFill>
                      </w14:textFill>
                    </w:rPr>
                  </w:pPr>
                </w:p>
              </w:tc>
              <w:tc>
                <w:tcPr>
                  <w:tcW w:w="1096" w:type="pct"/>
                  <w:vMerge w:val="continue"/>
                  <w:tcBorders>
                    <w:tl2br w:val="nil"/>
                    <w:tr2bl w:val="nil"/>
                  </w:tcBorders>
                  <w:noWrap w:val="0"/>
                  <w:vAlign w:val="center"/>
                </w:tcPr>
                <w:p w14:paraId="71E682E0">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14:textFill>
                        <w14:solidFill>
                          <w14:schemeClr w14:val="tx1"/>
                        </w14:solidFill>
                      </w14:textFill>
                    </w:rPr>
                  </w:pPr>
                </w:p>
              </w:tc>
            </w:tr>
            <w:tr w14:paraId="3446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5" w:type="pct"/>
                  <w:tcBorders>
                    <w:tl2br w:val="nil"/>
                    <w:tr2bl w:val="nil"/>
                  </w:tcBorders>
                  <w:noWrap w:val="0"/>
                  <w:vAlign w:val="center"/>
                </w:tcPr>
                <w:p w14:paraId="2C2FC891">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筛分机</w:t>
                  </w:r>
                </w:p>
              </w:tc>
              <w:tc>
                <w:tcPr>
                  <w:tcW w:w="1259" w:type="pct"/>
                  <w:tcBorders>
                    <w:tl2br w:val="nil"/>
                    <w:tr2bl w:val="nil"/>
                  </w:tcBorders>
                  <w:noWrap w:val="0"/>
                  <w:vAlign w:val="center"/>
                </w:tcPr>
                <w:p w14:paraId="1269044F">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s="Times New Roman"/>
                      <w:color w:val="000000" w:themeColor="text1"/>
                      <w:sz w:val="21"/>
                      <w:szCs w:val="21"/>
                      <w:highlight w:val="yellow"/>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8250</w:t>
                  </w:r>
                </w:p>
              </w:tc>
              <w:tc>
                <w:tcPr>
                  <w:tcW w:w="1239" w:type="pct"/>
                  <w:vMerge w:val="continue"/>
                  <w:tcBorders>
                    <w:tl2br w:val="nil"/>
                    <w:tr2bl w:val="nil"/>
                  </w:tcBorders>
                  <w:noWrap w:val="0"/>
                  <w:vAlign w:val="center"/>
                </w:tcPr>
                <w:p w14:paraId="6246B6A8">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14:textFill>
                        <w14:solidFill>
                          <w14:schemeClr w14:val="tx1"/>
                        </w14:solidFill>
                      </w14:textFill>
                    </w:rPr>
                  </w:pPr>
                </w:p>
              </w:tc>
              <w:tc>
                <w:tcPr>
                  <w:tcW w:w="1096" w:type="pct"/>
                  <w:vMerge w:val="continue"/>
                  <w:tcBorders>
                    <w:tl2br w:val="nil"/>
                    <w:tr2bl w:val="nil"/>
                  </w:tcBorders>
                  <w:noWrap w:val="0"/>
                  <w:vAlign w:val="center"/>
                </w:tcPr>
                <w:p w14:paraId="6661E4C3">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14:textFill>
                        <w14:solidFill>
                          <w14:schemeClr w14:val="tx1"/>
                        </w14:solidFill>
                      </w14:textFill>
                    </w:rPr>
                  </w:pPr>
                </w:p>
              </w:tc>
            </w:tr>
            <w:tr w14:paraId="733F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5" w:type="pct"/>
                  <w:tcBorders>
                    <w:tl2br w:val="nil"/>
                    <w:tr2bl w:val="nil"/>
                  </w:tcBorders>
                  <w:noWrap w:val="0"/>
                  <w:vAlign w:val="center"/>
                </w:tcPr>
                <w:p w14:paraId="3BAA8C60">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合计</w:t>
                  </w:r>
                </w:p>
              </w:tc>
              <w:tc>
                <w:tcPr>
                  <w:tcW w:w="1259" w:type="pct"/>
                  <w:tcBorders>
                    <w:tl2br w:val="nil"/>
                    <w:tr2bl w:val="nil"/>
                  </w:tcBorders>
                  <w:noWrap w:val="0"/>
                  <w:vAlign w:val="center"/>
                </w:tcPr>
                <w:p w14:paraId="3616FE13">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highlight w:val="yellow"/>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20500</w:t>
                  </w:r>
                </w:p>
              </w:tc>
              <w:tc>
                <w:tcPr>
                  <w:tcW w:w="1239" w:type="pct"/>
                  <w:vMerge w:val="continue"/>
                  <w:tcBorders>
                    <w:tl2br w:val="nil"/>
                    <w:tr2bl w:val="nil"/>
                  </w:tcBorders>
                  <w:noWrap w:val="0"/>
                  <w:vAlign w:val="center"/>
                </w:tcPr>
                <w:p w14:paraId="0438B19C">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14:textFill>
                        <w14:solidFill>
                          <w14:schemeClr w14:val="tx1"/>
                        </w14:solidFill>
                      </w14:textFill>
                    </w:rPr>
                  </w:pPr>
                </w:p>
              </w:tc>
              <w:tc>
                <w:tcPr>
                  <w:tcW w:w="1096" w:type="pct"/>
                  <w:vMerge w:val="continue"/>
                  <w:tcBorders>
                    <w:tl2br w:val="nil"/>
                    <w:tr2bl w:val="nil"/>
                  </w:tcBorders>
                  <w:noWrap w:val="0"/>
                  <w:vAlign w:val="center"/>
                </w:tcPr>
                <w:p w14:paraId="18D02EEF">
                  <w:pPr>
                    <w:pStyle w:val="12"/>
                    <w:keepNext w:val="0"/>
                    <w:keepLines w:val="0"/>
                    <w:suppressLineNumbers w:val="0"/>
                    <w:spacing w:before="100" w:beforeAutospacing="1" w:after="100" w:afterAutospacing="1" w:line="240" w:lineRule="auto"/>
                    <w:ind w:left="0" w:leftChars="0" w:right="0" w:rightChars="0" w:firstLine="0" w:firstLineChars="0"/>
                    <w:jc w:val="center"/>
                    <w:rPr>
                      <w:rFonts w:hint="default"/>
                      <w:color w:val="000000" w:themeColor="text1"/>
                      <w:szCs w:val="21"/>
                      <w14:textFill>
                        <w14:solidFill>
                          <w14:schemeClr w14:val="tx1"/>
                        </w14:solidFill>
                      </w14:textFill>
                    </w:rPr>
                  </w:pPr>
                </w:p>
              </w:tc>
            </w:tr>
          </w:tbl>
          <w:p w14:paraId="431E6FF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s="Times New Roman"/>
                <w:snapToGrid w:val="0"/>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经计算：</w:t>
            </w:r>
            <w:r>
              <w:rPr>
                <w:rFonts w:hint="eastAsia"/>
                <w:color w:val="000000" w:themeColor="text1"/>
                <w:sz w:val="24"/>
                <w:lang w:val="en-US" w:eastAsia="zh-CN"/>
                <w14:textFill>
                  <w14:solidFill>
                    <w14:schemeClr w14:val="tx1"/>
                  </w14:solidFill>
                </w14:textFill>
              </w:rPr>
              <w:t>制砂、筛分工序</w:t>
            </w:r>
            <w:r>
              <w:rPr>
                <w:rFonts w:hint="eastAsia" w:cs="Times New Roman"/>
                <w:snapToGrid w:val="0"/>
                <w:color w:val="000000" w:themeColor="text1"/>
                <w:sz w:val="24"/>
                <w:szCs w:val="20"/>
                <w:highlight w:val="none"/>
                <w:lang w:val="en-US" w:eastAsia="zh-CN"/>
                <w14:textFill>
                  <w14:solidFill>
                    <w14:schemeClr w14:val="tx1"/>
                  </w14:solidFill>
                </w14:textFill>
              </w:rPr>
              <w:t>所需</w:t>
            </w:r>
            <w:r>
              <w:rPr>
                <w:rFonts w:hint="eastAsia"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风量为</w:t>
            </w:r>
            <w:r>
              <w:rPr>
                <w:rFonts w:hint="eastAsia" w:cs="Times New Roman"/>
                <w:snapToGrid w:val="0"/>
                <w:color w:val="000000" w:themeColor="text1"/>
                <w:sz w:val="24"/>
                <w:szCs w:val="20"/>
                <w:highlight w:val="none"/>
                <w:lang w:val="en-US" w:eastAsia="zh-CN"/>
                <w14:textFill>
                  <w14:solidFill>
                    <w14:schemeClr w14:val="tx1"/>
                  </w14:solidFill>
                </w14:textFill>
              </w:rPr>
              <w:t>20500</w:t>
            </w:r>
            <w:r>
              <w:rPr>
                <w:rFonts w:hint="eastAsia"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m</w:t>
            </w:r>
            <w:r>
              <w:rPr>
                <w:rFonts w:hint="eastAsia" w:ascii="Times New Roman" w:hAnsi="Times New Roman" w:eastAsia="宋体" w:cs="Times New Roman"/>
                <w:snapToGrid w:val="0"/>
                <w:color w:val="000000" w:themeColor="text1"/>
                <w:sz w:val="24"/>
                <w:szCs w:val="20"/>
                <w:highlight w:val="none"/>
                <w:vertAlign w:val="super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/h</w:t>
            </w:r>
            <w:r>
              <w:rPr>
                <w:rFonts w:hint="eastAsia" w:cs="Times New Roman"/>
                <w:snapToGrid w:val="0"/>
                <w:color w:val="000000" w:themeColor="text1"/>
                <w:sz w:val="24"/>
                <w:szCs w:val="20"/>
                <w:highlight w:val="none"/>
                <w:lang w:val="en-US" w:eastAsia="zh-CN"/>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布袋材质：覆膜（PTFE）涤纶针刺毡，过滤风速0.8m/min，过滤面积</w:t>
            </w:r>
            <w:r>
              <w:rPr>
                <w:rFonts w:hint="eastAsia" w:cs="Times New Roman"/>
                <w:snapToGrid w:val="0"/>
                <w:color w:val="000000" w:themeColor="text1"/>
                <w:sz w:val="24"/>
                <w:szCs w:val="20"/>
                <w:highlight w:val="none"/>
                <w:lang w:val="en-US" w:eastAsia="zh-CN"/>
                <w14:textFill>
                  <w14:solidFill>
                    <w14:schemeClr w14:val="tx1"/>
                  </w14:solidFill>
                </w14:textFill>
              </w:rPr>
              <w:t>427.1</w:t>
            </w:r>
            <w:r>
              <w:rPr>
                <w:rFonts w:hint="eastAsia"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m</w:t>
            </w:r>
            <w:r>
              <w:rPr>
                <w:rFonts w:hint="eastAsia" w:ascii="Times New Roman" w:hAnsi="Times New Roman" w:eastAsia="宋体" w:cs="Times New Roman"/>
                <w:snapToGrid w:val="0"/>
                <w:color w:val="000000" w:themeColor="text1"/>
                <w:sz w:val="24"/>
                <w:szCs w:val="20"/>
                <w:highlight w:val="none"/>
                <w:vertAlign w:val="superscript"/>
                <w:lang w:val="en-US" w:eastAsia="zh-CN"/>
                <w14:textFill>
                  <w14:solidFill>
                    <w14:schemeClr w14:val="tx1"/>
                  </w14:solidFill>
                </w14:textFill>
              </w:rPr>
              <w:t>2</w:t>
            </w:r>
            <w:r>
              <w:rPr>
                <w:rFonts w:hint="eastAsia" w:cs="Times New Roman"/>
                <w:snapToGrid w:val="0"/>
                <w:color w:val="000000" w:themeColor="text1"/>
                <w:sz w:val="24"/>
                <w:szCs w:val="20"/>
                <w:highlight w:val="none"/>
                <w:lang w:val="en-US" w:eastAsia="zh-CN"/>
                <w14:textFill>
                  <w14:solidFill>
                    <w14:schemeClr w14:val="tx1"/>
                  </w14:solidFill>
                </w14:textFill>
              </w:rPr>
              <w:t>。</w:t>
            </w:r>
          </w:p>
          <w:p w14:paraId="6D9BEA5A">
            <w:pPr>
              <w:pStyle w:val="6"/>
              <w:keepNext w:val="0"/>
              <w:keepLines w:val="0"/>
              <w:suppressLineNumbers w:val="0"/>
              <w:spacing w:before="0" w:beforeAutospacing="0" w:after="0" w:afterAutospacing="0" w:line="480" w:lineRule="exact"/>
              <w:ind w:left="0" w:right="0" w:firstLine="480"/>
              <w:rPr>
                <w:rFonts w:hint="default" w:cs="Times New Roman"/>
                <w:snapToGrid w:val="0"/>
                <w:color w:val="000000" w:themeColor="text1"/>
                <w:sz w:val="24"/>
                <w:szCs w:val="20"/>
                <w:highlight w:val="none"/>
                <w:lang w:val="en-US" w:eastAsia="zh-CN"/>
                <w14:textFill>
                  <w14:solidFill>
                    <w14:schemeClr w14:val="tx1"/>
                  </w14:solidFill>
                </w14:textFill>
              </w:rPr>
            </w:pPr>
            <w:r>
              <w:rPr>
                <w:rFonts w:hint="eastAsia" w:cs="Times New Roman"/>
                <w:snapToGrid w:val="0"/>
                <w:color w:val="000000" w:themeColor="text1"/>
                <w:sz w:val="24"/>
                <w:szCs w:val="20"/>
                <w:highlight w:val="none"/>
                <w:lang w:val="en-US" w:eastAsia="zh-CN"/>
                <w14:textFill>
                  <w14:solidFill>
                    <w14:schemeClr w14:val="tx1"/>
                  </w14:solidFill>
                </w14:textFill>
              </w:rPr>
              <w:t>制砂工序进料量</w:t>
            </w:r>
            <w:r>
              <w:rPr>
                <w:rFonts w:hint="eastAsia" w:ascii="Times New Roman" w:hAnsi="Times New Roman"/>
                <w:color w:val="000000" w:themeColor="text1"/>
                <w:sz w:val="24"/>
                <w:highlight w:val="none"/>
                <w:lang w:eastAsia="zh-CN"/>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考虑10%返料</w:t>
            </w:r>
            <w:r>
              <w:rPr>
                <w:rFonts w:hint="eastAsia" w:ascii="Times New Roman" w:hAnsi="Times New Roman"/>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共</w:t>
            </w:r>
            <w:r>
              <w:rPr>
                <w:rFonts w:hint="eastAsia" w:cs="Times New Roman"/>
                <w:snapToGrid w:val="0"/>
                <w:color w:val="000000" w:themeColor="text1"/>
                <w:sz w:val="24"/>
                <w:szCs w:val="20"/>
                <w:highlight w:val="none"/>
                <w:lang w:val="en-US" w:eastAsia="zh-CN"/>
                <w14:textFill>
                  <w14:solidFill>
                    <w14:schemeClr w14:val="tx1"/>
                  </w14:solidFill>
                </w14:textFill>
              </w:rPr>
              <w:t>为</w:t>
            </w:r>
            <w:r>
              <w:rPr>
                <w:rFonts w:hint="eastAsia"/>
                <w:color w:val="000000" w:themeColor="text1"/>
                <w:sz w:val="24"/>
                <w:highlight w:val="none"/>
                <w:lang w:val="en-US" w:eastAsia="zh-CN"/>
                <w14:textFill>
                  <w14:solidFill>
                    <w14:schemeClr w14:val="tx1"/>
                  </w14:solidFill>
                </w14:textFill>
              </w:rPr>
              <w:t>132</w:t>
            </w:r>
            <w:r>
              <w:rPr>
                <w:rFonts w:hint="default" w:ascii="Times New Roman" w:hAnsi="Times New Roman"/>
                <w:color w:val="000000" w:themeColor="text1"/>
                <w:sz w:val="24"/>
                <w:highlight w:val="none"/>
                <w:lang w:eastAsia="zh-CN"/>
                <w14:textFill>
                  <w14:solidFill>
                    <w14:schemeClr w14:val="tx1"/>
                  </w14:solidFill>
                </w14:textFill>
              </w:rPr>
              <w:t>万t/a</w:t>
            </w:r>
            <w:r>
              <w:rPr>
                <w:rFonts w:hint="eastAsia"/>
                <w:color w:val="000000" w:themeColor="text1"/>
                <w:sz w:val="24"/>
                <w:highlight w:val="none"/>
                <w:lang w:eastAsia="zh-CN"/>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该工序产尘系数为</w:t>
            </w:r>
            <w:r>
              <w:rPr>
                <w:rFonts w:hint="default" w:ascii="Times New Roman" w:hAnsi="Times New Roman"/>
                <w:color w:val="000000" w:themeColor="text1"/>
                <w:sz w:val="24"/>
                <w:lang w:eastAsia="zh-CN"/>
                <w14:textFill>
                  <w14:solidFill>
                    <w14:schemeClr w14:val="tx1"/>
                  </w14:solidFill>
                </w14:textFill>
              </w:rPr>
              <w:t>0.2kg/t，</w:t>
            </w:r>
            <w:r>
              <w:rPr>
                <w:rFonts w:hint="eastAsia" w:ascii="Times New Roman" w:hAnsi="Times New Roman"/>
                <w:color w:val="000000" w:themeColor="text1"/>
                <w:sz w:val="24"/>
                <w:lang w:val="en-US" w:eastAsia="zh-CN"/>
                <w14:textFill>
                  <w14:solidFill>
                    <w14:schemeClr w14:val="tx1"/>
                  </w14:solidFill>
                </w14:textFill>
              </w:rPr>
              <w:t>则</w:t>
            </w:r>
            <w:r>
              <w:rPr>
                <w:rFonts w:hint="eastAsia"/>
                <w:color w:val="000000" w:themeColor="text1"/>
                <w:sz w:val="24"/>
                <w:lang w:val="en-US" w:eastAsia="zh-CN"/>
                <w14:textFill>
                  <w14:solidFill>
                    <w14:schemeClr w14:val="tx1"/>
                  </w14:solidFill>
                </w14:textFill>
              </w:rPr>
              <w:t>制砂</w:t>
            </w:r>
            <w:r>
              <w:rPr>
                <w:rFonts w:hint="eastAsia" w:ascii="Times New Roman" w:hAnsi="Times New Roman"/>
                <w:color w:val="000000" w:themeColor="text1"/>
                <w:sz w:val="24"/>
                <w:lang w:val="en-US" w:eastAsia="zh-CN"/>
                <w14:textFill>
                  <w14:solidFill>
                    <w14:schemeClr w14:val="tx1"/>
                  </w14:solidFill>
                </w14:textFill>
              </w:rPr>
              <w:t>工序粉尘产生量为</w:t>
            </w:r>
            <w:r>
              <w:rPr>
                <w:rFonts w:hint="eastAsia"/>
                <w:color w:val="000000" w:themeColor="text1"/>
                <w:sz w:val="24"/>
                <w:lang w:val="en-US" w:eastAsia="zh-CN"/>
                <w14:textFill>
                  <w14:solidFill>
                    <w14:schemeClr w14:val="tx1"/>
                  </w14:solidFill>
                </w14:textFill>
              </w:rPr>
              <w:t>264</w:t>
            </w:r>
            <w:r>
              <w:rPr>
                <w:rFonts w:hint="default" w:ascii="Times New Roman" w:hAnsi="Times New Roman"/>
                <w:color w:val="000000" w:themeColor="text1"/>
                <w:sz w:val="24"/>
                <w:highlight w:val="none"/>
                <w:lang w:eastAsia="zh-CN"/>
                <w14:textFill>
                  <w14:solidFill>
                    <w14:schemeClr w14:val="tx1"/>
                  </w14:solidFill>
                </w14:textFill>
              </w:rPr>
              <w:t>t/a</w:t>
            </w:r>
            <w:r>
              <w:rPr>
                <w:rFonts w:hint="eastAsia" w:ascii="Times New Roman" w:hAnsi="Times New Roman"/>
                <w:color w:val="000000" w:themeColor="text1"/>
                <w:sz w:val="24"/>
                <w:highlight w:val="none"/>
                <w:lang w:eastAsia="zh-CN"/>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产生速率为</w:t>
            </w:r>
            <w:r>
              <w:rPr>
                <w:rFonts w:hint="eastAsia"/>
                <w:color w:val="000000" w:themeColor="text1"/>
                <w:sz w:val="24"/>
                <w:lang w:val="en-US" w:eastAsia="zh-CN"/>
                <w14:textFill>
                  <w14:solidFill>
                    <w14:schemeClr w14:val="tx1"/>
                  </w14:solidFill>
                </w14:textFill>
              </w:rPr>
              <w:t>50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kg/h</w:t>
            </w:r>
            <w:r>
              <w:rPr>
                <w:rFonts w:hint="eastAsia" w:cs="Times New Roman"/>
                <w:color w:val="000000" w:themeColor="text1"/>
                <w:sz w:val="24"/>
                <w:szCs w:val="24"/>
                <w:highlight w:val="none"/>
                <w:lang w:val="en-US" w:eastAsia="zh-CN"/>
                <w14:textFill>
                  <w14:solidFill>
                    <w14:schemeClr w14:val="tx1"/>
                  </w14:solidFill>
                </w14:textFill>
              </w:rPr>
              <w:t>。</w:t>
            </w:r>
          </w:p>
          <w:p w14:paraId="47769392">
            <w:pPr>
              <w:pStyle w:val="6"/>
              <w:keepNext w:val="0"/>
              <w:keepLines w:val="0"/>
              <w:suppressLineNumbers w:val="0"/>
              <w:spacing w:before="0" w:beforeAutospacing="0" w:after="0" w:afterAutospacing="0" w:line="480" w:lineRule="exact"/>
              <w:ind w:left="0" w:right="0" w:firstLine="480"/>
              <w:rPr>
                <w:rFonts w:hint="eastAsia" w:cs="Times New Roman"/>
                <w:color w:val="000000" w:themeColor="text1"/>
                <w:sz w:val="24"/>
                <w:szCs w:val="24"/>
                <w:highlight w:val="none"/>
                <w:lang w:val="en-US" w:eastAsia="zh-CN"/>
                <w14:textFill>
                  <w14:solidFill>
                    <w14:schemeClr w14:val="tx1"/>
                  </w14:solidFill>
                </w14:textFill>
              </w:rPr>
            </w:pPr>
            <w:r>
              <w:rPr>
                <w:rFonts w:hint="eastAsia" w:cs="Times New Roman"/>
                <w:snapToGrid w:val="0"/>
                <w:color w:val="000000" w:themeColor="text1"/>
                <w:sz w:val="24"/>
                <w:szCs w:val="20"/>
                <w:highlight w:val="none"/>
                <w:lang w:val="en-US" w:eastAsia="zh-CN"/>
                <w14:textFill>
                  <w14:solidFill>
                    <w14:schemeClr w14:val="tx1"/>
                  </w14:solidFill>
                </w14:textFill>
              </w:rPr>
              <w:t>筛分工序进料量</w:t>
            </w:r>
            <w:r>
              <w:rPr>
                <w:rFonts w:hint="eastAsia" w:ascii="Times New Roman" w:hAnsi="Times New Roman"/>
                <w:color w:val="000000" w:themeColor="text1"/>
                <w:sz w:val="24"/>
                <w:highlight w:val="none"/>
                <w:lang w:eastAsia="zh-CN"/>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考虑10%返料</w:t>
            </w:r>
            <w:r>
              <w:rPr>
                <w:rFonts w:hint="eastAsia" w:ascii="Times New Roman" w:hAnsi="Times New Roman"/>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共</w:t>
            </w:r>
            <w:r>
              <w:rPr>
                <w:rFonts w:hint="eastAsia" w:cs="Times New Roman"/>
                <w:snapToGrid w:val="0"/>
                <w:color w:val="000000" w:themeColor="text1"/>
                <w:sz w:val="24"/>
                <w:szCs w:val="20"/>
                <w:highlight w:val="none"/>
                <w:lang w:val="en-US" w:eastAsia="zh-CN"/>
                <w14:textFill>
                  <w14:solidFill>
                    <w14:schemeClr w14:val="tx1"/>
                  </w14:solidFill>
                </w14:textFill>
              </w:rPr>
              <w:t>为</w:t>
            </w:r>
            <w:r>
              <w:rPr>
                <w:rFonts w:hint="eastAsia"/>
                <w:color w:val="000000" w:themeColor="text1"/>
                <w:sz w:val="24"/>
                <w:highlight w:val="none"/>
                <w:lang w:val="en-US" w:eastAsia="zh-CN"/>
                <w14:textFill>
                  <w14:solidFill>
                    <w14:schemeClr w14:val="tx1"/>
                  </w14:solidFill>
                </w14:textFill>
              </w:rPr>
              <w:t>132</w:t>
            </w:r>
            <w:r>
              <w:rPr>
                <w:rFonts w:hint="default" w:ascii="Times New Roman" w:hAnsi="Times New Roman"/>
                <w:color w:val="000000" w:themeColor="text1"/>
                <w:sz w:val="24"/>
                <w:highlight w:val="none"/>
                <w:lang w:eastAsia="zh-CN"/>
                <w14:textFill>
                  <w14:solidFill>
                    <w14:schemeClr w14:val="tx1"/>
                  </w14:solidFill>
                </w14:textFill>
              </w:rPr>
              <w:t>万t/a</w:t>
            </w:r>
            <w:r>
              <w:rPr>
                <w:rFonts w:hint="eastAsia"/>
                <w:color w:val="000000" w:themeColor="text1"/>
                <w:sz w:val="24"/>
                <w:highlight w:val="none"/>
                <w:lang w:eastAsia="zh-CN"/>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该工序产尘系数为</w:t>
            </w:r>
            <w:r>
              <w:rPr>
                <w:rFonts w:hint="default" w:ascii="Times New Roman" w:hAnsi="Times New Roman"/>
                <w:color w:val="000000" w:themeColor="text1"/>
                <w:sz w:val="24"/>
                <w:lang w:eastAsia="zh-CN"/>
                <w14:textFill>
                  <w14:solidFill>
                    <w14:schemeClr w14:val="tx1"/>
                  </w14:solidFill>
                </w14:textFill>
              </w:rPr>
              <w:t>0.2kg/t，</w:t>
            </w:r>
            <w:r>
              <w:rPr>
                <w:rFonts w:hint="eastAsia" w:ascii="Times New Roman" w:hAnsi="Times New Roman"/>
                <w:color w:val="000000" w:themeColor="text1"/>
                <w:sz w:val="24"/>
                <w:lang w:val="en-US" w:eastAsia="zh-CN"/>
                <w14:textFill>
                  <w14:solidFill>
                    <w14:schemeClr w14:val="tx1"/>
                  </w14:solidFill>
                </w14:textFill>
              </w:rPr>
              <w:t>则该工序粉尘产生量为</w:t>
            </w:r>
            <w:r>
              <w:rPr>
                <w:rFonts w:hint="eastAsia"/>
                <w:color w:val="000000" w:themeColor="text1"/>
                <w:sz w:val="24"/>
                <w:lang w:val="en-US" w:eastAsia="zh-CN"/>
                <w14:textFill>
                  <w14:solidFill>
                    <w14:schemeClr w14:val="tx1"/>
                  </w14:solidFill>
                </w14:textFill>
              </w:rPr>
              <w:t>264</w:t>
            </w:r>
            <w:r>
              <w:rPr>
                <w:rFonts w:hint="default" w:ascii="Times New Roman" w:hAnsi="Times New Roman"/>
                <w:color w:val="000000" w:themeColor="text1"/>
                <w:sz w:val="24"/>
                <w:highlight w:val="none"/>
                <w:lang w:eastAsia="zh-CN"/>
                <w14:textFill>
                  <w14:solidFill>
                    <w14:schemeClr w14:val="tx1"/>
                  </w14:solidFill>
                </w14:textFill>
              </w:rPr>
              <w:t>t/a</w:t>
            </w:r>
            <w:r>
              <w:rPr>
                <w:rFonts w:hint="eastAsia" w:ascii="Times New Roman" w:hAnsi="Times New Roman"/>
                <w:color w:val="000000" w:themeColor="text1"/>
                <w:sz w:val="24"/>
                <w:highlight w:val="none"/>
                <w:lang w:eastAsia="zh-CN"/>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产生速率为</w:t>
            </w:r>
            <w:r>
              <w:rPr>
                <w:rFonts w:hint="eastAsia"/>
                <w:color w:val="000000" w:themeColor="text1"/>
                <w:sz w:val="24"/>
                <w:lang w:val="en-US" w:eastAsia="zh-CN"/>
                <w14:textFill>
                  <w14:solidFill>
                    <w14:schemeClr w14:val="tx1"/>
                  </w14:solidFill>
                </w14:textFill>
              </w:rPr>
              <w:t>50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kg/h</w:t>
            </w:r>
            <w:r>
              <w:rPr>
                <w:rFonts w:hint="eastAsia" w:cs="Times New Roman"/>
                <w:color w:val="000000" w:themeColor="text1"/>
                <w:sz w:val="24"/>
                <w:szCs w:val="24"/>
                <w:highlight w:val="none"/>
                <w:lang w:val="en-US" w:eastAsia="zh-CN"/>
                <w14:textFill>
                  <w14:solidFill>
                    <w14:schemeClr w14:val="tx1"/>
                  </w14:solidFill>
                </w14:textFill>
              </w:rPr>
              <w:t>。</w:t>
            </w:r>
          </w:p>
          <w:p w14:paraId="199A7B09">
            <w:pPr>
              <w:pStyle w:val="6"/>
              <w:keepNext w:val="0"/>
              <w:keepLines w:val="0"/>
              <w:suppressLineNumbers w:val="0"/>
              <w:spacing w:before="0" w:beforeAutospacing="0" w:after="0" w:afterAutospacing="0" w:line="480" w:lineRule="exact"/>
              <w:ind w:left="0" w:right="0" w:firstLine="480"/>
              <w:rPr>
                <w:rFonts w:hint="eastAsia" w:cs="Times New Roman"/>
                <w:color w:val="000000" w:themeColor="text1"/>
                <w:sz w:val="24"/>
                <w:szCs w:val="24"/>
                <w:highlight w:val="none"/>
                <w:vertAlign w:val="baseli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则总</w:t>
            </w:r>
            <w:r>
              <w:rPr>
                <w:rFonts w:hint="eastAsia" w:ascii="Times New Roman" w:hAnsi="Times New Roman"/>
                <w:color w:val="000000" w:themeColor="text1"/>
                <w:sz w:val="24"/>
                <w:highlight w:val="none"/>
                <w:lang w:val="en-US" w:eastAsia="zh-CN"/>
                <w14:textFill>
                  <w14:solidFill>
                    <w14:schemeClr w14:val="tx1"/>
                  </w14:solidFill>
                </w14:textFill>
              </w:rPr>
              <w:t>产生速率为</w:t>
            </w:r>
            <w:r>
              <w:rPr>
                <w:rFonts w:hint="eastAsia"/>
                <w:color w:val="000000" w:themeColor="text1"/>
                <w:sz w:val="24"/>
                <w:lang w:val="en-US" w:eastAsia="zh-CN"/>
                <w14:textFill>
                  <w14:solidFill>
                    <w14:schemeClr w14:val="tx1"/>
                  </w14:solidFill>
                </w14:textFill>
              </w:rPr>
              <w:t>100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kg/h</w:t>
            </w:r>
            <w:r>
              <w:rPr>
                <w:rFonts w:hint="eastAsia" w:cs="Times New Roman"/>
                <w:color w:val="000000" w:themeColor="text1"/>
                <w:sz w:val="24"/>
                <w:szCs w:val="24"/>
                <w:highlight w:val="none"/>
                <w:lang w:val="en-US" w:eastAsia="zh-CN"/>
                <w14:textFill>
                  <w14:solidFill>
                    <w14:schemeClr w14:val="tx1"/>
                  </w14:solidFill>
                </w14:textFill>
              </w:rPr>
              <w:t>，产生浓度为</w:t>
            </w:r>
            <w:r>
              <w:rPr>
                <w:rFonts w:hint="eastAsia" w:cs="Times New Roman"/>
                <w:color w:val="000000" w:themeColor="text1"/>
                <w:sz w:val="24"/>
                <w:szCs w:val="24"/>
                <w:highlight w:val="none"/>
                <w:vertAlign w:val="baseline"/>
                <w:lang w:val="en-US" w:eastAsia="zh-CN"/>
                <w14:textFill>
                  <w14:solidFill>
                    <w14:schemeClr w14:val="tx1"/>
                  </w14:solidFill>
                </w14:textFill>
              </w:rPr>
              <w:t>4878</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pacing w:val="0"/>
                <w:position w:val="0"/>
                <w:sz w:val="24"/>
                <w:highlight w:val="none"/>
                <w:vertAlign w:val="superscript"/>
                <w:lang w:val="en-US" w:eastAsia="zh-CN"/>
                <w14:textFill>
                  <w14:solidFill>
                    <w14:schemeClr w14:val="tx1"/>
                  </w14:solidFill>
                </w14:textFill>
              </w:rPr>
              <w:t>3</w:t>
            </w:r>
            <w:r>
              <w:rPr>
                <w:rFonts w:hint="eastAsia" w:cs="Times New Roman"/>
                <w:color w:val="000000" w:themeColor="text1"/>
                <w:spacing w:val="0"/>
                <w:position w:val="0"/>
                <w:sz w:val="24"/>
                <w:highlight w:val="none"/>
                <w:vertAlign w:val="baseline"/>
                <w:lang w:val="en-US" w:eastAsia="zh-CN"/>
                <w14:textFill>
                  <w14:solidFill>
                    <w14:schemeClr w14:val="tx1"/>
                  </w14:solidFill>
                </w14:textFill>
              </w:rPr>
              <w:t>。</w:t>
            </w:r>
          </w:p>
          <w:p w14:paraId="471B2A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有组织颗粒物</w:t>
            </w:r>
            <w:r>
              <w:rPr>
                <w:rFonts w:hint="default" w:ascii="Times New Roman" w:hAnsi="Times New Roman" w:eastAsia="宋体" w:cs="Times New Roman"/>
                <w:color w:val="000000" w:themeColor="text1"/>
                <w:spacing w:val="0"/>
                <w:position w:val="0"/>
                <w:sz w:val="24"/>
                <w:highlight w:val="none"/>
                <w14:textFill>
                  <w14:solidFill>
                    <w14:schemeClr w14:val="tx1"/>
                  </w14:solidFill>
                </w14:textFill>
              </w:rPr>
              <w:t>排放浓度</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执行《长治市大气污染防治工作领导组办公室文件关于印发长治市工业企业无组织排放治理实施方案的通知》（长气防办[2019]9号）特别排放限值要求（颗粒物≤10mg/m</w:t>
            </w:r>
            <w:r>
              <w:rPr>
                <w:rFonts w:hint="default" w:ascii="Times New Roman" w:hAnsi="Times New Roman" w:eastAsia="宋体" w:cs="Times New Roman"/>
                <w:color w:val="000000" w:themeColor="text1"/>
                <w:spacing w:val="0"/>
                <w:position w:val="0"/>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w:t>
            </w:r>
            <w:r>
              <w:rPr>
                <w:rFonts w:hint="eastAsia"/>
                <w:color w:val="000000" w:themeColor="text1"/>
                <w:spacing w:val="4"/>
                <w:sz w:val="24"/>
                <w:lang w:eastAsia="zh-CN"/>
                <w14:textFill>
                  <w14:solidFill>
                    <w14:schemeClr w14:val="tx1"/>
                  </w14:solidFill>
                </w14:textFill>
              </w:rPr>
              <w:t>。</w:t>
            </w:r>
            <w:r>
              <w:rPr>
                <w:rFonts w:hint="default"/>
                <w:bCs/>
                <w:color w:val="000000" w:themeColor="text1"/>
                <w:sz w:val="24"/>
                <w14:textFill>
                  <w14:solidFill>
                    <w14:schemeClr w14:val="tx1"/>
                  </w14:solidFill>
                </w14:textFill>
              </w:rPr>
              <w:t>有组织</w:t>
            </w:r>
            <w:r>
              <w:rPr>
                <w:rFonts w:hint="eastAsia"/>
                <w:bCs/>
                <w:color w:val="000000" w:themeColor="text1"/>
                <w:sz w:val="24"/>
                <w:lang w:val="en-US" w:eastAsia="zh-CN"/>
                <w14:textFill>
                  <w14:solidFill>
                    <w14:schemeClr w14:val="tx1"/>
                  </w14:solidFill>
                </w14:textFill>
              </w:rPr>
              <w:t>颗粒物</w:t>
            </w:r>
            <w:r>
              <w:rPr>
                <w:rFonts w:hint="default"/>
                <w:bCs/>
                <w:color w:val="000000" w:themeColor="text1"/>
                <w:sz w:val="24"/>
                <w14:textFill>
                  <w14:solidFill>
                    <w14:schemeClr w14:val="tx1"/>
                  </w14:solidFill>
                </w14:textFill>
              </w:rPr>
              <w:t>排放量：10mg/m</w:t>
            </w:r>
            <w:r>
              <w:rPr>
                <w:rFonts w:hint="default"/>
                <w:bCs/>
                <w:color w:val="000000" w:themeColor="text1"/>
                <w:sz w:val="24"/>
                <w:vertAlign w:val="superscript"/>
                <w14:textFill>
                  <w14:solidFill>
                    <w14:schemeClr w14:val="tx1"/>
                  </w14:solidFill>
                </w14:textFill>
              </w:rPr>
              <w:t>3</w:t>
            </w:r>
            <w:r>
              <w:rPr>
                <w:rFonts w:hint="default"/>
                <w:bCs/>
                <w:color w:val="000000" w:themeColor="text1"/>
                <w:sz w:val="24"/>
                <w14:textFill>
                  <w14:solidFill>
                    <w14:schemeClr w14:val="tx1"/>
                  </w14:solidFill>
                </w14:textFill>
              </w:rPr>
              <w:t>×</w:t>
            </w:r>
            <w:r>
              <w:rPr>
                <w:rFonts w:hint="eastAsia" w:cs="Times New Roman"/>
                <w:snapToGrid w:val="0"/>
                <w:color w:val="000000" w:themeColor="text1"/>
                <w:sz w:val="24"/>
                <w:szCs w:val="20"/>
                <w:highlight w:val="none"/>
                <w:lang w:val="en-US" w:eastAsia="zh-CN"/>
                <w14:textFill>
                  <w14:solidFill>
                    <w14:schemeClr w14:val="tx1"/>
                  </w14:solidFill>
                </w14:textFill>
              </w:rPr>
              <w:t>20500</w:t>
            </w:r>
            <w:r>
              <w:rPr>
                <w:rFonts w:hint="default"/>
                <w:color w:val="000000" w:themeColor="text1"/>
                <w:sz w:val="24"/>
                <w14:textFill>
                  <w14:solidFill>
                    <w14:schemeClr w14:val="tx1"/>
                  </w14:solidFill>
                </w14:textFill>
              </w:rPr>
              <w:t>m</w:t>
            </w:r>
            <w:r>
              <w:rPr>
                <w:rFonts w:hint="default"/>
                <w:color w:val="000000" w:themeColor="text1"/>
                <w:sz w:val="24"/>
                <w:vertAlign w:val="superscript"/>
                <w14:textFill>
                  <w14:solidFill>
                    <w14:schemeClr w14:val="tx1"/>
                  </w14:solidFill>
                </w14:textFill>
              </w:rPr>
              <w:t>3</w:t>
            </w:r>
            <w:r>
              <w:rPr>
                <w:rFonts w:hint="default"/>
                <w:color w:val="000000" w:themeColor="text1"/>
                <w:sz w:val="24"/>
                <w14:textFill>
                  <w14:solidFill>
                    <w14:schemeClr w14:val="tx1"/>
                  </w14:solidFill>
                </w14:textFill>
              </w:rPr>
              <w:t>/h</w:t>
            </w:r>
            <w:r>
              <w:rPr>
                <w:rFonts w:hint="default"/>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5280h</w:t>
            </w:r>
            <w:r>
              <w:rPr>
                <w:rFonts w:hint="default"/>
                <w:bCs/>
                <w:color w:val="000000" w:themeColor="text1"/>
                <w:sz w:val="24"/>
                <w14:textFill>
                  <w14:solidFill>
                    <w14:schemeClr w14:val="tx1"/>
                  </w14:solidFill>
                </w14:textFill>
              </w:rPr>
              <w:t>÷10</w:t>
            </w:r>
            <w:r>
              <w:rPr>
                <w:rFonts w:hint="default"/>
                <w:bCs/>
                <w:color w:val="000000" w:themeColor="text1"/>
                <w:sz w:val="24"/>
                <w:vertAlign w:val="superscript"/>
                <w14:textFill>
                  <w14:solidFill>
                    <w14:schemeClr w14:val="tx1"/>
                  </w14:solidFill>
                </w14:textFill>
              </w:rPr>
              <w:t>9</w:t>
            </w:r>
            <w:r>
              <w:rPr>
                <w:rFonts w:hint="default"/>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1.082</w:t>
            </w:r>
            <w:r>
              <w:rPr>
                <w:rFonts w:hint="default"/>
                <w:bCs/>
                <w:color w:val="000000" w:themeColor="text1"/>
                <w:sz w:val="24"/>
                <w14:textFill>
                  <w14:solidFill>
                    <w14:schemeClr w14:val="tx1"/>
                  </w14:solidFill>
                </w14:textFill>
              </w:rPr>
              <w:t>t/a</w:t>
            </w:r>
            <w:r>
              <w:rPr>
                <w:rFonts w:hint="eastAsia"/>
                <w:bCs/>
                <w:color w:val="000000" w:themeColor="text1"/>
                <w:sz w:val="24"/>
                <w:lang w:eastAsia="zh-CN"/>
                <w14:textFill>
                  <w14:solidFill>
                    <w14:schemeClr w14:val="tx1"/>
                  </w14:solidFill>
                </w14:textFill>
              </w:rPr>
              <w:t>，</w:t>
            </w:r>
            <w:r>
              <w:rPr>
                <w:rFonts w:hint="default"/>
                <w:color w:val="000000" w:themeColor="text1"/>
                <w:sz w:val="24"/>
                <w14:textFill>
                  <w14:solidFill>
                    <w14:schemeClr w14:val="tx1"/>
                  </w14:solidFill>
                </w14:textFill>
              </w:rPr>
              <w:t>排放</w:t>
            </w:r>
            <w:r>
              <w:rPr>
                <w:rFonts w:hint="eastAsia"/>
                <w:color w:val="000000" w:themeColor="text1"/>
                <w:sz w:val="24"/>
                <w:lang w:val="en-US" w:eastAsia="zh-CN"/>
                <w14:textFill>
                  <w14:solidFill>
                    <w14:schemeClr w14:val="tx1"/>
                  </w14:solidFill>
                </w14:textFill>
              </w:rPr>
              <w:t>速率</w:t>
            </w:r>
            <w:r>
              <w:rPr>
                <w:rFonts w:hint="default"/>
                <w:color w:val="000000" w:themeColor="text1"/>
                <w:sz w:val="24"/>
                <w:highlight w:val="none"/>
                <w14:textFill>
                  <w14:solidFill>
                    <w14:schemeClr w14:val="tx1"/>
                  </w14:solidFill>
                </w14:textFill>
              </w:rPr>
              <w:t>为</w:t>
            </w:r>
            <w:r>
              <w:rPr>
                <w:rFonts w:hint="eastAsia"/>
                <w:color w:val="000000" w:themeColor="text1"/>
                <w:sz w:val="24"/>
                <w:highlight w:val="none"/>
                <w:lang w:val="en-US" w:eastAsia="zh-CN"/>
                <w14:textFill>
                  <w14:solidFill>
                    <w14:schemeClr w14:val="tx1"/>
                  </w14:solidFill>
                </w14:textFill>
              </w:rPr>
              <w:t>0.2kg/h</w:t>
            </w:r>
            <w:r>
              <w:rPr>
                <w:rFonts w:hint="default"/>
                <w:color w:val="000000" w:themeColor="text1"/>
                <w:sz w:val="24"/>
                <w:highlight w:val="none"/>
                <w14:textFill>
                  <w14:solidFill>
                    <w14:schemeClr w14:val="tx1"/>
                  </w14:solidFill>
                </w14:textFill>
              </w:rPr>
              <w:t>。</w:t>
            </w:r>
          </w:p>
          <w:p w14:paraId="103091CA">
            <w:pPr>
              <w:keepNext w:val="0"/>
              <w:keepLines w:val="0"/>
              <w:suppressLineNumbers w:val="0"/>
              <w:adjustRightInd w:val="0"/>
              <w:snapToGrid w:val="0"/>
              <w:spacing w:before="0" w:beforeAutospacing="0" w:after="0" w:afterAutospacing="0" w:line="480" w:lineRule="exact"/>
              <w:ind w:left="0" w:right="0" w:firstLine="420" w:firstLineChars="200"/>
              <w:rPr>
                <w:rFonts w:hint="default"/>
                <w:color w:val="000000" w:themeColor="text1"/>
                <w:lang w:val="en-US" w:eastAsia="zh-CN"/>
                <w14:textFill>
                  <w14:solidFill>
                    <w14:schemeClr w14:val="tx1"/>
                  </w14:solidFill>
                </w14:textFill>
              </w:rPr>
            </w:pPr>
          </w:p>
          <w:p w14:paraId="640EAF4A">
            <w:pPr>
              <w:keepNext w:val="0"/>
              <w:keepLines w:val="0"/>
              <w:suppressLineNumbers w:val="0"/>
              <w:adjustRightInd w:val="0"/>
              <w:snapToGrid w:val="0"/>
              <w:spacing w:before="0" w:beforeAutospacing="0" w:after="0" w:afterAutospacing="0" w:line="480" w:lineRule="exact"/>
              <w:ind w:left="0" w:right="0" w:firstLine="420" w:firstLineChars="200"/>
              <w:rPr>
                <w:rFonts w:hint="default"/>
                <w:color w:val="000000" w:themeColor="text1"/>
                <w:lang w:val="en-US" w:eastAsia="zh-CN"/>
                <w14:textFill>
                  <w14:solidFill>
                    <w14:schemeClr w14:val="tx1"/>
                  </w14:solidFill>
                </w14:textFill>
              </w:rPr>
            </w:pPr>
          </w:p>
          <w:p w14:paraId="7E082FE1">
            <w:pPr>
              <w:keepNext w:val="0"/>
              <w:keepLines w:val="0"/>
              <w:suppressLineNumbers w:val="0"/>
              <w:adjustRightInd w:val="0"/>
              <w:snapToGrid w:val="0"/>
              <w:spacing w:before="0" w:beforeAutospacing="0" w:after="0" w:afterAutospacing="0" w:line="480" w:lineRule="exact"/>
              <w:ind w:left="0" w:right="0" w:firstLine="420" w:firstLineChars="200"/>
              <w:rPr>
                <w:rFonts w:hint="default"/>
                <w:color w:val="000000" w:themeColor="text1"/>
                <w:lang w:val="en-US" w:eastAsia="zh-CN"/>
                <w14:textFill>
                  <w14:solidFill>
                    <w14:schemeClr w14:val="tx1"/>
                  </w14:solidFill>
                </w14:textFill>
              </w:rPr>
            </w:pPr>
          </w:p>
          <w:p w14:paraId="1485B889">
            <w:pPr>
              <w:keepNext w:val="0"/>
              <w:keepLines w:val="0"/>
              <w:suppressLineNumbers w:val="0"/>
              <w:adjustRightInd w:val="0"/>
              <w:snapToGrid w:val="0"/>
              <w:spacing w:before="0" w:beforeAutospacing="0" w:after="0" w:afterAutospacing="0" w:line="480" w:lineRule="exact"/>
              <w:ind w:left="0" w:right="0" w:firstLine="420" w:firstLineChars="200"/>
              <w:rPr>
                <w:rFonts w:hint="default"/>
                <w:color w:val="000000" w:themeColor="text1"/>
                <w:lang w:val="en-US" w:eastAsia="zh-CN"/>
                <w14:textFill>
                  <w14:solidFill>
                    <w14:schemeClr w14:val="tx1"/>
                  </w14:solidFill>
                </w14:textFill>
              </w:rPr>
            </w:pPr>
          </w:p>
          <w:p w14:paraId="4381632C">
            <w:pPr>
              <w:keepNext w:val="0"/>
              <w:keepLines w:val="0"/>
              <w:suppressLineNumbers w:val="0"/>
              <w:adjustRightInd w:val="0"/>
              <w:snapToGrid w:val="0"/>
              <w:spacing w:before="0" w:beforeAutospacing="0" w:after="0" w:afterAutospacing="0" w:line="480" w:lineRule="exact"/>
              <w:ind w:left="0" w:right="0" w:firstLine="420" w:firstLineChars="200"/>
              <w:rPr>
                <w:rFonts w:hint="default"/>
                <w:color w:val="000000" w:themeColor="text1"/>
                <w:lang w:val="en-US" w:eastAsia="zh-CN"/>
                <w14:textFill>
                  <w14:solidFill>
                    <w14:schemeClr w14:val="tx1"/>
                  </w14:solidFill>
                </w14:textFill>
              </w:rPr>
            </w:pPr>
          </w:p>
          <w:p w14:paraId="672E7764">
            <w:pPr>
              <w:keepNext w:val="0"/>
              <w:keepLines w:val="0"/>
              <w:suppressLineNumbers w:val="0"/>
              <w:adjustRightInd w:val="0"/>
              <w:snapToGrid w:val="0"/>
              <w:spacing w:before="0" w:beforeAutospacing="0" w:after="0" w:afterAutospacing="0" w:line="480" w:lineRule="exact"/>
              <w:ind w:left="0" w:right="0" w:firstLine="420" w:firstLineChars="200"/>
              <w:rPr>
                <w:rFonts w:hint="default"/>
                <w:color w:val="000000" w:themeColor="text1"/>
                <w:lang w:val="en-US" w:eastAsia="zh-CN"/>
                <w14:textFill>
                  <w14:solidFill>
                    <w14:schemeClr w14:val="tx1"/>
                  </w14:solidFill>
                </w14:textFill>
              </w:rPr>
            </w:pPr>
          </w:p>
          <w:p w14:paraId="2852F4AB">
            <w:pPr>
              <w:keepNext w:val="0"/>
              <w:keepLines w:val="0"/>
              <w:suppressLineNumbers w:val="0"/>
              <w:adjustRightInd w:val="0"/>
              <w:snapToGrid w:val="0"/>
              <w:spacing w:before="0" w:beforeAutospacing="0" w:after="0" w:afterAutospacing="0" w:line="480" w:lineRule="exact"/>
              <w:ind w:left="0" w:right="0" w:firstLine="420" w:firstLineChars="200"/>
              <w:rPr>
                <w:rFonts w:hint="default"/>
                <w:color w:val="000000" w:themeColor="text1"/>
                <w:lang w:val="en-US" w:eastAsia="zh-CN"/>
                <w14:textFill>
                  <w14:solidFill>
                    <w14:schemeClr w14:val="tx1"/>
                  </w14:solidFill>
                </w14:textFill>
              </w:rPr>
            </w:pPr>
          </w:p>
          <w:p w14:paraId="6C15BAB3">
            <w:pPr>
              <w:keepNext w:val="0"/>
              <w:keepLines w:val="0"/>
              <w:suppressLineNumbers w:val="0"/>
              <w:adjustRightInd w:val="0"/>
              <w:snapToGrid w:val="0"/>
              <w:spacing w:before="0" w:beforeAutospacing="0" w:after="0" w:afterAutospacing="0" w:line="480" w:lineRule="exact"/>
              <w:ind w:left="0" w:right="0" w:firstLine="420" w:firstLineChars="200"/>
              <w:rPr>
                <w:rFonts w:hint="default"/>
                <w:color w:val="000000" w:themeColor="text1"/>
                <w:lang w:val="en-US" w:eastAsia="zh-CN"/>
                <w14:textFill>
                  <w14:solidFill>
                    <w14:schemeClr w14:val="tx1"/>
                  </w14:solidFill>
                </w14:textFill>
              </w:rPr>
            </w:pPr>
          </w:p>
          <w:p w14:paraId="61674E3E">
            <w:pPr>
              <w:keepNext w:val="0"/>
              <w:keepLines w:val="0"/>
              <w:suppressLineNumbers w:val="0"/>
              <w:adjustRightInd w:val="0"/>
              <w:snapToGrid w:val="0"/>
              <w:spacing w:before="0" w:beforeAutospacing="0" w:after="0" w:afterAutospacing="0" w:line="480" w:lineRule="exact"/>
              <w:ind w:left="0" w:right="0" w:firstLine="420" w:firstLineChars="200"/>
              <w:rPr>
                <w:rFonts w:hint="default"/>
                <w:color w:val="000000" w:themeColor="text1"/>
                <w:lang w:val="en-US" w:eastAsia="zh-CN"/>
                <w14:textFill>
                  <w14:solidFill>
                    <w14:schemeClr w14:val="tx1"/>
                  </w14:solidFill>
                </w14:textFill>
              </w:rPr>
            </w:pPr>
          </w:p>
          <w:p w14:paraId="1A5D482F">
            <w:pPr>
              <w:keepNext w:val="0"/>
              <w:keepLines w:val="0"/>
              <w:suppressLineNumbers w:val="0"/>
              <w:adjustRightInd w:val="0"/>
              <w:snapToGrid w:val="0"/>
              <w:spacing w:before="0" w:beforeAutospacing="0" w:after="0" w:afterAutospacing="0" w:line="480" w:lineRule="exact"/>
              <w:ind w:left="0" w:right="0" w:firstLine="420" w:firstLineChars="200"/>
              <w:rPr>
                <w:rFonts w:hint="default"/>
                <w:color w:val="000000" w:themeColor="text1"/>
                <w:lang w:val="en-US" w:eastAsia="zh-CN"/>
                <w14:textFill>
                  <w14:solidFill>
                    <w14:schemeClr w14:val="tx1"/>
                  </w14:solidFill>
                </w14:textFill>
              </w:rPr>
            </w:pPr>
          </w:p>
          <w:p w14:paraId="40BB430E">
            <w:pPr>
              <w:keepNext w:val="0"/>
              <w:keepLines w:val="0"/>
              <w:suppressLineNumbers w:val="0"/>
              <w:adjustRightInd w:val="0"/>
              <w:snapToGrid w:val="0"/>
              <w:spacing w:before="0" w:beforeAutospacing="0" w:after="0" w:afterAutospacing="0" w:line="480" w:lineRule="exact"/>
              <w:ind w:left="0" w:right="0" w:firstLine="420" w:firstLineChars="200"/>
              <w:rPr>
                <w:rFonts w:hint="default"/>
                <w:color w:val="000000" w:themeColor="text1"/>
                <w:lang w:val="en-US" w:eastAsia="zh-CN"/>
                <w14:textFill>
                  <w14:solidFill>
                    <w14:schemeClr w14:val="tx1"/>
                  </w14:solidFill>
                </w14:textFill>
              </w:rPr>
            </w:pPr>
          </w:p>
          <w:p w14:paraId="2EEC31C5">
            <w:pPr>
              <w:keepNext w:val="0"/>
              <w:keepLines w:val="0"/>
              <w:suppressLineNumbers w:val="0"/>
              <w:adjustRightInd w:val="0"/>
              <w:snapToGrid w:val="0"/>
              <w:spacing w:before="0" w:beforeAutospacing="0" w:after="0" w:afterAutospacing="0" w:line="480" w:lineRule="exact"/>
              <w:ind w:left="0" w:right="0" w:firstLine="420" w:firstLineChars="200"/>
              <w:rPr>
                <w:rFonts w:hint="default"/>
                <w:color w:val="000000" w:themeColor="text1"/>
                <w:lang w:val="en-US" w:eastAsia="zh-CN"/>
                <w14:textFill>
                  <w14:solidFill>
                    <w14:schemeClr w14:val="tx1"/>
                  </w14:solidFill>
                </w14:textFill>
              </w:rPr>
            </w:pPr>
          </w:p>
          <w:p w14:paraId="2277E815">
            <w:pPr>
              <w:keepNext w:val="0"/>
              <w:keepLines w:val="0"/>
              <w:suppressLineNumbers w:val="0"/>
              <w:adjustRightInd w:val="0"/>
              <w:snapToGrid w:val="0"/>
              <w:spacing w:before="0" w:beforeAutospacing="0" w:after="0" w:afterAutospacing="0" w:line="480" w:lineRule="exact"/>
              <w:ind w:left="0" w:right="0" w:firstLine="420" w:firstLineChars="200"/>
              <w:rPr>
                <w:rFonts w:hint="default"/>
                <w:color w:val="000000" w:themeColor="text1"/>
                <w:lang w:val="en-US" w:eastAsia="zh-CN"/>
                <w14:textFill>
                  <w14:solidFill>
                    <w14:schemeClr w14:val="tx1"/>
                  </w14:solidFill>
                </w14:textFill>
              </w:rPr>
            </w:pPr>
          </w:p>
        </w:tc>
      </w:tr>
    </w:tbl>
    <w:p w14:paraId="2529E9FA">
      <w:pPr>
        <w:adjustRightInd w:val="0"/>
        <w:snapToGrid w:val="0"/>
        <w:spacing w:line="360" w:lineRule="auto"/>
        <w:rPr>
          <w:rFonts w:hint="default" w:ascii="Times New Roman" w:hAnsi="Times New Roman" w:cs="Times New Roman"/>
          <w:b/>
          <w:color w:val="000000" w:themeColor="text1"/>
          <w:kern w:val="0"/>
          <w:sz w:val="28"/>
          <w:szCs w:val="28"/>
          <w:highlight w:val="none"/>
          <w14:textFill>
            <w14:solidFill>
              <w14:schemeClr w14:val="tx1"/>
            </w14:solidFill>
          </w14:textFill>
        </w:rPr>
        <w:sectPr>
          <w:pgSz w:w="11907" w:h="16840"/>
          <w:pgMar w:top="1701" w:right="1531" w:bottom="1701" w:left="1531" w:header="851" w:footer="1134" w:gutter="0"/>
          <w:pgBorders>
            <w:top w:val="none" w:sz="0" w:space="0"/>
            <w:left w:val="none" w:sz="0" w:space="0"/>
            <w:bottom w:val="none" w:sz="0" w:space="0"/>
            <w:right w:val="none" w:sz="0" w:space="0"/>
          </w:pgBorders>
          <w:pgNumType w:fmt="decimal"/>
          <w:cols w:space="720" w:num="1"/>
          <w:docGrid w:linePitch="312" w:charSpace="0"/>
        </w:sectPr>
      </w:pPr>
    </w:p>
    <w:tbl>
      <w:tblPr>
        <w:tblStyle w:val="31"/>
        <w:tblW w:w="14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4062"/>
      </w:tblGrid>
      <w:tr w14:paraId="0D99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1" w:hRule="atLeast"/>
          <w:jc w:val="center"/>
        </w:trPr>
        <w:tc>
          <w:tcPr>
            <w:tcW w:w="678" w:type="dxa"/>
            <w:vAlign w:val="center"/>
          </w:tcPr>
          <w:p w14:paraId="65BA80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运营</w:t>
            </w:r>
          </w:p>
          <w:p w14:paraId="0A9C3F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期环</w:t>
            </w:r>
          </w:p>
          <w:p w14:paraId="3E3E33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境影</w:t>
            </w:r>
          </w:p>
          <w:p w14:paraId="402624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响和</w:t>
            </w:r>
          </w:p>
          <w:p w14:paraId="4D6665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保护</w:t>
            </w:r>
          </w:p>
          <w:p w14:paraId="4D5DD73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val="0"/>
                <w:color w:val="000000" w:themeColor="text1"/>
                <w:spacing w:val="-1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措施</w:t>
            </w:r>
          </w:p>
        </w:tc>
        <w:tc>
          <w:tcPr>
            <w:tcW w:w="14062" w:type="dxa"/>
          </w:tcPr>
          <w:p w14:paraId="4FE166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黑体" w:cs="Times New Roman"/>
                <w:b/>
                <w:bCs w:val="0"/>
                <w:color w:val="000000" w:themeColor="text1"/>
                <w:spacing w:val="0"/>
                <w:kern w:val="2"/>
                <w:sz w:val="21"/>
                <w:szCs w:val="21"/>
                <w:highlight w:val="none"/>
                <w:lang w:val="en-US" w:eastAsia="zh-CN" w:bidi="ar-SA"/>
                <w14:textFill>
                  <w14:solidFill>
                    <w14:schemeClr w14:val="tx1"/>
                  </w14:solidFill>
                </w14:textFill>
              </w:rPr>
            </w:pPr>
            <w:r>
              <w:rPr>
                <w:rFonts w:hint="eastAsia" w:cs="Times New Roman"/>
                <w:b/>
                <w:bCs w:val="0"/>
                <w:color w:val="000000" w:themeColor="text1"/>
                <w:spacing w:val="0"/>
                <w:sz w:val="24"/>
                <w:szCs w:val="24"/>
                <w:highlight w:val="none"/>
                <w:lang w:val="en-US" w:eastAsia="zh-CN"/>
                <w14:textFill>
                  <w14:solidFill>
                    <w14:schemeClr w14:val="tx1"/>
                  </w14:solidFill>
                </w14:textFill>
              </w:rPr>
              <w:t>4.5.</w:t>
            </w:r>
            <w:r>
              <w:rPr>
                <w:rFonts w:hint="eastAsia"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t>2废气污染物排放口基本情况</w:t>
            </w:r>
          </w:p>
          <w:p w14:paraId="242A23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t>表4</w:t>
            </w:r>
            <w:r>
              <w:rPr>
                <w:rFonts w:hint="eastAsia" w:cs="Times New Roman"/>
                <w:b/>
                <w:bCs w:val="0"/>
                <w:color w:val="000000" w:themeColor="text1"/>
                <w:sz w:val="21"/>
                <w:szCs w:val="16"/>
                <w:highlight w:val="none"/>
                <w:lang w:val="en-US" w:eastAsia="zh-CN"/>
                <w14:textFill>
                  <w14:solidFill>
                    <w14:schemeClr w14:val="tx1"/>
                  </w14:solidFill>
                </w14:textFill>
              </w:rPr>
              <w:t>.</w:t>
            </w:r>
            <w:r>
              <w:rPr>
                <w:rFonts w:hint="eastAsia"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t>5</w:t>
            </w:r>
            <w:r>
              <w:rPr>
                <w:rFonts w:hint="eastAsia" w:cs="Times New Roman"/>
                <w:b/>
                <w:bCs w:val="0"/>
                <w:color w:val="000000" w:themeColor="text1"/>
                <w:sz w:val="21"/>
                <w:szCs w:val="16"/>
                <w:highlight w:val="none"/>
                <w:lang w:val="en-US" w:eastAsia="zh-CN"/>
                <w14:textFill>
                  <w14:solidFill>
                    <w14:schemeClr w14:val="tx1"/>
                  </w14:solidFill>
                </w14:textFill>
              </w:rPr>
              <w:t>-6</w:t>
            </w:r>
            <w:r>
              <w:rPr>
                <w:rFonts w:hint="default"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t xml:space="preserve">  </w:t>
            </w:r>
            <w:r>
              <w:rPr>
                <w:rFonts w:hint="eastAsia"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t>废气污染物</w:t>
            </w:r>
            <w:r>
              <w:rPr>
                <w:rFonts w:hint="default"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t>排放口基本情况表</w:t>
            </w:r>
          </w:p>
          <w:tbl>
            <w:tblPr>
              <w:tblStyle w:val="30"/>
              <w:tblW w:w="136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9"/>
              <w:gridCol w:w="2674"/>
              <w:gridCol w:w="1324"/>
              <w:gridCol w:w="1500"/>
              <w:gridCol w:w="1431"/>
              <w:gridCol w:w="1338"/>
              <w:gridCol w:w="1687"/>
              <w:gridCol w:w="1175"/>
              <w:gridCol w:w="1338"/>
            </w:tblGrid>
            <w:tr w14:paraId="42FFD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39" w:type="dxa"/>
                  <w:vMerge w:val="restart"/>
                  <w:tcBorders>
                    <w:tl2br w:val="nil"/>
                    <w:tr2bl w:val="nil"/>
                  </w:tcBorders>
                  <w:vAlign w:val="center"/>
                </w:tcPr>
                <w:p w14:paraId="11A836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000000" w:themeColor="text1"/>
                      <w:kern w:val="28"/>
                      <w:sz w:val="21"/>
                      <w:szCs w:val="21"/>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8"/>
                      <w:sz w:val="21"/>
                      <w:szCs w:val="21"/>
                      <w:highlight w:val="none"/>
                      <w14:textFill>
                        <w14:solidFill>
                          <w14:schemeClr w14:val="tx1"/>
                        </w14:solidFill>
                      </w14:textFill>
                    </w:rPr>
                    <w:t>排放口编号</w:t>
                  </w:r>
                </w:p>
              </w:tc>
              <w:tc>
                <w:tcPr>
                  <w:tcW w:w="2674" w:type="dxa"/>
                  <w:vMerge w:val="restart"/>
                  <w:tcBorders>
                    <w:tl2br w:val="nil"/>
                    <w:tr2bl w:val="nil"/>
                  </w:tcBorders>
                  <w:vAlign w:val="center"/>
                </w:tcPr>
                <w:p w14:paraId="3D1A48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000000" w:themeColor="text1"/>
                      <w:kern w:val="28"/>
                      <w:sz w:val="21"/>
                      <w:szCs w:val="21"/>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8"/>
                      <w:sz w:val="21"/>
                      <w:szCs w:val="21"/>
                      <w:highlight w:val="none"/>
                      <w14:textFill>
                        <w14:solidFill>
                          <w14:schemeClr w14:val="tx1"/>
                        </w14:solidFill>
                      </w14:textFill>
                    </w:rPr>
                    <w:t>排放口名称</w:t>
                  </w:r>
                </w:p>
              </w:tc>
              <w:tc>
                <w:tcPr>
                  <w:tcW w:w="1324" w:type="dxa"/>
                  <w:vMerge w:val="restart"/>
                  <w:tcBorders>
                    <w:tl2br w:val="nil"/>
                    <w:tr2bl w:val="nil"/>
                  </w:tcBorders>
                  <w:vAlign w:val="center"/>
                </w:tcPr>
                <w:p w14:paraId="615C65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000000" w:themeColor="text1"/>
                      <w:kern w:val="28"/>
                      <w:sz w:val="21"/>
                      <w:szCs w:val="21"/>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8"/>
                      <w:sz w:val="21"/>
                      <w:szCs w:val="21"/>
                      <w:highlight w:val="none"/>
                      <w14:textFill>
                        <w14:solidFill>
                          <w14:schemeClr w14:val="tx1"/>
                        </w14:solidFill>
                      </w14:textFill>
                    </w:rPr>
                    <w:t>污染物种类</w:t>
                  </w:r>
                </w:p>
              </w:tc>
              <w:tc>
                <w:tcPr>
                  <w:tcW w:w="2931" w:type="dxa"/>
                  <w:gridSpan w:val="2"/>
                  <w:tcBorders>
                    <w:tl2br w:val="nil"/>
                    <w:tr2bl w:val="nil"/>
                  </w:tcBorders>
                  <w:vAlign w:val="center"/>
                </w:tcPr>
                <w:p w14:paraId="67652E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000000" w:themeColor="text1"/>
                      <w:kern w:val="28"/>
                      <w:sz w:val="21"/>
                      <w:szCs w:val="21"/>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8"/>
                      <w:sz w:val="21"/>
                      <w:szCs w:val="21"/>
                      <w:highlight w:val="none"/>
                      <w14:textFill>
                        <w14:solidFill>
                          <w14:schemeClr w14:val="tx1"/>
                        </w14:solidFill>
                      </w14:textFill>
                    </w:rPr>
                    <w:t>排放口地理坐标</w:t>
                  </w:r>
                </w:p>
              </w:tc>
              <w:tc>
                <w:tcPr>
                  <w:tcW w:w="1338" w:type="dxa"/>
                  <w:vMerge w:val="restart"/>
                  <w:tcBorders>
                    <w:tl2br w:val="nil"/>
                    <w:tr2bl w:val="nil"/>
                  </w:tcBorders>
                  <w:vAlign w:val="center"/>
                </w:tcPr>
                <w:p w14:paraId="380866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000000" w:themeColor="text1"/>
                      <w:kern w:val="28"/>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28"/>
                      <w:sz w:val="21"/>
                      <w:szCs w:val="21"/>
                      <w:highlight w:val="none"/>
                      <w14:textFill>
                        <w14:solidFill>
                          <w14:schemeClr w14:val="tx1"/>
                        </w14:solidFill>
                      </w14:textFill>
                    </w:rPr>
                    <w:t>排气筒高度</w:t>
                  </w:r>
                </w:p>
                <w:p w14:paraId="324DAF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000000" w:themeColor="text1"/>
                      <w:kern w:val="28"/>
                      <w:sz w:val="21"/>
                      <w:szCs w:val="21"/>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8"/>
                      <w:sz w:val="21"/>
                      <w:szCs w:val="21"/>
                      <w:highlight w:val="none"/>
                      <w:lang w:val="en-US"/>
                      <w14:textFill>
                        <w14:solidFill>
                          <w14:schemeClr w14:val="tx1"/>
                        </w14:solidFill>
                      </w14:textFill>
                    </w:rPr>
                    <w:t>m</w:t>
                  </w:r>
                </w:p>
              </w:tc>
              <w:tc>
                <w:tcPr>
                  <w:tcW w:w="1687" w:type="dxa"/>
                  <w:vMerge w:val="restart"/>
                  <w:tcBorders>
                    <w:tl2br w:val="nil"/>
                    <w:tr2bl w:val="nil"/>
                  </w:tcBorders>
                  <w:vAlign w:val="center"/>
                </w:tcPr>
                <w:p w14:paraId="7F5BA6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000000" w:themeColor="text1"/>
                      <w:kern w:val="28"/>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28"/>
                      <w:sz w:val="21"/>
                      <w:szCs w:val="21"/>
                      <w:highlight w:val="none"/>
                      <w14:textFill>
                        <w14:solidFill>
                          <w14:schemeClr w14:val="tx1"/>
                        </w14:solidFill>
                      </w14:textFill>
                    </w:rPr>
                    <w:t>排气筒出口内径</w:t>
                  </w:r>
                </w:p>
                <w:p w14:paraId="5149FA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000000" w:themeColor="text1"/>
                      <w:kern w:val="28"/>
                      <w:sz w:val="21"/>
                      <w:szCs w:val="21"/>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8"/>
                      <w:sz w:val="21"/>
                      <w:szCs w:val="21"/>
                      <w:highlight w:val="none"/>
                      <w:lang w:val="en-US"/>
                      <w14:textFill>
                        <w14:solidFill>
                          <w14:schemeClr w14:val="tx1"/>
                        </w14:solidFill>
                      </w14:textFill>
                    </w:rPr>
                    <w:t>m</w:t>
                  </w:r>
                </w:p>
              </w:tc>
              <w:tc>
                <w:tcPr>
                  <w:tcW w:w="1175" w:type="dxa"/>
                  <w:vMerge w:val="restart"/>
                  <w:tcBorders>
                    <w:tl2br w:val="nil"/>
                    <w:tr2bl w:val="nil"/>
                  </w:tcBorders>
                  <w:vAlign w:val="center"/>
                </w:tcPr>
                <w:p w14:paraId="67E33C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000000" w:themeColor="text1"/>
                      <w:kern w:val="28"/>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28"/>
                      <w:sz w:val="21"/>
                      <w:szCs w:val="21"/>
                      <w:highlight w:val="none"/>
                      <w14:textFill>
                        <w14:solidFill>
                          <w14:schemeClr w14:val="tx1"/>
                        </w14:solidFill>
                      </w14:textFill>
                    </w:rPr>
                    <w:t>排气温度</w:t>
                  </w:r>
                </w:p>
                <w:p w14:paraId="6E23A6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000000" w:themeColor="text1"/>
                      <w:kern w:val="28"/>
                      <w:sz w:val="21"/>
                      <w:szCs w:val="21"/>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8"/>
                      <w:sz w:val="21"/>
                      <w:szCs w:val="21"/>
                      <w:highlight w:val="none"/>
                      <w14:textFill>
                        <w14:solidFill>
                          <w14:schemeClr w14:val="tx1"/>
                        </w14:solidFill>
                      </w14:textFill>
                    </w:rPr>
                    <w:t>℃</w:t>
                  </w:r>
                </w:p>
              </w:tc>
              <w:tc>
                <w:tcPr>
                  <w:tcW w:w="1338" w:type="dxa"/>
                  <w:vMerge w:val="restart"/>
                  <w:tcBorders>
                    <w:tl2br w:val="nil"/>
                    <w:tr2bl w:val="nil"/>
                  </w:tcBorders>
                  <w:vAlign w:val="center"/>
                </w:tcPr>
                <w:p w14:paraId="4CD644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val="0"/>
                      <w:color w:val="000000" w:themeColor="text1"/>
                      <w:kern w:val="28"/>
                      <w:sz w:val="21"/>
                      <w:szCs w:val="21"/>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28"/>
                      <w:sz w:val="21"/>
                      <w:szCs w:val="21"/>
                      <w:highlight w:val="none"/>
                      <w:lang w:val="en-US" w:eastAsia="zh-CN"/>
                      <w14:textFill>
                        <w14:solidFill>
                          <w14:schemeClr w14:val="tx1"/>
                        </w14:solidFill>
                      </w14:textFill>
                    </w:rPr>
                    <w:t>类型</w:t>
                  </w:r>
                </w:p>
              </w:tc>
            </w:tr>
            <w:tr w14:paraId="6BD30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39" w:type="dxa"/>
                  <w:vMerge w:val="continue"/>
                  <w:tcBorders>
                    <w:tl2br w:val="nil"/>
                    <w:tr2bl w:val="nil"/>
                  </w:tcBorders>
                  <w:vAlign w:val="center"/>
                </w:tcPr>
                <w:p w14:paraId="25B397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000000" w:themeColor="text1"/>
                      <w:kern w:val="28"/>
                      <w:sz w:val="21"/>
                      <w:szCs w:val="21"/>
                      <w:highlight w:val="none"/>
                      <w14:textFill>
                        <w14:solidFill>
                          <w14:schemeClr w14:val="tx1"/>
                        </w14:solidFill>
                      </w14:textFill>
                    </w:rPr>
                  </w:pPr>
                </w:p>
              </w:tc>
              <w:tc>
                <w:tcPr>
                  <w:tcW w:w="2674" w:type="dxa"/>
                  <w:vMerge w:val="continue"/>
                  <w:tcBorders>
                    <w:tl2br w:val="nil"/>
                    <w:tr2bl w:val="nil"/>
                  </w:tcBorders>
                  <w:vAlign w:val="center"/>
                </w:tcPr>
                <w:p w14:paraId="67283C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000000" w:themeColor="text1"/>
                      <w:kern w:val="28"/>
                      <w:sz w:val="21"/>
                      <w:szCs w:val="21"/>
                      <w:highlight w:val="none"/>
                      <w14:textFill>
                        <w14:solidFill>
                          <w14:schemeClr w14:val="tx1"/>
                        </w14:solidFill>
                      </w14:textFill>
                    </w:rPr>
                  </w:pPr>
                </w:p>
              </w:tc>
              <w:tc>
                <w:tcPr>
                  <w:tcW w:w="1324" w:type="dxa"/>
                  <w:vMerge w:val="continue"/>
                  <w:tcBorders>
                    <w:tl2br w:val="nil"/>
                    <w:tr2bl w:val="nil"/>
                  </w:tcBorders>
                  <w:vAlign w:val="center"/>
                </w:tcPr>
                <w:p w14:paraId="6CA6F6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000000" w:themeColor="text1"/>
                      <w:kern w:val="28"/>
                      <w:sz w:val="21"/>
                      <w:szCs w:val="21"/>
                      <w:highlight w:val="none"/>
                      <w14:textFill>
                        <w14:solidFill>
                          <w14:schemeClr w14:val="tx1"/>
                        </w14:solidFill>
                      </w14:textFill>
                    </w:rPr>
                  </w:pPr>
                </w:p>
              </w:tc>
              <w:tc>
                <w:tcPr>
                  <w:tcW w:w="1500" w:type="dxa"/>
                  <w:tcBorders>
                    <w:tl2br w:val="nil"/>
                    <w:tr2bl w:val="nil"/>
                  </w:tcBorders>
                  <w:vAlign w:val="center"/>
                </w:tcPr>
                <w:p w14:paraId="5066A9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000000" w:themeColor="text1"/>
                      <w:kern w:val="28"/>
                      <w:sz w:val="21"/>
                      <w:szCs w:val="21"/>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8"/>
                      <w:sz w:val="21"/>
                      <w:szCs w:val="21"/>
                      <w:highlight w:val="none"/>
                      <w14:textFill>
                        <w14:solidFill>
                          <w14:schemeClr w14:val="tx1"/>
                        </w14:solidFill>
                      </w14:textFill>
                    </w:rPr>
                    <w:t>经度</w:t>
                  </w:r>
                </w:p>
              </w:tc>
              <w:tc>
                <w:tcPr>
                  <w:tcW w:w="1431" w:type="dxa"/>
                  <w:tcBorders>
                    <w:tl2br w:val="nil"/>
                    <w:tr2bl w:val="nil"/>
                  </w:tcBorders>
                  <w:vAlign w:val="center"/>
                </w:tcPr>
                <w:p w14:paraId="6317A5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000000" w:themeColor="text1"/>
                      <w:kern w:val="28"/>
                      <w:sz w:val="21"/>
                      <w:szCs w:val="21"/>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8"/>
                      <w:sz w:val="21"/>
                      <w:szCs w:val="21"/>
                      <w:highlight w:val="none"/>
                      <w14:textFill>
                        <w14:solidFill>
                          <w14:schemeClr w14:val="tx1"/>
                        </w14:solidFill>
                      </w14:textFill>
                    </w:rPr>
                    <w:t>纬度</w:t>
                  </w:r>
                </w:p>
              </w:tc>
              <w:tc>
                <w:tcPr>
                  <w:tcW w:w="1338" w:type="dxa"/>
                  <w:vMerge w:val="continue"/>
                  <w:tcBorders>
                    <w:tl2br w:val="nil"/>
                    <w:tr2bl w:val="nil"/>
                  </w:tcBorders>
                  <w:vAlign w:val="center"/>
                </w:tcPr>
                <w:p w14:paraId="1399A3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000000" w:themeColor="text1"/>
                      <w:kern w:val="28"/>
                      <w:sz w:val="21"/>
                      <w:szCs w:val="21"/>
                      <w:highlight w:val="none"/>
                      <w14:textFill>
                        <w14:solidFill>
                          <w14:schemeClr w14:val="tx1"/>
                        </w14:solidFill>
                      </w14:textFill>
                    </w:rPr>
                  </w:pPr>
                </w:p>
              </w:tc>
              <w:tc>
                <w:tcPr>
                  <w:tcW w:w="1687" w:type="dxa"/>
                  <w:vMerge w:val="continue"/>
                  <w:tcBorders>
                    <w:tl2br w:val="nil"/>
                    <w:tr2bl w:val="nil"/>
                  </w:tcBorders>
                  <w:vAlign w:val="center"/>
                </w:tcPr>
                <w:p w14:paraId="209714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000000" w:themeColor="text1"/>
                      <w:kern w:val="28"/>
                      <w:sz w:val="21"/>
                      <w:szCs w:val="21"/>
                      <w:highlight w:val="none"/>
                      <w14:textFill>
                        <w14:solidFill>
                          <w14:schemeClr w14:val="tx1"/>
                        </w14:solidFill>
                      </w14:textFill>
                    </w:rPr>
                  </w:pPr>
                </w:p>
              </w:tc>
              <w:tc>
                <w:tcPr>
                  <w:tcW w:w="1175" w:type="dxa"/>
                  <w:vMerge w:val="continue"/>
                  <w:tcBorders>
                    <w:tl2br w:val="nil"/>
                    <w:tr2bl w:val="nil"/>
                  </w:tcBorders>
                  <w:vAlign w:val="center"/>
                </w:tcPr>
                <w:p w14:paraId="3F2855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000000" w:themeColor="text1"/>
                      <w:kern w:val="28"/>
                      <w:sz w:val="21"/>
                      <w:szCs w:val="21"/>
                      <w:highlight w:val="none"/>
                      <w14:textFill>
                        <w14:solidFill>
                          <w14:schemeClr w14:val="tx1"/>
                        </w14:solidFill>
                      </w14:textFill>
                    </w:rPr>
                  </w:pPr>
                </w:p>
              </w:tc>
              <w:tc>
                <w:tcPr>
                  <w:tcW w:w="1338" w:type="dxa"/>
                  <w:vMerge w:val="continue"/>
                  <w:tcBorders>
                    <w:tl2br w:val="nil"/>
                    <w:tr2bl w:val="nil"/>
                  </w:tcBorders>
                  <w:vAlign w:val="center"/>
                </w:tcPr>
                <w:p w14:paraId="1CCD93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000000" w:themeColor="text1"/>
                      <w:kern w:val="28"/>
                      <w:sz w:val="21"/>
                      <w:szCs w:val="21"/>
                      <w:highlight w:val="none"/>
                      <w14:textFill>
                        <w14:solidFill>
                          <w14:schemeClr w14:val="tx1"/>
                        </w14:solidFill>
                      </w14:textFill>
                    </w:rPr>
                  </w:pPr>
                </w:p>
              </w:tc>
            </w:tr>
            <w:tr w14:paraId="44A4D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39" w:type="dxa"/>
                  <w:tcBorders>
                    <w:tl2br w:val="nil"/>
                    <w:tr2bl w:val="nil"/>
                  </w:tcBorders>
                  <w:vAlign w:val="center"/>
                </w:tcPr>
                <w:p w14:paraId="23ABD1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highlight w:val="none"/>
                      <w:u w:val="none"/>
                      <w:lang w:val="en-US" w:eastAsia="zh-CN" w:bidi="ar-SA"/>
                      <w14:textFill>
                        <w14:solidFill>
                          <w14:schemeClr w14:val="tx1"/>
                        </w14:solidFill>
                      </w14:textFill>
                    </w:rPr>
                    <w:t>DA001</w:t>
                  </w:r>
                </w:p>
              </w:tc>
              <w:tc>
                <w:tcPr>
                  <w:tcW w:w="2674" w:type="dxa"/>
                  <w:tcBorders>
                    <w:tl2br w:val="nil"/>
                    <w:tr2bl w:val="nil"/>
                  </w:tcBorders>
                  <w:shd w:val="clear" w:color="auto" w:fill="auto"/>
                  <w:vAlign w:val="center"/>
                </w:tcPr>
                <w:p w14:paraId="00B48CF7">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给料、破碎废气</w:t>
                  </w: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排放口</w:t>
                  </w:r>
                </w:p>
              </w:tc>
              <w:tc>
                <w:tcPr>
                  <w:tcW w:w="1324" w:type="dxa"/>
                  <w:tcBorders>
                    <w:tl2br w:val="nil"/>
                    <w:tr2bl w:val="nil"/>
                  </w:tcBorders>
                  <w:shd w:val="clear" w:color="auto" w:fill="auto"/>
                  <w:vAlign w:val="center"/>
                </w:tcPr>
                <w:p w14:paraId="4857DE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颗粒物</w:t>
                  </w:r>
                </w:p>
              </w:tc>
              <w:tc>
                <w:tcPr>
                  <w:tcW w:w="1500" w:type="dxa"/>
                  <w:tcBorders>
                    <w:tl2br w:val="nil"/>
                    <w:tr2bl w:val="nil"/>
                  </w:tcBorders>
                  <w:shd w:val="clear" w:color="auto" w:fill="auto"/>
                  <w:vAlign w:val="center"/>
                </w:tcPr>
                <w:p w14:paraId="4A605A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t>112°53′45.07″</w:t>
                  </w:r>
                </w:p>
              </w:tc>
              <w:tc>
                <w:tcPr>
                  <w:tcW w:w="1431" w:type="dxa"/>
                  <w:tcBorders>
                    <w:tl2br w:val="nil"/>
                    <w:tr2bl w:val="nil"/>
                  </w:tcBorders>
                  <w:shd w:val="clear" w:color="auto" w:fill="auto"/>
                  <w:vAlign w:val="center"/>
                </w:tcPr>
                <w:p w14:paraId="31E414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t>36°21′8.51″</w:t>
                  </w:r>
                </w:p>
              </w:tc>
              <w:tc>
                <w:tcPr>
                  <w:tcW w:w="1338" w:type="dxa"/>
                  <w:tcBorders>
                    <w:tl2br w:val="nil"/>
                    <w:tr2bl w:val="nil"/>
                  </w:tcBorders>
                  <w:vAlign w:val="center"/>
                </w:tcPr>
                <w:p w14:paraId="3679A5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pPr>
                  <w:r>
                    <w:rPr>
                      <w:rFonts w:hint="eastAsia" w:cs="Times New Roman"/>
                      <w:b w:val="0"/>
                      <w:bCs/>
                      <w:color w:val="000000" w:themeColor="text1"/>
                      <w:kern w:val="28"/>
                      <w:sz w:val="21"/>
                      <w:szCs w:val="21"/>
                      <w:highlight w:val="none"/>
                      <w:lang w:val="en-US" w:eastAsia="zh-CN" w:bidi="ar-SA"/>
                      <w14:textFill>
                        <w14:solidFill>
                          <w14:schemeClr w14:val="tx1"/>
                        </w14:solidFill>
                      </w14:textFill>
                    </w:rPr>
                    <w:t>15</w:t>
                  </w:r>
                </w:p>
              </w:tc>
              <w:tc>
                <w:tcPr>
                  <w:tcW w:w="1687" w:type="dxa"/>
                  <w:tcBorders>
                    <w:tl2br w:val="nil"/>
                    <w:tr2bl w:val="nil"/>
                  </w:tcBorders>
                  <w:vAlign w:val="center"/>
                </w:tcPr>
                <w:p w14:paraId="2BA1A2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pPr>
                  <w:r>
                    <w:rPr>
                      <w:rFonts w:hint="eastAsia" w:cs="Times New Roman"/>
                      <w:b w:val="0"/>
                      <w:bCs/>
                      <w:color w:val="000000" w:themeColor="text1"/>
                      <w:kern w:val="28"/>
                      <w:sz w:val="21"/>
                      <w:szCs w:val="21"/>
                      <w:highlight w:val="none"/>
                      <w:lang w:val="en-US" w:eastAsia="zh-CN" w:bidi="ar-SA"/>
                      <w14:textFill>
                        <w14:solidFill>
                          <w14:schemeClr w14:val="tx1"/>
                        </w14:solidFill>
                      </w14:textFill>
                    </w:rPr>
                    <w:t>0.3</w:t>
                  </w:r>
                </w:p>
              </w:tc>
              <w:tc>
                <w:tcPr>
                  <w:tcW w:w="1175" w:type="dxa"/>
                  <w:tcBorders>
                    <w:tl2br w:val="nil"/>
                    <w:tr2bl w:val="nil"/>
                  </w:tcBorders>
                  <w:vAlign w:val="center"/>
                </w:tcPr>
                <w:p w14:paraId="79324D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t>常温</w:t>
                  </w:r>
                </w:p>
              </w:tc>
              <w:tc>
                <w:tcPr>
                  <w:tcW w:w="1338" w:type="dxa"/>
                  <w:tcBorders>
                    <w:tl2br w:val="nil"/>
                    <w:tr2bl w:val="nil"/>
                  </w:tcBorders>
                  <w:vAlign w:val="center"/>
                </w:tcPr>
                <w:p w14:paraId="5B36B3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t>一般排放口</w:t>
                  </w:r>
                </w:p>
              </w:tc>
            </w:tr>
            <w:tr w14:paraId="15CD9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39" w:type="dxa"/>
                  <w:tcBorders>
                    <w:tl2br w:val="nil"/>
                    <w:tr2bl w:val="nil"/>
                  </w:tcBorders>
                  <w:vAlign w:val="center"/>
                </w:tcPr>
                <w:p w14:paraId="6CA376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b w:val="0"/>
                      <w:bCs/>
                      <w:color w:val="000000" w:themeColor="text1"/>
                      <w:kern w:val="2"/>
                      <w:sz w:val="21"/>
                      <w:szCs w:val="21"/>
                      <w:highlight w:val="none"/>
                      <w:u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none"/>
                      <w:lang w:val="en-US" w:eastAsia="zh-CN" w:bidi="ar-SA"/>
                      <w14:textFill>
                        <w14:solidFill>
                          <w14:schemeClr w14:val="tx1"/>
                        </w14:solidFill>
                      </w14:textFill>
                    </w:rPr>
                    <w:t>DA002</w:t>
                  </w:r>
                </w:p>
              </w:tc>
              <w:tc>
                <w:tcPr>
                  <w:tcW w:w="2674" w:type="dxa"/>
                  <w:tcBorders>
                    <w:tl2br w:val="nil"/>
                    <w:tr2bl w:val="nil"/>
                  </w:tcBorders>
                  <w:shd w:val="clear" w:color="auto" w:fill="auto"/>
                  <w:vAlign w:val="center"/>
                </w:tcPr>
                <w:p w14:paraId="5F3246F3">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制砂、筛分废气排放口</w:t>
                  </w:r>
                </w:p>
              </w:tc>
              <w:tc>
                <w:tcPr>
                  <w:tcW w:w="1324" w:type="dxa"/>
                  <w:tcBorders>
                    <w:tl2br w:val="nil"/>
                    <w:tr2bl w:val="nil"/>
                  </w:tcBorders>
                  <w:shd w:val="clear" w:color="auto" w:fill="auto"/>
                  <w:vAlign w:val="center"/>
                </w:tcPr>
                <w:p w14:paraId="4B03F1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颗粒物</w:t>
                  </w:r>
                </w:p>
              </w:tc>
              <w:tc>
                <w:tcPr>
                  <w:tcW w:w="1500" w:type="dxa"/>
                  <w:tcBorders>
                    <w:tl2br w:val="nil"/>
                    <w:tr2bl w:val="nil"/>
                  </w:tcBorders>
                  <w:shd w:val="clear" w:color="auto" w:fill="auto"/>
                  <w:vAlign w:val="center"/>
                </w:tcPr>
                <w:p w14:paraId="0F0CCA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t>112°53′44.86″</w:t>
                  </w:r>
                </w:p>
              </w:tc>
              <w:tc>
                <w:tcPr>
                  <w:tcW w:w="1431" w:type="dxa"/>
                  <w:tcBorders>
                    <w:tl2br w:val="nil"/>
                    <w:tr2bl w:val="nil"/>
                  </w:tcBorders>
                  <w:shd w:val="clear" w:color="auto" w:fill="auto"/>
                  <w:vAlign w:val="center"/>
                </w:tcPr>
                <w:p w14:paraId="51DD0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t>36°21′8.61″</w:t>
                  </w:r>
                </w:p>
              </w:tc>
              <w:tc>
                <w:tcPr>
                  <w:tcW w:w="1338" w:type="dxa"/>
                  <w:tcBorders>
                    <w:tl2br w:val="nil"/>
                    <w:tr2bl w:val="nil"/>
                  </w:tcBorders>
                  <w:vAlign w:val="center"/>
                </w:tcPr>
                <w:p w14:paraId="10D8C6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 w:val="0"/>
                      <w:bCs/>
                      <w:color w:val="000000" w:themeColor="text1"/>
                      <w:kern w:val="28"/>
                      <w:sz w:val="21"/>
                      <w:szCs w:val="21"/>
                      <w:highlight w:val="none"/>
                      <w:lang w:val="en-US" w:eastAsia="zh-CN" w:bidi="ar-SA"/>
                      <w14:textFill>
                        <w14:solidFill>
                          <w14:schemeClr w14:val="tx1"/>
                        </w14:solidFill>
                      </w14:textFill>
                    </w:rPr>
                  </w:pPr>
                  <w:r>
                    <w:rPr>
                      <w:rFonts w:hint="eastAsia" w:cs="Times New Roman"/>
                      <w:b w:val="0"/>
                      <w:bCs/>
                      <w:color w:val="000000" w:themeColor="text1"/>
                      <w:kern w:val="28"/>
                      <w:sz w:val="21"/>
                      <w:szCs w:val="21"/>
                      <w:highlight w:val="none"/>
                      <w:lang w:val="en-US" w:eastAsia="zh-CN" w:bidi="ar-SA"/>
                      <w14:textFill>
                        <w14:solidFill>
                          <w14:schemeClr w14:val="tx1"/>
                        </w14:solidFill>
                      </w14:textFill>
                    </w:rPr>
                    <w:t>15</w:t>
                  </w:r>
                </w:p>
              </w:tc>
              <w:tc>
                <w:tcPr>
                  <w:tcW w:w="1687" w:type="dxa"/>
                  <w:tcBorders>
                    <w:tl2br w:val="nil"/>
                    <w:tr2bl w:val="nil"/>
                  </w:tcBorders>
                  <w:vAlign w:val="center"/>
                </w:tcPr>
                <w:p w14:paraId="4E2D8F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 w:val="0"/>
                      <w:bCs/>
                      <w:color w:val="000000" w:themeColor="text1"/>
                      <w:kern w:val="28"/>
                      <w:sz w:val="21"/>
                      <w:szCs w:val="21"/>
                      <w:highlight w:val="none"/>
                      <w:lang w:val="en-US" w:eastAsia="zh-CN" w:bidi="ar-SA"/>
                      <w14:textFill>
                        <w14:solidFill>
                          <w14:schemeClr w14:val="tx1"/>
                        </w14:solidFill>
                      </w14:textFill>
                    </w:rPr>
                  </w:pPr>
                  <w:r>
                    <w:rPr>
                      <w:rFonts w:hint="eastAsia" w:cs="Times New Roman"/>
                      <w:b w:val="0"/>
                      <w:bCs/>
                      <w:color w:val="000000" w:themeColor="text1"/>
                      <w:kern w:val="28"/>
                      <w:sz w:val="21"/>
                      <w:szCs w:val="21"/>
                      <w:highlight w:val="none"/>
                      <w:lang w:val="en-US" w:eastAsia="zh-CN" w:bidi="ar-SA"/>
                      <w14:textFill>
                        <w14:solidFill>
                          <w14:schemeClr w14:val="tx1"/>
                        </w14:solidFill>
                      </w14:textFill>
                    </w:rPr>
                    <w:t>0.3</w:t>
                  </w:r>
                </w:p>
              </w:tc>
              <w:tc>
                <w:tcPr>
                  <w:tcW w:w="1175" w:type="dxa"/>
                  <w:tcBorders>
                    <w:tl2br w:val="nil"/>
                    <w:tr2bl w:val="nil"/>
                  </w:tcBorders>
                  <w:vAlign w:val="center"/>
                </w:tcPr>
                <w:p w14:paraId="3165E1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t>常温</w:t>
                  </w:r>
                </w:p>
              </w:tc>
              <w:tc>
                <w:tcPr>
                  <w:tcW w:w="1338" w:type="dxa"/>
                  <w:tcBorders>
                    <w:tl2br w:val="nil"/>
                    <w:tr2bl w:val="nil"/>
                  </w:tcBorders>
                  <w:vAlign w:val="center"/>
                </w:tcPr>
                <w:p w14:paraId="07BA64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t>一般排放口</w:t>
                  </w:r>
                </w:p>
              </w:tc>
            </w:tr>
          </w:tbl>
          <w:p w14:paraId="6D10E3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t>4.5.3非正常工况排放情况</w:t>
            </w:r>
          </w:p>
          <w:p w14:paraId="105C3C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b w:val="0"/>
                <w:bCs/>
                <w:color w:val="000000" w:themeColor="text1"/>
                <w:spacing w:val="-1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非正常排放是指生产过程中开停车、设备检修、工艺设备运转异常等非正常工况下的污染物排放，以及污染物排放控制措施达不到应有效率等情况下的排放。本</w:t>
            </w: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项目</w:t>
            </w:r>
            <w:r>
              <w:rPr>
                <w:rFonts w:hint="default"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非正常情况排放主要为废气处理设施故障，具体详见表</w:t>
            </w: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4</w:t>
            </w:r>
            <w:r>
              <w:rPr>
                <w:rFonts w:hint="eastAsia" w:cs="Times New Roman"/>
                <w:b w:val="0"/>
                <w:bCs/>
                <w:color w:val="000000" w:themeColor="text1"/>
                <w:spacing w:val="0"/>
                <w:sz w:val="24"/>
                <w:szCs w:val="24"/>
                <w:highlight w:val="none"/>
                <w:lang w:val="en-US" w:eastAsia="zh-CN"/>
                <w14:textFill>
                  <w14:solidFill>
                    <w14:schemeClr w14:val="tx1"/>
                  </w14:solidFill>
                </w14:textFill>
              </w:rPr>
              <w:t>.5-7</w:t>
            </w:r>
            <w:r>
              <w:rPr>
                <w:rFonts w:hint="eastAsia" w:ascii="Times New Roman" w:hAnsi="Times New Roman" w:eastAsia="宋体" w:cs="Times New Roman"/>
                <w:b w:val="0"/>
                <w:bCs/>
                <w:color w:val="000000" w:themeColor="text1"/>
                <w:spacing w:val="-10"/>
                <w:sz w:val="24"/>
                <w:szCs w:val="24"/>
                <w:highlight w:val="none"/>
                <w:vertAlign w:val="baseline"/>
                <w:lang w:val="en-US" w:eastAsia="zh-CN"/>
                <w14:textFill>
                  <w14:solidFill>
                    <w14:schemeClr w14:val="tx1"/>
                  </w14:solidFill>
                </w14:textFill>
              </w:rPr>
              <w:t>。</w:t>
            </w:r>
          </w:p>
          <w:p w14:paraId="4126AE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t>表</w:t>
            </w:r>
            <w:r>
              <w:rPr>
                <w:rFonts w:hint="eastAsia"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t>4</w:t>
            </w:r>
            <w:r>
              <w:rPr>
                <w:rFonts w:hint="eastAsia" w:cs="Times New Roman"/>
                <w:b/>
                <w:bCs w:val="0"/>
                <w:color w:val="000000" w:themeColor="text1"/>
                <w:sz w:val="21"/>
                <w:szCs w:val="16"/>
                <w:highlight w:val="none"/>
                <w:lang w:val="en-US" w:eastAsia="zh-CN"/>
                <w14:textFill>
                  <w14:solidFill>
                    <w14:schemeClr w14:val="tx1"/>
                  </w14:solidFill>
                </w14:textFill>
              </w:rPr>
              <w:t>.5-7</w:t>
            </w:r>
            <w:r>
              <w:rPr>
                <w:rFonts w:hint="default" w:ascii="Times New Roman" w:hAnsi="Times New Roman" w:eastAsia="宋体" w:cs="Times New Roman"/>
                <w:b/>
                <w:bCs w:val="0"/>
                <w:color w:val="000000" w:themeColor="text1"/>
                <w:sz w:val="21"/>
                <w:szCs w:val="16"/>
                <w:highlight w:val="none"/>
                <w:lang w:val="en-US" w:eastAsia="zh-CN"/>
                <w14:textFill>
                  <w14:solidFill>
                    <w14:schemeClr w14:val="tx1"/>
                  </w14:solidFill>
                </w14:textFill>
              </w:rPr>
              <w:t xml:space="preserve">  废气污染物非正常排放量核算表</w:t>
            </w:r>
          </w:p>
          <w:tbl>
            <w:tblPr>
              <w:tblStyle w:val="30"/>
              <w:tblW w:w="49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8"/>
              <w:gridCol w:w="1654"/>
              <w:gridCol w:w="1138"/>
              <w:gridCol w:w="1463"/>
              <w:gridCol w:w="1578"/>
              <w:gridCol w:w="1566"/>
              <w:gridCol w:w="1447"/>
              <w:gridCol w:w="1475"/>
              <w:gridCol w:w="2731"/>
            </w:tblGrid>
            <w:tr w14:paraId="685D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tcBorders>
                    <w:tl2br w:val="nil"/>
                    <w:tr2bl w:val="nil"/>
                  </w:tcBorders>
                  <w:vAlign w:val="center"/>
                </w:tcPr>
                <w:p w14:paraId="1F2A03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序号</w:t>
                  </w:r>
                </w:p>
              </w:tc>
              <w:tc>
                <w:tcPr>
                  <w:tcW w:w="606" w:type="pct"/>
                  <w:tcBorders>
                    <w:tl2br w:val="nil"/>
                    <w:tr2bl w:val="nil"/>
                  </w:tcBorders>
                  <w:vAlign w:val="center"/>
                </w:tcPr>
                <w:p w14:paraId="62C052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污染源</w:t>
                  </w:r>
                </w:p>
              </w:tc>
              <w:tc>
                <w:tcPr>
                  <w:tcW w:w="417" w:type="pct"/>
                  <w:tcBorders>
                    <w:tl2br w:val="nil"/>
                    <w:tr2bl w:val="nil"/>
                  </w:tcBorders>
                  <w:vAlign w:val="center"/>
                </w:tcPr>
                <w:p w14:paraId="5F8EDF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污染物种类</w:t>
                  </w:r>
                </w:p>
              </w:tc>
              <w:tc>
                <w:tcPr>
                  <w:tcW w:w="536" w:type="pct"/>
                  <w:tcBorders>
                    <w:tl2br w:val="nil"/>
                    <w:tr2bl w:val="nil"/>
                  </w:tcBorders>
                  <w:vAlign w:val="center"/>
                </w:tcPr>
                <w:p w14:paraId="7D938D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非正常</w:t>
                  </w:r>
                </w:p>
                <w:p w14:paraId="38FE67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排放原因</w:t>
                  </w:r>
                </w:p>
              </w:tc>
              <w:tc>
                <w:tcPr>
                  <w:tcW w:w="578" w:type="pct"/>
                  <w:tcBorders>
                    <w:tl2br w:val="nil"/>
                    <w:tr2bl w:val="nil"/>
                  </w:tcBorders>
                  <w:vAlign w:val="center"/>
                </w:tcPr>
                <w:p w14:paraId="5681EF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非正常排放浓度</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mg/m</w:t>
                  </w:r>
                  <w:r>
                    <w:rPr>
                      <w:rFonts w:hint="default" w:ascii="Times New Roman" w:hAnsi="Times New Roman" w:eastAsia="宋体" w:cs="Times New Roman"/>
                      <w:b/>
                      <w:bCs/>
                      <w:color w:val="000000" w:themeColor="text1"/>
                      <w:kern w:val="2"/>
                      <w:sz w:val="21"/>
                      <w:szCs w:val="21"/>
                      <w:highlight w:val="none"/>
                      <w:vertAlign w:val="superscript"/>
                      <w:lang w:val="en-US" w:eastAsia="zh-CN" w:bidi="ar-SA"/>
                      <w14:textFill>
                        <w14:solidFill>
                          <w14:schemeClr w14:val="tx1"/>
                        </w14:solidFill>
                      </w14:textFill>
                    </w:rPr>
                    <w:t>3</w:t>
                  </w:r>
                </w:p>
              </w:tc>
              <w:tc>
                <w:tcPr>
                  <w:tcW w:w="574" w:type="pct"/>
                  <w:tcBorders>
                    <w:tl2br w:val="nil"/>
                    <w:tr2bl w:val="nil"/>
                  </w:tcBorders>
                  <w:vAlign w:val="center"/>
                </w:tcPr>
                <w:p w14:paraId="0C4A4436">
                  <w:pPr>
                    <w:pStyle w:val="2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非正常排放速率</w:t>
                  </w:r>
                </w:p>
                <w:p w14:paraId="2D7E9453">
                  <w:pPr>
                    <w:pStyle w:val="2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kg/h</w:t>
                  </w:r>
                </w:p>
              </w:tc>
              <w:tc>
                <w:tcPr>
                  <w:tcW w:w="530" w:type="pct"/>
                  <w:tcBorders>
                    <w:tl2br w:val="nil"/>
                    <w:tr2bl w:val="nil"/>
                  </w:tcBorders>
                  <w:vAlign w:val="center"/>
                </w:tcPr>
                <w:p w14:paraId="3E402B33">
                  <w:pPr>
                    <w:pStyle w:val="2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单次持续时间</w:t>
                  </w:r>
                </w:p>
                <w:p w14:paraId="324B4898">
                  <w:pPr>
                    <w:pStyle w:val="2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h</w:t>
                  </w:r>
                </w:p>
              </w:tc>
              <w:tc>
                <w:tcPr>
                  <w:tcW w:w="540" w:type="pct"/>
                  <w:tcBorders>
                    <w:tl2br w:val="nil"/>
                    <w:tr2bl w:val="nil"/>
                  </w:tcBorders>
                  <w:vAlign w:val="center"/>
                </w:tcPr>
                <w:p w14:paraId="6966DDCB">
                  <w:pPr>
                    <w:pStyle w:val="2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年发生频次</w:t>
                  </w:r>
                </w:p>
                <w:p w14:paraId="7291D42D">
                  <w:pPr>
                    <w:pStyle w:val="2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次</w:t>
                  </w:r>
                </w:p>
              </w:tc>
              <w:tc>
                <w:tcPr>
                  <w:tcW w:w="1001" w:type="pct"/>
                  <w:tcBorders>
                    <w:tl2br w:val="nil"/>
                    <w:tr2bl w:val="nil"/>
                  </w:tcBorders>
                  <w:vAlign w:val="center"/>
                </w:tcPr>
                <w:p w14:paraId="55FCE391">
                  <w:pPr>
                    <w:pStyle w:val="2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应对措施</w:t>
                  </w:r>
                </w:p>
              </w:tc>
            </w:tr>
            <w:tr w14:paraId="7084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tcBorders>
                    <w:tl2br w:val="nil"/>
                    <w:tr2bl w:val="nil"/>
                  </w:tcBorders>
                  <w:vAlign w:val="center"/>
                </w:tcPr>
                <w:p w14:paraId="48428B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606" w:type="pct"/>
                  <w:tcBorders>
                    <w:tl2br w:val="nil"/>
                    <w:tr2bl w:val="nil"/>
                  </w:tcBorders>
                  <w:vAlign w:val="center"/>
                </w:tcPr>
                <w:p w14:paraId="7B015E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振动给料机</w:t>
                  </w:r>
                </w:p>
              </w:tc>
              <w:tc>
                <w:tcPr>
                  <w:tcW w:w="417" w:type="pct"/>
                  <w:vMerge w:val="restart"/>
                  <w:tcBorders>
                    <w:tl2br w:val="nil"/>
                    <w:tr2bl w:val="nil"/>
                  </w:tcBorders>
                  <w:vAlign w:val="center"/>
                </w:tcPr>
                <w:p w14:paraId="7A3A90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颗粒物</w:t>
                  </w:r>
                </w:p>
              </w:tc>
              <w:tc>
                <w:tcPr>
                  <w:tcW w:w="536" w:type="pct"/>
                  <w:vMerge w:val="restart"/>
                  <w:tcBorders>
                    <w:tl2br w:val="nil"/>
                    <w:tr2bl w:val="nil"/>
                  </w:tcBorders>
                  <w:vAlign w:val="center"/>
                </w:tcPr>
                <w:p w14:paraId="5296B7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废气处理设施故障</w:t>
                  </w:r>
                </w:p>
              </w:tc>
              <w:tc>
                <w:tcPr>
                  <w:tcW w:w="1578" w:type="dxa"/>
                  <w:vMerge w:val="restart"/>
                  <w:tcBorders>
                    <w:tl2br w:val="nil"/>
                    <w:tr2bl w:val="nil"/>
                  </w:tcBorders>
                  <w:vAlign w:val="center"/>
                </w:tcPr>
                <w:p w14:paraId="1BA99D4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5819</w:t>
                  </w:r>
                </w:p>
              </w:tc>
              <w:tc>
                <w:tcPr>
                  <w:tcW w:w="574" w:type="pct"/>
                  <w:tcBorders>
                    <w:tl2br w:val="nil"/>
                    <w:tr2bl w:val="nil"/>
                  </w:tcBorders>
                  <w:vAlign w:val="center"/>
                </w:tcPr>
                <w:p w14:paraId="529452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22.7</w:t>
                  </w:r>
                </w:p>
              </w:tc>
              <w:tc>
                <w:tcPr>
                  <w:tcW w:w="530" w:type="pct"/>
                  <w:tcBorders>
                    <w:tl2br w:val="nil"/>
                    <w:tr2bl w:val="nil"/>
                  </w:tcBorders>
                  <w:vAlign w:val="center"/>
                </w:tcPr>
                <w:p w14:paraId="086A08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0.5</w:t>
                  </w:r>
                </w:p>
              </w:tc>
              <w:tc>
                <w:tcPr>
                  <w:tcW w:w="540" w:type="pct"/>
                  <w:tcBorders>
                    <w:tl2br w:val="nil"/>
                    <w:tr2bl w:val="nil"/>
                  </w:tcBorders>
                  <w:vAlign w:val="center"/>
                </w:tcPr>
                <w:p w14:paraId="115772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1001" w:type="pct"/>
                  <w:vMerge w:val="restart"/>
                  <w:tcBorders>
                    <w:tl2br w:val="nil"/>
                    <w:tr2bl w:val="nil"/>
                  </w:tcBorders>
                  <w:vAlign w:val="center"/>
                </w:tcPr>
                <w:p w14:paraId="02036A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立即停止生产，及时检修，故障解决后，恢复生产</w:t>
                  </w:r>
                </w:p>
              </w:tc>
            </w:tr>
            <w:tr w14:paraId="0F3E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tcBorders>
                    <w:tl2br w:val="nil"/>
                    <w:tr2bl w:val="nil"/>
                  </w:tcBorders>
                  <w:vAlign w:val="center"/>
                </w:tcPr>
                <w:p w14:paraId="655C7F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2</w:t>
                  </w:r>
                </w:p>
              </w:tc>
              <w:tc>
                <w:tcPr>
                  <w:tcW w:w="606" w:type="pct"/>
                  <w:tcBorders>
                    <w:tl2br w:val="nil"/>
                    <w:tr2bl w:val="nil"/>
                  </w:tcBorders>
                  <w:vAlign w:val="center"/>
                </w:tcPr>
                <w:p w14:paraId="181D23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颚式破碎机</w:t>
                  </w:r>
                </w:p>
              </w:tc>
              <w:tc>
                <w:tcPr>
                  <w:tcW w:w="417" w:type="pct"/>
                  <w:vMerge w:val="continue"/>
                  <w:tcBorders>
                    <w:tl2br w:val="nil"/>
                    <w:tr2bl w:val="nil"/>
                  </w:tcBorders>
                  <w:vAlign w:val="center"/>
                </w:tcPr>
                <w:p w14:paraId="7F1810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536" w:type="pct"/>
                  <w:vMerge w:val="continue"/>
                  <w:tcBorders>
                    <w:tl2br w:val="nil"/>
                    <w:tr2bl w:val="nil"/>
                  </w:tcBorders>
                  <w:vAlign w:val="center"/>
                </w:tcPr>
                <w:p w14:paraId="1370E6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578" w:type="pct"/>
                  <w:vMerge w:val="continue"/>
                  <w:tcBorders>
                    <w:tl2br w:val="nil"/>
                    <w:tr2bl w:val="nil"/>
                  </w:tcBorders>
                  <w:vAlign w:val="center"/>
                </w:tcPr>
                <w:p w14:paraId="5C0FE0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p>
              </w:tc>
              <w:tc>
                <w:tcPr>
                  <w:tcW w:w="574" w:type="pct"/>
                  <w:tcBorders>
                    <w:tl2br w:val="nil"/>
                    <w:tr2bl w:val="nil"/>
                  </w:tcBorders>
                  <w:vAlign w:val="center"/>
                </w:tcPr>
                <w:p w14:paraId="21B96B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45.5</w:t>
                  </w:r>
                </w:p>
              </w:tc>
              <w:tc>
                <w:tcPr>
                  <w:tcW w:w="530" w:type="pct"/>
                  <w:tcBorders>
                    <w:tl2br w:val="nil"/>
                    <w:tr2bl w:val="nil"/>
                  </w:tcBorders>
                  <w:vAlign w:val="center"/>
                </w:tcPr>
                <w:p w14:paraId="766FE2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0.5</w:t>
                  </w:r>
                </w:p>
              </w:tc>
              <w:tc>
                <w:tcPr>
                  <w:tcW w:w="540" w:type="pct"/>
                  <w:tcBorders>
                    <w:tl2br w:val="nil"/>
                    <w:tr2bl w:val="nil"/>
                  </w:tcBorders>
                  <w:vAlign w:val="center"/>
                </w:tcPr>
                <w:p w14:paraId="2764CD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1001" w:type="pct"/>
                  <w:vMerge w:val="continue"/>
                  <w:tcBorders>
                    <w:tl2br w:val="nil"/>
                    <w:tr2bl w:val="nil"/>
                  </w:tcBorders>
                  <w:vAlign w:val="center"/>
                </w:tcPr>
                <w:p w14:paraId="159D6A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r>
            <w:tr w14:paraId="14395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tcBorders>
                    <w:tl2br w:val="nil"/>
                    <w:tr2bl w:val="nil"/>
                  </w:tcBorders>
                  <w:vAlign w:val="center"/>
                </w:tcPr>
                <w:p w14:paraId="7F73D5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3</w:t>
                  </w:r>
                </w:p>
              </w:tc>
              <w:tc>
                <w:tcPr>
                  <w:tcW w:w="606" w:type="pct"/>
                  <w:tcBorders>
                    <w:tl2br w:val="nil"/>
                    <w:tr2bl w:val="nil"/>
                  </w:tcBorders>
                  <w:vAlign w:val="center"/>
                </w:tcPr>
                <w:p w14:paraId="31E835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双级破碎机</w:t>
                  </w:r>
                </w:p>
              </w:tc>
              <w:tc>
                <w:tcPr>
                  <w:tcW w:w="417" w:type="pct"/>
                  <w:vMerge w:val="restart"/>
                  <w:tcBorders>
                    <w:tl2br w:val="nil"/>
                    <w:tr2bl w:val="nil"/>
                  </w:tcBorders>
                  <w:vAlign w:val="center"/>
                </w:tcPr>
                <w:p w14:paraId="0FC9D7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颗粒物</w:t>
                  </w:r>
                </w:p>
              </w:tc>
              <w:tc>
                <w:tcPr>
                  <w:tcW w:w="536" w:type="pct"/>
                  <w:vMerge w:val="continue"/>
                  <w:tcBorders>
                    <w:tl2br w:val="nil"/>
                    <w:tr2bl w:val="nil"/>
                  </w:tcBorders>
                  <w:vAlign w:val="center"/>
                </w:tcPr>
                <w:p w14:paraId="2191EB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1578" w:type="dxa"/>
                  <w:vMerge w:val="restart"/>
                  <w:tcBorders>
                    <w:tl2br w:val="nil"/>
                    <w:tr2bl w:val="nil"/>
                  </w:tcBorders>
                  <w:vAlign w:val="center"/>
                </w:tcPr>
                <w:p w14:paraId="7CCE8E3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4878</w:t>
                  </w:r>
                </w:p>
              </w:tc>
              <w:tc>
                <w:tcPr>
                  <w:tcW w:w="574" w:type="pct"/>
                  <w:vMerge w:val="restart"/>
                  <w:tcBorders>
                    <w:tl2br w:val="nil"/>
                    <w:tr2bl w:val="nil"/>
                  </w:tcBorders>
                  <w:vAlign w:val="center"/>
                </w:tcPr>
                <w:p w14:paraId="2CDAAC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w:t>
                  </w:r>
                </w:p>
              </w:tc>
              <w:tc>
                <w:tcPr>
                  <w:tcW w:w="530" w:type="pct"/>
                  <w:tcBorders>
                    <w:tl2br w:val="nil"/>
                    <w:tr2bl w:val="nil"/>
                  </w:tcBorders>
                  <w:vAlign w:val="center"/>
                </w:tcPr>
                <w:p w14:paraId="295BA4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0.5</w:t>
                  </w:r>
                </w:p>
              </w:tc>
              <w:tc>
                <w:tcPr>
                  <w:tcW w:w="540" w:type="pct"/>
                  <w:tcBorders>
                    <w:tl2br w:val="nil"/>
                    <w:tr2bl w:val="nil"/>
                  </w:tcBorders>
                  <w:vAlign w:val="center"/>
                </w:tcPr>
                <w:p w14:paraId="1A2294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1001" w:type="pct"/>
                  <w:vMerge w:val="continue"/>
                  <w:tcBorders>
                    <w:tl2br w:val="nil"/>
                    <w:tr2bl w:val="nil"/>
                  </w:tcBorders>
                  <w:vAlign w:val="center"/>
                </w:tcPr>
                <w:p w14:paraId="4F2138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r>
            <w:tr w14:paraId="70C4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tcBorders>
                    <w:tl2br w:val="nil"/>
                    <w:tr2bl w:val="nil"/>
                  </w:tcBorders>
                  <w:vAlign w:val="center"/>
                </w:tcPr>
                <w:p w14:paraId="096328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4</w:t>
                  </w:r>
                </w:p>
              </w:tc>
              <w:tc>
                <w:tcPr>
                  <w:tcW w:w="606" w:type="pct"/>
                  <w:tcBorders>
                    <w:tl2br w:val="nil"/>
                    <w:tr2bl w:val="nil"/>
                  </w:tcBorders>
                  <w:vAlign w:val="center"/>
                </w:tcPr>
                <w:p w14:paraId="53D68F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双级破碎机</w:t>
                  </w:r>
                </w:p>
              </w:tc>
              <w:tc>
                <w:tcPr>
                  <w:tcW w:w="417" w:type="pct"/>
                  <w:vMerge w:val="continue"/>
                  <w:tcBorders>
                    <w:tl2br w:val="nil"/>
                    <w:tr2bl w:val="nil"/>
                  </w:tcBorders>
                  <w:vAlign w:val="center"/>
                </w:tcPr>
                <w:p w14:paraId="017E7B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536" w:type="pct"/>
                  <w:vMerge w:val="continue"/>
                  <w:tcBorders>
                    <w:tl2br w:val="nil"/>
                    <w:tr2bl w:val="nil"/>
                  </w:tcBorders>
                  <w:vAlign w:val="center"/>
                </w:tcPr>
                <w:p w14:paraId="3D1414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578" w:type="pct"/>
                  <w:vMerge w:val="continue"/>
                  <w:tcBorders>
                    <w:tl2br w:val="nil"/>
                    <w:tr2bl w:val="nil"/>
                  </w:tcBorders>
                  <w:vAlign w:val="center"/>
                </w:tcPr>
                <w:p w14:paraId="21F8A4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p>
              </w:tc>
              <w:tc>
                <w:tcPr>
                  <w:tcW w:w="574" w:type="pct"/>
                  <w:vMerge w:val="continue"/>
                  <w:tcBorders>
                    <w:tl2br w:val="nil"/>
                    <w:tr2bl w:val="nil"/>
                  </w:tcBorders>
                  <w:vAlign w:val="center"/>
                </w:tcPr>
                <w:p w14:paraId="3BC2F8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530" w:type="pct"/>
                  <w:tcBorders>
                    <w:tl2br w:val="nil"/>
                    <w:tr2bl w:val="nil"/>
                  </w:tcBorders>
                  <w:vAlign w:val="center"/>
                </w:tcPr>
                <w:p w14:paraId="410420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0.5</w:t>
                  </w:r>
                </w:p>
              </w:tc>
              <w:tc>
                <w:tcPr>
                  <w:tcW w:w="540" w:type="pct"/>
                  <w:tcBorders>
                    <w:tl2br w:val="nil"/>
                    <w:tr2bl w:val="nil"/>
                  </w:tcBorders>
                  <w:vAlign w:val="center"/>
                </w:tcPr>
                <w:p w14:paraId="169034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1001" w:type="pct"/>
                  <w:vMerge w:val="continue"/>
                  <w:tcBorders>
                    <w:tl2br w:val="nil"/>
                    <w:tr2bl w:val="nil"/>
                  </w:tcBorders>
                  <w:vAlign w:val="center"/>
                </w:tcPr>
                <w:p w14:paraId="239112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r>
            <w:tr w14:paraId="2002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tcBorders>
                    <w:tl2br w:val="nil"/>
                    <w:tr2bl w:val="nil"/>
                  </w:tcBorders>
                  <w:vAlign w:val="center"/>
                </w:tcPr>
                <w:p w14:paraId="06C2A1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5</w:t>
                  </w:r>
                </w:p>
              </w:tc>
              <w:tc>
                <w:tcPr>
                  <w:tcW w:w="606" w:type="pct"/>
                  <w:tcBorders>
                    <w:tl2br w:val="nil"/>
                    <w:tr2bl w:val="nil"/>
                  </w:tcBorders>
                  <w:vAlign w:val="center"/>
                </w:tcPr>
                <w:p w14:paraId="0E6232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筛分机</w:t>
                  </w:r>
                </w:p>
              </w:tc>
              <w:tc>
                <w:tcPr>
                  <w:tcW w:w="417" w:type="pct"/>
                  <w:vMerge w:val="continue"/>
                  <w:tcBorders>
                    <w:tl2br w:val="nil"/>
                    <w:tr2bl w:val="nil"/>
                  </w:tcBorders>
                  <w:vAlign w:val="center"/>
                </w:tcPr>
                <w:p w14:paraId="3EEA72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536" w:type="pct"/>
                  <w:vMerge w:val="continue"/>
                  <w:tcBorders>
                    <w:tl2br w:val="nil"/>
                    <w:tr2bl w:val="nil"/>
                  </w:tcBorders>
                  <w:vAlign w:val="center"/>
                </w:tcPr>
                <w:p w14:paraId="73BBA1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578" w:type="pct"/>
                  <w:vMerge w:val="continue"/>
                  <w:tcBorders>
                    <w:tl2br w:val="nil"/>
                    <w:tr2bl w:val="nil"/>
                  </w:tcBorders>
                  <w:vAlign w:val="center"/>
                </w:tcPr>
                <w:p w14:paraId="46B2015A">
                  <w:pPr>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p>
              </w:tc>
              <w:tc>
                <w:tcPr>
                  <w:tcW w:w="574" w:type="pct"/>
                  <w:vMerge w:val="restart"/>
                  <w:tcBorders>
                    <w:tl2br w:val="nil"/>
                    <w:tr2bl w:val="nil"/>
                  </w:tcBorders>
                  <w:vAlign w:val="center"/>
                </w:tcPr>
                <w:p w14:paraId="328296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50</w:t>
                  </w:r>
                </w:p>
              </w:tc>
              <w:tc>
                <w:tcPr>
                  <w:tcW w:w="530" w:type="pct"/>
                  <w:tcBorders>
                    <w:tl2br w:val="nil"/>
                    <w:tr2bl w:val="nil"/>
                  </w:tcBorders>
                  <w:vAlign w:val="center"/>
                </w:tcPr>
                <w:p w14:paraId="53F590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0.5</w:t>
                  </w:r>
                </w:p>
              </w:tc>
              <w:tc>
                <w:tcPr>
                  <w:tcW w:w="540" w:type="pct"/>
                  <w:tcBorders>
                    <w:tl2br w:val="nil"/>
                    <w:tr2bl w:val="nil"/>
                  </w:tcBorders>
                  <w:vAlign w:val="center"/>
                </w:tcPr>
                <w:p w14:paraId="4F276F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1001" w:type="pct"/>
                  <w:vMerge w:val="continue"/>
                  <w:tcBorders>
                    <w:tl2br w:val="nil"/>
                    <w:tr2bl w:val="nil"/>
                  </w:tcBorders>
                  <w:vAlign w:val="center"/>
                </w:tcPr>
                <w:p w14:paraId="71AA3B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r>
            <w:tr w14:paraId="3388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5" w:type="pct"/>
                  <w:tcBorders>
                    <w:tl2br w:val="nil"/>
                    <w:tr2bl w:val="nil"/>
                  </w:tcBorders>
                  <w:vAlign w:val="center"/>
                </w:tcPr>
                <w:p w14:paraId="4A4C3B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6</w:t>
                  </w:r>
                </w:p>
              </w:tc>
              <w:tc>
                <w:tcPr>
                  <w:tcW w:w="606" w:type="pct"/>
                  <w:tcBorders>
                    <w:tl2br w:val="nil"/>
                    <w:tr2bl w:val="nil"/>
                  </w:tcBorders>
                  <w:vAlign w:val="center"/>
                </w:tcPr>
                <w:p w14:paraId="4F3B38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筛分机</w:t>
                  </w:r>
                </w:p>
              </w:tc>
              <w:tc>
                <w:tcPr>
                  <w:tcW w:w="417" w:type="pct"/>
                  <w:vMerge w:val="continue"/>
                  <w:tcBorders>
                    <w:tl2br w:val="nil"/>
                    <w:tr2bl w:val="nil"/>
                  </w:tcBorders>
                  <w:vAlign w:val="center"/>
                </w:tcPr>
                <w:p w14:paraId="198B24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536" w:type="pct"/>
                  <w:vMerge w:val="continue"/>
                  <w:tcBorders>
                    <w:tl2br w:val="nil"/>
                    <w:tr2bl w:val="nil"/>
                  </w:tcBorders>
                  <w:vAlign w:val="center"/>
                </w:tcPr>
                <w:p w14:paraId="4B879C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578" w:type="pct"/>
                  <w:vMerge w:val="continue"/>
                  <w:tcBorders>
                    <w:tl2br w:val="nil"/>
                    <w:tr2bl w:val="nil"/>
                  </w:tcBorders>
                  <w:vAlign w:val="center"/>
                </w:tcPr>
                <w:p w14:paraId="39F4E1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000000" w:themeColor="text1"/>
                      <w:kern w:val="2"/>
                      <w:sz w:val="21"/>
                      <w:szCs w:val="21"/>
                      <w:highlight w:val="none"/>
                      <w:lang w:val="en-US" w:eastAsia="zh-CN" w:bidi="ar-SA"/>
                      <w14:textFill>
                        <w14:solidFill>
                          <w14:schemeClr w14:val="tx1"/>
                        </w14:solidFill>
                      </w14:textFill>
                    </w:rPr>
                  </w:pPr>
                </w:p>
              </w:tc>
              <w:tc>
                <w:tcPr>
                  <w:tcW w:w="574" w:type="pct"/>
                  <w:vMerge w:val="continue"/>
                  <w:tcBorders>
                    <w:tl2br w:val="nil"/>
                    <w:tr2bl w:val="nil"/>
                  </w:tcBorders>
                  <w:vAlign w:val="center"/>
                </w:tcPr>
                <w:p w14:paraId="3A1DE3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530" w:type="pct"/>
                  <w:tcBorders>
                    <w:tl2br w:val="nil"/>
                    <w:tr2bl w:val="nil"/>
                  </w:tcBorders>
                  <w:vAlign w:val="center"/>
                </w:tcPr>
                <w:p w14:paraId="0C736F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0.5</w:t>
                  </w:r>
                </w:p>
              </w:tc>
              <w:tc>
                <w:tcPr>
                  <w:tcW w:w="540" w:type="pct"/>
                  <w:tcBorders>
                    <w:tl2br w:val="nil"/>
                    <w:tr2bl w:val="nil"/>
                  </w:tcBorders>
                  <w:vAlign w:val="center"/>
                </w:tcPr>
                <w:p w14:paraId="33386A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1001" w:type="pct"/>
                  <w:vMerge w:val="continue"/>
                  <w:tcBorders>
                    <w:tl2br w:val="nil"/>
                    <w:tr2bl w:val="nil"/>
                  </w:tcBorders>
                  <w:vAlign w:val="center"/>
                </w:tcPr>
                <w:p w14:paraId="636153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r>
          </w:tbl>
          <w:p w14:paraId="57DF66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p>
          <w:p w14:paraId="0550D1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0" w:firstLineChars="200"/>
              <w:jc w:val="both"/>
              <w:textAlignment w:val="auto"/>
              <w:rPr>
                <w:rFonts w:hint="default" w:ascii="Times New Roman" w:hAnsi="Times New Roman" w:eastAsia="宋体" w:cs="Times New Roman"/>
                <w:b w:val="0"/>
                <w:bCs/>
                <w:color w:val="000000" w:themeColor="text1"/>
                <w:spacing w:val="-10"/>
                <w:sz w:val="24"/>
                <w:szCs w:val="24"/>
                <w:highlight w:val="none"/>
                <w:vertAlign w:val="baseline"/>
                <w:lang w:val="en-US" w:eastAsia="zh-CN"/>
                <w14:textFill>
                  <w14:solidFill>
                    <w14:schemeClr w14:val="tx1"/>
                  </w14:solidFill>
                </w14:textFill>
              </w:rPr>
            </w:pPr>
          </w:p>
        </w:tc>
      </w:tr>
    </w:tbl>
    <w:p w14:paraId="3C205FC0">
      <w:pPr>
        <w:pStyle w:val="27"/>
        <w:rPr>
          <w:rFonts w:hint="default"/>
          <w:color w:val="000000" w:themeColor="text1"/>
          <w:highlight w:val="none"/>
          <w14:textFill>
            <w14:solidFill>
              <w14:schemeClr w14:val="tx1"/>
            </w14:solidFill>
          </w14:textFill>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8404"/>
      </w:tblGrid>
      <w:tr w14:paraId="1853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vAlign w:val="center"/>
          </w:tcPr>
          <w:p w14:paraId="7A449D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运营</w:t>
            </w:r>
          </w:p>
          <w:p w14:paraId="1B01DAF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期环</w:t>
            </w:r>
          </w:p>
          <w:p w14:paraId="6795E3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境影</w:t>
            </w:r>
          </w:p>
          <w:p w14:paraId="7EAE5BE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响和</w:t>
            </w:r>
          </w:p>
          <w:p w14:paraId="45BBFD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保护</w:t>
            </w:r>
          </w:p>
          <w:p w14:paraId="54F20F5D">
            <w:pPr>
              <w:keepNext w:val="0"/>
              <w:keepLines w:val="0"/>
              <w:suppressLineNumbers w:val="0"/>
              <w:adjustRightInd w:val="0"/>
              <w:snapToGrid w:val="0"/>
              <w:spacing w:before="0" w:beforeAutospacing="0" w:after="0" w:afterAutospacing="0"/>
              <w:ind w:left="0" w:right="0"/>
              <w:jc w:val="center"/>
              <w:rPr>
                <w:rFonts w:hint="default"/>
                <w:b/>
                <w:bCs w:val="0"/>
                <w:color w:val="000000" w:themeColor="text1"/>
                <w:highlight w:val="none"/>
                <w:vertAlign w:val="baseline"/>
                <w14:textFill>
                  <w14:solidFill>
                    <w14:schemeClr w14:val="tx1"/>
                  </w14:solidFill>
                </w14:textFill>
              </w:rPr>
            </w:pPr>
            <w: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t>措施</w:t>
            </w:r>
          </w:p>
        </w:tc>
        <w:tc>
          <w:tcPr>
            <w:tcW w:w="8404" w:type="dxa"/>
            <w:vAlign w:val="center"/>
          </w:tcPr>
          <w:p w14:paraId="75FEEE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t>4.5.</w:t>
            </w: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4大气环境影响分析</w:t>
            </w:r>
          </w:p>
          <w:p w14:paraId="286F53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本项目运营期产生的废气污染物为颗粒物，根据现场勘察，项目厂界外500m范围内</w:t>
            </w:r>
            <w:r>
              <w:rPr>
                <w:rFonts w:hint="eastAsia" w:cs="Times New Roman"/>
                <w:b w:val="0"/>
                <w:bCs/>
                <w:color w:val="000000" w:themeColor="text1"/>
                <w:sz w:val="24"/>
                <w:szCs w:val="24"/>
                <w:highlight w:val="none"/>
                <w:lang w:val="en-US" w:eastAsia="zh-CN"/>
                <w14:textFill>
                  <w14:solidFill>
                    <w14:schemeClr w14:val="tx1"/>
                  </w14:solidFill>
                </w14:textFill>
              </w:rPr>
              <w:t>无大气</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环境保护目标，所在区域环境空气质量为不达标区，当地政府全面贯彻落实大气污染防治攻坚措施，将不断改善区域环境空气质量。</w:t>
            </w:r>
          </w:p>
          <w:p w14:paraId="26CE04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cs="Times New Roman"/>
                <w:b w:val="0"/>
                <w:bCs/>
                <w:color w:val="000000" w:themeColor="text1"/>
                <w:sz w:val="24"/>
                <w:szCs w:val="24"/>
                <w:highlight w:val="none"/>
                <w:lang w:val="en-US" w:eastAsia="zh-CN"/>
                <w14:textFill>
                  <w14:solidFill>
                    <w14:schemeClr w14:val="tx1"/>
                  </w14:solidFill>
                </w14:textFill>
              </w:rPr>
              <w:t>（1）有组织废气</w:t>
            </w:r>
          </w:p>
          <w:p w14:paraId="766685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olor w:val="000000" w:themeColor="text1"/>
                <w:sz w:val="24"/>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本项目有组织废气污染源</w:t>
            </w:r>
            <w:r>
              <w:rPr>
                <w:rFonts w:hint="eastAsia" w:cs="Times New Roman"/>
                <w:b w:val="0"/>
                <w:bCs/>
                <w:color w:val="000000" w:themeColor="text1"/>
                <w:sz w:val="24"/>
                <w:szCs w:val="24"/>
                <w:highlight w:val="none"/>
                <w:lang w:val="en-US" w:eastAsia="zh-CN"/>
                <w14:textFill>
                  <w14:solidFill>
                    <w14:schemeClr w14:val="tx1"/>
                  </w14:solidFill>
                </w14:textFill>
              </w:rPr>
              <w:t>主要</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为给料</w:t>
            </w:r>
            <w:r>
              <w:rPr>
                <w:rFonts w:hint="eastAsia" w:cs="Times New Roman"/>
                <w:b w:val="0"/>
                <w:bCs/>
                <w:color w:val="000000" w:themeColor="text1"/>
                <w:sz w:val="24"/>
                <w:szCs w:val="24"/>
                <w:highlight w:val="none"/>
                <w:lang w:val="en-US" w:eastAsia="zh-CN"/>
                <w14:textFill>
                  <w14:solidFill>
                    <w14:schemeClr w14:val="tx1"/>
                  </w14:solidFill>
                </w14:textFill>
              </w:rPr>
              <w:t>工序</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cs="Times New Roman"/>
                <w:b w:val="0"/>
                <w:bCs/>
                <w:color w:val="000000" w:themeColor="text1"/>
                <w:sz w:val="24"/>
                <w:szCs w:val="24"/>
                <w:highlight w:val="none"/>
                <w:lang w:val="en-US" w:eastAsia="zh-CN"/>
                <w14:textFill>
                  <w14:solidFill>
                    <w14:schemeClr w14:val="tx1"/>
                  </w14:solidFill>
                </w14:textFill>
              </w:rPr>
              <w:t>破碎工序、制砂工序</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、筛分</w:t>
            </w:r>
            <w:r>
              <w:rPr>
                <w:rFonts w:hint="eastAsia" w:cs="Times New Roman"/>
                <w:b w:val="0"/>
                <w:bCs/>
                <w:color w:val="000000" w:themeColor="text1"/>
                <w:sz w:val="24"/>
                <w:szCs w:val="24"/>
                <w:highlight w:val="none"/>
                <w:lang w:val="en-US" w:eastAsia="zh-CN"/>
                <w14:textFill>
                  <w14:solidFill>
                    <w14:schemeClr w14:val="tx1"/>
                  </w14:solidFill>
                </w14:textFill>
              </w:rPr>
              <w:t>工序</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产生的粉尘</w:t>
            </w:r>
            <w:r>
              <w:rPr>
                <w:rFonts w:hint="eastAsia"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color w:val="000000" w:themeColor="text1"/>
                <w:sz w:val="24"/>
                <w:lang w:eastAsia="zh-CN"/>
                <w14:textFill>
                  <w14:solidFill>
                    <w14:schemeClr w14:val="tx1"/>
                  </w14:solidFill>
                </w14:textFill>
              </w:rPr>
              <w:t>给料机</w:t>
            </w:r>
            <w:r>
              <w:rPr>
                <w:rFonts w:hint="eastAsia"/>
                <w:color w:val="000000" w:themeColor="text1"/>
                <w:sz w:val="24"/>
                <w:lang w:val="en-US" w:eastAsia="zh-CN"/>
                <w14:textFill>
                  <w14:solidFill>
                    <w14:schemeClr w14:val="tx1"/>
                  </w14:solidFill>
                </w14:textFill>
              </w:rPr>
              <w:t>上方安装1个顶吸式集气罩</w:t>
            </w:r>
            <w:r>
              <w:rPr>
                <w:rFonts w:hint="default" w:ascii="Times New Roman" w:hAnsi="Times New Roman"/>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颚式破碎机为全封闭式，上方</w:t>
            </w:r>
            <w:r>
              <w:rPr>
                <w:rFonts w:hint="default"/>
                <w:color w:val="000000" w:themeColor="text1"/>
                <w:sz w:val="24"/>
                <w14:textFill>
                  <w14:solidFill>
                    <w14:schemeClr w14:val="tx1"/>
                  </w14:solidFill>
                </w14:textFill>
              </w:rPr>
              <w:t>设置</w:t>
            </w:r>
            <w:r>
              <w:rPr>
                <w:rFonts w:hint="eastAsia"/>
                <w:color w:val="000000" w:themeColor="text1"/>
                <w:sz w:val="24"/>
                <w:lang w:val="en-US" w:eastAsia="zh-CN"/>
                <w14:textFill>
                  <w14:solidFill>
                    <w14:schemeClr w14:val="tx1"/>
                  </w14:solidFill>
                </w14:textFill>
              </w:rPr>
              <w:t>集气管道</w:t>
            </w:r>
            <w:r>
              <w:rPr>
                <w:rFonts w:hint="eastAsia"/>
                <w:color w:val="000000" w:themeColor="text1"/>
                <w:sz w:val="24"/>
                <w14:textFill>
                  <w14:solidFill>
                    <w14:schemeClr w14:val="tx1"/>
                  </w14:solidFill>
                </w14:textFill>
              </w:rPr>
              <w:t>，废气</w:t>
            </w:r>
            <w:r>
              <w:rPr>
                <w:rFonts w:hint="eastAsia"/>
                <w:color w:val="000000" w:themeColor="text1"/>
                <w:sz w:val="24"/>
                <w:lang w:val="en-US" w:eastAsia="zh-CN"/>
                <w14:textFill>
                  <w14:solidFill>
                    <w14:schemeClr w14:val="tx1"/>
                  </w14:solidFill>
                </w14:textFill>
              </w:rPr>
              <w:t>收集后共同引入</w:t>
            </w:r>
            <w:r>
              <w:rPr>
                <w:rFonts w:hint="eastAsia"/>
                <w:color w:val="000000" w:themeColor="text1"/>
                <w:sz w:val="24"/>
                <w:highlight w:val="none"/>
                <w:lang w:val="en-US" w:eastAsia="zh-CN"/>
                <w14:textFill>
                  <w14:solidFill>
                    <w14:schemeClr w14:val="tx1"/>
                  </w14:solidFill>
                </w14:textFill>
              </w:rPr>
              <w:t>1台</w:t>
            </w:r>
            <w:r>
              <w:rPr>
                <w:rFonts w:hint="eastAsia"/>
                <w:color w:val="000000" w:themeColor="text1"/>
                <w:sz w:val="24"/>
                <w:highlight w:val="none"/>
                <w14:textFill>
                  <w14:solidFill>
                    <w14:schemeClr w14:val="tx1"/>
                  </w14:solidFill>
                </w14:textFill>
              </w:rPr>
              <w:t>布袋除尘器</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TA001</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14:textFill>
                  <w14:solidFill>
                    <w14:schemeClr w14:val="tx1"/>
                  </w14:solidFill>
                </w14:textFill>
              </w:rPr>
              <w:t>处理</w:t>
            </w:r>
            <w:r>
              <w:rPr>
                <w:rFonts w:hint="eastAsia"/>
                <w:color w:val="000000" w:themeColor="text1"/>
                <w:sz w:val="24"/>
                <w:lang w:val="en-US" w:eastAsia="zh-CN"/>
                <w14:textFill>
                  <w14:solidFill>
                    <w14:schemeClr w14:val="tx1"/>
                  </w14:solidFill>
                </w14:textFill>
              </w:rPr>
              <w:t>后</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由</w:t>
            </w:r>
            <w:r>
              <w:rPr>
                <w:rFonts w:hint="default"/>
                <w:color w:val="000000" w:themeColor="text1"/>
                <w:sz w:val="24"/>
                <w14:textFill>
                  <w14:solidFill>
                    <w14:schemeClr w14:val="tx1"/>
                  </w14:solidFill>
                </w14:textFill>
              </w:rPr>
              <w:t>1根15m高排气筒（</w:t>
            </w:r>
            <w:r>
              <w:rPr>
                <w:rFonts w:hint="eastAsia"/>
                <w:color w:val="000000" w:themeColor="text1"/>
                <w:sz w:val="24"/>
                <w14:textFill>
                  <w14:solidFill>
                    <w14:schemeClr w14:val="tx1"/>
                  </w14:solidFill>
                </w14:textFill>
              </w:rPr>
              <w:t>D</w:t>
            </w:r>
            <w:r>
              <w:rPr>
                <w:rFonts w:hint="default"/>
                <w:color w:val="000000" w:themeColor="text1"/>
                <w:sz w:val="24"/>
                <w14:textFill>
                  <w14:solidFill>
                    <w14:schemeClr w14:val="tx1"/>
                  </w14:solidFill>
                </w14:textFill>
              </w:rPr>
              <w:t>A00</w:t>
            </w:r>
            <w:r>
              <w:rPr>
                <w:rFonts w:hint="eastAsia"/>
                <w:color w:val="000000" w:themeColor="text1"/>
                <w:sz w:val="24"/>
                <w:lang w:val="en-US" w:eastAsia="zh-CN"/>
                <w14:textFill>
                  <w14:solidFill>
                    <w14:schemeClr w14:val="tx1"/>
                  </w14:solidFill>
                </w14:textFill>
              </w:rPr>
              <w:t>1</w:t>
            </w:r>
            <w:r>
              <w:rPr>
                <w:rFonts w:hint="default"/>
                <w:color w:val="000000" w:themeColor="text1"/>
                <w:sz w:val="24"/>
                <w14:textFill>
                  <w14:solidFill>
                    <w14:schemeClr w14:val="tx1"/>
                  </w14:solidFill>
                </w14:textFill>
              </w:rPr>
              <w:t>）排放</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2台双级破碎机和2台筛分机均为全封闭式，上方设置集气管道，</w:t>
            </w:r>
            <w:r>
              <w:rPr>
                <w:rFonts w:hint="eastAsia"/>
                <w:color w:val="000000" w:themeColor="text1"/>
                <w:sz w:val="24"/>
                <w14:textFill>
                  <w14:solidFill>
                    <w14:schemeClr w14:val="tx1"/>
                  </w14:solidFill>
                </w14:textFill>
              </w:rPr>
              <w:t>废气</w:t>
            </w:r>
            <w:r>
              <w:rPr>
                <w:rFonts w:hint="eastAsia"/>
                <w:color w:val="000000" w:themeColor="text1"/>
                <w:sz w:val="24"/>
                <w:lang w:val="en-US" w:eastAsia="zh-CN"/>
                <w14:textFill>
                  <w14:solidFill>
                    <w14:schemeClr w14:val="tx1"/>
                  </w14:solidFill>
                </w14:textFill>
              </w:rPr>
              <w:t>收集后共同引入</w:t>
            </w:r>
            <w:r>
              <w:rPr>
                <w:rFonts w:hint="eastAsia"/>
                <w:color w:val="000000" w:themeColor="text1"/>
                <w:sz w:val="24"/>
                <w:highlight w:val="none"/>
                <w:lang w:val="en-US" w:eastAsia="zh-CN"/>
                <w14:textFill>
                  <w14:solidFill>
                    <w14:schemeClr w14:val="tx1"/>
                  </w14:solidFill>
                </w14:textFill>
              </w:rPr>
              <w:t>1台</w:t>
            </w:r>
            <w:r>
              <w:rPr>
                <w:rFonts w:hint="eastAsia"/>
                <w:color w:val="000000" w:themeColor="text1"/>
                <w:sz w:val="24"/>
                <w:highlight w:val="none"/>
                <w14:textFill>
                  <w14:solidFill>
                    <w14:schemeClr w14:val="tx1"/>
                  </w14:solidFill>
                </w14:textFill>
              </w:rPr>
              <w:t>布袋除尘器</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TA002</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14:textFill>
                  <w14:solidFill>
                    <w14:schemeClr w14:val="tx1"/>
                  </w14:solidFill>
                </w14:textFill>
              </w:rPr>
              <w:t>处理</w:t>
            </w:r>
            <w:r>
              <w:rPr>
                <w:rFonts w:hint="eastAsia"/>
                <w:color w:val="000000" w:themeColor="text1"/>
                <w:sz w:val="24"/>
                <w:lang w:val="en-US" w:eastAsia="zh-CN"/>
                <w14:textFill>
                  <w14:solidFill>
                    <w14:schemeClr w14:val="tx1"/>
                  </w14:solidFill>
                </w14:textFill>
              </w:rPr>
              <w:t>后</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由</w:t>
            </w:r>
            <w:r>
              <w:rPr>
                <w:rFonts w:hint="default"/>
                <w:color w:val="000000" w:themeColor="text1"/>
                <w:sz w:val="24"/>
                <w14:textFill>
                  <w14:solidFill>
                    <w14:schemeClr w14:val="tx1"/>
                  </w14:solidFill>
                </w14:textFill>
              </w:rPr>
              <w:t>1根15m高排气筒（</w:t>
            </w:r>
            <w:r>
              <w:rPr>
                <w:rFonts w:hint="eastAsia"/>
                <w:color w:val="000000" w:themeColor="text1"/>
                <w:sz w:val="24"/>
                <w14:textFill>
                  <w14:solidFill>
                    <w14:schemeClr w14:val="tx1"/>
                  </w14:solidFill>
                </w14:textFill>
              </w:rPr>
              <w:t>D</w:t>
            </w:r>
            <w:r>
              <w:rPr>
                <w:rFonts w:hint="default"/>
                <w:color w:val="000000" w:themeColor="text1"/>
                <w:sz w:val="24"/>
                <w14:textFill>
                  <w14:solidFill>
                    <w14:schemeClr w14:val="tx1"/>
                  </w14:solidFill>
                </w14:textFill>
              </w:rPr>
              <w:t>A00</w:t>
            </w:r>
            <w:r>
              <w:rPr>
                <w:rFonts w:hint="eastAsia"/>
                <w:color w:val="000000" w:themeColor="text1"/>
                <w:sz w:val="24"/>
                <w:lang w:val="en-US" w:eastAsia="zh-CN"/>
                <w14:textFill>
                  <w14:solidFill>
                    <w14:schemeClr w14:val="tx1"/>
                  </w14:solidFill>
                </w14:textFill>
              </w:rPr>
              <w:t>2</w:t>
            </w:r>
            <w:r>
              <w:rPr>
                <w:rFonts w:hint="default"/>
                <w:color w:val="000000" w:themeColor="text1"/>
                <w:sz w:val="24"/>
                <w14:textFill>
                  <w14:solidFill>
                    <w14:schemeClr w14:val="tx1"/>
                  </w14:solidFill>
                </w14:textFill>
              </w:rPr>
              <w:t>）排放</w:t>
            </w:r>
            <w:r>
              <w:rPr>
                <w:rFonts w:hint="eastAsia"/>
                <w:color w:val="000000" w:themeColor="text1"/>
                <w:sz w:val="24"/>
                <w:lang w:eastAsia="zh-CN"/>
                <w14:textFill>
                  <w14:solidFill>
                    <w14:schemeClr w14:val="tx1"/>
                  </w14:solidFill>
                </w14:textFill>
              </w:rPr>
              <w:t>。</w:t>
            </w:r>
          </w:p>
          <w:p w14:paraId="025DAA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w:t>
            </w:r>
            <w:r>
              <w:rPr>
                <w:rFonts w:hint="eastAsia" w:cs="Times New Roman"/>
                <w:b w:val="0"/>
                <w:bCs/>
                <w:color w:val="000000" w:themeColor="text1"/>
                <w:sz w:val="24"/>
                <w:szCs w:val="24"/>
                <w:highlight w:val="none"/>
                <w:lang w:val="en-US" w:eastAsia="zh-CN"/>
                <w14:textFill>
                  <w14:solidFill>
                    <w14:schemeClr w14:val="tx1"/>
                  </w14:solidFill>
                </w14:textFill>
              </w:rPr>
              <w:t>有组织颗粒物</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排放浓度均满足《大气污染物综合排放标准》（GB16297-1996）表2二级标准要求，同时满足</w:t>
            </w:r>
            <w:r>
              <w:rPr>
                <w:rFonts w:hint="eastAsia"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《长治市大气污染防治工作领导组办公室文件关于印发长治市工业企业无组织排放治理实施方案的通知》（长气防办[2019]9号）特别</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排放限值要求（颗粒物≤10mg/m</w:t>
            </w:r>
            <w:r>
              <w:rPr>
                <w:rFonts w:hint="eastAsia" w:ascii="Times New Roman" w:hAnsi="Times New Roman" w:eastAsia="宋体" w:cs="Times New Roman"/>
                <w:b w:val="0"/>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），能够实现达标排放。</w:t>
            </w:r>
          </w:p>
          <w:p w14:paraId="322C5A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cs="Times New Roman"/>
                <w:b w:val="0"/>
                <w:bCs/>
                <w:color w:val="000000" w:themeColor="text1"/>
                <w:sz w:val="24"/>
                <w:szCs w:val="24"/>
                <w:highlight w:val="none"/>
                <w:lang w:val="en-US" w:eastAsia="zh-CN"/>
                <w14:textFill>
                  <w14:solidFill>
                    <w14:schemeClr w14:val="tx1"/>
                  </w14:solidFill>
                </w14:textFill>
              </w:rPr>
            </w:pPr>
            <w:r>
              <w:rPr>
                <w:rFonts w:hint="eastAsia" w:cs="Times New Roman"/>
                <w:b w:val="0"/>
                <w:bCs/>
                <w:color w:val="000000" w:themeColor="text1"/>
                <w:sz w:val="24"/>
                <w:szCs w:val="24"/>
                <w:highlight w:val="none"/>
                <w:lang w:val="en-US" w:eastAsia="zh-CN"/>
                <w14:textFill>
                  <w14:solidFill>
                    <w14:schemeClr w14:val="tx1"/>
                  </w14:solidFill>
                </w14:textFill>
              </w:rPr>
              <w:t>（2）无组织废气</w:t>
            </w:r>
          </w:p>
          <w:p w14:paraId="68602C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bCs/>
                <w:color w:val="000000" w:themeColor="text1"/>
                <w:sz w:val="24"/>
                <w:lang w:eastAsia="zh-CN"/>
                <w14:textFill>
                  <w14:solidFill>
                    <w14:schemeClr w14:val="tx1"/>
                  </w14:solidFill>
                </w14:textFill>
              </w:rPr>
            </w:pPr>
            <w:r>
              <w:rPr>
                <w:rFonts w:hint="eastAsia" w:cs="Times New Roman"/>
                <w:b w:val="0"/>
                <w:bCs/>
                <w:color w:val="000000" w:themeColor="text1"/>
                <w:sz w:val="24"/>
                <w:szCs w:val="24"/>
                <w:highlight w:val="none"/>
                <w:lang w:val="en-US" w:eastAsia="zh-CN"/>
                <w14:textFill>
                  <w14:solidFill>
                    <w14:schemeClr w14:val="tx1"/>
                  </w14:solidFill>
                </w14:textFill>
              </w:rPr>
              <w:t>本项目无组织废气污染源主要为</w:t>
            </w:r>
            <w:r>
              <w:rPr>
                <w:rFonts w:hint="eastAsia" w:cs="Times New Roman"/>
                <w:color w:val="000000" w:themeColor="text1"/>
                <w:sz w:val="24"/>
                <w:highlight w:val="none"/>
                <w:lang w:val="en-US" w:eastAsia="zh-CN"/>
                <w14:textFill>
                  <w14:solidFill>
                    <w14:schemeClr w14:val="tx1"/>
                  </w14:solidFill>
                </w14:textFill>
              </w:rPr>
              <w:t>原料及成品运输产生的扬尘，原料及成品堆放</w:t>
            </w:r>
            <w:r>
              <w:rPr>
                <w:rFonts w:hint="default"/>
                <w:bCs/>
                <w:color w:val="000000" w:themeColor="text1"/>
                <w:sz w:val="24"/>
                <w14:textFill>
                  <w14:solidFill>
                    <w14:schemeClr w14:val="tx1"/>
                  </w14:solidFill>
                </w14:textFill>
              </w:rPr>
              <w:t>、装卸产生的扬尘</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物料</w:t>
            </w:r>
            <w:r>
              <w:rPr>
                <w:rFonts w:hint="default"/>
                <w:bCs/>
                <w:color w:val="000000" w:themeColor="text1"/>
                <w:sz w:val="24"/>
                <w14:textFill>
                  <w14:solidFill>
                    <w14:schemeClr w14:val="tx1"/>
                  </w14:solidFill>
                </w14:textFill>
              </w:rPr>
              <w:t>皮带运输及</w:t>
            </w:r>
            <w:r>
              <w:rPr>
                <w:rFonts w:hint="eastAsia"/>
                <w:bCs/>
                <w:color w:val="000000" w:themeColor="text1"/>
                <w:sz w:val="24"/>
                <w:lang w:val="en-US" w:eastAsia="zh-CN"/>
                <w14:textFill>
                  <w14:solidFill>
                    <w14:schemeClr w14:val="tx1"/>
                  </w14:solidFill>
                </w14:textFill>
              </w:rPr>
              <w:t>转载</w:t>
            </w:r>
            <w:r>
              <w:rPr>
                <w:rFonts w:hint="default"/>
                <w:bCs/>
                <w:color w:val="000000" w:themeColor="text1"/>
                <w:sz w:val="24"/>
                <w14:textFill>
                  <w14:solidFill>
                    <w14:schemeClr w14:val="tx1"/>
                  </w14:solidFill>
                </w14:textFill>
              </w:rPr>
              <w:t>产生的</w:t>
            </w:r>
            <w:r>
              <w:rPr>
                <w:rFonts w:hint="eastAsia" w:cs="Times New Roman"/>
                <w:color w:val="000000" w:themeColor="text1"/>
                <w:sz w:val="24"/>
                <w:highlight w:val="none"/>
                <w:lang w:val="en-US" w:eastAsia="zh-CN"/>
                <w14:textFill>
                  <w14:solidFill>
                    <w14:schemeClr w14:val="tx1"/>
                  </w14:solidFill>
                </w14:textFill>
              </w:rPr>
              <w:t>扬尘</w:t>
            </w:r>
            <w:r>
              <w:rPr>
                <w:rFonts w:hint="eastAsia"/>
                <w:bCs/>
                <w:color w:val="000000" w:themeColor="text1"/>
                <w:sz w:val="24"/>
                <w:lang w:eastAsia="zh-CN"/>
                <w14:textFill>
                  <w14:solidFill>
                    <w14:schemeClr w14:val="tx1"/>
                  </w14:solidFill>
                </w14:textFill>
              </w:rPr>
              <w:t>。</w:t>
            </w:r>
          </w:p>
          <w:p w14:paraId="75DDDC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b w:val="0"/>
                <w:bCs/>
                <w:color w:val="000000" w:themeColor="text1"/>
                <w:sz w:val="24"/>
                <w:szCs w:val="24"/>
                <w:highlight w:val="none"/>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根据</w:t>
            </w:r>
            <w:r>
              <w:rPr>
                <w:rFonts w:hint="eastAsia"/>
                <w:bCs/>
                <w:color w:val="000000" w:themeColor="text1"/>
                <w:sz w:val="24"/>
                <w:lang w:eastAsia="zh-CN"/>
                <w14:textFill>
                  <w14:solidFill>
                    <w14:schemeClr w14:val="tx1"/>
                  </w14:solidFill>
                </w14:textFill>
              </w:rPr>
              <w:t>《长治市大气污染防治工作领导组办公室关于进一步加强工业企业污染治理的通知》（长气防办[2023]6号），</w:t>
            </w:r>
            <w:r>
              <w:rPr>
                <w:rFonts w:hint="eastAsia"/>
                <w:bCs/>
                <w:color w:val="000000" w:themeColor="text1"/>
                <w:sz w:val="24"/>
                <w:lang w:val="en-US" w:eastAsia="zh-CN"/>
                <w14:textFill>
                  <w14:solidFill>
                    <w14:schemeClr w14:val="tx1"/>
                  </w14:solidFill>
                </w14:textFill>
              </w:rPr>
              <w:t>原料、成品堆放区为位于全封闭生产车间内，顶部均设置喷雾洒水抑尘装置；</w:t>
            </w:r>
            <w:r>
              <w:rPr>
                <w:rFonts w:hint="eastAsia"/>
                <w:bCs/>
                <w:color w:val="000000" w:themeColor="text1"/>
                <w:sz w:val="21"/>
                <w:szCs w:val="21"/>
                <w:lang w:val="en-US" w:eastAsia="zh-CN"/>
                <w14:textFill>
                  <w14:solidFill>
                    <w14:schemeClr w14:val="tx1"/>
                  </w14:solidFill>
                </w14:textFill>
              </w:rPr>
              <w:t>同时在出入口加设扬尘在线监测和视频监控等设施，并与生态环境部门联网，实时传</w:t>
            </w:r>
            <w:r>
              <w:rPr>
                <w:rFonts w:hint="eastAsia"/>
                <w:bCs/>
                <w:color w:val="000000" w:themeColor="text1"/>
                <w:sz w:val="24"/>
                <w:lang w:val="en-US" w:eastAsia="zh-CN"/>
                <w14:textFill>
                  <w14:solidFill>
                    <w14:schemeClr w14:val="tx1"/>
                  </w14:solidFill>
                </w14:textFill>
              </w:rPr>
              <w:t>输监测数据；物料装卸置于全封闭生产车间内，设有固定装卸位，同时设置移动式雾炮机洒水抑尘；物料输送采用皮带全封闭，</w:t>
            </w:r>
            <w:r>
              <w:rPr>
                <w:rFonts w:hint="default" w:ascii="Times New Roman" w:hAnsi="Times New Roman"/>
                <w:color w:val="000000" w:themeColor="text1"/>
                <w:sz w:val="24"/>
                <w:lang w:eastAsia="zh-CN"/>
                <w14:textFill>
                  <w14:solidFill>
                    <w14:schemeClr w14:val="tx1"/>
                  </w14:solidFill>
                </w14:textFill>
              </w:rPr>
              <w:t>降低物料跌落高度</w:t>
            </w:r>
            <w:r>
              <w:rPr>
                <w:rFonts w:hint="eastAsia"/>
                <w:color w:val="000000" w:themeColor="text1"/>
                <w:sz w:val="24"/>
                <w:lang w:eastAsia="zh-CN"/>
                <w14:textFill>
                  <w14:solidFill>
                    <w14:schemeClr w14:val="tx1"/>
                  </w14:solidFill>
                </w14:textFill>
              </w:rPr>
              <w:t>，</w:t>
            </w:r>
            <w:r>
              <w:rPr>
                <w:rFonts w:hint="default" w:ascii="Times New Roman" w:hAnsi="Times New Roman"/>
                <w:color w:val="000000" w:themeColor="text1"/>
                <w:sz w:val="24"/>
                <w:lang w:eastAsia="zh-CN"/>
                <w14:textFill>
                  <w14:solidFill>
                    <w14:schemeClr w14:val="tx1"/>
                  </w14:solidFill>
                </w14:textFill>
              </w:rPr>
              <w:t>在原料堆放处、皮带转运跌落点处</w:t>
            </w:r>
            <w:r>
              <w:rPr>
                <w:rFonts w:hint="eastAsia"/>
                <w:color w:val="000000" w:themeColor="text1"/>
                <w:sz w:val="24"/>
                <w:lang w:eastAsia="zh-CN"/>
                <w14:textFill>
                  <w14:solidFill>
                    <w14:schemeClr w14:val="tx1"/>
                  </w14:solidFill>
                </w14:textFill>
              </w:rPr>
              <w:t>设置</w:t>
            </w:r>
            <w:r>
              <w:rPr>
                <w:rFonts w:hint="default" w:ascii="Times New Roman" w:hAnsi="Times New Roman"/>
                <w:color w:val="000000" w:themeColor="text1"/>
                <w:sz w:val="24"/>
                <w:lang w:eastAsia="zh-CN"/>
                <w14:textFill>
                  <w14:solidFill>
                    <w14:schemeClr w14:val="tx1"/>
                  </w14:solidFill>
                </w14:textFill>
              </w:rPr>
              <w:t>固定式雾化喷头，生产时适当喷雾抑尘</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运输车辆限制车速，原料及成品采用厢式车运输时必须苫盖，厂区内道路全部硬化，产品外售屯留区周边商砼搅拌站，本项目运输量约200万吨（＞150万吨），涉及大宗物料运输，最远运输距离约3km，乡村道路运输较为便捷；本项目依托厂区出入口处现有洗车平台（具有保温、烘干功能），建设单位应建立厂区清扫管理制度，有专人定期洒水抑尘，确保厂区内不得有露天堆场、道路积尘等现象。</w:t>
            </w:r>
            <w:r>
              <w:rPr>
                <w:rFonts w:hint="eastAsia" w:cs="Times New Roman"/>
                <w:b w:val="0"/>
                <w:bCs/>
                <w:color w:val="000000" w:themeColor="text1"/>
                <w:sz w:val="24"/>
                <w:szCs w:val="24"/>
                <w:highlight w:val="none"/>
                <w:lang w:val="en-US" w:eastAsia="zh-CN"/>
                <w14:textFill>
                  <w14:solidFill>
                    <w14:schemeClr w14:val="tx1"/>
                  </w14:solidFill>
                </w14:textFill>
              </w:rPr>
              <w:t>采取以上措施后，可减少无组织废气的排放。</w:t>
            </w:r>
          </w:p>
          <w:p w14:paraId="6F2E25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hAnsi="宋体"/>
                <w:bCs/>
                <w:snapToGrid w:val="0"/>
                <w:color w:val="000000" w:themeColor="text1"/>
                <w:kern w:val="0"/>
                <w:sz w:val="24"/>
                <w:highlight w:val="none"/>
                <w14:textFill>
                  <w14:solidFill>
                    <w14:schemeClr w14:val="tx1"/>
                  </w14:solidFill>
                </w14:textFill>
              </w:rPr>
            </w:pPr>
            <w:r>
              <w:rPr>
                <w:rFonts w:hint="eastAsia" w:cs="Times New Roman"/>
                <w:b w:val="0"/>
                <w:bCs/>
                <w:color w:val="000000" w:themeColor="text1"/>
                <w:sz w:val="24"/>
                <w:szCs w:val="24"/>
                <w:highlight w:val="none"/>
                <w:lang w:val="en-US" w:eastAsia="zh-CN"/>
                <w14:textFill>
                  <w14:solidFill>
                    <w14:schemeClr w14:val="tx1"/>
                  </w14:solidFill>
                </w14:textFill>
              </w:rPr>
              <w:t>评价要求</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为保证清洁运输，应合理规划路线及运输时间，错开高峰期，减轻车辆堵塞、怠速等尾气排放，</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本项目</w:t>
            </w:r>
            <w:r>
              <w:rPr>
                <w:rFonts w:hint="eastAsia" w:cs="Times New Roman"/>
                <w:b w:val="0"/>
                <w:bCs w:val="0"/>
                <w:color w:val="000000" w:themeColor="text1"/>
                <w:sz w:val="24"/>
                <w:szCs w:val="24"/>
                <w:highlight w:val="none"/>
                <w:lang w:val="en-US" w:eastAsia="zh-CN"/>
                <w14:textFill>
                  <w14:solidFill>
                    <w14:schemeClr w14:val="tx1"/>
                  </w14:solidFill>
                </w14:textFill>
              </w:rPr>
              <w:t>原料煤矸石</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最长运输距离</w:t>
            </w:r>
            <w:r>
              <w:rPr>
                <w:rFonts w:hint="eastAsia" w:cs="Times New Roman"/>
                <w:b w:val="0"/>
                <w:bCs w:val="0"/>
                <w:color w:val="000000" w:themeColor="text1"/>
                <w:sz w:val="24"/>
                <w:szCs w:val="24"/>
                <w:highlight w:val="none"/>
                <w:lang w:val="en-US" w:eastAsia="zh-CN"/>
                <w14:textFill>
                  <w14:solidFill>
                    <w14:schemeClr w14:val="tx1"/>
                  </w14:solidFill>
                </w14:textFill>
              </w:rPr>
              <w:t>约</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为</w:t>
            </w:r>
            <w:r>
              <w:rPr>
                <w:rFonts w:hint="eastAsia" w:cs="Times New Roman"/>
                <w:b w:val="0"/>
                <w:bCs w:val="0"/>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km，运输道路为</w:t>
            </w:r>
            <w:r>
              <w:rPr>
                <w:rFonts w:hint="eastAsia" w:cs="Times New Roman"/>
                <w:color w:val="000000" w:themeColor="text1"/>
                <w:sz w:val="24"/>
                <w:highlight w:val="none"/>
                <w:lang w:val="en-US" w:eastAsia="zh-CN"/>
                <w14:textFill>
                  <w14:solidFill>
                    <w14:schemeClr w14:val="tx1"/>
                  </w14:solidFill>
                </w14:textFill>
              </w:rPr>
              <w:t>厂区北侧、西侧等乡村道路运输</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，沿线村庄较少，运输车辆在路过村庄时应禁止鸣笛，限制车速等措施</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w:t>
            </w:r>
            <w:r>
              <w:rPr>
                <w:rFonts w:hint="eastAsia" w:hAnsi="宋体"/>
                <w:bCs/>
                <w:snapToGrid w:val="0"/>
                <w:color w:val="000000" w:themeColor="text1"/>
                <w:kern w:val="0"/>
                <w:sz w:val="24"/>
                <w:highlight w:val="none"/>
                <w14:textFill>
                  <w14:solidFill>
                    <w14:schemeClr w14:val="tx1"/>
                  </w14:solidFill>
                </w14:textFill>
              </w:rPr>
              <w:t>为本项目服务的所有运输车辆</w:t>
            </w:r>
            <w:r>
              <w:rPr>
                <w:rFonts w:hint="eastAsia" w:hAnsi="宋体"/>
                <w:bCs/>
                <w:snapToGrid w:val="0"/>
                <w:color w:val="000000" w:themeColor="text1"/>
                <w:kern w:val="0"/>
                <w:sz w:val="24"/>
                <w:highlight w:val="none"/>
                <w:lang w:val="en-US" w:eastAsia="zh-CN"/>
                <w14:textFill>
                  <w14:solidFill>
                    <w14:schemeClr w14:val="tx1"/>
                  </w14:solidFill>
                </w14:textFill>
              </w:rPr>
              <w:t>均</w:t>
            </w:r>
            <w:r>
              <w:rPr>
                <w:rFonts w:hint="eastAsia" w:hAnsi="宋体"/>
                <w:bCs/>
                <w:snapToGrid w:val="0"/>
                <w:color w:val="000000" w:themeColor="text1"/>
                <w:kern w:val="0"/>
                <w:sz w:val="24"/>
                <w:highlight w:val="none"/>
                <w14:textFill>
                  <w14:solidFill>
                    <w14:schemeClr w14:val="tx1"/>
                  </w14:solidFill>
                </w14:textFill>
              </w:rPr>
              <w:t>满足清洁运输的要求；厂区所有运输通道出入口按要求安装门禁系统，门禁视频监控数据连续保存6个月以上。</w:t>
            </w:r>
          </w:p>
          <w:p w14:paraId="349D4D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根据《非道路移动机械污染防治技术政策》，企业应</w:t>
            </w:r>
            <w:r>
              <w:rPr>
                <w:rFonts w:hint="eastAsia"/>
                <w:color w:val="000000" w:themeColor="text1"/>
                <w:sz w:val="24"/>
                <w:lang w:val="en-US" w:eastAsia="zh-CN"/>
                <w14:textFill>
                  <w14:solidFill>
                    <w14:schemeClr w14:val="tx1"/>
                  </w14:solidFill>
                </w14:textFill>
              </w:rPr>
              <w:t>：</w:t>
            </w:r>
            <w:r>
              <w:rPr>
                <w:rFonts w:hint="default"/>
                <w:color w:val="000000" w:themeColor="text1"/>
                <w:sz w:val="24"/>
                <w:lang w:val="en-US" w:eastAsia="zh-CN"/>
                <w14:textFill>
                  <w14:solidFill>
                    <w14:schemeClr w14:val="tx1"/>
                  </w14:solidFill>
                </w14:textFill>
              </w:rPr>
              <w:t>①建立非道路移动机械登记制度，并对其排放状况进行监督检查；②加强在用非道路移动机械的排放检测和维修，保证非道路移动机械及其污染控制装置处于正常技术状态，确保维修后的非道路移动机械排放稳定达标，同时妥善保存维修记录；③加强非道路移动机械的排放治理改造，保证非移动设备尾气达标排放；</w:t>
            </w:r>
            <w:r>
              <w:rPr>
                <w:rFonts w:hint="default"/>
                <w:color w:val="000000" w:themeColor="text1"/>
                <w:sz w:val="24"/>
                <w:highlight w:val="none"/>
                <w:lang w:val="en-US" w:eastAsia="zh-CN"/>
                <w14:textFill>
                  <w14:solidFill>
                    <w14:schemeClr w14:val="tx1"/>
                  </w14:solidFill>
                </w14:textFill>
              </w:rPr>
              <w:t>④全部使用国四及以上排放标准或新能源车辆，提升非道路移</w:t>
            </w:r>
            <w:r>
              <w:rPr>
                <w:rFonts w:hint="default"/>
                <w:color w:val="000000" w:themeColor="text1"/>
                <w:sz w:val="24"/>
                <w:lang w:val="en-US" w:eastAsia="zh-CN"/>
                <w14:textFill>
                  <w14:solidFill>
                    <w14:schemeClr w14:val="tx1"/>
                  </w14:solidFill>
                </w14:textFill>
              </w:rPr>
              <w:t>动机械燃料的清洁性，使用满足标准要求的燃油，鼓励使用清洁能源，并留存燃料购买台账，留存备查；⑤加强非道路移动机械的噪声控制。禁止任何单位或个人擅自拆除弃用非道路移动机械的消声、隔声和吸声装置，加强对噪声控制装置的维护保养。</w:t>
            </w:r>
          </w:p>
          <w:p w14:paraId="3156B0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综上所述，本项目对生产环节产生的</w:t>
            </w:r>
            <w:r>
              <w:rPr>
                <w:rFonts w:hint="eastAsia" w:cs="Times New Roman"/>
                <w:b w:val="0"/>
                <w:bCs/>
                <w:color w:val="000000" w:themeColor="text1"/>
                <w:sz w:val="24"/>
                <w:szCs w:val="24"/>
                <w:highlight w:val="none"/>
                <w:lang w:val="en-US" w:eastAsia="zh-CN"/>
                <w14:textFill>
                  <w14:solidFill>
                    <w14:schemeClr w14:val="tx1"/>
                  </w14:solidFill>
                </w14:textFill>
              </w:rPr>
              <w:t>有组织</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废气进行收集处理</w:t>
            </w:r>
            <w:r>
              <w:rPr>
                <w:rFonts w:hint="eastAsia" w:cs="Times New Roman"/>
                <w:b w:val="0"/>
                <w:bCs/>
                <w:color w:val="000000" w:themeColor="text1"/>
                <w:sz w:val="24"/>
                <w:szCs w:val="24"/>
                <w:highlight w:val="none"/>
                <w:lang w:val="en-US" w:eastAsia="zh-CN"/>
                <w14:textFill>
                  <w14:solidFill>
                    <w14:schemeClr w14:val="tx1"/>
                  </w14:solidFill>
                </w14:textFill>
              </w:rPr>
              <w:t>、对无组织废气</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采取</w:t>
            </w:r>
            <w:r>
              <w:rPr>
                <w:rFonts w:hint="eastAsia" w:cs="Times New Roman"/>
                <w:b w:val="0"/>
                <w:bCs/>
                <w:color w:val="000000" w:themeColor="text1"/>
                <w:sz w:val="24"/>
                <w:szCs w:val="24"/>
                <w:highlight w:val="none"/>
                <w:lang w:val="en-US" w:eastAsia="zh-CN"/>
                <w14:textFill>
                  <w14:solidFill>
                    <w14:schemeClr w14:val="tx1"/>
                  </w14:solidFill>
                </w14:textFill>
              </w:rPr>
              <w:t>以上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污染治理措施均为排污许可技术规范中可行技术，污染物均能实现达标排放，对区域大气环境的影响较小。</w:t>
            </w:r>
          </w:p>
          <w:p w14:paraId="7BE232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eastAsia" w:ascii="Times New Roman" w:hAnsi="Times New Roman" w:eastAsia="宋体" w:cs="Times New Roman"/>
                <w:b/>
                <w:color w:val="000000" w:themeColor="text1"/>
                <w:sz w:val="24"/>
                <w:szCs w:val="24"/>
                <w:highlight w:val="none"/>
                <w:lang w:eastAsia="zh-CN"/>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4.6</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废水</w:t>
            </w:r>
          </w:p>
          <w:p w14:paraId="327EE0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4.6.1</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水环境污染源计算</w:t>
            </w:r>
          </w:p>
          <w:p w14:paraId="3D9479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（1）生活污水</w:t>
            </w:r>
          </w:p>
          <w:p w14:paraId="3F3E4FDB">
            <w:pPr>
              <w:pStyle w:val="2"/>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eastAsia" w:hAnsi="宋体"/>
                <w:color w:val="000000" w:themeColor="text1"/>
                <w:kern w:val="0"/>
                <w:sz w:val="24"/>
                <w14:textFill>
                  <w14:solidFill>
                    <w14:schemeClr w14:val="tx1"/>
                  </w14:solidFill>
                </w14:textFill>
              </w:rPr>
              <w:t>本项目</w:t>
            </w:r>
            <w:r>
              <w:rPr>
                <w:rFonts w:hint="eastAsia" w:hAnsi="宋体"/>
                <w:color w:val="000000" w:themeColor="text1"/>
                <w:kern w:val="0"/>
                <w:sz w:val="24"/>
                <w:lang w:val="en-US" w:eastAsia="zh-CN"/>
                <w14:textFill>
                  <w14:solidFill>
                    <w14:schemeClr w14:val="tx1"/>
                  </w14:solidFill>
                </w14:textFill>
              </w:rPr>
              <w:t>劳动定员30人，</w:t>
            </w:r>
            <w:r>
              <w:rPr>
                <w:rFonts w:hint="default" w:ascii="Times New Roman" w:hAnsi="Times New Roman" w:cs="Times New Roman"/>
                <w:bCs/>
                <w:color w:val="000000" w:themeColor="text1"/>
                <w:sz w:val="24"/>
                <w:szCs w:val="24"/>
                <w14:textFill>
                  <w14:solidFill>
                    <w14:schemeClr w14:val="tx1"/>
                  </w14:solidFill>
                </w14:textFill>
              </w:rPr>
              <w:t>职工生活</w:t>
            </w:r>
            <w:r>
              <w:rPr>
                <w:rFonts w:hint="default" w:ascii="Times New Roman" w:hAnsi="Times New Roman" w:cs="Times New Roman"/>
                <w:color w:val="000000" w:themeColor="text1"/>
                <w:sz w:val="24"/>
                <w:szCs w:val="24"/>
                <w14:textFill>
                  <w14:solidFill>
                    <w14:schemeClr w14:val="tx1"/>
                  </w14:solidFill>
                </w14:textFill>
              </w:rPr>
              <w:t>用水量为</w:t>
            </w:r>
            <w:r>
              <w:rPr>
                <w:rFonts w:hint="eastAsia" w:ascii="Times New Roman" w:hAnsi="Times New Roman" w:cs="Times New Roman"/>
                <w:color w:val="000000" w:themeColor="text1"/>
                <w:sz w:val="24"/>
                <w:szCs w:val="24"/>
                <w:lang w:val="en-US" w:eastAsia="zh-CN"/>
                <w14:textFill>
                  <w14:solidFill>
                    <w14:schemeClr w14:val="tx1"/>
                  </w14:solidFill>
                </w14:textFill>
              </w:rPr>
              <w:t>2.4</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生活污水排放量按照用水量的80%计，则生活污水排放量为</w:t>
            </w:r>
            <w:r>
              <w:rPr>
                <w:rFonts w:hint="eastAsia" w:ascii="Times New Roman" w:hAnsi="Times New Roman" w:cs="Times New Roman"/>
                <w:color w:val="000000" w:themeColor="text1"/>
                <w:sz w:val="24"/>
                <w:szCs w:val="24"/>
                <w:lang w:val="en-US" w:eastAsia="zh-CN"/>
                <w14:textFill>
                  <w14:solidFill>
                    <w14:schemeClr w14:val="tx1"/>
                  </w14:solidFill>
                </w14:textFill>
              </w:rPr>
              <w:t>1.92</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w:t>
            </w:r>
            <w:r>
              <w:rPr>
                <w:rFonts w:hint="eastAsia" w:cs="Times New Roman"/>
                <w:color w:val="000000" w:themeColor="text1"/>
                <w:sz w:val="24"/>
                <w:szCs w:val="24"/>
                <w:lang w:val="en-US" w:eastAsia="zh-CN"/>
                <w14:textFill>
                  <w14:solidFill>
                    <w14:schemeClr w14:val="tx1"/>
                  </w14:solidFill>
                </w14:textFill>
              </w:rPr>
              <w:t>633.6</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/a），</w:t>
            </w:r>
            <w:r>
              <w:rPr>
                <w:rFonts w:hint="eastAsia" w:cs="Times New Roman"/>
                <w:color w:val="000000" w:themeColor="text1"/>
                <w:sz w:val="24"/>
                <w:szCs w:val="24"/>
                <w:lang w:val="en-US" w:eastAsia="zh-CN"/>
                <w14:textFill>
                  <w14:solidFill>
                    <w14:schemeClr w14:val="tx1"/>
                  </w14:solidFill>
                </w14:textFill>
              </w:rPr>
              <w:t>排入旱厕，定时清掏，不外排。</w:t>
            </w:r>
          </w:p>
          <w:p w14:paraId="0F0E4F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洗车</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废水</w:t>
            </w:r>
          </w:p>
          <w:p w14:paraId="5757FBA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000000" w:themeColor="text1"/>
                <w:sz w:val="24"/>
                <w:lang w:val="en-US" w:eastAsia="zh-CN"/>
                <w14:textFill>
                  <w14:solidFill>
                    <w14:schemeClr w14:val="tx1"/>
                  </w14:solidFill>
                </w14:textFill>
              </w:rPr>
            </w:pPr>
            <w:r>
              <w:rPr>
                <w:rFonts w:hint="eastAsia" w:cs="Times New Roman"/>
                <w:b w:val="0"/>
                <w:bCs/>
                <w:color w:val="000000" w:themeColor="text1"/>
                <w:sz w:val="24"/>
                <w:lang w:val="en-US" w:eastAsia="zh-CN"/>
                <w14:textFill>
                  <w14:solidFill>
                    <w14:schemeClr w14:val="tx1"/>
                  </w14:solidFill>
                </w14:textFill>
              </w:rPr>
              <w:t>依托厂区出入口处的现有洗车平台，洗车废水经沉淀池沉淀后循环利用，不外排。</w:t>
            </w:r>
          </w:p>
          <w:p w14:paraId="6DF97A4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000000" w:themeColor="text1"/>
                <w:sz w:val="24"/>
                <w:lang w:val="en-US"/>
                <w14:textFill>
                  <w14:solidFill>
                    <w14:schemeClr w14:val="tx1"/>
                  </w14:solidFill>
                </w14:textFill>
              </w:rPr>
            </w:pPr>
            <w:r>
              <w:rPr>
                <w:rFonts w:hint="eastAsia" w:cs="Times New Roman"/>
                <w:b w:val="0"/>
                <w:bCs/>
                <w:color w:val="000000" w:themeColor="text1"/>
                <w:sz w:val="24"/>
                <w:lang w:val="en-US" w:eastAsia="zh-CN"/>
                <w14:textFill>
                  <w14:solidFill>
                    <w14:schemeClr w14:val="tx1"/>
                  </w14:solidFill>
                </w14:textFill>
              </w:rPr>
              <w:t>出入口位于</w:t>
            </w:r>
            <w:r>
              <w:rPr>
                <w:rFonts w:hint="default" w:ascii="Times New Roman" w:hAnsi="Times New Roman" w:cs="Times New Roman"/>
                <w:b w:val="0"/>
                <w:bCs/>
                <w:color w:val="000000" w:themeColor="text1"/>
                <w:sz w:val="24"/>
                <w:lang w:val="zh-CN"/>
                <w14:textFill>
                  <w14:solidFill>
                    <w14:schemeClr w14:val="tx1"/>
                  </w14:solidFill>
                </w14:textFill>
              </w:rPr>
              <w:t>厂区</w:t>
            </w:r>
            <w:r>
              <w:rPr>
                <w:rFonts w:hint="eastAsia" w:cs="Times New Roman"/>
                <w:b w:val="0"/>
                <w:bCs/>
                <w:color w:val="000000" w:themeColor="text1"/>
                <w:sz w:val="24"/>
                <w:lang w:val="en-US" w:eastAsia="zh-CN"/>
                <w14:textFill>
                  <w14:solidFill>
                    <w14:schemeClr w14:val="tx1"/>
                  </w14:solidFill>
                </w14:textFill>
              </w:rPr>
              <w:t>西侧，现有</w:t>
            </w:r>
            <w:r>
              <w:rPr>
                <w:rFonts w:hint="default" w:ascii="Times New Roman" w:hAnsi="Times New Roman" w:cs="Times New Roman"/>
                <w:b w:val="0"/>
                <w:bCs/>
                <w:color w:val="000000" w:themeColor="text1"/>
                <w:sz w:val="24"/>
                <w:lang w:val="zh-CN"/>
                <w14:textFill>
                  <w14:solidFill>
                    <w14:schemeClr w14:val="tx1"/>
                  </w14:solidFill>
                </w14:textFill>
              </w:rPr>
              <w:t>全自动洗车通道一套，总长20米</w:t>
            </w:r>
            <w:r>
              <w:rPr>
                <w:rFonts w:hint="eastAsia" w:cs="Times New Roman"/>
                <w:b w:val="0"/>
                <w:bCs/>
                <w:color w:val="000000" w:themeColor="text1"/>
                <w:sz w:val="24"/>
                <w:lang w:val="zh-CN"/>
                <w14:textFill>
                  <w14:solidFill>
                    <w14:schemeClr w14:val="tx1"/>
                  </w14:solidFill>
                </w14:textFill>
              </w:rPr>
              <w:t>、</w:t>
            </w:r>
            <w:r>
              <w:rPr>
                <w:rFonts w:hint="eastAsia" w:cs="Times New Roman"/>
                <w:b w:val="0"/>
                <w:bCs/>
                <w:color w:val="000000" w:themeColor="text1"/>
                <w:sz w:val="24"/>
                <w:lang w:val="en-US" w:eastAsia="zh-CN"/>
                <w14:textFill>
                  <w14:solidFill>
                    <w14:schemeClr w14:val="tx1"/>
                  </w14:solidFill>
                </w14:textFill>
              </w:rPr>
              <w:t>宽3m</w:t>
            </w:r>
            <w:r>
              <w:rPr>
                <w:rFonts w:hint="default" w:ascii="Times New Roman" w:hAnsi="Times New Roman" w:cs="Times New Roman"/>
                <w:b w:val="0"/>
                <w:bCs/>
                <w:color w:val="000000" w:themeColor="text1"/>
                <w:sz w:val="24"/>
                <w:lang w:val="zh-CN"/>
                <w14:textFill>
                  <w14:solidFill>
                    <w14:schemeClr w14:val="tx1"/>
                  </w14:solidFill>
                </w14:textFill>
              </w:rPr>
              <w:t>，包括所需龙门架钢构、水泵、管路、喷头及控制系统等。洗车方式：通过式洗车，无人值守，车辆通过时全自动运行，通道包括：高压冲洗区域、风干区、抖车区。清洗车辆驶入既定位置清洗（时间可调），清洗完毕原地控水后通过风干区域，即可完成冲洗。</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并配套设置1座容积为20m</w:t>
            </w:r>
            <w:r>
              <w:rPr>
                <w:rFonts w:hint="eastAsia" w:ascii="Times New Roman" w:hAnsi="Times New Roman" w:eastAsia="宋体" w:cs="Times New Roman"/>
                <w:b w:val="0"/>
                <w:bCs/>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的洗车废水沉淀池（10m</w:t>
            </w:r>
            <w:r>
              <w:rPr>
                <w:rFonts w:hint="eastAsia" w:ascii="Times New Roman" w:hAnsi="Times New Roman" w:eastAsia="宋体" w:cs="Times New Roman"/>
                <w:b w:val="0"/>
                <w:bCs/>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收集池+5m</w:t>
            </w:r>
            <w:r>
              <w:rPr>
                <w:rFonts w:hint="eastAsia" w:ascii="Times New Roman" w:hAnsi="Times New Roman" w:eastAsia="宋体" w:cs="Times New Roman"/>
                <w:b w:val="0"/>
                <w:bCs/>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沉淀池+5m</w:t>
            </w:r>
            <w:r>
              <w:rPr>
                <w:rFonts w:hint="eastAsia" w:ascii="Times New Roman" w:hAnsi="Times New Roman" w:eastAsia="宋体" w:cs="Times New Roman"/>
                <w:b w:val="0"/>
                <w:bCs/>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清水池），水池之间有溢流口相连。洗车台前设有抖车台并配套建设有站房设置吹干装置（冬季采用热风，热源为电加热）保证冰冻季节正常使用。</w:t>
            </w:r>
          </w:p>
          <w:p w14:paraId="1679F7C5">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96" w:firstLineChars="200"/>
              <w:jc w:val="left"/>
              <w:textAlignment w:val="auto"/>
              <w:rPr>
                <w:rFonts w:hint="eastAsia" w:ascii="Times New Roman" w:hAnsi="Times New Roman" w:cs="Times New Roman"/>
                <w:b w:val="0"/>
                <w:bCs w:val="0"/>
                <w:color w:val="000000" w:themeColor="text1"/>
                <w:spacing w:val="4"/>
                <w:sz w:val="24"/>
                <w:szCs w:val="24"/>
                <w:highlight w:val="none"/>
                <w:lang w:val="en-US" w:eastAsia="zh-CN"/>
                <w14:textFill>
                  <w14:solidFill>
                    <w14:schemeClr w14:val="tx1"/>
                  </w14:solidFill>
                </w14:textFill>
              </w:rPr>
            </w:pPr>
            <w:r>
              <w:rPr>
                <w:rFonts w:hint="eastAsia" w:cs="Times New Roman"/>
                <w:b w:val="0"/>
                <w:bCs w:val="0"/>
                <w:color w:val="000000" w:themeColor="text1"/>
                <w:spacing w:val="4"/>
                <w:sz w:val="24"/>
                <w:szCs w:val="24"/>
                <w:highlight w:val="none"/>
                <w:lang w:val="en-US" w:eastAsia="zh-CN"/>
                <w14:textFill>
                  <w14:solidFill>
                    <w14:schemeClr w14:val="tx1"/>
                  </w14:solidFill>
                </w14:textFill>
              </w:rPr>
              <w:t>（3）</w:t>
            </w:r>
            <w:r>
              <w:rPr>
                <w:rFonts w:hint="default" w:ascii="Times New Roman" w:hAnsi="Times New Roman" w:cs="Times New Roman"/>
                <w:b w:val="0"/>
                <w:bCs w:val="0"/>
                <w:color w:val="000000" w:themeColor="text1"/>
                <w:spacing w:val="4"/>
                <w:sz w:val="24"/>
                <w:szCs w:val="24"/>
                <w:highlight w:val="none"/>
                <w14:textFill>
                  <w14:solidFill>
                    <w14:schemeClr w14:val="tx1"/>
                  </w14:solidFill>
                </w14:textFill>
              </w:rPr>
              <w:t>初期雨水</w:t>
            </w:r>
            <w:r>
              <w:rPr>
                <w:rFonts w:hint="eastAsia" w:ascii="Times New Roman" w:hAnsi="Times New Roman" w:cs="Times New Roman"/>
                <w:b w:val="0"/>
                <w:bCs w:val="0"/>
                <w:color w:val="000000" w:themeColor="text1"/>
                <w:spacing w:val="4"/>
                <w:sz w:val="24"/>
                <w:szCs w:val="24"/>
                <w:highlight w:val="none"/>
                <w:lang w:val="en-US" w:eastAsia="zh-CN"/>
                <w14:textFill>
                  <w14:solidFill>
                    <w14:schemeClr w14:val="tx1"/>
                  </w14:solidFill>
                </w14:textFill>
              </w:rPr>
              <w:t>池</w:t>
            </w:r>
          </w:p>
          <w:p w14:paraId="14DCA005">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本项目现有厂区南侧设有1座380m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初期雨水收集池，</w:t>
            </w:r>
            <w:r>
              <w:rPr>
                <w:rFonts w:hint="eastAsia"/>
                <w:color w:val="000000" w:themeColor="text1"/>
                <w:sz w:val="24"/>
                <w:lang w:val="en-US" w:eastAsia="zh-CN"/>
                <w14:textFill>
                  <w14:solidFill>
                    <w14:schemeClr w14:val="tx1"/>
                  </w14:solidFill>
                </w14:textFill>
              </w:rPr>
              <w:t>根据现场踏勘，南侧地势较低，雨水收集池</w:t>
            </w:r>
            <w:r>
              <w:rPr>
                <w:rFonts w:hint="default"/>
                <w:color w:val="000000" w:themeColor="text1"/>
                <w:sz w:val="24"/>
                <w14:textFill>
                  <w14:solidFill>
                    <w14:schemeClr w14:val="tx1"/>
                  </w14:solidFill>
                </w14:textFill>
              </w:rPr>
              <w:t>四周设置围栏</w:t>
            </w:r>
            <w:r>
              <w:rPr>
                <w:rFonts w:hint="eastAsia"/>
                <w:color w:val="000000" w:themeColor="text1"/>
                <w:sz w:val="24"/>
                <w:lang w:val="en-US" w:eastAsia="zh-CN"/>
                <w14:textFill>
                  <w14:solidFill>
                    <w14:schemeClr w14:val="tx1"/>
                  </w14:solidFill>
                </w14:textFill>
              </w:rPr>
              <w:t>并</w:t>
            </w:r>
            <w:r>
              <w:rPr>
                <w:rFonts w:hint="default"/>
                <w:color w:val="000000" w:themeColor="text1"/>
                <w:sz w:val="24"/>
                <w14:textFill>
                  <w14:solidFill>
                    <w14:schemeClr w14:val="tx1"/>
                  </w14:solidFill>
                </w14:textFill>
              </w:rPr>
              <w:t>有专门的收集渠道</w:t>
            </w:r>
            <w:r>
              <w:rPr>
                <w:rFonts w:hint="eastAsia"/>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池底部及内壁</w:t>
            </w:r>
            <w:r>
              <w:rPr>
                <w:rFonts w:hint="eastAsia"/>
                <w:bCs/>
                <w:color w:val="000000" w:themeColor="text1"/>
                <w:sz w:val="24"/>
                <w:lang w:val="en-US" w:eastAsia="zh-CN"/>
                <w14:textFill>
                  <w14:solidFill>
                    <w14:schemeClr w14:val="tx1"/>
                  </w14:solidFill>
                </w14:textFill>
              </w:rPr>
              <w:t>均</w:t>
            </w:r>
            <w:r>
              <w:rPr>
                <w:rFonts w:hint="eastAsia"/>
                <w:bCs/>
                <w:color w:val="000000" w:themeColor="text1"/>
                <w:sz w:val="24"/>
                <w14:textFill>
                  <w14:solidFill>
                    <w14:schemeClr w14:val="tx1"/>
                  </w14:solidFill>
                </w14:textFill>
              </w:rPr>
              <w:t>采取防渗措施</w:t>
            </w:r>
            <w:r>
              <w:rPr>
                <w:rFonts w:hint="eastAsia"/>
                <w:bCs/>
                <w:color w:val="000000" w:themeColor="text1"/>
                <w:sz w:val="24"/>
                <w:lang w:eastAsia="zh-CN"/>
                <w14:textFill>
                  <w14:solidFill>
                    <w14:schemeClr w14:val="tx1"/>
                  </w14:solidFill>
                </w14:textFill>
              </w:rPr>
              <w:t>，</w:t>
            </w:r>
            <w:r>
              <w:rPr>
                <w:rFonts w:hint="default"/>
                <w:color w:val="000000" w:themeColor="text1"/>
                <w:sz w:val="24"/>
                <w14:textFill>
                  <w14:solidFill>
                    <w14:schemeClr w14:val="tx1"/>
                  </w14:solidFill>
                </w14:textFill>
              </w:rPr>
              <w:t>在降雨过程中，为了避免初期雨水与后期雨水混合，收集15min的初期降雨后，利用地势特点沿</w:t>
            </w:r>
            <w:r>
              <w:rPr>
                <w:rFonts w:hint="eastAsia"/>
                <w:color w:val="000000" w:themeColor="text1"/>
                <w:sz w:val="24"/>
                <w14:textFill>
                  <w14:solidFill>
                    <w14:schemeClr w14:val="tx1"/>
                  </w14:solidFill>
                </w14:textFill>
              </w:rPr>
              <w:t>建筑物</w:t>
            </w:r>
            <w:r>
              <w:rPr>
                <w:rFonts w:hint="default"/>
                <w:color w:val="000000" w:themeColor="text1"/>
                <w:sz w:val="24"/>
                <w14:textFill>
                  <w14:solidFill>
                    <w14:schemeClr w14:val="tx1"/>
                  </w14:solidFill>
                </w14:textFill>
              </w:rPr>
              <w:t>外围布置</w:t>
            </w:r>
            <w:r>
              <w:rPr>
                <w:rFonts w:hint="eastAsia"/>
                <w:color w:val="000000" w:themeColor="text1"/>
                <w:sz w:val="24"/>
                <w:lang w:eastAsia="zh-CN"/>
                <w14:textFill>
                  <w14:solidFill>
                    <w14:schemeClr w14:val="tx1"/>
                  </w14:solidFill>
                </w14:textFill>
              </w:rPr>
              <w:t>了</w:t>
            </w:r>
            <w:r>
              <w:rPr>
                <w:rFonts w:hint="default"/>
                <w:color w:val="000000" w:themeColor="text1"/>
                <w:sz w:val="24"/>
                <w14:textFill>
                  <w14:solidFill>
                    <w14:schemeClr w14:val="tx1"/>
                  </w14:solidFill>
                </w14:textFill>
              </w:rPr>
              <w:t>雨水收集渠，将初期雨水收集进入收集池</w:t>
            </w:r>
            <w:r>
              <w:rPr>
                <w:rFonts w:hint="eastAsia"/>
                <w:color w:val="000000" w:themeColor="text1"/>
                <w:sz w:val="24"/>
                <w:lang w:val="en-US" w:eastAsia="zh-CN"/>
                <w14:textFill>
                  <w14:solidFill>
                    <w14:schemeClr w14:val="tx1"/>
                  </w14:solidFill>
                </w14:textFill>
              </w:rPr>
              <w:t>内</w:t>
            </w:r>
            <w:r>
              <w:rPr>
                <w:rFonts w:hint="default"/>
                <w:color w:val="000000" w:themeColor="text1"/>
                <w:sz w:val="24"/>
                <w14:textFill>
                  <w14:solidFill>
                    <w14:schemeClr w14:val="tx1"/>
                  </w14:solidFill>
                </w14:textFill>
              </w:rPr>
              <w:t>，通过切换闸阀将后期雨水引流出厂区。</w:t>
            </w:r>
          </w:p>
          <w:p w14:paraId="0527A1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初期雨水参照2021年7月19日发布的《长治市城区暴雨强度公式修编规划》中的长治市暴雨强度公式计算：</w:t>
            </w:r>
          </w:p>
          <w:p w14:paraId="459D98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i/>
                <w:iCs/>
                <w:color w:val="000000" w:themeColor="text1"/>
                <w:sz w:val="24"/>
                <w14:textFill>
                  <w14:solidFill>
                    <w14:schemeClr w14:val="tx1"/>
                  </w14:solidFill>
                </w14:textFill>
              </w:rPr>
            </w:pPr>
            <w:r>
              <w:rPr>
                <w:rFonts w:hint="default"/>
                <w:i/>
                <w:iCs/>
                <w:color w:val="000000" w:themeColor="text1"/>
                <w:sz w:val="24"/>
                <w14:textFill>
                  <w14:solidFill>
                    <w14:schemeClr w14:val="tx1"/>
                  </w14:solidFill>
                </w14:textFill>
              </w:rPr>
              <w:t>q=3450.721(1+0.873lgP)/(t+21.176)</w:t>
            </w:r>
            <w:r>
              <w:rPr>
                <w:rFonts w:hint="default"/>
                <w:i/>
                <w:iCs/>
                <w:color w:val="000000" w:themeColor="text1"/>
                <w:sz w:val="24"/>
                <w:vertAlign w:val="superscript"/>
                <w14:textFill>
                  <w14:solidFill>
                    <w14:schemeClr w14:val="tx1"/>
                  </w14:solidFill>
                </w14:textFill>
              </w:rPr>
              <w:t>0.847</w:t>
            </w:r>
          </w:p>
          <w:p w14:paraId="1B7864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其中：q——暴雨强度</w:t>
            </w:r>
            <w:r>
              <w:rPr>
                <w:rFonts w:hint="eastAsia"/>
                <w:color w:val="000000" w:themeColor="text1"/>
                <w:sz w:val="24"/>
                <w:lang w:eastAsia="zh-CN"/>
                <w14:textFill>
                  <w14:solidFill>
                    <w14:schemeClr w14:val="tx1"/>
                  </w14:solidFill>
                </w14:textFill>
              </w:rPr>
              <w:t>（</w:t>
            </w:r>
            <w:r>
              <w:rPr>
                <w:rFonts w:hint="default"/>
                <w:color w:val="000000" w:themeColor="text1"/>
                <w:sz w:val="24"/>
                <w14:textFill>
                  <w14:solidFill>
                    <w14:schemeClr w14:val="tx1"/>
                  </w14:solidFill>
                </w14:textFill>
              </w:rPr>
              <w:t>升/秒•公顷</w:t>
            </w:r>
            <w:r>
              <w:rPr>
                <w:rFonts w:hint="eastAsia"/>
                <w:color w:val="000000" w:themeColor="text1"/>
                <w:sz w:val="24"/>
                <w:lang w:eastAsia="zh-CN"/>
                <w14:textFill>
                  <w14:solidFill>
                    <w14:schemeClr w14:val="tx1"/>
                  </w14:solidFill>
                </w14:textFill>
              </w:rPr>
              <w:t>）</w:t>
            </w:r>
            <w:r>
              <w:rPr>
                <w:rFonts w:hint="default"/>
                <w:color w:val="000000" w:themeColor="text1"/>
                <w:sz w:val="24"/>
                <w14:textFill>
                  <w14:solidFill>
                    <w14:schemeClr w14:val="tx1"/>
                  </w14:solidFill>
                </w14:textFill>
              </w:rPr>
              <w:t>；</w:t>
            </w:r>
          </w:p>
          <w:p w14:paraId="37CBD1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1200" w:firstLineChars="500"/>
              <w:textAlignment w:val="auto"/>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P——暴雨重现期，取一年；</w:t>
            </w:r>
          </w:p>
          <w:p w14:paraId="11FFEE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1200" w:firstLineChars="500"/>
              <w:textAlignment w:val="auto"/>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t——降雨历时，取15min；</w:t>
            </w:r>
          </w:p>
          <w:p w14:paraId="00496A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计算结果q=165.17升/秒•公顷</w:t>
            </w:r>
          </w:p>
          <w:p w14:paraId="355E67E9">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jc w:val="center"/>
              <w:textAlignment w:val="auto"/>
              <w:rPr>
                <w:rFonts w:hint="default"/>
                <w:color w:val="000000" w:themeColor="text1"/>
                <w:sz w:val="24"/>
                <w14:textFill>
                  <w14:solidFill>
                    <w14:schemeClr w14:val="tx1"/>
                  </w14:solidFill>
                </w14:textFill>
              </w:rPr>
            </w:pPr>
            <w:r>
              <w:rPr>
                <w:rFonts w:hint="default"/>
                <w:i/>
                <w:iCs/>
                <w:color w:val="000000" w:themeColor="text1"/>
                <w:sz w:val="24"/>
                <w14:textFill>
                  <w14:solidFill>
                    <w14:schemeClr w14:val="tx1"/>
                  </w14:solidFill>
                </w14:textFill>
              </w:rPr>
              <w:t>Q=qFψT</w:t>
            </w:r>
          </w:p>
          <w:p w14:paraId="53B5BB18">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80" w:lineRule="exact"/>
              <w:ind w:left="0" w:right="0" w:firstLine="480" w:firstLineChars="200"/>
              <w:textAlignment w:val="auto"/>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其中：Q——雨水排放量</w:t>
            </w:r>
          </w:p>
          <w:p w14:paraId="63B9D10A">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80" w:lineRule="exact"/>
              <w:ind w:left="0" w:right="0" w:firstLine="1200" w:firstLineChars="500"/>
              <w:textAlignment w:val="auto"/>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F——汇水面积(公顷)，汇水面积</w:t>
            </w:r>
            <w:r>
              <w:rPr>
                <w:rFonts w:hint="eastAsia"/>
                <w:color w:val="000000" w:themeColor="text1"/>
                <w:sz w:val="24"/>
                <w:lang w:val="en-US" w:eastAsia="zh-CN"/>
                <w14:textFill>
                  <w14:solidFill>
                    <w14:schemeClr w14:val="tx1"/>
                  </w14:solidFill>
                </w14:textFill>
              </w:rPr>
              <w:t>3.0775</w:t>
            </w:r>
            <w:r>
              <w:rPr>
                <w:rFonts w:hint="default"/>
                <w:color w:val="000000" w:themeColor="text1"/>
                <w:sz w:val="24"/>
                <w14:textFill>
                  <w14:solidFill>
                    <w14:schemeClr w14:val="tx1"/>
                  </w14:solidFill>
                </w14:textFill>
              </w:rPr>
              <w:t>公顷（全厂总占地面积）</w:t>
            </w:r>
          </w:p>
          <w:p w14:paraId="16FADF41">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80" w:lineRule="exact"/>
              <w:ind w:left="0" w:right="0" w:firstLine="1200" w:firstLineChars="500"/>
              <w:textAlignment w:val="auto"/>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Ψ——为径流系数（水泥硬化地面取0.</w:t>
            </w:r>
            <w:r>
              <w:rPr>
                <w:rFonts w:hint="eastAsia"/>
                <w:color w:val="000000" w:themeColor="text1"/>
                <w:sz w:val="24"/>
                <w:lang w:val="en-US" w:eastAsia="zh-CN"/>
                <w14:textFill>
                  <w14:solidFill>
                    <w14:schemeClr w14:val="tx1"/>
                  </w14:solidFill>
                </w14:textFill>
              </w:rPr>
              <w:t>8</w:t>
            </w:r>
            <w:r>
              <w:rPr>
                <w:rFonts w:hint="default"/>
                <w:color w:val="000000" w:themeColor="text1"/>
                <w:sz w:val="24"/>
                <w14:textFill>
                  <w14:solidFill>
                    <w14:schemeClr w14:val="tx1"/>
                  </w14:solidFill>
                </w14:textFill>
              </w:rPr>
              <w:t>）</w:t>
            </w:r>
          </w:p>
          <w:p w14:paraId="47BFCFED">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80" w:lineRule="exact"/>
              <w:ind w:left="0" w:right="0" w:firstLine="1200" w:firstLineChars="500"/>
              <w:textAlignment w:val="auto"/>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T——为收水时间，取15min。</w:t>
            </w:r>
          </w:p>
          <w:p w14:paraId="6A2B0F39">
            <w:pPr>
              <w:pStyle w:val="101"/>
              <w:keepNext w:val="0"/>
              <w:keepLines w:val="0"/>
              <w:pageBreakBefore w:val="0"/>
              <w:widowControl w:val="0"/>
              <w:suppressLineNumbers w:val="0"/>
              <w:kinsoku/>
              <w:wordWrap/>
              <w:overflowPunct/>
              <w:topLinePunct w:val="0"/>
              <w:autoSpaceDE/>
              <w:autoSpaceDN/>
              <w:bidi w:val="0"/>
              <w:snapToGrid/>
              <w:spacing w:before="0" w:beforeAutospacing="0" w:after="0" w:afterAutospacing="0" w:line="480" w:lineRule="exact"/>
              <w:rPr>
                <w:rFonts w:hint="default"/>
                <w:color w:val="000000" w:themeColor="text1"/>
                <w:sz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经计算，前15分钟的雨量为</w:t>
            </w:r>
            <w:r>
              <w:rPr>
                <w:rFonts w:hint="eastAsia" w:eastAsia="宋体" w:cs="Times New Roman"/>
                <w:color w:val="000000" w:themeColor="text1"/>
                <w:kern w:val="2"/>
                <w:sz w:val="24"/>
                <w:szCs w:val="24"/>
                <w:lang w:val="en-US" w:eastAsia="zh-CN" w:bidi="ar-SA"/>
                <w14:textFill>
                  <w14:solidFill>
                    <w14:schemeClr w14:val="tx1"/>
                  </w14:solidFill>
                </w14:textFill>
              </w:rPr>
              <w:t>366</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eastAsia"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eastAsia="宋体" w:cs="Times New Roman"/>
                <w:color w:val="000000" w:themeColor="text1"/>
                <w:kern w:val="2"/>
                <w:sz w:val="24"/>
                <w:szCs w:val="24"/>
                <w:lang w:val="en-US" w:eastAsia="zh-CN" w:bidi="ar-SA"/>
                <w14:textFill>
                  <w14:solidFill>
                    <w14:schemeClr w14:val="tx1"/>
                  </w14:solidFill>
                </w14:textFill>
              </w:rPr>
              <w:t>因此厂区内现有</w:t>
            </w:r>
            <w:r>
              <w:rPr>
                <w:rFonts w:hint="eastAsia"/>
                <w:color w:val="000000" w:themeColor="text1"/>
                <w:sz w:val="24"/>
                <w:highlight w:val="none"/>
                <w:lang w:val="en-US" w:eastAsia="zh-CN"/>
                <w14:textFill>
                  <w14:solidFill>
                    <w14:schemeClr w14:val="tx1"/>
                  </w14:solidFill>
                </w14:textFill>
              </w:rPr>
              <w:t>1座380m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初期雨水收集池可以满足要求。</w:t>
            </w:r>
            <w:r>
              <w:rPr>
                <w:rFonts w:hint="eastAsia"/>
                <w:color w:val="000000" w:themeColor="text1"/>
                <w:sz w:val="24"/>
                <w:lang w:val="en-US" w:eastAsia="zh-CN"/>
                <w14:textFill>
                  <w14:solidFill>
                    <w14:schemeClr w14:val="tx1"/>
                  </w14:solidFill>
                </w14:textFill>
              </w:rPr>
              <w:t>本项目为现有厂区内建设，因此本工程改建后可依托现有初期雨水收集池收集雨水，</w:t>
            </w:r>
            <w:r>
              <w:rPr>
                <w:rFonts w:hint="default"/>
                <w:color w:val="000000" w:themeColor="text1"/>
                <w:sz w:val="24"/>
                <w14:textFill>
                  <w14:solidFill>
                    <w14:schemeClr w14:val="tx1"/>
                  </w14:solidFill>
                </w14:textFill>
              </w:rPr>
              <w:t>初期雨水</w:t>
            </w:r>
            <w:r>
              <w:rPr>
                <w:rFonts w:hint="eastAsia"/>
                <w:color w:val="000000" w:themeColor="text1"/>
                <w:sz w:val="24"/>
                <w:lang w:val="en-US" w:eastAsia="zh-CN"/>
                <w14:textFill>
                  <w14:solidFill>
                    <w14:schemeClr w14:val="tx1"/>
                  </w14:solidFill>
                </w14:textFill>
              </w:rPr>
              <w:t>经收集后</w:t>
            </w:r>
            <w:r>
              <w:rPr>
                <w:rFonts w:hint="default"/>
                <w:color w:val="000000" w:themeColor="text1"/>
                <w:sz w:val="24"/>
                <w14:textFill>
                  <w14:solidFill>
                    <w14:schemeClr w14:val="tx1"/>
                  </w14:solidFill>
                </w14:textFill>
              </w:rPr>
              <w:t>沉淀后回用于厂区洒水抑尘，不外排。</w:t>
            </w:r>
          </w:p>
          <w:p w14:paraId="25907700">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2" w:firstLineChars="200"/>
              <w:jc w:val="left"/>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废水不外排的保证性分析：</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本项目产生的废水主要包括</w:t>
            </w:r>
            <w:r>
              <w:rPr>
                <w:rFonts w:hint="eastAsia" w:cs="Times New Roman"/>
                <w:b w:val="0"/>
                <w:bCs w:val="0"/>
                <w:color w:val="000000" w:themeColor="text1"/>
                <w:sz w:val="24"/>
                <w:szCs w:val="24"/>
                <w:lang w:val="en-US" w:eastAsia="zh-CN"/>
                <w14:textFill>
                  <w14:solidFill>
                    <w14:schemeClr w14:val="tx1"/>
                  </w14:solidFill>
                </w14:textFill>
              </w:rPr>
              <w:t>员工办公生活污水、</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洗车平台废水、初期雨水。</w:t>
            </w:r>
            <w:r>
              <w:rPr>
                <w:rFonts w:hint="eastAsia" w:cs="Times New Roman"/>
                <w:b w:val="0"/>
                <w:bCs w:val="0"/>
                <w:color w:val="000000" w:themeColor="text1"/>
                <w:sz w:val="24"/>
                <w:szCs w:val="24"/>
                <w:lang w:val="en-US" w:eastAsia="zh-CN"/>
                <w14:textFill>
                  <w14:solidFill>
                    <w14:schemeClr w14:val="tx1"/>
                  </w14:solidFill>
                </w14:textFill>
              </w:rPr>
              <w:t>生活污水排入旱厕定时清掏不外排；</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洗车平台废水、初期雨水均设有相应的收集池进行收集沉淀，沉淀后的上清液进行回用不外排。</w:t>
            </w:r>
          </w:p>
          <w:p w14:paraId="54976A21">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2" w:firstLineChars="200"/>
              <w:jc w:val="left"/>
              <w:textAlignment w:val="auto"/>
              <w:rPr>
                <w:rFonts w:hint="eastAsia"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4.6.</w:t>
            </w:r>
            <w:r>
              <w:rPr>
                <w:rFonts w:hint="eastAsia" w:cs="Times New Roman"/>
                <w:b/>
                <w:bCs/>
                <w:color w:val="000000" w:themeColor="text1"/>
                <w:sz w:val="24"/>
                <w:szCs w:val="24"/>
                <w:lang w:val="en-US" w:eastAsia="zh-CN"/>
                <w14:textFill>
                  <w14:solidFill>
                    <w14:schemeClr w14:val="tx1"/>
                  </w14:solidFill>
                </w14:textFill>
              </w:rPr>
              <w:t>2水环境影响分析</w:t>
            </w:r>
          </w:p>
          <w:p w14:paraId="0CDEFF1C">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0" w:firstLineChars="200"/>
              <w:jc w:val="both"/>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本项目</w:t>
            </w:r>
            <w:r>
              <w:rPr>
                <w:rFonts w:hint="eastAsia" w:cs="Times New Roman"/>
                <w:b w:val="0"/>
                <w:bCs w:val="0"/>
                <w:color w:val="000000" w:themeColor="text1"/>
                <w:sz w:val="24"/>
                <w:szCs w:val="24"/>
                <w:lang w:val="en-US" w:eastAsia="zh-CN"/>
                <w14:textFill>
                  <w14:solidFill>
                    <w14:schemeClr w14:val="tx1"/>
                  </w14:solidFill>
                </w14:textFill>
              </w:rPr>
              <w:t>现有厂区西侧出入口现有1座全自动洗车平台，</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可方便确保在车辆进出前进行冲洗，同时在洗车平台旁边设置循环水池，可最大限度保证洗车废水不外排；根据占地范围内地形条件可知，厂区内</w:t>
            </w:r>
            <w:r>
              <w:rPr>
                <w:rFonts w:hint="eastAsia" w:cs="Times New Roman"/>
                <w:b w:val="0"/>
                <w:bCs w:val="0"/>
                <w:color w:val="000000" w:themeColor="text1"/>
                <w:sz w:val="24"/>
                <w:szCs w:val="24"/>
                <w:lang w:val="en-US" w:eastAsia="zh-CN"/>
                <w14:textFill>
                  <w14:solidFill>
                    <w14:schemeClr w14:val="tx1"/>
                  </w14:solidFill>
                </w14:textFill>
              </w:rPr>
              <w:t>南</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 xml:space="preserve">侧为地势最低，在地势最低处设置初期雨水池，可满足需求。由上述废水产排环节分析可知，在采取环评规定的治理措施后，本项目运营期内各类废水均可全部综合利用，全厂不设废水排放口，不会对周边地表水环境产生不利影响，建设项目对周边地表水环境影响在可接受范围内。 </w:t>
            </w:r>
          </w:p>
          <w:p w14:paraId="205C9B5A">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0" w:firstLineChars="200"/>
              <w:jc w:val="left"/>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综上所述，本项目运营期间无废水外排，不会对区域地表水环境产生</w:t>
            </w:r>
            <w:r>
              <w:rPr>
                <w:rFonts w:hint="eastAsia" w:cs="Times New Roman"/>
                <w:b w:val="0"/>
                <w:bCs w:val="0"/>
                <w:color w:val="000000" w:themeColor="text1"/>
                <w:sz w:val="24"/>
                <w:szCs w:val="24"/>
                <w:lang w:val="en-US" w:eastAsia="zh-CN"/>
                <w14:textFill>
                  <w14:solidFill>
                    <w14:schemeClr w14:val="tx1"/>
                  </w14:solidFill>
                </w14:textFill>
              </w:rPr>
              <w:t>影响。</w:t>
            </w:r>
          </w:p>
          <w:p w14:paraId="028291A2">
            <w:pPr>
              <w:keepNext w:val="0"/>
              <w:keepLines w:val="0"/>
              <w:suppressLineNumbers w:val="0"/>
              <w:spacing w:before="0" w:beforeAutospacing="0" w:after="0" w:afterAutospacing="0" w:line="480" w:lineRule="exact"/>
              <w:ind w:left="0" w:right="0"/>
              <w:rPr>
                <w:rFonts w:hint="eastAsia" w:eastAsia="宋体"/>
                <w:color w:val="000000" w:themeColor="text1"/>
                <w:highlight w:val="none"/>
                <w:vertAlign w:val="baseline"/>
                <w:lang w:val="en-US" w:eastAsia="zh-CN"/>
                <w14:textFill>
                  <w14:solidFill>
                    <w14:schemeClr w14:val="tx1"/>
                  </w14:solidFill>
                </w14:textFill>
              </w:rPr>
            </w:pPr>
          </w:p>
          <w:p w14:paraId="5F3C50B5">
            <w:pPr>
              <w:keepNext w:val="0"/>
              <w:keepLines w:val="0"/>
              <w:suppressLineNumbers w:val="0"/>
              <w:spacing w:before="0" w:beforeAutospacing="0" w:after="0" w:afterAutospacing="0" w:line="480" w:lineRule="exact"/>
              <w:ind w:left="0" w:right="0"/>
              <w:rPr>
                <w:rFonts w:hint="eastAsia" w:eastAsia="宋体"/>
                <w:color w:val="000000" w:themeColor="text1"/>
                <w:highlight w:val="none"/>
                <w:vertAlign w:val="baseline"/>
                <w:lang w:val="en-US" w:eastAsia="zh-CN"/>
                <w14:textFill>
                  <w14:solidFill>
                    <w14:schemeClr w14:val="tx1"/>
                  </w14:solidFill>
                </w14:textFill>
              </w:rPr>
            </w:pPr>
          </w:p>
          <w:p w14:paraId="6C84576F">
            <w:pPr>
              <w:keepNext w:val="0"/>
              <w:keepLines w:val="0"/>
              <w:suppressLineNumbers w:val="0"/>
              <w:spacing w:before="0" w:beforeAutospacing="0" w:after="0" w:afterAutospacing="0" w:line="480" w:lineRule="exact"/>
              <w:ind w:left="0" w:right="0"/>
              <w:rPr>
                <w:rFonts w:hint="eastAsia" w:eastAsia="宋体"/>
                <w:color w:val="000000" w:themeColor="text1"/>
                <w:highlight w:val="none"/>
                <w:vertAlign w:val="baseline"/>
                <w:lang w:val="en-US" w:eastAsia="zh-CN"/>
                <w14:textFill>
                  <w14:solidFill>
                    <w14:schemeClr w14:val="tx1"/>
                  </w14:solidFill>
                </w14:textFill>
              </w:rPr>
            </w:pPr>
          </w:p>
          <w:p w14:paraId="39AFD4F2">
            <w:pPr>
              <w:keepNext w:val="0"/>
              <w:keepLines w:val="0"/>
              <w:suppressLineNumbers w:val="0"/>
              <w:spacing w:before="0" w:beforeAutospacing="0" w:after="0" w:afterAutospacing="0" w:line="480" w:lineRule="exact"/>
              <w:ind w:left="0" w:right="0"/>
              <w:rPr>
                <w:rFonts w:hint="eastAsia" w:eastAsia="宋体"/>
                <w:color w:val="000000" w:themeColor="text1"/>
                <w:highlight w:val="none"/>
                <w:vertAlign w:val="baseline"/>
                <w:lang w:val="en-US" w:eastAsia="zh-CN"/>
                <w14:textFill>
                  <w14:solidFill>
                    <w14:schemeClr w14:val="tx1"/>
                  </w14:solidFill>
                </w14:textFill>
              </w:rPr>
            </w:pPr>
          </w:p>
          <w:p w14:paraId="5B314C82">
            <w:pPr>
              <w:keepNext w:val="0"/>
              <w:keepLines w:val="0"/>
              <w:suppressLineNumbers w:val="0"/>
              <w:spacing w:before="0" w:beforeAutospacing="0" w:after="0" w:afterAutospacing="0" w:line="480" w:lineRule="exact"/>
              <w:ind w:left="0" w:right="0"/>
              <w:rPr>
                <w:rFonts w:hint="eastAsia" w:eastAsia="宋体"/>
                <w:color w:val="000000" w:themeColor="text1"/>
                <w:highlight w:val="none"/>
                <w:vertAlign w:val="baseline"/>
                <w:lang w:val="en-US" w:eastAsia="zh-CN"/>
                <w14:textFill>
                  <w14:solidFill>
                    <w14:schemeClr w14:val="tx1"/>
                  </w14:solidFill>
                </w14:textFill>
              </w:rPr>
            </w:pPr>
          </w:p>
          <w:p w14:paraId="00102E04">
            <w:pPr>
              <w:pStyle w:val="7"/>
              <w:suppressLineNumbers w:val="0"/>
              <w:spacing w:beforeAutospacing="0" w:after="0" w:afterAutospacing="0"/>
              <w:ind w:left="0" w:right="0"/>
              <w:rPr>
                <w:rFonts w:hint="default"/>
                <w:color w:val="000000" w:themeColor="text1"/>
                <w:lang w:val="en-US" w:eastAsia="zh-CN"/>
                <w14:textFill>
                  <w14:solidFill>
                    <w14:schemeClr w14:val="tx1"/>
                  </w14:solidFill>
                </w14:textFill>
              </w:rPr>
            </w:pPr>
          </w:p>
        </w:tc>
      </w:tr>
    </w:tbl>
    <w:p w14:paraId="21979571">
      <w:pPr>
        <w:pStyle w:val="13"/>
        <w:rPr>
          <w:rFonts w:hint="default"/>
          <w:color w:val="000000" w:themeColor="text1"/>
          <w:highlight w:val="none"/>
          <w14:textFill>
            <w14:solidFill>
              <w14:schemeClr w14:val="tx1"/>
            </w14:solidFill>
          </w14:textFill>
        </w:rPr>
        <w:sectPr>
          <w:pgSz w:w="11907" w:h="16840"/>
          <w:pgMar w:top="1701" w:right="1531" w:bottom="1701" w:left="1531" w:header="851" w:footer="1134" w:gutter="0"/>
          <w:pgBorders>
            <w:top w:val="none" w:sz="0" w:space="0"/>
            <w:left w:val="none" w:sz="0" w:space="0"/>
            <w:bottom w:val="none" w:sz="0" w:space="0"/>
            <w:right w:val="none" w:sz="0" w:space="0"/>
          </w:pgBorders>
          <w:pgNumType w:fmt="decimal"/>
          <w:cols w:space="720" w:num="1"/>
          <w:docGrid w:linePitch="312" w:charSpace="0"/>
        </w:sectPr>
      </w:pPr>
    </w:p>
    <w:tbl>
      <w:tblPr>
        <w:tblStyle w:val="31"/>
        <w:tblW w:w="14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4045"/>
      </w:tblGrid>
      <w:tr w14:paraId="5189B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1" w:hRule="atLeast"/>
          <w:jc w:val="center"/>
        </w:trPr>
        <w:tc>
          <w:tcPr>
            <w:tcW w:w="714" w:type="dxa"/>
            <w:vAlign w:val="center"/>
          </w:tcPr>
          <w:p w14:paraId="12122B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t>运营</w:t>
            </w:r>
          </w:p>
          <w:p w14:paraId="7B7E95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t>期环</w:t>
            </w:r>
          </w:p>
          <w:p w14:paraId="551C50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t>境影</w:t>
            </w:r>
          </w:p>
          <w:p w14:paraId="621E80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t>响和</w:t>
            </w:r>
          </w:p>
          <w:p w14:paraId="4E6B85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t>保护</w:t>
            </w:r>
          </w:p>
          <w:p w14:paraId="530D39B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val="0"/>
                <w:color w:val="000000" w:themeColor="text1"/>
                <w:spacing w:val="-1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t>措施</w:t>
            </w:r>
          </w:p>
        </w:tc>
        <w:tc>
          <w:tcPr>
            <w:tcW w:w="14593" w:type="dxa"/>
          </w:tcPr>
          <w:p w14:paraId="5DFF359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color w:val="000000" w:themeColor="text1"/>
                <w:sz w:val="24"/>
                <w:szCs w:val="24"/>
                <w:highlight w:val="none"/>
                <w:lang w:val="en-US"/>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4.7</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噪声</w:t>
            </w:r>
          </w:p>
          <w:p w14:paraId="0BDCD5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000000" w:themeColor="text1"/>
                <w:sz w:val="24"/>
                <w:highlight w:val="none"/>
                <w:lang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4.7.</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highlight w:val="none"/>
                <w14:textFill>
                  <w14:solidFill>
                    <w14:schemeClr w14:val="tx1"/>
                  </w14:solidFill>
                </w14:textFill>
              </w:rPr>
              <w:t>噪声源分析</w:t>
            </w:r>
          </w:p>
          <w:p w14:paraId="3605C3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项目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噪声源强</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见</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表4</w:t>
            </w:r>
            <w:r>
              <w:rPr>
                <w:rFonts w:hint="eastAsia" w:cs="Times New Roman"/>
                <w:color w:val="000000" w:themeColor="text1"/>
                <w:sz w:val="24"/>
                <w:highlight w:val="none"/>
                <w:lang w:val="en-US" w:eastAsia="zh-CN"/>
                <w14:textFill>
                  <w14:solidFill>
                    <w14:schemeClr w14:val="tx1"/>
                  </w14:solidFill>
                </w14:textFill>
              </w:rPr>
              <w:t>.7-1、表4.7-2</w:t>
            </w:r>
            <w:r>
              <w:rPr>
                <w:rFonts w:hint="default" w:ascii="Times New Roman" w:hAnsi="Times New Roman" w:eastAsia="宋体" w:cs="Times New Roman"/>
                <w:color w:val="000000" w:themeColor="text1"/>
                <w:spacing w:val="4"/>
                <w:sz w:val="24"/>
                <w:highlight w:val="none"/>
                <w:lang w:val="en-US" w:eastAsia="zh-CN"/>
                <w14:textFill>
                  <w14:solidFill>
                    <w14:schemeClr w14:val="tx1"/>
                  </w14:solidFill>
                </w14:textFill>
              </w:rPr>
              <w:t>。</w:t>
            </w:r>
          </w:p>
          <w:p w14:paraId="5449AC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t>表4.7-1  室内噪声源源强调查清单</w:t>
            </w:r>
          </w:p>
          <w:tbl>
            <w:tblPr>
              <w:tblStyle w:val="30"/>
              <w:tblW w:w="49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866"/>
              <w:gridCol w:w="1521"/>
              <w:gridCol w:w="804"/>
              <w:gridCol w:w="832"/>
              <w:gridCol w:w="1102"/>
              <w:gridCol w:w="690"/>
              <w:gridCol w:w="690"/>
              <w:gridCol w:w="693"/>
              <w:gridCol w:w="982"/>
              <w:gridCol w:w="938"/>
              <w:gridCol w:w="805"/>
              <w:gridCol w:w="1102"/>
              <w:gridCol w:w="1044"/>
              <w:gridCol w:w="1038"/>
            </w:tblGrid>
            <w:tr w14:paraId="4ECF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 w:type="pct"/>
                  <w:vMerge w:val="restart"/>
                  <w:tcBorders>
                    <w:tl2br w:val="nil"/>
                    <w:tr2bl w:val="nil"/>
                  </w:tcBorders>
                  <w:vAlign w:val="center"/>
                </w:tcPr>
                <w:p w14:paraId="07477FC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序号</w:t>
                  </w:r>
                </w:p>
              </w:tc>
              <w:tc>
                <w:tcPr>
                  <w:tcW w:w="317" w:type="pct"/>
                  <w:vMerge w:val="restart"/>
                  <w:tcBorders>
                    <w:tl2br w:val="nil"/>
                    <w:tr2bl w:val="nil"/>
                  </w:tcBorders>
                  <w:vAlign w:val="center"/>
                </w:tcPr>
                <w:p w14:paraId="5DF2F68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建筑物</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名称</w:t>
                  </w:r>
                </w:p>
              </w:tc>
              <w:tc>
                <w:tcPr>
                  <w:tcW w:w="558" w:type="pct"/>
                  <w:vMerge w:val="restart"/>
                  <w:tcBorders>
                    <w:tl2br w:val="nil"/>
                    <w:tr2bl w:val="nil"/>
                  </w:tcBorders>
                  <w:vAlign w:val="center"/>
                </w:tcPr>
                <w:p w14:paraId="514D24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声源</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名称</w:t>
                  </w:r>
                </w:p>
              </w:tc>
              <w:tc>
                <w:tcPr>
                  <w:tcW w:w="295" w:type="pct"/>
                  <w:vMerge w:val="restart"/>
                  <w:tcBorders>
                    <w:tl2br w:val="nil"/>
                    <w:tr2bl w:val="nil"/>
                  </w:tcBorders>
                  <w:vAlign w:val="center"/>
                </w:tcPr>
                <w:p w14:paraId="1E46DEA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数量（台/套）</w:t>
                  </w:r>
                </w:p>
              </w:tc>
              <w:tc>
                <w:tcPr>
                  <w:tcW w:w="305" w:type="pct"/>
                  <w:vMerge w:val="restart"/>
                  <w:tcBorders>
                    <w:tl2br w:val="nil"/>
                    <w:tr2bl w:val="nil"/>
                  </w:tcBorders>
                  <w:vAlign w:val="center"/>
                </w:tcPr>
                <w:p w14:paraId="1998BF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声功率级</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dB</w:t>
                  </w: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A</w:t>
                  </w: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w:t>
                  </w:r>
                </w:p>
              </w:tc>
              <w:tc>
                <w:tcPr>
                  <w:tcW w:w="404" w:type="pct"/>
                  <w:vMerge w:val="restart"/>
                  <w:tcBorders>
                    <w:tl2br w:val="nil"/>
                    <w:tr2bl w:val="nil"/>
                  </w:tcBorders>
                  <w:vAlign w:val="center"/>
                </w:tcPr>
                <w:p w14:paraId="4717E3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声源</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控制措施</w:t>
                  </w:r>
                </w:p>
              </w:tc>
              <w:tc>
                <w:tcPr>
                  <w:tcW w:w="760" w:type="pct"/>
                  <w:gridSpan w:val="3"/>
                  <w:tcBorders>
                    <w:tl2br w:val="nil"/>
                    <w:tr2bl w:val="nil"/>
                  </w:tcBorders>
                  <w:vAlign w:val="center"/>
                </w:tcPr>
                <w:p w14:paraId="6DF9B6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空间</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相对位置</w:t>
                  </w: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/m</w:t>
                  </w:r>
                </w:p>
              </w:tc>
              <w:tc>
                <w:tcPr>
                  <w:tcW w:w="360" w:type="pct"/>
                  <w:vMerge w:val="restart"/>
                  <w:tcBorders>
                    <w:tl2br w:val="nil"/>
                    <w:tr2bl w:val="nil"/>
                  </w:tcBorders>
                  <w:vAlign w:val="center"/>
                </w:tcPr>
                <w:p w14:paraId="41E7565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距</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室内边界距离</w:t>
                  </w: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/m</w:t>
                  </w:r>
                </w:p>
              </w:tc>
              <w:tc>
                <w:tcPr>
                  <w:tcW w:w="344" w:type="pct"/>
                  <w:vMerge w:val="restart"/>
                  <w:tcBorders>
                    <w:tl2br w:val="nil"/>
                    <w:tr2bl w:val="nil"/>
                  </w:tcBorders>
                  <w:vAlign w:val="center"/>
                </w:tcPr>
                <w:p w14:paraId="0DCD79D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室内</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边界声级</w:t>
                  </w: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d</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B</w:t>
                  </w: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A</w:t>
                  </w: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w:t>
                  </w:r>
                </w:p>
              </w:tc>
              <w:tc>
                <w:tcPr>
                  <w:tcW w:w="295" w:type="pct"/>
                  <w:vMerge w:val="restart"/>
                  <w:tcBorders>
                    <w:tl2br w:val="nil"/>
                    <w:tr2bl w:val="nil"/>
                  </w:tcBorders>
                  <w:vAlign w:val="center"/>
                </w:tcPr>
                <w:p w14:paraId="3FAA65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运行</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时段</w:t>
                  </w:r>
                </w:p>
              </w:tc>
              <w:tc>
                <w:tcPr>
                  <w:tcW w:w="404" w:type="pct"/>
                  <w:vMerge w:val="restart"/>
                  <w:tcBorders>
                    <w:tl2br w:val="nil"/>
                    <w:tr2bl w:val="nil"/>
                  </w:tcBorders>
                  <w:vAlign w:val="center"/>
                </w:tcPr>
                <w:p w14:paraId="37F14B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建筑物</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插入损失</w:t>
                  </w: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d</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B</w:t>
                  </w: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A)</w:t>
                  </w:r>
                </w:p>
              </w:tc>
              <w:tc>
                <w:tcPr>
                  <w:tcW w:w="764" w:type="pct"/>
                  <w:gridSpan w:val="2"/>
                  <w:tcBorders>
                    <w:tl2br w:val="nil"/>
                    <w:tr2bl w:val="nil"/>
                  </w:tcBorders>
                  <w:vAlign w:val="center"/>
                </w:tcPr>
                <w:p w14:paraId="1784E6A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建筑物</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外噪声</w:t>
                  </w:r>
                </w:p>
              </w:tc>
            </w:tr>
            <w:tr w14:paraId="2658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 w:type="pct"/>
                  <w:vMerge w:val="continue"/>
                  <w:tcBorders>
                    <w:tl2br w:val="nil"/>
                    <w:tr2bl w:val="nil"/>
                  </w:tcBorders>
                  <w:vAlign w:val="center"/>
                </w:tcPr>
                <w:p w14:paraId="0FBA115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7" w:type="pct"/>
                  <w:vMerge w:val="continue"/>
                  <w:tcBorders>
                    <w:tl2br w:val="nil"/>
                    <w:tr2bl w:val="nil"/>
                  </w:tcBorders>
                  <w:vAlign w:val="center"/>
                </w:tcPr>
                <w:p w14:paraId="5378B89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558" w:type="pct"/>
                  <w:vMerge w:val="continue"/>
                  <w:tcBorders>
                    <w:tl2br w:val="nil"/>
                    <w:tr2bl w:val="nil"/>
                  </w:tcBorders>
                  <w:vAlign w:val="center"/>
                </w:tcPr>
                <w:p w14:paraId="228A44E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295" w:type="pct"/>
                  <w:vMerge w:val="continue"/>
                  <w:tcBorders>
                    <w:tl2br w:val="nil"/>
                    <w:tr2bl w:val="nil"/>
                  </w:tcBorders>
                  <w:vAlign w:val="center"/>
                </w:tcPr>
                <w:p w14:paraId="2BE0D0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05" w:type="pct"/>
                  <w:vMerge w:val="continue"/>
                  <w:tcBorders>
                    <w:tl2br w:val="nil"/>
                    <w:tr2bl w:val="nil"/>
                  </w:tcBorders>
                  <w:vAlign w:val="center"/>
                </w:tcPr>
                <w:p w14:paraId="3B0B96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404" w:type="pct"/>
                  <w:vMerge w:val="continue"/>
                  <w:tcBorders>
                    <w:tl2br w:val="nil"/>
                    <w:tr2bl w:val="nil"/>
                  </w:tcBorders>
                  <w:vAlign w:val="center"/>
                </w:tcPr>
                <w:p w14:paraId="4EC0E21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253" w:type="pct"/>
                  <w:tcBorders>
                    <w:tl2br w:val="nil"/>
                    <w:tr2bl w:val="nil"/>
                  </w:tcBorders>
                  <w:vAlign w:val="center"/>
                </w:tcPr>
                <w:p w14:paraId="0D559C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X</w:t>
                  </w:r>
                </w:p>
              </w:tc>
              <w:tc>
                <w:tcPr>
                  <w:tcW w:w="253" w:type="pct"/>
                  <w:tcBorders>
                    <w:tl2br w:val="nil"/>
                    <w:tr2bl w:val="nil"/>
                  </w:tcBorders>
                  <w:vAlign w:val="center"/>
                </w:tcPr>
                <w:p w14:paraId="2014B5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Y</w:t>
                  </w:r>
                </w:p>
              </w:tc>
              <w:tc>
                <w:tcPr>
                  <w:tcW w:w="254" w:type="pct"/>
                  <w:tcBorders>
                    <w:tl2br w:val="nil"/>
                    <w:tr2bl w:val="nil"/>
                  </w:tcBorders>
                  <w:vAlign w:val="center"/>
                </w:tcPr>
                <w:p w14:paraId="50C219C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Z</w:t>
                  </w:r>
                </w:p>
              </w:tc>
              <w:tc>
                <w:tcPr>
                  <w:tcW w:w="360" w:type="pct"/>
                  <w:vMerge w:val="continue"/>
                  <w:tcBorders>
                    <w:tl2br w:val="nil"/>
                    <w:tr2bl w:val="nil"/>
                  </w:tcBorders>
                  <w:vAlign w:val="center"/>
                </w:tcPr>
                <w:p w14:paraId="100A72B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44" w:type="pct"/>
                  <w:vMerge w:val="continue"/>
                  <w:tcBorders>
                    <w:tl2br w:val="nil"/>
                    <w:tr2bl w:val="nil"/>
                  </w:tcBorders>
                  <w:vAlign w:val="center"/>
                </w:tcPr>
                <w:p w14:paraId="2688EE6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295" w:type="pct"/>
                  <w:vMerge w:val="continue"/>
                  <w:tcBorders>
                    <w:tl2br w:val="nil"/>
                    <w:tr2bl w:val="nil"/>
                  </w:tcBorders>
                  <w:vAlign w:val="center"/>
                </w:tcPr>
                <w:p w14:paraId="31989E1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404" w:type="pct"/>
                  <w:vMerge w:val="continue"/>
                  <w:tcBorders>
                    <w:tl2br w:val="nil"/>
                    <w:tr2bl w:val="nil"/>
                  </w:tcBorders>
                  <w:vAlign w:val="center"/>
                </w:tcPr>
                <w:p w14:paraId="1165E18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83" w:type="pct"/>
                  <w:tcBorders>
                    <w:tl2br w:val="nil"/>
                    <w:tr2bl w:val="nil"/>
                  </w:tcBorders>
                  <w:vAlign w:val="center"/>
                </w:tcPr>
                <w:p w14:paraId="47F473B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声压级dB(A)</w:t>
                  </w:r>
                </w:p>
              </w:tc>
              <w:tc>
                <w:tcPr>
                  <w:tcW w:w="380" w:type="pct"/>
                  <w:tcBorders>
                    <w:tl2br w:val="nil"/>
                    <w:tr2bl w:val="nil"/>
                  </w:tcBorders>
                  <w:vAlign w:val="center"/>
                </w:tcPr>
                <w:p w14:paraId="3852541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建筑物</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外距离</w:t>
                  </w: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m</w:t>
                  </w:r>
                </w:p>
              </w:tc>
            </w:tr>
            <w:tr w14:paraId="36497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 w:type="pct"/>
                  <w:tcBorders>
                    <w:tl2br w:val="nil"/>
                    <w:tr2bl w:val="nil"/>
                  </w:tcBorders>
                  <w:shd w:val="clear" w:color="auto" w:fill="auto"/>
                  <w:vAlign w:val="center"/>
                </w:tcPr>
                <w:p w14:paraId="221D3D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p>
              </w:tc>
              <w:tc>
                <w:tcPr>
                  <w:tcW w:w="317" w:type="pct"/>
                  <w:vMerge w:val="restart"/>
                  <w:tcBorders>
                    <w:tl2br w:val="nil"/>
                    <w:tr2bl w:val="nil"/>
                  </w:tcBorders>
                  <w:vAlign w:val="center"/>
                </w:tcPr>
                <w:p w14:paraId="2455FEC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eastAsia" w:ascii="Calibri" w:hAnsi="Calibri"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Calibri" w:hAnsi="Calibri" w:eastAsia="宋体" w:cs="Times New Roman"/>
                      <w:color w:val="000000" w:themeColor="text1"/>
                      <w:spacing w:val="0"/>
                      <w:kern w:val="0"/>
                      <w:sz w:val="21"/>
                      <w:szCs w:val="21"/>
                      <w:highlight w:val="none"/>
                      <w:lang w:val="en-US" w:eastAsia="zh-CN"/>
                      <w14:textFill>
                        <w14:solidFill>
                          <w14:schemeClr w14:val="tx1"/>
                        </w14:solidFill>
                      </w14:textFill>
                    </w:rPr>
                    <w:t>生产</w:t>
                  </w:r>
                </w:p>
                <w:p w14:paraId="6DD6C37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Calibri" w:hAnsi="Calibri" w:eastAsia="宋体" w:cs="Times New Roman"/>
                      <w:color w:val="000000" w:themeColor="text1"/>
                      <w:spacing w:val="0"/>
                      <w:kern w:val="0"/>
                      <w:sz w:val="21"/>
                      <w:szCs w:val="21"/>
                      <w:highlight w:val="none"/>
                      <w:lang w:val="en-US" w:eastAsia="zh-CN"/>
                      <w14:textFill>
                        <w14:solidFill>
                          <w14:schemeClr w14:val="tx1"/>
                        </w14:solidFill>
                      </w14:textFill>
                    </w:rPr>
                    <w:t>车间</w:t>
                  </w:r>
                </w:p>
              </w:tc>
              <w:tc>
                <w:tcPr>
                  <w:tcW w:w="558" w:type="pct"/>
                  <w:tcBorders>
                    <w:tl2br w:val="nil"/>
                    <w:tr2bl w:val="nil"/>
                  </w:tcBorders>
                  <w:vAlign w:val="center"/>
                </w:tcPr>
                <w:p w14:paraId="71BE8FF4">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振动</w:t>
                  </w:r>
                  <w:r>
                    <w:rPr>
                      <w:rFonts w:hint="default"/>
                      <w:bCs/>
                      <w:color w:val="000000" w:themeColor="text1"/>
                      <w:szCs w:val="21"/>
                      <w14:textFill>
                        <w14:solidFill>
                          <w14:schemeClr w14:val="tx1"/>
                        </w14:solidFill>
                      </w14:textFill>
                    </w:rPr>
                    <w:t>给料机</w:t>
                  </w:r>
                </w:p>
              </w:tc>
              <w:tc>
                <w:tcPr>
                  <w:tcW w:w="295" w:type="pct"/>
                  <w:tcBorders>
                    <w:tl2br w:val="nil"/>
                    <w:tr2bl w:val="nil"/>
                  </w:tcBorders>
                  <w:vAlign w:val="center"/>
                </w:tcPr>
                <w:p w14:paraId="129E17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p>
              </w:tc>
              <w:tc>
                <w:tcPr>
                  <w:tcW w:w="305" w:type="pct"/>
                  <w:tcBorders>
                    <w:tl2br w:val="nil"/>
                    <w:tr2bl w:val="nil"/>
                  </w:tcBorders>
                  <w:vAlign w:val="center"/>
                </w:tcPr>
                <w:p w14:paraId="25F2C3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80</w:t>
                  </w:r>
                </w:p>
              </w:tc>
              <w:tc>
                <w:tcPr>
                  <w:tcW w:w="404" w:type="pct"/>
                  <w:vMerge w:val="restart"/>
                  <w:tcBorders>
                    <w:tl2br w:val="nil"/>
                    <w:tr2bl w:val="nil"/>
                  </w:tcBorders>
                  <w:vAlign w:val="center"/>
                </w:tcPr>
                <w:p w14:paraId="257786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t>采用低噪声设备；减振；</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隔声；风机出口安装消声器；定期维护</w:t>
                  </w:r>
                </w:p>
              </w:tc>
              <w:tc>
                <w:tcPr>
                  <w:tcW w:w="253" w:type="pct"/>
                  <w:tcBorders>
                    <w:tl2br w:val="nil"/>
                    <w:tr2bl w:val="nil"/>
                  </w:tcBorders>
                  <w:vAlign w:val="center"/>
                </w:tcPr>
                <w:p w14:paraId="17BBAE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115</w:t>
                  </w:r>
                </w:p>
              </w:tc>
              <w:tc>
                <w:tcPr>
                  <w:tcW w:w="253" w:type="pct"/>
                  <w:tcBorders>
                    <w:tl2br w:val="nil"/>
                    <w:tr2bl w:val="nil"/>
                  </w:tcBorders>
                  <w:vAlign w:val="center"/>
                </w:tcPr>
                <w:p w14:paraId="21939D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16</w:t>
                  </w:r>
                </w:p>
              </w:tc>
              <w:tc>
                <w:tcPr>
                  <w:tcW w:w="254" w:type="pct"/>
                  <w:tcBorders>
                    <w:tl2br w:val="nil"/>
                    <w:tr2bl w:val="nil"/>
                  </w:tcBorders>
                  <w:vAlign w:val="center"/>
                </w:tcPr>
                <w:p w14:paraId="334B65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2</w:t>
                  </w:r>
                </w:p>
              </w:tc>
              <w:tc>
                <w:tcPr>
                  <w:tcW w:w="360" w:type="pct"/>
                  <w:tcBorders>
                    <w:tl2br w:val="nil"/>
                    <w:tr2bl w:val="nil"/>
                  </w:tcBorders>
                  <w:vAlign w:val="center"/>
                </w:tcPr>
                <w:p w14:paraId="0C7023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15</w:t>
                  </w:r>
                </w:p>
              </w:tc>
              <w:tc>
                <w:tcPr>
                  <w:tcW w:w="344" w:type="pct"/>
                  <w:tcBorders>
                    <w:tl2br w:val="nil"/>
                    <w:tr2bl w:val="nil"/>
                  </w:tcBorders>
                  <w:vAlign w:val="center"/>
                </w:tcPr>
                <w:p w14:paraId="36C0C7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56.5</w:t>
                  </w:r>
                </w:p>
              </w:tc>
              <w:tc>
                <w:tcPr>
                  <w:tcW w:w="295" w:type="pct"/>
                  <w:vMerge w:val="restart"/>
                  <w:tcBorders>
                    <w:tl2br w:val="nil"/>
                    <w:tr2bl w:val="nil"/>
                  </w:tcBorders>
                  <w:vAlign w:val="center"/>
                </w:tcPr>
                <w:p w14:paraId="4A42B3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6:00-</w:t>
                  </w:r>
                </w:p>
                <w:p w14:paraId="01999F2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22:00</w:t>
                  </w:r>
                </w:p>
              </w:tc>
              <w:tc>
                <w:tcPr>
                  <w:tcW w:w="404" w:type="pct"/>
                  <w:tcBorders>
                    <w:tl2br w:val="nil"/>
                    <w:tr2bl w:val="nil"/>
                  </w:tcBorders>
                  <w:vAlign w:val="center"/>
                </w:tcPr>
                <w:p w14:paraId="6B2594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20</w:t>
                  </w:r>
                </w:p>
              </w:tc>
              <w:tc>
                <w:tcPr>
                  <w:tcW w:w="383" w:type="pct"/>
                  <w:tcBorders>
                    <w:tl2br w:val="nil"/>
                    <w:tr2bl w:val="nil"/>
                  </w:tcBorders>
                  <w:vAlign w:val="center"/>
                </w:tcPr>
                <w:p w14:paraId="02A9BF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6.5</w:t>
                  </w:r>
                </w:p>
              </w:tc>
              <w:tc>
                <w:tcPr>
                  <w:tcW w:w="380" w:type="pct"/>
                  <w:tcBorders>
                    <w:tl2br w:val="nil"/>
                    <w:tr2bl w:val="nil"/>
                  </w:tcBorders>
                  <w:vAlign w:val="center"/>
                </w:tcPr>
                <w:p w14:paraId="509E429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p>
              </w:tc>
            </w:tr>
            <w:tr w14:paraId="0066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90" w:type="pct"/>
                  <w:tcBorders>
                    <w:tl2br w:val="nil"/>
                    <w:tr2bl w:val="nil"/>
                  </w:tcBorders>
                  <w:shd w:val="clear" w:color="auto" w:fill="auto"/>
                  <w:vAlign w:val="center"/>
                </w:tcPr>
                <w:p w14:paraId="5071DF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w:t>
                  </w:r>
                </w:p>
              </w:tc>
              <w:tc>
                <w:tcPr>
                  <w:tcW w:w="317" w:type="pct"/>
                  <w:vMerge w:val="continue"/>
                  <w:tcBorders>
                    <w:tl2br w:val="nil"/>
                    <w:tr2bl w:val="nil"/>
                  </w:tcBorders>
                  <w:vAlign w:val="center"/>
                </w:tcPr>
                <w:p w14:paraId="5710E60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eastAsia" w:ascii="Calibri" w:hAnsi="Calibri" w:eastAsia="宋体" w:cs="Times New Roman"/>
                      <w:color w:val="000000" w:themeColor="text1"/>
                      <w:spacing w:val="0"/>
                      <w:kern w:val="0"/>
                      <w:sz w:val="21"/>
                      <w:szCs w:val="21"/>
                      <w:highlight w:val="none"/>
                      <w:lang w:val="en-US" w:eastAsia="zh-CN"/>
                      <w14:textFill>
                        <w14:solidFill>
                          <w14:schemeClr w14:val="tx1"/>
                        </w14:solidFill>
                      </w14:textFill>
                    </w:rPr>
                  </w:pPr>
                </w:p>
              </w:tc>
              <w:tc>
                <w:tcPr>
                  <w:tcW w:w="558" w:type="pct"/>
                  <w:tcBorders>
                    <w:tl2br w:val="nil"/>
                    <w:tr2bl w:val="nil"/>
                  </w:tcBorders>
                  <w:vAlign w:val="center"/>
                </w:tcPr>
                <w:p w14:paraId="24EB4ADB">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bidi="zh-CN"/>
                      <w14:textFill>
                        <w14:solidFill>
                          <w14:schemeClr w14:val="tx1"/>
                        </w14:solidFill>
                      </w14:textFill>
                    </w:rPr>
                    <w:t>颚式破碎机</w:t>
                  </w:r>
                </w:p>
              </w:tc>
              <w:tc>
                <w:tcPr>
                  <w:tcW w:w="295" w:type="pct"/>
                  <w:tcBorders>
                    <w:tl2br w:val="nil"/>
                    <w:tr2bl w:val="nil"/>
                  </w:tcBorders>
                  <w:vAlign w:val="center"/>
                </w:tcPr>
                <w:p w14:paraId="78D707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p>
              </w:tc>
              <w:tc>
                <w:tcPr>
                  <w:tcW w:w="305" w:type="pct"/>
                  <w:tcBorders>
                    <w:tl2br w:val="nil"/>
                    <w:tr2bl w:val="nil"/>
                  </w:tcBorders>
                  <w:vAlign w:val="center"/>
                </w:tcPr>
                <w:p w14:paraId="607872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85</w:t>
                  </w:r>
                </w:p>
              </w:tc>
              <w:tc>
                <w:tcPr>
                  <w:tcW w:w="404" w:type="pct"/>
                  <w:vMerge w:val="continue"/>
                  <w:tcBorders>
                    <w:tl2br w:val="nil"/>
                    <w:tr2bl w:val="nil"/>
                  </w:tcBorders>
                  <w:vAlign w:val="center"/>
                </w:tcPr>
                <w:p w14:paraId="3BB30E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53" w:type="pct"/>
                  <w:tcBorders>
                    <w:tl2br w:val="nil"/>
                    <w:tr2bl w:val="nil"/>
                  </w:tcBorders>
                  <w:vAlign w:val="center"/>
                </w:tcPr>
                <w:p w14:paraId="556A7F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112</w:t>
                  </w:r>
                </w:p>
              </w:tc>
              <w:tc>
                <w:tcPr>
                  <w:tcW w:w="253" w:type="pct"/>
                  <w:tcBorders>
                    <w:tl2br w:val="nil"/>
                    <w:tr2bl w:val="nil"/>
                  </w:tcBorders>
                  <w:vAlign w:val="center"/>
                </w:tcPr>
                <w:p w14:paraId="52AD50B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14</w:t>
                  </w:r>
                </w:p>
              </w:tc>
              <w:tc>
                <w:tcPr>
                  <w:tcW w:w="254" w:type="pct"/>
                  <w:tcBorders>
                    <w:tl2br w:val="nil"/>
                    <w:tr2bl w:val="nil"/>
                  </w:tcBorders>
                  <w:vAlign w:val="center"/>
                </w:tcPr>
                <w:p w14:paraId="723B654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2</w:t>
                  </w:r>
                </w:p>
              </w:tc>
              <w:tc>
                <w:tcPr>
                  <w:tcW w:w="360" w:type="pct"/>
                  <w:tcBorders>
                    <w:tl2br w:val="nil"/>
                    <w:tr2bl w:val="nil"/>
                  </w:tcBorders>
                  <w:vAlign w:val="center"/>
                </w:tcPr>
                <w:p w14:paraId="6DDB5DF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13</w:t>
                  </w:r>
                </w:p>
              </w:tc>
              <w:tc>
                <w:tcPr>
                  <w:tcW w:w="344" w:type="pct"/>
                  <w:tcBorders>
                    <w:tl2br w:val="nil"/>
                    <w:tr2bl w:val="nil"/>
                  </w:tcBorders>
                  <w:vAlign w:val="center"/>
                </w:tcPr>
                <w:p w14:paraId="622F02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62.7</w:t>
                  </w:r>
                </w:p>
              </w:tc>
              <w:tc>
                <w:tcPr>
                  <w:tcW w:w="295" w:type="pct"/>
                  <w:vMerge w:val="continue"/>
                  <w:tcBorders>
                    <w:tl2br w:val="nil"/>
                    <w:tr2bl w:val="nil"/>
                  </w:tcBorders>
                  <w:vAlign w:val="center"/>
                </w:tcPr>
                <w:p w14:paraId="4ED378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404" w:type="pct"/>
                  <w:tcBorders>
                    <w:tl2br w:val="nil"/>
                    <w:tr2bl w:val="nil"/>
                  </w:tcBorders>
                  <w:vAlign w:val="center"/>
                </w:tcPr>
                <w:p w14:paraId="5F6ADB4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20</w:t>
                  </w:r>
                </w:p>
              </w:tc>
              <w:tc>
                <w:tcPr>
                  <w:tcW w:w="383" w:type="pct"/>
                  <w:tcBorders>
                    <w:tl2br w:val="nil"/>
                    <w:tr2bl w:val="nil"/>
                  </w:tcBorders>
                  <w:vAlign w:val="center"/>
                </w:tcPr>
                <w:p w14:paraId="09A06E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2.7</w:t>
                  </w:r>
                </w:p>
              </w:tc>
              <w:tc>
                <w:tcPr>
                  <w:tcW w:w="380" w:type="pct"/>
                  <w:tcBorders>
                    <w:tl2br w:val="nil"/>
                    <w:tr2bl w:val="nil"/>
                  </w:tcBorders>
                  <w:vAlign w:val="center"/>
                </w:tcPr>
                <w:p w14:paraId="07E8E0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p>
              </w:tc>
            </w:tr>
            <w:tr w14:paraId="57FF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90" w:type="pct"/>
                  <w:tcBorders>
                    <w:tl2br w:val="nil"/>
                    <w:tr2bl w:val="nil"/>
                  </w:tcBorders>
                  <w:shd w:val="clear" w:color="auto" w:fill="auto"/>
                  <w:vAlign w:val="center"/>
                </w:tcPr>
                <w:p w14:paraId="7AB6C66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3</w:t>
                  </w:r>
                </w:p>
              </w:tc>
              <w:tc>
                <w:tcPr>
                  <w:tcW w:w="317" w:type="pct"/>
                  <w:vMerge w:val="continue"/>
                  <w:tcBorders>
                    <w:tl2br w:val="nil"/>
                    <w:tr2bl w:val="nil"/>
                  </w:tcBorders>
                  <w:vAlign w:val="center"/>
                </w:tcPr>
                <w:p w14:paraId="528AC3F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eastAsia" w:ascii="Calibri" w:hAnsi="Calibri" w:eastAsia="宋体" w:cs="Times New Roman"/>
                      <w:color w:val="000000" w:themeColor="text1"/>
                      <w:spacing w:val="0"/>
                      <w:kern w:val="0"/>
                      <w:sz w:val="21"/>
                      <w:szCs w:val="21"/>
                      <w:highlight w:val="none"/>
                      <w:lang w:val="en-US" w:eastAsia="zh-CN"/>
                      <w14:textFill>
                        <w14:solidFill>
                          <w14:schemeClr w14:val="tx1"/>
                        </w14:solidFill>
                      </w14:textFill>
                    </w:rPr>
                  </w:pPr>
                </w:p>
              </w:tc>
              <w:tc>
                <w:tcPr>
                  <w:tcW w:w="558" w:type="pct"/>
                  <w:tcBorders>
                    <w:tl2br w:val="nil"/>
                    <w:tr2bl w:val="nil"/>
                  </w:tcBorders>
                  <w:shd w:val="clear" w:color="auto" w:fill="auto"/>
                  <w:vAlign w:val="center"/>
                </w:tcPr>
                <w:p w14:paraId="13489BDC">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bidi="zh-CN"/>
                      <w14:textFill>
                        <w14:solidFill>
                          <w14:schemeClr w14:val="tx1"/>
                        </w14:solidFill>
                      </w14:textFill>
                    </w:rPr>
                    <w:t>双级破碎机</w:t>
                  </w:r>
                </w:p>
              </w:tc>
              <w:tc>
                <w:tcPr>
                  <w:tcW w:w="295" w:type="pct"/>
                  <w:tcBorders>
                    <w:tl2br w:val="nil"/>
                    <w:tr2bl w:val="nil"/>
                  </w:tcBorders>
                  <w:shd w:val="clear" w:color="auto" w:fill="auto"/>
                  <w:vAlign w:val="center"/>
                </w:tcPr>
                <w:p w14:paraId="3E1A97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w:t>
                  </w:r>
                </w:p>
              </w:tc>
              <w:tc>
                <w:tcPr>
                  <w:tcW w:w="305" w:type="pct"/>
                  <w:tcBorders>
                    <w:tl2br w:val="nil"/>
                    <w:tr2bl w:val="nil"/>
                  </w:tcBorders>
                  <w:shd w:val="clear" w:color="auto" w:fill="auto"/>
                  <w:vAlign w:val="center"/>
                </w:tcPr>
                <w:p w14:paraId="370D50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85</w:t>
                  </w:r>
                </w:p>
              </w:tc>
              <w:tc>
                <w:tcPr>
                  <w:tcW w:w="404" w:type="pct"/>
                  <w:vMerge w:val="continue"/>
                  <w:tcBorders>
                    <w:tl2br w:val="nil"/>
                    <w:tr2bl w:val="nil"/>
                  </w:tcBorders>
                  <w:vAlign w:val="center"/>
                </w:tcPr>
                <w:p w14:paraId="5D27F9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53" w:type="pct"/>
                  <w:tcBorders>
                    <w:tl2br w:val="nil"/>
                    <w:tr2bl w:val="nil"/>
                  </w:tcBorders>
                  <w:shd w:val="clear" w:color="auto" w:fill="auto"/>
                  <w:vAlign w:val="center"/>
                </w:tcPr>
                <w:p w14:paraId="109C962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106</w:t>
                  </w:r>
                </w:p>
              </w:tc>
              <w:tc>
                <w:tcPr>
                  <w:tcW w:w="253" w:type="pct"/>
                  <w:tcBorders>
                    <w:tl2br w:val="nil"/>
                    <w:tr2bl w:val="nil"/>
                  </w:tcBorders>
                  <w:shd w:val="clear" w:color="auto" w:fill="auto"/>
                  <w:vAlign w:val="center"/>
                </w:tcPr>
                <w:p w14:paraId="0CC5FC3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10</w:t>
                  </w:r>
                </w:p>
              </w:tc>
              <w:tc>
                <w:tcPr>
                  <w:tcW w:w="254" w:type="pct"/>
                  <w:tcBorders>
                    <w:tl2br w:val="nil"/>
                    <w:tr2bl w:val="nil"/>
                  </w:tcBorders>
                  <w:shd w:val="clear" w:color="auto" w:fill="auto"/>
                  <w:vAlign w:val="center"/>
                </w:tcPr>
                <w:p w14:paraId="0A18D76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2</w:t>
                  </w:r>
                </w:p>
              </w:tc>
              <w:tc>
                <w:tcPr>
                  <w:tcW w:w="360" w:type="pct"/>
                  <w:tcBorders>
                    <w:tl2br w:val="nil"/>
                    <w:tr2bl w:val="nil"/>
                  </w:tcBorders>
                  <w:shd w:val="clear" w:color="auto" w:fill="auto"/>
                  <w:vAlign w:val="center"/>
                </w:tcPr>
                <w:p w14:paraId="025071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12</w:t>
                  </w:r>
                </w:p>
              </w:tc>
              <w:tc>
                <w:tcPr>
                  <w:tcW w:w="344" w:type="pct"/>
                  <w:tcBorders>
                    <w:tl2br w:val="nil"/>
                    <w:tr2bl w:val="nil"/>
                  </w:tcBorders>
                  <w:shd w:val="clear" w:color="auto" w:fill="auto"/>
                  <w:vAlign w:val="center"/>
                </w:tcPr>
                <w:p w14:paraId="023948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63.4</w:t>
                  </w:r>
                </w:p>
              </w:tc>
              <w:tc>
                <w:tcPr>
                  <w:tcW w:w="295" w:type="pct"/>
                  <w:vMerge w:val="continue"/>
                  <w:tcBorders>
                    <w:tl2br w:val="nil"/>
                    <w:tr2bl w:val="nil"/>
                  </w:tcBorders>
                  <w:vAlign w:val="center"/>
                </w:tcPr>
                <w:p w14:paraId="1AFB6C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404" w:type="pct"/>
                  <w:tcBorders>
                    <w:tl2br w:val="nil"/>
                    <w:tr2bl w:val="nil"/>
                  </w:tcBorders>
                  <w:vAlign w:val="center"/>
                </w:tcPr>
                <w:p w14:paraId="7B309D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20</w:t>
                  </w:r>
                </w:p>
              </w:tc>
              <w:tc>
                <w:tcPr>
                  <w:tcW w:w="383" w:type="pct"/>
                  <w:tcBorders>
                    <w:tl2br w:val="nil"/>
                    <w:tr2bl w:val="nil"/>
                  </w:tcBorders>
                  <w:vAlign w:val="center"/>
                </w:tcPr>
                <w:p w14:paraId="279D7C2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3.4</w:t>
                  </w:r>
                </w:p>
              </w:tc>
              <w:tc>
                <w:tcPr>
                  <w:tcW w:w="380" w:type="pct"/>
                  <w:tcBorders>
                    <w:tl2br w:val="nil"/>
                    <w:tr2bl w:val="nil"/>
                  </w:tcBorders>
                  <w:vAlign w:val="center"/>
                </w:tcPr>
                <w:p w14:paraId="7BA86D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p>
              </w:tc>
            </w:tr>
            <w:tr w14:paraId="452C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90" w:type="pct"/>
                  <w:tcBorders>
                    <w:tl2br w:val="nil"/>
                    <w:tr2bl w:val="nil"/>
                  </w:tcBorders>
                  <w:shd w:val="clear" w:color="auto" w:fill="auto"/>
                  <w:vAlign w:val="center"/>
                </w:tcPr>
                <w:p w14:paraId="32184C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4</w:t>
                  </w:r>
                </w:p>
              </w:tc>
              <w:tc>
                <w:tcPr>
                  <w:tcW w:w="317" w:type="pct"/>
                  <w:vMerge w:val="continue"/>
                  <w:tcBorders>
                    <w:tl2br w:val="nil"/>
                    <w:tr2bl w:val="nil"/>
                  </w:tcBorders>
                  <w:vAlign w:val="center"/>
                </w:tcPr>
                <w:p w14:paraId="4309DE2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eastAsia" w:ascii="Calibri" w:hAnsi="Calibri" w:eastAsia="宋体" w:cs="Times New Roman"/>
                      <w:color w:val="000000" w:themeColor="text1"/>
                      <w:spacing w:val="0"/>
                      <w:kern w:val="0"/>
                      <w:sz w:val="21"/>
                      <w:szCs w:val="21"/>
                      <w:highlight w:val="none"/>
                      <w:lang w:val="en-US" w:eastAsia="zh-CN"/>
                      <w14:textFill>
                        <w14:solidFill>
                          <w14:schemeClr w14:val="tx1"/>
                        </w14:solidFill>
                      </w14:textFill>
                    </w:rPr>
                  </w:pPr>
                </w:p>
              </w:tc>
              <w:tc>
                <w:tcPr>
                  <w:tcW w:w="558" w:type="pct"/>
                  <w:tcBorders>
                    <w:tl2br w:val="nil"/>
                    <w:tr2bl w:val="nil"/>
                  </w:tcBorders>
                  <w:vAlign w:val="center"/>
                </w:tcPr>
                <w:p w14:paraId="7F89CA90">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bidi="zh-CN"/>
                      <w14:textFill>
                        <w14:solidFill>
                          <w14:schemeClr w14:val="tx1"/>
                        </w14:solidFill>
                      </w14:textFill>
                    </w:rPr>
                    <w:t>双级破碎机</w:t>
                  </w:r>
                </w:p>
              </w:tc>
              <w:tc>
                <w:tcPr>
                  <w:tcW w:w="295" w:type="pct"/>
                  <w:tcBorders>
                    <w:tl2br w:val="nil"/>
                    <w:tr2bl w:val="nil"/>
                  </w:tcBorders>
                  <w:vAlign w:val="center"/>
                </w:tcPr>
                <w:p w14:paraId="7F9C2C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1</w:t>
                  </w:r>
                </w:p>
              </w:tc>
              <w:tc>
                <w:tcPr>
                  <w:tcW w:w="305" w:type="pct"/>
                  <w:tcBorders>
                    <w:tl2br w:val="nil"/>
                    <w:tr2bl w:val="nil"/>
                  </w:tcBorders>
                  <w:vAlign w:val="center"/>
                </w:tcPr>
                <w:p w14:paraId="22B0BB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85</w:t>
                  </w:r>
                </w:p>
              </w:tc>
              <w:tc>
                <w:tcPr>
                  <w:tcW w:w="404" w:type="pct"/>
                  <w:vMerge w:val="continue"/>
                  <w:tcBorders>
                    <w:tl2br w:val="nil"/>
                    <w:tr2bl w:val="nil"/>
                  </w:tcBorders>
                  <w:vAlign w:val="center"/>
                </w:tcPr>
                <w:p w14:paraId="1355468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53" w:type="pct"/>
                  <w:tcBorders>
                    <w:tl2br w:val="nil"/>
                    <w:tr2bl w:val="nil"/>
                  </w:tcBorders>
                  <w:vAlign w:val="center"/>
                </w:tcPr>
                <w:p w14:paraId="5EB04E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110</w:t>
                  </w:r>
                </w:p>
              </w:tc>
              <w:tc>
                <w:tcPr>
                  <w:tcW w:w="253" w:type="pct"/>
                  <w:tcBorders>
                    <w:tl2br w:val="nil"/>
                    <w:tr2bl w:val="nil"/>
                  </w:tcBorders>
                  <w:vAlign w:val="center"/>
                </w:tcPr>
                <w:p w14:paraId="7771AB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13</w:t>
                  </w:r>
                </w:p>
              </w:tc>
              <w:tc>
                <w:tcPr>
                  <w:tcW w:w="254" w:type="pct"/>
                  <w:tcBorders>
                    <w:tl2br w:val="nil"/>
                    <w:tr2bl w:val="nil"/>
                  </w:tcBorders>
                  <w:vAlign w:val="center"/>
                </w:tcPr>
                <w:p w14:paraId="41666B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3</w:t>
                  </w:r>
                </w:p>
              </w:tc>
              <w:tc>
                <w:tcPr>
                  <w:tcW w:w="360" w:type="pct"/>
                  <w:tcBorders>
                    <w:tl2br w:val="nil"/>
                    <w:tr2bl w:val="nil"/>
                  </w:tcBorders>
                  <w:vAlign w:val="center"/>
                </w:tcPr>
                <w:p w14:paraId="0534A77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13</w:t>
                  </w:r>
                </w:p>
              </w:tc>
              <w:tc>
                <w:tcPr>
                  <w:tcW w:w="344" w:type="pct"/>
                  <w:tcBorders>
                    <w:tl2br w:val="nil"/>
                    <w:tr2bl w:val="nil"/>
                  </w:tcBorders>
                  <w:vAlign w:val="center"/>
                </w:tcPr>
                <w:p w14:paraId="17CC21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62.7</w:t>
                  </w:r>
                </w:p>
              </w:tc>
              <w:tc>
                <w:tcPr>
                  <w:tcW w:w="295" w:type="pct"/>
                  <w:vMerge w:val="continue"/>
                  <w:tcBorders>
                    <w:tl2br w:val="nil"/>
                    <w:tr2bl w:val="nil"/>
                  </w:tcBorders>
                  <w:vAlign w:val="center"/>
                </w:tcPr>
                <w:p w14:paraId="61A64F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404" w:type="pct"/>
                  <w:tcBorders>
                    <w:tl2br w:val="nil"/>
                    <w:tr2bl w:val="nil"/>
                  </w:tcBorders>
                  <w:vAlign w:val="center"/>
                </w:tcPr>
                <w:p w14:paraId="0195E8D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20</w:t>
                  </w:r>
                </w:p>
              </w:tc>
              <w:tc>
                <w:tcPr>
                  <w:tcW w:w="383" w:type="pct"/>
                  <w:tcBorders>
                    <w:tl2br w:val="nil"/>
                    <w:tr2bl w:val="nil"/>
                  </w:tcBorders>
                  <w:vAlign w:val="center"/>
                </w:tcPr>
                <w:p w14:paraId="22B14B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2.7</w:t>
                  </w:r>
                </w:p>
              </w:tc>
              <w:tc>
                <w:tcPr>
                  <w:tcW w:w="380" w:type="pct"/>
                  <w:tcBorders>
                    <w:tl2br w:val="nil"/>
                    <w:tr2bl w:val="nil"/>
                  </w:tcBorders>
                  <w:vAlign w:val="center"/>
                </w:tcPr>
                <w:p w14:paraId="655919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p>
              </w:tc>
            </w:tr>
            <w:tr w14:paraId="1771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 w:type="pct"/>
                  <w:tcBorders>
                    <w:tl2br w:val="nil"/>
                    <w:tr2bl w:val="nil"/>
                  </w:tcBorders>
                  <w:shd w:val="clear" w:color="auto" w:fill="auto"/>
                  <w:vAlign w:val="center"/>
                </w:tcPr>
                <w:p w14:paraId="609308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5</w:t>
                  </w:r>
                </w:p>
              </w:tc>
              <w:tc>
                <w:tcPr>
                  <w:tcW w:w="317" w:type="pct"/>
                  <w:vMerge w:val="continue"/>
                  <w:tcBorders>
                    <w:tl2br w:val="nil"/>
                    <w:tr2bl w:val="nil"/>
                  </w:tcBorders>
                  <w:vAlign w:val="center"/>
                </w:tcPr>
                <w:p w14:paraId="5F8E2E9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000000" w:themeColor="text1"/>
                      <w:spacing w:val="0"/>
                      <w:kern w:val="0"/>
                      <w:sz w:val="21"/>
                      <w:szCs w:val="21"/>
                      <w:highlight w:val="none"/>
                      <w:lang w:val="en-US" w:eastAsia="zh-CN"/>
                      <w14:textFill>
                        <w14:solidFill>
                          <w14:schemeClr w14:val="tx1"/>
                        </w14:solidFill>
                      </w14:textFill>
                    </w:rPr>
                  </w:pPr>
                </w:p>
              </w:tc>
              <w:tc>
                <w:tcPr>
                  <w:tcW w:w="558" w:type="pct"/>
                  <w:tcBorders>
                    <w:tl2br w:val="nil"/>
                    <w:tr2bl w:val="nil"/>
                  </w:tcBorders>
                  <w:vAlign w:val="center"/>
                </w:tcPr>
                <w:p w14:paraId="6D1C15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bidi="zh-CN"/>
                      <w14:textFill>
                        <w14:solidFill>
                          <w14:schemeClr w14:val="tx1"/>
                        </w14:solidFill>
                      </w14:textFill>
                    </w:rPr>
                    <w:t>筛分机</w:t>
                  </w:r>
                </w:p>
              </w:tc>
              <w:tc>
                <w:tcPr>
                  <w:tcW w:w="295" w:type="pct"/>
                  <w:tcBorders>
                    <w:tl2br w:val="nil"/>
                    <w:tr2bl w:val="nil"/>
                  </w:tcBorders>
                  <w:vAlign w:val="center"/>
                </w:tcPr>
                <w:p w14:paraId="78D85C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1</w:t>
                  </w:r>
                </w:p>
              </w:tc>
              <w:tc>
                <w:tcPr>
                  <w:tcW w:w="305" w:type="pct"/>
                  <w:tcBorders>
                    <w:tl2br w:val="nil"/>
                    <w:tr2bl w:val="nil"/>
                  </w:tcBorders>
                  <w:vAlign w:val="center"/>
                </w:tcPr>
                <w:p w14:paraId="708201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85</w:t>
                  </w:r>
                </w:p>
              </w:tc>
              <w:tc>
                <w:tcPr>
                  <w:tcW w:w="404" w:type="pct"/>
                  <w:vMerge w:val="continue"/>
                  <w:tcBorders>
                    <w:tl2br w:val="nil"/>
                    <w:tr2bl w:val="nil"/>
                  </w:tcBorders>
                  <w:vAlign w:val="center"/>
                </w:tcPr>
                <w:p w14:paraId="254EDA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53" w:type="pct"/>
                  <w:tcBorders>
                    <w:tl2br w:val="nil"/>
                    <w:tr2bl w:val="nil"/>
                  </w:tcBorders>
                  <w:vAlign w:val="center"/>
                </w:tcPr>
                <w:p w14:paraId="68ECB81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103</w:t>
                  </w:r>
                </w:p>
              </w:tc>
              <w:tc>
                <w:tcPr>
                  <w:tcW w:w="253" w:type="pct"/>
                  <w:tcBorders>
                    <w:tl2br w:val="nil"/>
                    <w:tr2bl w:val="nil"/>
                  </w:tcBorders>
                  <w:vAlign w:val="center"/>
                </w:tcPr>
                <w:p w14:paraId="7503149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13</w:t>
                  </w:r>
                </w:p>
              </w:tc>
              <w:tc>
                <w:tcPr>
                  <w:tcW w:w="254" w:type="pct"/>
                  <w:tcBorders>
                    <w:tl2br w:val="nil"/>
                    <w:tr2bl w:val="nil"/>
                  </w:tcBorders>
                  <w:vAlign w:val="center"/>
                </w:tcPr>
                <w:p w14:paraId="4181D21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3</w:t>
                  </w:r>
                </w:p>
              </w:tc>
              <w:tc>
                <w:tcPr>
                  <w:tcW w:w="360" w:type="pct"/>
                  <w:tcBorders>
                    <w:tl2br w:val="nil"/>
                    <w:tr2bl w:val="nil"/>
                  </w:tcBorders>
                  <w:vAlign w:val="center"/>
                </w:tcPr>
                <w:p w14:paraId="499396C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12</w:t>
                  </w:r>
                </w:p>
              </w:tc>
              <w:tc>
                <w:tcPr>
                  <w:tcW w:w="344" w:type="pct"/>
                  <w:tcBorders>
                    <w:tl2br w:val="nil"/>
                    <w:tr2bl w:val="nil"/>
                  </w:tcBorders>
                  <w:vAlign w:val="center"/>
                </w:tcPr>
                <w:p w14:paraId="759067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63.4</w:t>
                  </w:r>
                </w:p>
              </w:tc>
              <w:tc>
                <w:tcPr>
                  <w:tcW w:w="295" w:type="pct"/>
                  <w:vMerge w:val="continue"/>
                  <w:tcBorders>
                    <w:tl2br w:val="nil"/>
                    <w:tr2bl w:val="nil"/>
                  </w:tcBorders>
                  <w:vAlign w:val="center"/>
                </w:tcPr>
                <w:p w14:paraId="484A1C3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c>
                <w:tcPr>
                  <w:tcW w:w="404" w:type="pct"/>
                  <w:tcBorders>
                    <w:tl2br w:val="nil"/>
                    <w:tr2bl w:val="nil"/>
                  </w:tcBorders>
                  <w:vAlign w:val="center"/>
                </w:tcPr>
                <w:p w14:paraId="0FE964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20</w:t>
                  </w:r>
                </w:p>
              </w:tc>
              <w:tc>
                <w:tcPr>
                  <w:tcW w:w="383" w:type="pct"/>
                  <w:tcBorders>
                    <w:tl2br w:val="nil"/>
                    <w:tr2bl w:val="nil"/>
                  </w:tcBorders>
                  <w:vAlign w:val="center"/>
                </w:tcPr>
                <w:p w14:paraId="0660EA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3.4</w:t>
                  </w:r>
                </w:p>
              </w:tc>
              <w:tc>
                <w:tcPr>
                  <w:tcW w:w="380" w:type="pct"/>
                  <w:tcBorders>
                    <w:tl2br w:val="nil"/>
                    <w:tr2bl w:val="nil"/>
                  </w:tcBorders>
                  <w:vAlign w:val="center"/>
                </w:tcPr>
                <w:p w14:paraId="78B5CC3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p>
              </w:tc>
            </w:tr>
            <w:tr w14:paraId="315D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 w:type="pct"/>
                  <w:tcBorders>
                    <w:tl2br w:val="nil"/>
                    <w:tr2bl w:val="nil"/>
                  </w:tcBorders>
                  <w:shd w:val="clear" w:color="auto" w:fill="auto"/>
                  <w:vAlign w:val="center"/>
                </w:tcPr>
                <w:p w14:paraId="6BA3FF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6</w:t>
                  </w:r>
                </w:p>
              </w:tc>
              <w:tc>
                <w:tcPr>
                  <w:tcW w:w="317" w:type="pct"/>
                  <w:vMerge w:val="continue"/>
                  <w:tcBorders>
                    <w:tl2br w:val="nil"/>
                    <w:tr2bl w:val="nil"/>
                  </w:tcBorders>
                  <w:vAlign w:val="center"/>
                </w:tcPr>
                <w:p w14:paraId="56E0A9C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000000" w:themeColor="text1"/>
                      <w:spacing w:val="0"/>
                      <w:kern w:val="0"/>
                      <w:sz w:val="21"/>
                      <w:szCs w:val="21"/>
                      <w:highlight w:val="none"/>
                      <w:lang w:val="en-US" w:eastAsia="zh-CN"/>
                      <w14:textFill>
                        <w14:solidFill>
                          <w14:schemeClr w14:val="tx1"/>
                        </w14:solidFill>
                      </w14:textFill>
                    </w:rPr>
                  </w:pPr>
                </w:p>
              </w:tc>
              <w:tc>
                <w:tcPr>
                  <w:tcW w:w="558" w:type="pct"/>
                  <w:tcBorders>
                    <w:tl2br w:val="nil"/>
                    <w:tr2bl w:val="nil"/>
                  </w:tcBorders>
                  <w:vAlign w:val="center"/>
                </w:tcPr>
                <w:p w14:paraId="735528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bidi="zh-CN"/>
                      <w14:textFill>
                        <w14:solidFill>
                          <w14:schemeClr w14:val="tx1"/>
                        </w14:solidFill>
                      </w14:textFill>
                    </w:rPr>
                    <w:t>筛分机</w:t>
                  </w:r>
                </w:p>
              </w:tc>
              <w:tc>
                <w:tcPr>
                  <w:tcW w:w="295" w:type="pct"/>
                  <w:tcBorders>
                    <w:tl2br w:val="nil"/>
                    <w:tr2bl w:val="nil"/>
                  </w:tcBorders>
                  <w:vAlign w:val="center"/>
                </w:tcPr>
                <w:p w14:paraId="613864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1</w:t>
                  </w:r>
                </w:p>
              </w:tc>
              <w:tc>
                <w:tcPr>
                  <w:tcW w:w="305" w:type="pct"/>
                  <w:tcBorders>
                    <w:tl2br w:val="nil"/>
                    <w:tr2bl w:val="nil"/>
                  </w:tcBorders>
                  <w:vAlign w:val="center"/>
                </w:tcPr>
                <w:p w14:paraId="438F4F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85</w:t>
                  </w:r>
                </w:p>
              </w:tc>
              <w:tc>
                <w:tcPr>
                  <w:tcW w:w="404" w:type="pct"/>
                  <w:vMerge w:val="continue"/>
                  <w:tcBorders>
                    <w:tl2br w:val="nil"/>
                    <w:tr2bl w:val="nil"/>
                  </w:tcBorders>
                  <w:vAlign w:val="center"/>
                </w:tcPr>
                <w:p w14:paraId="07C389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53" w:type="pct"/>
                  <w:tcBorders>
                    <w:tl2br w:val="nil"/>
                    <w:tr2bl w:val="nil"/>
                  </w:tcBorders>
                  <w:vAlign w:val="center"/>
                </w:tcPr>
                <w:p w14:paraId="164C73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98</w:t>
                  </w:r>
                </w:p>
              </w:tc>
              <w:tc>
                <w:tcPr>
                  <w:tcW w:w="253" w:type="pct"/>
                  <w:tcBorders>
                    <w:tl2br w:val="nil"/>
                    <w:tr2bl w:val="nil"/>
                  </w:tcBorders>
                  <w:vAlign w:val="center"/>
                </w:tcPr>
                <w:p w14:paraId="6B1F7D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12</w:t>
                  </w:r>
                </w:p>
              </w:tc>
              <w:tc>
                <w:tcPr>
                  <w:tcW w:w="254" w:type="pct"/>
                  <w:tcBorders>
                    <w:tl2br w:val="nil"/>
                    <w:tr2bl w:val="nil"/>
                  </w:tcBorders>
                  <w:vAlign w:val="center"/>
                </w:tcPr>
                <w:p w14:paraId="1CEA74B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3</w:t>
                  </w:r>
                </w:p>
              </w:tc>
              <w:tc>
                <w:tcPr>
                  <w:tcW w:w="360" w:type="pct"/>
                  <w:tcBorders>
                    <w:tl2br w:val="nil"/>
                    <w:tr2bl w:val="nil"/>
                  </w:tcBorders>
                  <w:vAlign w:val="center"/>
                </w:tcPr>
                <w:p w14:paraId="4B205AF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14</w:t>
                  </w:r>
                </w:p>
              </w:tc>
              <w:tc>
                <w:tcPr>
                  <w:tcW w:w="344" w:type="pct"/>
                  <w:tcBorders>
                    <w:tl2br w:val="nil"/>
                    <w:tr2bl w:val="nil"/>
                  </w:tcBorders>
                  <w:vAlign w:val="center"/>
                </w:tcPr>
                <w:p w14:paraId="50DBFD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62.1</w:t>
                  </w:r>
                </w:p>
              </w:tc>
              <w:tc>
                <w:tcPr>
                  <w:tcW w:w="295" w:type="pct"/>
                  <w:vMerge w:val="continue"/>
                  <w:tcBorders>
                    <w:tl2br w:val="nil"/>
                    <w:tr2bl w:val="nil"/>
                  </w:tcBorders>
                  <w:vAlign w:val="center"/>
                </w:tcPr>
                <w:p w14:paraId="29C7FFD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c>
                <w:tcPr>
                  <w:tcW w:w="404" w:type="pct"/>
                  <w:tcBorders>
                    <w:tl2br w:val="nil"/>
                    <w:tr2bl w:val="nil"/>
                  </w:tcBorders>
                  <w:vAlign w:val="center"/>
                </w:tcPr>
                <w:p w14:paraId="262921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20</w:t>
                  </w:r>
                </w:p>
              </w:tc>
              <w:tc>
                <w:tcPr>
                  <w:tcW w:w="383" w:type="pct"/>
                  <w:tcBorders>
                    <w:tl2br w:val="nil"/>
                    <w:tr2bl w:val="nil"/>
                  </w:tcBorders>
                  <w:vAlign w:val="center"/>
                </w:tcPr>
                <w:p w14:paraId="0DBB57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w:t>
                  </w:r>
                </w:p>
              </w:tc>
              <w:tc>
                <w:tcPr>
                  <w:tcW w:w="380" w:type="pct"/>
                  <w:tcBorders>
                    <w:tl2br w:val="nil"/>
                    <w:tr2bl w:val="nil"/>
                  </w:tcBorders>
                  <w:vAlign w:val="center"/>
                </w:tcPr>
                <w:p w14:paraId="5068B33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p>
              </w:tc>
            </w:tr>
            <w:tr w14:paraId="7FFD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 w:type="pct"/>
                  <w:tcBorders>
                    <w:tl2br w:val="nil"/>
                    <w:tr2bl w:val="nil"/>
                  </w:tcBorders>
                  <w:shd w:val="clear" w:color="auto" w:fill="auto"/>
                  <w:vAlign w:val="center"/>
                </w:tcPr>
                <w:p w14:paraId="2A93E8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7</w:t>
                  </w:r>
                </w:p>
              </w:tc>
              <w:tc>
                <w:tcPr>
                  <w:tcW w:w="317" w:type="pct"/>
                  <w:vMerge w:val="continue"/>
                  <w:tcBorders>
                    <w:tl2br w:val="nil"/>
                    <w:tr2bl w:val="nil"/>
                  </w:tcBorders>
                  <w:vAlign w:val="center"/>
                </w:tcPr>
                <w:p w14:paraId="702CEA2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000000" w:themeColor="text1"/>
                      <w:spacing w:val="0"/>
                      <w:kern w:val="0"/>
                      <w:sz w:val="21"/>
                      <w:szCs w:val="21"/>
                      <w:highlight w:val="none"/>
                      <w:lang w:val="en-US" w:eastAsia="zh-CN"/>
                      <w14:textFill>
                        <w14:solidFill>
                          <w14:schemeClr w14:val="tx1"/>
                        </w14:solidFill>
                      </w14:textFill>
                    </w:rPr>
                  </w:pPr>
                </w:p>
              </w:tc>
              <w:tc>
                <w:tcPr>
                  <w:tcW w:w="558" w:type="pct"/>
                  <w:tcBorders>
                    <w:tl2br w:val="nil"/>
                    <w:tr2bl w:val="nil"/>
                  </w:tcBorders>
                  <w:vAlign w:val="center"/>
                </w:tcPr>
                <w:p w14:paraId="13DB63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t>皮带输送机</w:t>
                  </w:r>
                </w:p>
              </w:tc>
              <w:tc>
                <w:tcPr>
                  <w:tcW w:w="295" w:type="pct"/>
                  <w:tcBorders>
                    <w:tl2br w:val="nil"/>
                    <w:tr2bl w:val="nil"/>
                  </w:tcBorders>
                  <w:vAlign w:val="center"/>
                </w:tcPr>
                <w:p w14:paraId="667E57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1</w:t>
                  </w:r>
                </w:p>
              </w:tc>
              <w:tc>
                <w:tcPr>
                  <w:tcW w:w="305" w:type="pct"/>
                  <w:tcBorders>
                    <w:tl2br w:val="nil"/>
                    <w:tr2bl w:val="nil"/>
                  </w:tcBorders>
                  <w:vAlign w:val="center"/>
                </w:tcPr>
                <w:p w14:paraId="5B1A50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75</w:t>
                  </w:r>
                </w:p>
              </w:tc>
              <w:tc>
                <w:tcPr>
                  <w:tcW w:w="404" w:type="pct"/>
                  <w:vMerge w:val="continue"/>
                  <w:tcBorders>
                    <w:tl2br w:val="nil"/>
                    <w:tr2bl w:val="nil"/>
                  </w:tcBorders>
                  <w:vAlign w:val="center"/>
                </w:tcPr>
                <w:p w14:paraId="0352217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53" w:type="pct"/>
                  <w:tcBorders>
                    <w:tl2br w:val="nil"/>
                    <w:tr2bl w:val="nil"/>
                  </w:tcBorders>
                  <w:vAlign w:val="center"/>
                </w:tcPr>
                <w:p w14:paraId="7FFE90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114</w:t>
                  </w:r>
                </w:p>
              </w:tc>
              <w:tc>
                <w:tcPr>
                  <w:tcW w:w="253" w:type="pct"/>
                  <w:tcBorders>
                    <w:tl2br w:val="nil"/>
                    <w:tr2bl w:val="nil"/>
                  </w:tcBorders>
                  <w:vAlign w:val="center"/>
                </w:tcPr>
                <w:p w14:paraId="478879E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15</w:t>
                  </w:r>
                </w:p>
              </w:tc>
              <w:tc>
                <w:tcPr>
                  <w:tcW w:w="254" w:type="pct"/>
                  <w:tcBorders>
                    <w:tl2br w:val="nil"/>
                    <w:tr2bl w:val="nil"/>
                  </w:tcBorders>
                  <w:vAlign w:val="center"/>
                </w:tcPr>
                <w:p w14:paraId="75682AF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2</w:t>
                  </w:r>
                </w:p>
              </w:tc>
              <w:tc>
                <w:tcPr>
                  <w:tcW w:w="360" w:type="pct"/>
                  <w:tcBorders>
                    <w:tl2br w:val="nil"/>
                    <w:tr2bl w:val="nil"/>
                  </w:tcBorders>
                  <w:vAlign w:val="center"/>
                </w:tcPr>
                <w:p w14:paraId="699E6F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15</w:t>
                  </w:r>
                </w:p>
              </w:tc>
              <w:tc>
                <w:tcPr>
                  <w:tcW w:w="344" w:type="pct"/>
                  <w:tcBorders>
                    <w:tl2br w:val="nil"/>
                    <w:tr2bl w:val="nil"/>
                  </w:tcBorders>
                  <w:vAlign w:val="center"/>
                </w:tcPr>
                <w:p w14:paraId="6F6589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51.5</w:t>
                  </w:r>
                </w:p>
              </w:tc>
              <w:tc>
                <w:tcPr>
                  <w:tcW w:w="295" w:type="pct"/>
                  <w:vMerge w:val="continue"/>
                  <w:tcBorders>
                    <w:tl2br w:val="nil"/>
                    <w:tr2bl w:val="nil"/>
                  </w:tcBorders>
                  <w:vAlign w:val="center"/>
                </w:tcPr>
                <w:p w14:paraId="3CAC6FC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04" w:type="pct"/>
                  <w:tcBorders>
                    <w:tl2br w:val="nil"/>
                    <w:tr2bl w:val="nil"/>
                  </w:tcBorders>
                  <w:vAlign w:val="center"/>
                </w:tcPr>
                <w:p w14:paraId="0C9CE3F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20</w:t>
                  </w:r>
                </w:p>
              </w:tc>
              <w:tc>
                <w:tcPr>
                  <w:tcW w:w="383" w:type="pct"/>
                  <w:tcBorders>
                    <w:tl2br w:val="nil"/>
                    <w:tr2bl w:val="nil"/>
                  </w:tcBorders>
                  <w:vAlign w:val="center"/>
                </w:tcPr>
                <w:p w14:paraId="03CBA8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380" w:type="pct"/>
                  <w:tcBorders>
                    <w:tl2br w:val="nil"/>
                    <w:tr2bl w:val="nil"/>
                  </w:tcBorders>
                  <w:vAlign w:val="center"/>
                </w:tcPr>
                <w:p w14:paraId="17CA9E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p>
              </w:tc>
            </w:tr>
            <w:tr w14:paraId="2662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 w:type="pct"/>
                  <w:tcBorders>
                    <w:tl2br w:val="nil"/>
                    <w:tr2bl w:val="nil"/>
                  </w:tcBorders>
                  <w:shd w:val="clear" w:color="auto" w:fill="auto"/>
                  <w:vAlign w:val="center"/>
                </w:tcPr>
                <w:p w14:paraId="03CA2E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8</w:t>
                  </w:r>
                </w:p>
              </w:tc>
              <w:tc>
                <w:tcPr>
                  <w:tcW w:w="317" w:type="pct"/>
                  <w:vMerge w:val="continue"/>
                  <w:tcBorders>
                    <w:tl2br w:val="nil"/>
                    <w:tr2bl w:val="nil"/>
                  </w:tcBorders>
                  <w:vAlign w:val="center"/>
                </w:tcPr>
                <w:p w14:paraId="264AA6B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000000" w:themeColor="text1"/>
                      <w:spacing w:val="0"/>
                      <w:kern w:val="0"/>
                      <w:sz w:val="21"/>
                      <w:szCs w:val="21"/>
                      <w:highlight w:val="none"/>
                      <w:lang w:val="en-US" w:eastAsia="zh-CN"/>
                      <w14:textFill>
                        <w14:solidFill>
                          <w14:schemeClr w14:val="tx1"/>
                        </w14:solidFill>
                      </w14:textFill>
                    </w:rPr>
                  </w:pPr>
                </w:p>
              </w:tc>
              <w:tc>
                <w:tcPr>
                  <w:tcW w:w="558" w:type="pct"/>
                  <w:tcBorders>
                    <w:tl2br w:val="nil"/>
                    <w:tr2bl w:val="nil"/>
                  </w:tcBorders>
                  <w:vAlign w:val="center"/>
                </w:tcPr>
                <w:p w14:paraId="2E41F3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t>皮带输送机</w:t>
                  </w:r>
                </w:p>
              </w:tc>
              <w:tc>
                <w:tcPr>
                  <w:tcW w:w="295" w:type="pct"/>
                  <w:tcBorders>
                    <w:tl2br w:val="nil"/>
                    <w:tr2bl w:val="nil"/>
                  </w:tcBorders>
                  <w:vAlign w:val="center"/>
                </w:tcPr>
                <w:p w14:paraId="5DA0BC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w:t>
                  </w:r>
                </w:p>
              </w:tc>
              <w:tc>
                <w:tcPr>
                  <w:tcW w:w="305" w:type="pct"/>
                  <w:tcBorders>
                    <w:tl2br w:val="nil"/>
                    <w:tr2bl w:val="nil"/>
                  </w:tcBorders>
                  <w:vAlign w:val="center"/>
                </w:tcPr>
                <w:p w14:paraId="3D4099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75</w:t>
                  </w:r>
                </w:p>
              </w:tc>
              <w:tc>
                <w:tcPr>
                  <w:tcW w:w="404" w:type="pct"/>
                  <w:vMerge w:val="continue"/>
                  <w:tcBorders>
                    <w:tl2br w:val="nil"/>
                    <w:tr2bl w:val="nil"/>
                  </w:tcBorders>
                  <w:vAlign w:val="center"/>
                </w:tcPr>
                <w:p w14:paraId="59A4E43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53" w:type="pct"/>
                  <w:tcBorders>
                    <w:tl2br w:val="nil"/>
                    <w:tr2bl w:val="nil"/>
                  </w:tcBorders>
                  <w:vAlign w:val="center"/>
                </w:tcPr>
                <w:p w14:paraId="1CBDC22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111</w:t>
                  </w:r>
                </w:p>
              </w:tc>
              <w:tc>
                <w:tcPr>
                  <w:tcW w:w="253" w:type="pct"/>
                  <w:tcBorders>
                    <w:tl2br w:val="nil"/>
                    <w:tr2bl w:val="nil"/>
                  </w:tcBorders>
                  <w:vAlign w:val="center"/>
                </w:tcPr>
                <w:p w14:paraId="23760BC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14</w:t>
                  </w:r>
                </w:p>
              </w:tc>
              <w:tc>
                <w:tcPr>
                  <w:tcW w:w="254" w:type="pct"/>
                  <w:tcBorders>
                    <w:tl2br w:val="nil"/>
                    <w:tr2bl w:val="nil"/>
                  </w:tcBorders>
                  <w:vAlign w:val="center"/>
                </w:tcPr>
                <w:p w14:paraId="00427D6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2</w:t>
                  </w:r>
                </w:p>
              </w:tc>
              <w:tc>
                <w:tcPr>
                  <w:tcW w:w="360" w:type="pct"/>
                  <w:tcBorders>
                    <w:tl2br w:val="nil"/>
                    <w:tr2bl w:val="nil"/>
                  </w:tcBorders>
                  <w:vAlign w:val="center"/>
                </w:tcPr>
                <w:p w14:paraId="6095FB2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16</w:t>
                  </w:r>
                </w:p>
              </w:tc>
              <w:tc>
                <w:tcPr>
                  <w:tcW w:w="344" w:type="pct"/>
                  <w:tcBorders>
                    <w:tl2br w:val="nil"/>
                    <w:tr2bl w:val="nil"/>
                  </w:tcBorders>
                  <w:vAlign w:val="center"/>
                </w:tcPr>
                <w:p w14:paraId="070DE6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50.9</w:t>
                  </w:r>
                </w:p>
              </w:tc>
              <w:tc>
                <w:tcPr>
                  <w:tcW w:w="295" w:type="pct"/>
                  <w:vMerge w:val="continue"/>
                  <w:tcBorders>
                    <w:tl2br w:val="nil"/>
                    <w:tr2bl w:val="nil"/>
                  </w:tcBorders>
                  <w:vAlign w:val="center"/>
                </w:tcPr>
                <w:p w14:paraId="60DCE30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04" w:type="pct"/>
                  <w:tcBorders>
                    <w:tl2br w:val="nil"/>
                    <w:tr2bl w:val="nil"/>
                  </w:tcBorders>
                  <w:vAlign w:val="center"/>
                </w:tcPr>
                <w:p w14:paraId="6A8827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20</w:t>
                  </w:r>
                </w:p>
              </w:tc>
              <w:tc>
                <w:tcPr>
                  <w:tcW w:w="383" w:type="pct"/>
                  <w:tcBorders>
                    <w:tl2br w:val="nil"/>
                    <w:tr2bl w:val="nil"/>
                  </w:tcBorders>
                  <w:vAlign w:val="center"/>
                </w:tcPr>
                <w:p w14:paraId="6C7DEC48">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w:t>
                  </w:r>
                </w:p>
              </w:tc>
              <w:tc>
                <w:tcPr>
                  <w:tcW w:w="380" w:type="pct"/>
                  <w:tcBorders>
                    <w:tl2br w:val="nil"/>
                    <w:tr2bl w:val="nil"/>
                  </w:tcBorders>
                  <w:vAlign w:val="center"/>
                </w:tcPr>
                <w:p w14:paraId="43A85F3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p>
              </w:tc>
            </w:tr>
            <w:tr w14:paraId="62FE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 w:type="pct"/>
                  <w:tcBorders>
                    <w:tl2br w:val="nil"/>
                    <w:tr2bl w:val="nil"/>
                  </w:tcBorders>
                  <w:shd w:val="clear" w:color="auto" w:fill="auto"/>
                  <w:vAlign w:val="center"/>
                </w:tcPr>
                <w:p w14:paraId="2D80E4E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9</w:t>
                  </w:r>
                </w:p>
              </w:tc>
              <w:tc>
                <w:tcPr>
                  <w:tcW w:w="317" w:type="pct"/>
                  <w:vMerge w:val="continue"/>
                  <w:tcBorders>
                    <w:tl2br w:val="nil"/>
                    <w:tr2bl w:val="nil"/>
                  </w:tcBorders>
                  <w:vAlign w:val="center"/>
                </w:tcPr>
                <w:p w14:paraId="67F9F0A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000000" w:themeColor="text1"/>
                      <w:spacing w:val="0"/>
                      <w:kern w:val="0"/>
                      <w:sz w:val="21"/>
                      <w:szCs w:val="21"/>
                      <w:highlight w:val="none"/>
                      <w:lang w:val="en-US" w:eastAsia="zh-CN"/>
                      <w14:textFill>
                        <w14:solidFill>
                          <w14:schemeClr w14:val="tx1"/>
                        </w14:solidFill>
                      </w14:textFill>
                    </w:rPr>
                  </w:pPr>
                </w:p>
              </w:tc>
              <w:tc>
                <w:tcPr>
                  <w:tcW w:w="558" w:type="pct"/>
                  <w:tcBorders>
                    <w:tl2br w:val="nil"/>
                    <w:tr2bl w:val="nil"/>
                  </w:tcBorders>
                  <w:vAlign w:val="center"/>
                </w:tcPr>
                <w:p w14:paraId="0054EB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t>皮带输送机</w:t>
                  </w:r>
                </w:p>
              </w:tc>
              <w:tc>
                <w:tcPr>
                  <w:tcW w:w="295" w:type="pct"/>
                  <w:tcBorders>
                    <w:tl2br w:val="nil"/>
                    <w:tr2bl w:val="nil"/>
                  </w:tcBorders>
                  <w:vAlign w:val="center"/>
                </w:tcPr>
                <w:p w14:paraId="4DCB3E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w:t>
                  </w:r>
                </w:p>
              </w:tc>
              <w:tc>
                <w:tcPr>
                  <w:tcW w:w="305" w:type="pct"/>
                  <w:tcBorders>
                    <w:tl2br w:val="nil"/>
                    <w:tr2bl w:val="nil"/>
                  </w:tcBorders>
                  <w:vAlign w:val="center"/>
                </w:tcPr>
                <w:p w14:paraId="430115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75</w:t>
                  </w:r>
                </w:p>
              </w:tc>
              <w:tc>
                <w:tcPr>
                  <w:tcW w:w="404" w:type="pct"/>
                  <w:vMerge w:val="continue"/>
                  <w:tcBorders>
                    <w:tl2br w:val="nil"/>
                    <w:tr2bl w:val="nil"/>
                  </w:tcBorders>
                  <w:vAlign w:val="center"/>
                </w:tcPr>
                <w:p w14:paraId="650BB09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53" w:type="pct"/>
                  <w:tcBorders>
                    <w:tl2br w:val="nil"/>
                    <w:tr2bl w:val="nil"/>
                  </w:tcBorders>
                  <w:vAlign w:val="center"/>
                </w:tcPr>
                <w:p w14:paraId="3A595C1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105</w:t>
                  </w:r>
                </w:p>
              </w:tc>
              <w:tc>
                <w:tcPr>
                  <w:tcW w:w="253" w:type="pct"/>
                  <w:tcBorders>
                    <w:tl2br w:val="nil"/>
                    <w:tr2bl w:val="nil"/>
                  </w:tcBorders>
                  <w:vAlign w:val="center"/>
                </w:tcPr>
                <w:p w14:paraId="2ACBE13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14</w:t>
                  </w:r>
                </w:p>
              </w:tc>
              <w:tc>
                <w:tcPr>
                  <w:tcW w:w="254" w:type="pct"/>
                  <w:tcBorders>
                    <w:tl2br w:val="nil"/>
                    <w:tr2bl w:val="nil"/>
                  </w:tcBorders>
                  <w:vAlign w:val="center"/>
                </w:tcPr>
                <w:p w14:paraId="20F695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1.5</w:t>
                  </w:r>
                </w:p>
              </w:tc>
              <w:tc>
                <w:tcPr>
                  <w:tcW w:w="360" w:type="pct"/>
                  <w:tcBorders>
                    <w:tl2br w:val="nil"/>
                    <w:tr2bl w:val="nil"/>
                  </w:tcBorders>
                  <w:vAlign w:val="center"/>
                </w:tcPr>
                <w:p w14:paraId="0CE36F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16</w:t>
                  </w:r>
                </w:p>
              </w:tc>
              <w:tc>
                <w:tcPr>
                  <w:tcW w:w="344" w:type="pct"/>
                  <w:tcBorders>
                    <w:tl2br w:val="nil"/>
                    <w:tr2bl w:val="nil"/>
                  </w:tcBorders>
                  <w:vAlign w:val="center"/>
                </w:tcPr>
                <w:p w14:paraId="2B61BA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50.9</w:t>
                  </w:r>
                </w:p>
              </w:tc>
              <w:tc>
                <w:tcPr>
                  <w:tcW w:w="295" w:type="pct"/>
                  <w:vMerge w:val="continue"/>
                  <w:tcBorders>
                    <w:tl2br w:val="nil"/>
                    <w:tr2bl w:val="nil"/>
                  </w:tcBorders>
                  <w:vAlign w:val="center"/>
                </w:tcPr>
                <w:p w14:paraId="11B963D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04" w:type="pct"/>
                  <w:tcBorders>
                    <w:tl2br w:val="nil"/>
                    <w:tr2bl w:val="nil"/>
                  </w:tcBorders>
                  <w:vAlign w:val="center"/>
                </w:tcPr>
                <w:p w14:paraId="7F129EB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20</w:t>
                  </w:r>
                </w:p>
              </w:tc>
              <w:tc>
                <w:tcPr>
                  <w:tcW w:w="383" w:type="pct"/>
                  <w:tcBorders>
                    <w:tl2br w:val="nil"/>
                    <w:tr2bl w:val="nil"/>
                  </w:tcBorders>
                  <w:vAlign w:val="center"/>
                </w:tcPr>
                <w:p w14:paraId="66A5131A">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w:t>
                  </w:r>
                </w:p>
              </w:tc>
              <w:tc>
                <w:tcPr>
                  <w:tcW w:w="380" w:type="pct"/>
                  <w:tcBorders>
                    <w:tl2br w:val="nil"/>
                    <w:tr2bl w:val="nil"/>
                  </w:tcBorders>
                  <w:vAlign w:val="center"/>
                </w:tcPr>
                <w:p w14:paraId="657680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p>
              </w:tc>
            </w:tr>
            <w:tr w14:paraId="4B05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 w:type="pct"/>
                  <w:tcBorders>
                    <w:tl2br w:val="nil"/>
                    <w:tr2bl w:val="nil"/>
                  </w:tcBorders>
                  <w:shd w:val="clear" w:color="auto" w:fill="auto"/>
                  <w:vAlign w:val="center"/>
                </w:tcPr>
                <w:p w14:paraId="266ED7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10</w:t>
                  </w:r>
                </w:p>
              </w:tc>
              <w:tc>
                <w:tcPr>
                  <w:tcW w:w="317" w:type="pct"/>
                  <w:vMerge w:val="continue"/>
                  <w:tcBorders>
                    <w:tl2br w:val="nil"/>
                    <w:tr2bl w:val="nil"/>
                  </w:tcBorders>
                  <w:vAlign w:val="center"/>
                </w:tcPr>
                <w:p w14:paraId="7597709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000000" w:themeColor="text1"/>
                      <w:spacing w:val="0"/>
                      <w:kern w:val="0"/>
                      <w:sz w:val="21"/>
                      <w:szCs w:val="21"/>
                      <w:highlight w:val="none"/>
                      <w:lang w:val="en-US" w:eastAsia="zh-CN"/>
                      <w14:textFill>
                        <w14:solidFill>
                          <w14:schemeClr w14:val="tx1"/>
                        </w14:solidFill>
                      </w14:textFill>
                    </w:rPr>
                  </w:pPr>
                </w:p>
              </w:tc>
              <w:tc>
                <w:tcPr>
                  <w:tcW w:w="558" w:type="pct"/>
                  <w:tcBorders>
                    <w:tl2br w:val="nil"/>
                    <w:tr2bl w:val="nil"/>
                  </w:tcBorders>
                  <w:vAlign w:val="center"/>
                </w:tcPr>
                <w:p w14:paraId="6CE42A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t>皮带输送机</w:t>
                  </w:r>
                </w:p>
              </w:tc>
              <w:tc>
                <w:tcPr>
                  <w:tcW w:w="295" w:type="pct"/>
                  <w:tcBorders>
                    <w:tl2br w:val="nil"/>
                    <w:tr2bl w:val="nil"/>
                  </w:tcBorders>
                  <w:vAlign w:val="center"/>
                </w:tcPr>
                <w:p w14:paraId="326FCD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w:t>
                  </w:r>
                </w:p>
              </w:tc>
              <w:tc>
                <w:tcPr>
                  <w:tcW w:w="305" w:type="pct"/>
                  <w:tcBorders>
                    <w:tl2br w:val="nil"/>
                    <w:tr2bl w:val="nil"/>
                  </w:tcBorders>
                  <w:vAlign w:val="center"/>
                </w:tcPr>
                <w:p w14:paraId="448D41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75</w:t>
                  </w:r>
                </w:p>
              </w:tc>
              <w:tc>
                <w:tcPr>
                  <w:tcW w:w="404" w:type="pct"/>
                  <w:vMerge w:val="continue"/>
                  <w:tcBorders>
                    <w:tl2br w:val="nil"/>
                    <w:tr2bl w:val="nil"/>
                  </w:tcBorders>
                  <w:vAlign w:val="center"/>
                </w:tcPr>
                <w:p w14:paraId="24A2273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53" w:type="pct"/>
                  <w:tcBorders>
                    <w:tl2br w:val="nil"/>
                    <w:tr2bl w:val="nil"/>
                  </w:tcBorders>
                  <w:vAlign w:val="center"/>
                </w:tcPr>
                <w:p w14:paraId="6AFEC0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100</w:t>
                  </w:r>
                </w:p>
              </w:tc>
              <w:tc>
                <w:tcPr>
                  <w:tcW w:w="253" w:type="pct"/>
                  <w:tcBorders>
                    <w:tl2br w:val="nil"/>
                    <w:tr2bl w:val="nil"/>
                  </w:tcBorders>
                  <w:vAlign w:val="center"/>
                </w:tcPr>
                <w:p w14:paraId="48AA3FD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10</w:t>
                  </w:r>
                </w:p>
              </w:tc>
              <w:tc>
                <w:tcPr>
                  <w:tcW w:w="254" w:type="pct"/>
                  <w:tcBorders>
                    <w:tl2br w:val="nil"/>
                    <w:tr2bl w:val="nil"/>
                  </w:tcBorders>
                  <w:vAlign w:val="center"/>
                </w:tcPr>
                <w:p w14:paraId="0F5B090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w:t>
                  </w:r>
                </w:p>
              </w:tc>
              <w:tc>
                <w:tcPr>
                  <w:tcW w:w="360" w:type="pct"/>
                  <w:tcBorders>
                    <w:tl2br w:val="nil"/>
                    <w:tr2bl w:val="nil"/>
                  </w:tcBorders>
                  <w:vAlign w:val="center"/>
                </w:tcPr>
                <w:p w14:paraId="778929B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15</w:t>
                  </w:r>
                </w:p>
              </w:tc>
              <w:tc>
                <w:tcPr>
                  <w:tcW w:w="344" w:type="pct"/>
                  <w:tcBorders>
                    <w:tl2br w:val="nil"/>
                    <w:tr2bl w:val="nil"/>
                  </w:tcBorders>
                  <w:vAlign w:val="center"/>
                </w:tcPr>
                <w:p w14:paraId="659C89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51.5</w:t>
                  </w:r>
                </w:p>
              </w:tc>
              <w:tc>
                <w:tcPr>
                  <w:tcW w:w="295" w:type="pct"/>
                  <w:vMerge w:val="continue"/>
                  <w:tcBorders>
                    <w:tl2br w:val="nil"/>
                    <w:tr2bl w:val="nil"/>
                  </w:tcBorders>
                  <w:vAlign w:val="center"/>
                </w:tcPr>
                <w:p w14:paraId="5709A5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04" w:type="pct"/>
                  <w:tcBorders>
                    <w:tl2br w:val="nil"/>
                    <w:tr2bl w:val="nil"/>
                  </w:tcBorders>
                  <w:vAlign w:val="center"/>
                </w:tcPr>
                <w:p w14:paraId="015B64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20</w:t>
                  </w:r>
                </w:p>
              </w:tc>
              <w:tc>
                <w:tcPr>
                  <w:tcW w:w="383" w:type="pct"/>
                  <w:tcBorders>
                    <w:tl2br w:val="nil"/>
                    <w:tr2bl w:val="nil"/>
                  </w:tcBorders>
                  <w:vAlign w:val="center"/>
                </w:tcPr>
                <w:p w14:paraId="59CD633D">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380" w:type="pct"/>
                  <w:tcBorders>
                    <w:tl2br w:val="nil"/>
                    <w:tr2bl w:val="nil"/>
                  </w:tcBorders>
                  <w:vAlign w:val="center"/>
                </w:tcPr>
                <w:p w14:paraId="3330BF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p>
              </w:tc>
            </w:tr>
            <w:tr w14:paraId="2A7C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 w:type="pct"/>
                  <w:tcBorders>
                    <w:tl2br w:val="nil"/>
                    <w:tr2bl w:val="nil"/>
                  </w:tcBorders>
                  <w:shd w:val="clear" w:color="auto" w:fill="auto"/>
                  <w:vAlign w:val="center"/>
                </w:tcPr>
                <w:p w14:paraId="576B93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11</w:t>
                  </w:r>
                </w:p>
              </w:tc>
              <w:tc>
                <w:tcPr>
                  <w:tcW w:w="317" w:type="pct"/>
                  <w:vMerge w:val="continue"/>
                  <w:tcBorders>
                    <w:tl2br w:val="nil"/>
                    <w:tr2bl w:val="nil"/>
                  </w:tcBorders>
                  <w:vAlign w:val="center"/>
                </w:tcPr>
                <w:p w14:paraId="28D2CC3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000000" w:themeColor="text1"/>
                      <w:spacing w:val="0"/>
                      <w:kern w:val="0"/>
                      <w:sz w:val="21"/>
                      <w:szCs w:val="21"/>
                      <w:highlight w:val="none"/>
                      <w:lang w:val="en-US" w:eastAsia="zh-CN"/>
                      <w14:textFill>
                        <w14:solidFill>
                          <w14:schemeClr w14:val="tx1"/>
                        </w14:solidFill>
                      </w14:textFill>
                    </w:rPr>
                  </w:pPr>
                </w:p>
              </w:tc>
              <w:tc>
                <w:tcPr>
                  <w:tcW w:w="558" w:type="pct"/>
                  <w:tcBorders>
                    <w:tl2br w:val="nil"/>
                    <w:tr2bl w:val="nil"/>
                  </w:tcBorders>
                  <w:vAlign w:val="center"/>
                </w:tcPr>
                <w:p w14:paraId="633749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t>皮带输送机</w:t>
                  </w:r>
                </w:p>
              </w:tc>
              <w:tc>
                <w:tcPr>
                  <w:tcW w:w="295" w:type="pct"/>
                  <w:tcBorders>
                    <w:tl2br w:val="nil"/>
                    <w:tr2bl w:val="nil"/>
                  </w:tcBorders>
                  <w:vAlign w:val="center"/>
                </w:tcPr>
                <w:p w14:paraId="7A416D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w:t>
                  </w:r>
                </w:p>
              </w:tc>
              <w:tc>
                <w:tcPr>
                  <w:tcW w:w="305" w:type="pct"/>
                  <w:tcBorders>
                    <w:tl2br w:val="nil"/>
                    <w:tr2bl w:val="nil"/>
                  </w:tcBorders>
                  <w:vAlign w:val="center"/>
                </w:tcPr>
                <w:p w14:paraId="7FA535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75</w:t>
                  </w:r>
                </w:p>
              </w:tc>
              <w:tc>
                <w:tcPr>
                  <w:tcW w:w="404" w:type="pct"/>
                  <w:vMerge w:val="continue"/>
                  <w:tcBorders>
                    <w:tl2br w:val="nil"/>
                    <w:tr2bl w:val="nil"/>
                  </w:tcBorders>
                  <w:vAlign w:val="center"/>
                </w:tcPr>
                <w:p w14:paraId="20E59F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53" w:type="pct"/>
                  <w:tcBorders>
                    <w:tl2br w:val="nil"/>
                    <w:tr2bl w:val="nil"/>
                  </w:tcBorders>
                  <w:vAlign w:val="center"/>
                </w:tcPr>
                <w:p w14:paraId="353692F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97</w:t>
                  </w:r>
                </w:p>
              </w:tc>
              <w:tc>
                <w:tcPr>
                  <w:tcW w:w="253" w:type="pct"/>
                  <w:tcBorders>
                    <w:tl2br w:val="nil"/>
                    <w:tr2bl w:val="nil"/>
                  </w:tcBorders>
                  <w:vAlign w:val="center"/>
                </w:tcPr>
                <w:p w14:paraId="25C9EBD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11</w:t>
                  </w:r>
                </w:p>
              </w:tc>
              <w:tc>
                <w:tcPr>
                  <w:tcW w:w="254" w:type="pct"/>
                  <w:tcBorders>
                    <w:tl2br w:val="nil"/>
                    <w:tr2bl w:val="nil"/>
                  </w:tcBorders>
                  <w:vAlign w:val="center"/>
                </w:tcPr>
                <w:p w14:paraId="0EA41B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w:t>
                  </w:r>
                </w:p>
              </w:tc>
              <w:tc>
                <w:tcPr>
                  <w:tcW w:w="360" w:type="pct"/>
                  <w:tcBorders>
                    <w:tl2br w:val="nil"/>
                    <w:tr2bl w:val="nil"/>
                  </w:tcBorders>
                  <w:vAlign w:val="center"/>
                </w:tcPr>
                <w:p w14:paraId="7891AB2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17</w:t>
                  </w:r>
                </w:p>
              </w:tc>
              <w:tc>
                <w:tcPr>
                  <w:tcW w:w="344" w:type="pct"/>
                  <w:tcBorders>
                    <w:tl2br w:val="nil"/>
                    <w:tr2bl w:val="nil"/>
                  </w:tcBorders>
                  <w:vAlign w:val="center"/>
                </w:tcPr>
                <w:p w14:paraId="0CA1CB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50.4</w:t>
                  </w:r>
                </w:p>
              </w:tc>
              <w:tc>
                <w:tcPr>
                  <w:tcW w:w="295" w:type="pct"/>
                  <w:vMerge w:val="continue"/>
                  <w:tcBorders>
                    <w:tl2br w:val="nil"/>
                    <w:tr2bl w:val="nil"/>
                  </w:tcBorders>
                  <w:vAlign w:val="center"/>
                </w:tcPr>
                <w:p w14:paraId="309679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04" w:type="pct"/>
                  <w:tcBorders>
                    <w:tl2br w:val="nil"/>
                    <w:tr2bl w:val="nil"/>
                  </w:tcBorders>
                  <w:vAlign w:val="center"/>
                </w:tcPr>
                <w:p w14:paraId="0BACF8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20</w:t>
                  </w:r>
                </w:p>
              </w:tc>
              <w:tc>
                <w:tcPr>
                  <w:tcW w:w="383" w:type="pct"/>
                  <w:tcBorders>
                    <w:tl2br w:val="nil"/>
                    <w:tr2bl w:val="nil"/>
                  </w:tcBorders>
                  <w:vAlign w:val="center"/>
                </w:tcPr>
                <w:p w14:paraId="0AFBAB8E">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w:t>
                  </w:r>
                </w:p>
              </w:tc>
              <w:tc>
                <w:tcPr>
                  <w:tcW w:w="380" w:type="pct"/>
                  <w:tcBorders>
                    <w:tl2br w:val="nil"/>
                    <w:tr2bl w:val="nil"/>
                  </w:tcBorders>
                  <w:vAlign w:val="center"/>
                </w:tcPr>
                <w:p w14:paraId="1B3922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p>
              </w:tc>
            </w:tr>
            <w:tr w14:paraId="4FF6B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 w:type="pct"/>
                  <w:tcBorders>
                    <w:tl2br w:val="nil"/>
                    <w:tr2bl w:val="nil"/>
                  </w:tcBorders>
                  <w:shd w:val="clear" w:color="auto" w:fill="auto"/>
                  <w:vAlign w:val="center"/>
                </w:tcPr>
                <w:p w14:paraId="372977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12</w:t>
                  </w:r>
                </w:p>
              </w:tc>
              <w:tc>
                <w:tcPr>
                  <w:tcW w:w="317" w:type="pct"/>
                  <w:vMerge w:val="continue"/>
                  <w:tcBorders>
                    <w:tl2br w:val="nil"/>
                    <w:tr2bl w:val="nil"/>
                  </w:tcBorders>
                  <w:vAlign w:val="center"/>
                </w:tcPr>
                <w:p w14:paraId="0EDB200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000000" w:themeColor="text1"/>
                      <w:spacing w:val="0"/>
                      <w:kern w:val="0"/>
                      <w:sz w:val="21"/>
                      <w:szCs w:val="21"/>
                      <w:highlight w:val="none"/>
                      <w:lang w:val="en-US" w:eastAsia="zh-CN"/>
                      <w14:textFill>
                        <w14:solidFill>
                          <w14:schemeClr w14:val="tx1"/>
                        </w14:solidFill>
                      </w14:textFill>
                    </w:rPr>
                  </w:pPr>
                </w:p>
              </w:tc>
              <w:tc>
                <w:tcPr>
                  <w:tcW w:w="558" w:type="pct"/>
                  <w:tcBorders>
                    <w:tl2br w:val="nil"/>
                    <w:tr2bl w:val="nil"/>
                  </w:tcBorders>
                  <w:vAlign w:val="center"/>
                </w:tcPr>
                <w:p w14:paraId="49DF8E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t>皮带输送机</w:t>
                  </w:r>
                </w:p>
              </w:tc>
              <w:tc>
                <w:tcPr>
                  <w:tcW w:w="295" w:type="pct"/>
                  <w:tcBorders>
                    <w:tl2br w:val="nil"/>
                    <w:tr2bl w:val="nil"/>
                  </w:tcBorders>
                  <w:vAlign w:val="center"/>
                </w:tcPr>
                <w:p w14:paraId="37AAAB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w:t>
                  </w:r>
                </w:p>
              </w:tc>
              <w:tc>
                <w:tcPr>
                  <w:tcW w:w="305" w:type="pct"/>
                  <w:tcBorders>
                    <w:tl2br w:val="nil"/>
                    <w:tr2bl w:val="nil"/>
                  </w:tcBorders>
                  <w:vAlign w:val="center"/>
                </w:tcPr>
                <w:p w14:paraId="76FD65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75</w:t>
                  </w:r>
                </w:p>
              </w:tc>
              <w:tc>
                <w:tcPr>
                  <w:tcW w:w="404" w:type="pct"/>
                  <w:vMerge w:val="continue"/>
                  <w:tcBorders>
                    <w:tl2br w:val="nil"/>
                    <w:tr2bl w:val="nil"/>
                  </w:tcBorders>
                  <w:vAlign w:val="center"/>
                </w:tcPr>
                <w:p w14:paraId="490662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53" w:type="pct"/>
                  <w:tcBorders>
                    <w:tl2br w:val="nil"/>
                    <w:tr2bl w:val="nil"/>
                  </w:tcBorders>
                  <w:vAlign w:val="center"/>
                </w:tcPr>
                <w:p w14:paraId="0354D1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76</w:t>
                  </w:r>
                </w:p>
              </w:tc>
              <w:tc>
                <w:tcPr>
                  <w:tcW w:w="253" w:type="pct"/>
                  <w:tcBorders>
                    <w:tl2br w:val="nil"/>
                    <w:tr2bl w:val="nil"/>
                  </w:tcBorders>
                  <w:vAlign w:val="center"/>
                </w:tcPr>
                <w:p w14:paraId="6D11C7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14</w:t>
                  </w:r>
                </w:p>
              </w:tc>
              <w:tc>
                <w:tcPr>
                  <w:tcW w:w="254" w:type="pct"/>
                  <w:tcBorders>
                    <w:tl2br w:val="nil"/>
                    <w:tr2bl w:val="nil"/>
                  </w:tcBorders>
                  <w:vAlign w:val="center"/>
                </w:tcPr>
                <w:p w14:paraId="5C9128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1.5</w:t>
                  </w:r>
                </w:p>
              </w:tc>
              <w:tc>
                <w:tcPr>
                  <w:tcW w:w="360" w:type="pct"/>
                  <w:tcBorders>
                    <w:tl2br w:val="nil"/>
                    <w:tr2bl w:val="nil"/>
                  </w:tcBorders>
                  <w:vAlign w:val="center"/>
                </w:tcPr>
                <w:p w14:paraId="0B0C831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18</w:t>
                  </w:r>
                </w:p>
              </w:tc>
              <w:tc>
                <w:tcPr>
                  <w:tcW w:w="344" w:type="pct"/>
                  <w:tcBorders>
                    <w:tl2br w:val="nil"/>
                    <w:tr2bl w:val="nil"/>
                  </w:tcBorders>
                  <w:vAlign w:val="center"/>
                </w:tcPr>
                <w:p w14:paraId="7F9097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49.9</w:t>
                  </w:r>
                </w:p>
              </w:tc>
              <w:tc>
                <w:tcPr>
                  <w:tcW w:w="295" w:type="pct"/>
                  <w:vMerge w:val="continue"/>
                  <w:tcBorders>
                    <w:tl2br w:val="nil"/>
                    <w:tr2bl w:val="nil"/>
                  </w:tcBorders>
                  <w:vAlign w:val="center"/>
                </w:tcPr>
                <w:p w14:paraId="37FDEA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04" w:type="pct"/>
                  <w:tcBorders>
                    <w:tl2br w:val="nil"/>
                    <w:tr2bl w:val="nil"/>
                  </w:tcBorders>
                  <w:vAlign w:val="center"/>
                </w:tcPr>
                <w:p w14:paraId="0F81C7B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20</w:t>
                  </w:r>
                </w:p>
              </w:tc>
              <w:tc>
                <w:tcPr>
                  <w:tcW w:w="383" w:type="pct"/>
                  <w:tcBorders>
                    <w:tl2br w:val="nil"/>
                    <w:tr2bl w:val="nil"/>
                  </w:tcBorders>
                  <w:vAlign w:val="center"/>
                </w:tcPr>
                <w:p w14:paraId="0B9A862B">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9.9</w:t>
                  </w:r>
                </w:p>
              </w:tc>
              <w:tc>
                <w:tcPr>
                  <w:tcW w:w="380" w:type="pct"/>
                  <w:tcBorders>
                    <w:tl2br w:val="nil"/>
                    <w:tr2bl w:val="nil"/>
                  </w:tcBorders>
                  <w:vAlign w:val="center"/>
                </w:tcPr>
                <w:p w14:paraId="10E01AF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p>
              </w:tc>
            </w:tr>
            <w:tr w14:paraId="6FD0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 w:type="pct"/>
                  <w:tcBorders>
                    <w:tl2br w:val="nil"/>
                    <w:tr2bl w:val="nil"/>
                  </w:tcBorders>
                  <w:shd w:val="clear" w:color="auto" w:fill="auto"/>
                  <w:vAlign w:val="center"/>
                </w:tcPr>
                <w:p w14:paraId="365B9E2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13</w:t>
                  </w:r>
                </w:p>
              </w:tc>
              <w:tc>
                <w:tcPr>
                  <w:tcW w:w="317" w:type="pct"/>
                  <w:vMerge w:val="continue"/>
                  <w:tcBorders>
                    <w:tl2br w:val="nil"/>
                    <w:tr2bl w:val="nil"/>
                  </w:tcBorders>
                  <w:vAlign w:val="center"/>
                </w:tcPr>
                <w:p w14:paraId="6BDD116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000000" w:themeColor="text1"/>
                      <w:spacing w:val="0"/>
                      <w:kern w:val="0"/>
                      <w:sz w:val="21"/>
                      <w:szCs w:val="21"/>
                      <w:highlight w:val="none"/>
                      <w:lang w:val="en-US" w:eastAsia="zh-CN"/>
                      <w14:textFill>
                        <w14:solidFill>
                          <w14:schemeClr w14:val="tx1"/>
                        </w14:solidFill>
                      </w14:textFill>
                    </w:rPr>
                  </w:pPr>
                </w:p>
              </w:tc>
              <w:tc>
                <w:tcPr>
                  <w:tcW w:w="558" w:type="pct"/>
                  <w:tcBorders>
                    <w:tl2br w:val="nil"/>
                    <w:tr2bl w:val="nil"/>
                  </w:tcBorders>
                  <w:vAlign w:val="center"/>
                </w:tcPr>
                <w:p w14:paraId="163FCD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t>皮带输送机</w:t>
                  </w:r>
                </w:p>
              </w:tc>
              <w:tc>
                <w:tcPr>
                  <w:tcW w:w="295" w:type="pct"/>
                  <w:tcBorders>
                    <w:tl2br w:val="nil"/>
                    <w:tr2bl w:val="nil"/>
                  </w:tcBorders>
                  <w:vAlign w:val="center"/>
                </w:tcPr>
                <w:p w14:paraId="3DEFD1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w:t>
                  </w:r>
                </w:p>
              </w:tc>
              <w:tc>
                <w:tcPr>
                  <w:tcW w:w="305" w:type="pct"/>
                  <w:tcBorders>
                    <w:tl2br w:val="nil"/>
                    <w:tr2bl w:val="nil"/>
                  </w:tcBorders>
                  <w:vAlign w:val="center"/>
                </w:tcPr>
                <w:p w14:paraId="6C72A4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75</w:t>
                  </w:r>
                </w:p>
              </w:tc>
              <w:tc>
                <w:tcPr>
                  <w:tcW w:w="404" w:type="pct"/>
                  <w:vMerge w:val="continue"/>
                  <w:tcBorders>
                    <w:tl2br w:val="nil"/>
                    <w:tr2bl w:val="nil"/>
                  </w:tcBorders>
                  <w:vAlign w:val="center"/>
                </w:tcPr>
                <w:p w14:paraId="6065E7F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53" w:type="pct"/>
                  <w:tcBorders>
                    <w:tl2br w:val="nil"/>
                    <w:tr2bl w:val="nil"/>
                  </w:tcBorders>
                  <w:vAlign w:val="center"/>
                </w:tcPr>
                <w:p w14:paraId="479C99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82</w:t>
                  </w:r>
                </w:p>
              </w:tc>
              <w:tc>
                <w:tcPr>
                  <w:tcW w:w="253" w:type="pct"/>
                  <w:tcBorders>
                    <w:tl2br w:val="nil"/>
                    <w:tr2bl w:val="nil"/>
                  </w:tcBorders>
                  <w:vAlign w:val="center"/>
                </w:tcPr>
                <w:p w14:paraId="7808226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16</w:t>
                  </w:r>
                </w:p>
              </w:tc>
              <w:tc>
                <w:tcPr>
                  <w:tcW w:w="254" w:type="pct"/>
                  <w:tcBorders>
                    <w:tl2br w:val="nil"/>
                    <w:tr2bl w:val="nil"/>
                  </w:tcBorders>
                  <w:vAlign w:val="center"/>
                </w:tcPr>
                <w:p w14:paraId="00ACF9A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1.5</w:t>
                  </w:r>
                </w:p>
              </w:tc>
              <w:tc>
                <w:tcPr>
                  <w:tcW w:w="360" w:type="pct"/>
                  <w:tcBorders>
                    <w:tl2br w:val="nil"/>
                    <w:tr2bl w:val="nil"/>
                  </w:tcBorders>
                  <w:vAlign w:val="center"/>
                </w:tcPr>
                <w:p w14:paraId="4F4520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20</w:t>
                  </w:r>
                </w:p>
              </w:tc>
              <w:tc>
                <w:tcPr>
                  <w:tcW w:w="344" w:type="pct"/>
                  <w:tcBorders>
                    <w:tl2br w:val="nil"/>
                    <w:tr2bl w:val="nil"/>
                  </w:tcBorders>
                  <w:vAlign w:val="center"/>
                </w:tcPr>
                <w:p w14:paraId="6BE96B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49.0 </w:t>
                  </w:r>
                </w:p>
              </w:tc>
              <w:tc>
                <w:tcPr>
                  <w:tcW w:w="295" w:type="pct"/>
                  <w:vMerge w:val="continue"/>
                  <w:tcBorders>
                    <w:tl2br w:val="nil"/>
                    <w:tr2bl w:val="nil"/>
                  </w:tcBorders>
                  <w:vAlign w:val="center"/>
                </w:tcPr>
                <w:p w14:paraId="0C0FF76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04" w:type="pct"/>
                  <w:tcBorders>
                    <w:tl2br w:val="nil"/>
                    <w:tr2bl w:val="nil"/>
                  </w:tcBorders>
                  <w:vAlign w:val="center"/>
                </w:tcPr>
                <w:p w14:paraId="2A4A7E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20</w:t>
                  </w:r>
                </w:p>
              </w:tc>
              <w:tc>
                <w:tcPr>
                  <w:tcW w:w="383" w:type="pct"/>
                  <w:tcBorders>
                    <w:tl2br w:val="nil"/>
                    <w:tr2bl w:val="nil"/>
                  </w:tcBorders>
                  <w:vAlign w:val="center"/>
                </w:tcPr>
                <w:p w14:paraId="1BAF67B6">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9.0 </w:t>
                  </w:r>
                </w:p>
              </w:tc>
              <w:tc>
                <w:tcPr>
                  <w:tcW w:w="380" w:type="pct"/>
                  <w:tcBorders>
                    <w:tl2br w:val="nil"/>
                    <w:tr2bl w:val="nil"/>
                  </w:tcBorders>
                  <w:vAlign w:val="center"/>
                </w:tcPr>
                <w:p w14:paraId="6767C5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p>
              </w:tc>
            </w:tr>
            <w:tr w14:paraId="5279E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 w:type="pct"/>
                  <w:tcBorders>
                    <w:tl2br w:val="nil"/>
                    <w:tr2bl w:val="nil"/>
                  </w:tcBorders>
                  <w:shd w:val="clear" w:color="auto" w:fill="auto"/>
                  <w:vAlign w:val="center"/>
                </w:tcPr>
                <w:p w14:paraId="0AA3C26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14</w:t>
                  </w:r>
                </w:p>
              </w:tc>
              <w:tc>
                <w:tcPr>
                  <w:tcW w:w="317" w:type="pct"/>
                  <w:vMerge w:val="continue"/>
                  <w:tcBorders>
                    <w:tl2br w:val="nil"/>
                    <w:tr2bl w:val="nil"/>
                  </w:tcBorders>
                  <w:vAlign w:val="center"/>
                </w:tcPr>
                <w:p w14:paraId="6E896FC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000000" w:themeColor="text1"/>
                      <w:spacing w:val="0"/>
                      <w:kern w:val="0"/>
                      <w:sz w:val="21"/>
                      <w:szCs w:val="21"/>
                      <w:highlight w:val="none"/>
                      <w:lang w:val="en-US" w:eastAsia="zh-CN"/>
                      <w14:textFill>
                        <w14:solidFill>
                          <w14:schemeClr w14:val="tx1"/>
                        </w14:solidFill>
                      </w14:textFill>
                    </w:rPr>
                  </w:pPr>
                </w:p>
              </w:tc>
              <w:tc>
                <w:tcPr>
                  <w:tcW w:w="558" w:type="pct"/>
                  <w:tcBorders>
                    <w:tl2br w:val="nil"/>
                    <w:tr2bl w:val="nil"/>
                  </w:tcBorders>
                  <w:vAlign w:val="center"/>
                </w:tcPr>
                <w:p w14:paraId="0226CE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t>皮带输送机</w:t>
                  </w:r>
                </w:p>
              </w:tc>
              <w:tc>
                <w:tcPr>
                  <w:tcW w:w="295" w:type="pct"/>
                  <w:tcBorders>
                    <w:tl2br w:val="nil"/>
                    <w:tr2bl w:val="nil"/>
                  </w:tcBorders>
                  <w:vAlign w:val="center"/>
                </w:tcPr>
                <w:p w14:paraId="4B3B08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w:t>
                  </w:r>
                </w:p>
              </w:tc>
              <w:tc>
                <w:tcPr>
                  <w:tcW w:w="305" w:type="pct"/>
                  <w:tcBorders>
                    <w:tl2br w:val="nil"/>
                    <w:tr2bl w:val="nil"/>
                  </w:tcBorders>
                  <w:vAlign w:val="center"/>
                </w:tcPr>
                <w:p w14:paraId="4063C7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75</w:t>
                  </w:r>
                </w:p>
              </w:tc>
              <w:tc>
                <w:tcPr>
                  <w:tcW w:w="404" w:type="pct"/>
                  <w:vMerge w:val="continue"/>
                  <w:tcBorders>
                    <w:tl2br w:val="nil"/>
                    <w:tr2bl w:val="nil"/>
                  </w:tcBorders>
                  <w:vAlign w:val="center"/>
                </w:tcPr>
                <w:p w14:paraId="445EA31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53" w:type="pct"/>
                  <w:tcBorders>
                    <w:tl2br w:val="nil"/>
                    <w:tr2bl w:val="nil"/>
                  </w:tcBorders>
                  <w:vAlign w:val="center"/>
                </w:tcPr>
                <w:p w14:paraId="40ACE15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80</w:t>
                  </w:r>
                </w:p>
              </w:tc>
              <w:tc>
                <w:tcPr>
                  <w:tcW w:w="253" w:type="pct"/>
                  <w:tcBorders>
                    <w:tl2br w:val="nil"/>
                    <w:tr2bl w:val="nil"/>
                  </w:tcBorders>
                  <w:vAlign w:val="center"/>
                </w:tcPr>
                <w:p w14:paraId="6BB199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14</w:t>
                  </w:r>
                </w:p>
              </w:tc>
              <w:tc>
                <w:tcPr>
                  <w:tcW w:w="254" w:type="pct"/>
                  <w:tcBorders>
                    <w:tl2br w:val="nil"/>
                    <w:tr2bl w:val="nil"/>
                  </w:tcBorders>
                  <w:vAlign w:val="center"/>
                </w:tcPr>
                <w:p w14:paraId="0C15A8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1.5</w:t>
                  </w:r>
                </w:p>
              </w:tc>
              <w:tc>
                <w:tcPr>
                  <w:tcW w:w="360" w:type="pct"/>
                  <w:tcBorders>
                    <w:tl2br w:val="nil"/>
                    <w:tr2bl w:val="nil"/>
                  </w:tcBorders>
                  <w:vAlign w:val="center"/>
                </w:tcPr>
                <w:p w14:paraId="6F8F78F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21</w:t>
                  </w:r>
                </w:p>
              </w:tc>
              <w:tc>
                <w:tcPr>
                  <w:tcW w:w="344" w:type="pct"/>
                  <w:tcBorders>
                    <w:tl2br w:val="nil"/>
                    <w:tr2bl w:val="nil"/>
                  </w:tcBorders>
                  <w:vAlign w:val="center"/>
                </w:tcPr>
                <w:p w14:paraId="16926B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48.6 </w:t>
                  </w:r>
                </w:p>
              </w:tc>
              <w:tc>
                <w:tcPr>
                  <w:tcW w:w="295" w:type="pct"/>
                  <w:vMerge w:val="continue"/>
                  <w:tcBorders>
                    <w:tl2br w:val="nil"/>
                    <w:tr2bl w:val="nil"/>
                  </w:tcBorders>
                  <w:vAlign w:val="center"/>
                </w:tcPr>
                <w:p w14:paraId="2A397E5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04" w:type="pct"/>
                  <w:tcBorders>
                    <w:tl2br w:val="nil"/>
                    <w:tr2bl w:val="nil"/>
                  </w:tcBorders>
                  <w:vAlign w:val="center"/>
                </w:tcPr>
                <w:p w14:paraId="720BFF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20</w:t>
                  </w:r>
                </w:p>
              </w:tc>
              <w:tc>
                <w:tcPr>
                  <w:tcW w:w="383" w:type="pct"/>
                  <w:tcBorders>
                    <w:tl2br w:val="nil"/>
                    <w:tr2bl w:val="nil"/>
                  </w:tcBorders>
                  <w:vAlign w:val="center"/>
                </w:tcPr>
                <w:p w14:paraId="6BD5FBB2">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8.6 </w:t>
                  </w:r>
                </w:p>
              </w:tc>
              <w:tc>
                <w:tcPr>
                  <w:tcW w:w="380" w:type="pct"/>
                  <w:tcBorders>
                    <w:tl2br w:val="nil"/>
                    <w:tr2bl w:val="nil"/>
                  </w:tcBorders>
                  <w:vAlign w:val="center"/>
                </w:tcPr>
                <w:p w14:paraId="30DB04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p>
              </w:tc>
            </w:tr>
            <w:tr w14:paraId="3A3E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 w:type="pct"/>
                  <w:tcBorders>
                    <w:tl2br w:val="nil"/>
                    <w:tr2bl w:val="nil"/>
                  </w:tcBorders>
                  <w:shd w:val="clear" w:color="auto" w:fill="auto"/>
                  <w:vAlign w:val="center"/>
                </w:tcPr>
                <w:p w14:paraId="2F8D82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15</w:t>
                  </w:r>
                </w:p>
              </w:tc>
              <w:tc>
                <w:tcPr>
                  <w:tcW w:w="317" w:type="pct"/>
                  <w:vMerge w:val="continue"/>
                  <w:tcBorders>
                    <w:tl2br w:val="nil"/>
                    <w:tr2bl w:val="nil"/>
                  </w:tcBorders>
                  <w:vAlign w:val="center"/>
                </w:tcPr>
                <w:p w14:paraId="53F50E3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000000" w:themeColor="text1"/>
                      <w:spacing w:val="0"/>
                      <w:kern w:val="0"/>
                      <w:sz w:val="21"/>
                      <w:szCs w:val="21"/>
                      <w:highlight w:val="none"/>
                      <w:lang w:val="en-US" w:eastAsia="zh-CN"/>
                      <w14:textFill>
                        <w14:solidFill>
                          <w14:schemeClr w14:val="tx1"/>
                        </w14:solidFill>
                      </w14:textFill>
                    </w:rPr>
                  </w:pPr>
                </w:p>
              </w:tc>
              <w:tc>
                <w:tcPr>
                  <w:tcW w:w="558" w:type="pct"/>
                  <w:tcBorders>
                    <w:tl2br w:val="nil"/>
                    <w:tr2bl w:val="nil"/>
                  </w:tcBorders>
                  <w:vAlign w:val="center"/>
                </w:tcPr>
                <w:p w14:paraId="778025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spacing w:val="0"/>
                      <w:w w:val="100"/>
                      <w:kern w:val="0"/>
                      <w:sz w:val="21"/>
                      <w:szCs w:val="21"/>
                      <w:highlight w:val="none"/>
                      <w:lang w:val="en-US" w:eastAsia="zh-CN" w:bidi="zh-CN"/>
                      <w14:textFill>
                        <w14:solidFill>
                          <w14:schemeClr w14:val="tx1"/>
                        </w14:solidFill>
                      </w14:textFill>
                    </w:rPr>
                    <w:t>皮带输送机</w:t>
                  </w:r>
                </w:p>
              </w:tc>
              <w:tc>
                <w:tcPr>
                  <w:tcW w:w="295" w:type="pct"/>
                  <w:tcBorders>
                    <w:tl2br w:val="nil"/>
                    <w:tr2bl w:val="nil"/>
                  </w:tcBorders>
                  <w:vAlign w:val="center"/>
                </w:tcPr>
                <w:p w14:paraId="70A518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w:t>
                  </w:r>
                </w:p>
              </w:tc>
              <w:tc>
                <w:tcPr>
                  <w:tcW w:w="305" w:type="pct"/>
                  <w:tcBorders>
                    <w:tl2br w:val="nil"/>
                    <w:tr2bl w:val="nil"/>
                  </w:tcBorders>
                  <w:vAlign w:val="center"/>
                </w:tcPr>
                <w:p w14:paraId="46B34C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75</w:t>
                  </w:r>
                </w:p>
              </w:tc>
              <w:tc>
                <w:tcPr>
                  <w:tcW w:w="404" w:type="pct"/>
                  <w:vMerge w:val="continue"/>
                  <w:tcBorders>
                    <w:tl2br w:val="nil"/>
                    <w:tr2bl w:val="nil"/>
                  </w:tcBorders>
                  <w:vAlign w:val="center"/>
                </w:tcPr>
                <w:p w14:paraId="48D469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53" w:type="pct"/>
                  <w:tcBorders>
                    <w:tl2br w:val="nil"/>
                    <w:tr2bl w:val="nil"/>
                  </w:tcBorders>
                  <w:vAlign w:val="center"/>
                </w:tcPr>
                <w:p w14:paraId="7E8C75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70</w:t>
                  </w:r>
                </w:p>
              </w:tc>
              <w:tc>
                <w:tcPr>
                  <w:tcW w:w="253" w:type="pct"/>
                  <w:tcBorders>
                    <w:tl2br w:val="nil"/>
                    <w:tr2bl w:val="nil"/>
                  </w:tcBorders>
                  <w:vAlign w:val="center"/>
                </w:tcPr>
                <w:p w14:paraId="511EFD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12</w:t>
                  </w:r>
                </w:p>
              </w:tc>
              <w:tc>
                <w:tcPr>
                  <w:tcW w:w="254" w:type="pct"/>
                  <w:tcBorders>
                    <w:tl2br w:val="nil"/>
                    <w:tr2bl w:val="nil"/>
                  </w:tcBorders>
                  <w:vAlign w:val="center"/>
                </w:tcPr>
                <w:p w14:paraId="18BBB2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w:t>
                  </w:r>
                </w:p>
              </w:tc>
              <w:tc>
                <w:tcPr>
                  <w:tcW w:w="360" w:type="pct"/>
                  <w:tcBorders>
                    <w:tl2br w:val="nil"/>
                    <w:tr2bl w:val="nil"/>
                  </w:tcBorders>
                  <w:vAlign w:val="center"/>
                </w:tcPr>
                <w:p w14:paraId="1A3E3AA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20</w:t>
                  </w:r>
                </w:p>
              </w:tc>
              <w:tc>
                <w:tcPr>
                  <w:tcW w:w="344" w:type="pct"/>
                  <w:tcBorders>
                    <w:tl2br w:val="nil"/>
                    <w:tr2bl w:val="nil"/>
                  </w:tcBorders>
                  <w:vAlign w:val="center"/>
                </w:tcPr>
                <w:p w14:paraId="713EC5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49.0 </w:t>
                  </w:r>
                </w:p>
              </w:tc>
              <w:tc>
                <w:tcPr>
                  <w:tcW w:w="295" w:type="pct"/>
                  <w:vMerge w:val="continue"/>
                  <w:tcBorders>
                    <w:tl2br w:val="nil"/>
                    <w:tr2bl w:val="nil"/>
                  </w:tcBorders>
                  <w:vAlign w:val="center"/>
                </w:tcPr>
                <w:p w14:paraId="1FEF712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04" w:type="pct"/>
                  <w:tcBorders>
                    <w:tl2br w:val="nil"/>
                    <w:tr2bl w:val="nil"/>
                  </w:tcBorders>
                  <w:vAlign w:val="center"/>
                </w:tcPr>
                <w:p w14:paraId="23AEB0C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20</w:t>
                  </w:r>
                </w:p>
              </w:tc>
              <w:tc>
                <w:tcPr>
                  <w:tcW w:w="383" w:type="pct"/>
                  <w:tcBorders>
                    <w:tl2br w:val="nil"/>
                    <w:tr2bl w:val="nil"/>
                  </w:tcBorders>
                  <w:vAlign w:val="center"/>
                </w:tcPr>
                <w:p w14:paraId="7123304E">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9.0 </w:t>
                  </w:r>
                </w:p>
              </w:tc>
              <w:tc>
                <w:tcPr>
                  <w:tcW w:w="380" w:type="pct"/>
                  <w:tcBorders>
                    <w:tl2br w:val="nil"/>
                    <w:tr2bl w:val="nil"/>
                  </w:tcBorders>
                  <w:vAlign w:val="center"/>
                </w:tcPr>
                <w:p w14:paraId="7C5C296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p>
              </w:tc>
            </w:tr>
          </w:tbl>
          <w:p w14:paraId="44E403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pPr>
          </w:p>
          <w:p w14:paraId="7E96D9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pPr>
          </w:p>
          <w:p w14:paraId="703AEE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t>表4.7-</w:t>
            </w:r>
            <w:r>
              <w:rPr>
                <w:rFonts w:hint="eastAsia" w:eastAsia="宋体" w:cs="Times New Roman"/>
                <w:b/>
                <w:bCs/>
                <w:color w:val="000000" w:themeColor="text1"/>
                <w:spacing w:val="0"/>
                <w:kern w:val="2"/>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t>室外</w:t>
            </w:r>
            <w:r>
              <w:rPr>
                <w:rFonts w:hint="default"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t>噪声源源强调查清单</w:t>
            </w:r>
          </w:p>
          <w:tbl>
            <w:tblPr>
              <w:tblStyle w:val="30"/>
              <w:tblW w:w="49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882"/>
              <w:gridCol w:w="1377"/>
              <w:gridCol w:w="1377"/>
              <w:gridCol w:w="1382"/>
              <w:gridCol w:w="2045"/>
              <w:gridCol w:w="3280"/>
              <w:gridCol w:w="1465"/>
            </w:tblGrid>
            <w:tr w14:paraId="17063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vMerge w:val="restart"/>
                  <w:tcBorders>
                    <w:tl2br w:val="nil"/>
                    <w:tr2bl w:val="nil"/>
                  </w:tcBorders>
                  <w:vAlign w:val="center"/>
                </w:tcPr>
                <w:p w14:paraId="548A27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序号</w:t>
                  </w:r>
                </w:p>
              </w:tc>
              <w:tc>
                <w:tcPr>
                  <w:tcW w:w="690" w:type="pct"/>
                  <w:vMerge w:val="restart"/>
                  <w:tcBorders>
                    <w:tl2br w:val="nil"/>
                    <w:tr2bl w:val="nil"/>
                  </w:tcBorders>
                  <w:vAlign w:val="center"/>
                </w:tcPr>
                <w:p w14:paraId="6AFAE3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声源</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名称</w:t>
                  </w:r>
                </w:p>
              </w:tc>
              <w:tc>
                <w:tcPr>
                  <w:tcW w:w="1517" w:type="pct"/>
                  <w:gridSpan w:val="3"/>
                  <w:tcBorders>
                    <w:tl2br w:val="nil"/>
                    <w:tr2bl w:val="nil"/>
                  </w:tcBorders>
                  <w:vAlign w:val="center"/>
                </w:tcPr>
                <w:p w14:paraId="1FD1CE3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空间</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相对位置</w:t>
                  </w: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/m</w:t>
                  </w:r>
                </w:p>
              </w:tc>
              <w:tc>
                <w:tcPr>
                  <w:tcW w:w="750" w:type="pct"/>
                  <w:tcBorders>
                    <w:tl2br w:val="nil"/>
                    <w:tr2bl w:val="nil"/>
                  </w:tcBorders>
                  <w:vAlign w:val="center"/>
                </w:tcPr>
                <w:p w14:paraId="1252ECE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声源</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源强</w:t>
                  </w:r>
                </w:p>
              </w:tc>
              <w:tc>
                <w:tcPr>
                  <w:tcW w:w="1203" w:type="pct"/>
                  <w:vMerge w:val="restart"/>
                  <w:tcBorders>
                    <w:tl2br w:val="nil"/>
                    <w:tr2bl w:val="nil"/>
                  </w:tcBorders>
                  <w:vAlign w:val="center"/>
                </w:tcPr>
                <w:p w14:paraId="5CA419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声源控制措施</w:t>
                  </w:r>
                </w:p>
              </w:tc>
              <w:tc>
                <w:tcPr>
                  <w:tcW w:w="537" w:type="pct"/>
                  <w:vMerge w:val="restart"/>
                  <w:tcBorders>
                    <w:tl2br w:val="nil"/>
                    <w:tr2bl w:val="nil"/>
                  </w:tcBorders>
                  <w:vAlign w:val="center"/>
                </w:tcPr>
                <w:p w14:paraId="65D96E7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运行时段</w:t>
                  </w:r>
                </w:p>
              </w:tc>
            </w:tr>
            <w:tr w14:paraId="38BA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vMerge w:val="continue"/>
                  <w:tcBorders>
                    <w:tl2br w:val="nil"/>
                    <w:tr2bl w:val="nil"/>
                  </w:tcBorders>
                  <w:vAlign w:val="center"/>
                </w:tcPr>
                <w:p w14:paraId="1A0F657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690" w:type="pct"/>
                  <w:vMerge w:val="continue"/>
                  <w:tcBorders>
                    <w:tl2br w:val="nil"/>
                    <w:tr2bl w:val="nil"/>
                  </w:tcBorders>
                  <w:vAlign w:val="center"/>
                </w:tcPr>
                <w:p w14:paraId="72861FB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505" w:type="pct"/>
                  <w:tcBorders>
                    <w:tl2br w:val="nil"/>
                    <w:tr2bl w:val="nil"/>
                  </w:tcBorders>
                  <w:vAlign w:val="center"/>
                </w:tcPr>
                <w:p w14:paraId="10B0B05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X</w:t>
                  </w:r>
                </w:p>
              </w:tc>
              <w:tc>
                <w:tcPr>
                  <w:tcW w:w="505" w:type="pct"/>
                  <w:tcBorders>
                    <w:tl2br w:val="nil"/>
                    <w:tr2bl w:val="nil"/>
                  </w:tcBorders>
                  <w:vAlign w:val="center"/>
                </w:tcPr>
                <w:p w14:paraId="0AB77D4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t>Y</w:t>
                  </w:r>
                </w:p>
              </w:tc>
              <w:tc>
                <w:tcPr>
                  <w:tcW w:w="507" w:type="pct"/>
                  <w:tcBorders>
                    <w:tl2br w:val="nil"/>
                    <w:tr2bl w:val="nil"/>
                  </w:tcBorders>
                  <w:vAlign w:val="center"/>
                </w:tcPr>
                <w:p w14:paraId="5C4A60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Z</w:t>
                  </w:r>
                </w:p>
              </w:tc>
              <w:tc>
                <w:tcPr>
                  <w:tcW w:w="750" w:type="pct"/>
                  <w:tcBorders>
                    <w:tl2br w:val="nil"/>
                    <w:tr2bl w:val="nil"/>
                  </w:tcBorders>
                  <w:vAlign w:val="center"/>
                </w:tcPr>
                <w:p w14:paraId="70327B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声功率级</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dB</w:t>
                  </w: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A</w:t>
                  </w:r>
                  <w:r>
                    <w:rPr>
                      <w:rFonts w:hint="eastAsia" w:ascii="Times New Roman" w:hAnsi="Times New Roman" w:eastAsia="宋体" w:cs="Times New Roman"/>
                      <w:b/>
                      <w:bCs/>
                      <w:color w:val="000000" w:themeColor="text1"/>
                      <w:spacing w:val="0"/>
                      <w:sz w:val="21"/>
                      <w:szCs w:val="21"/>
                      <w:highlight w:val="none"/>
                      <w14:textFill>
                        <w14:solidFill>
                          <w14:schemeClr w14:val="tx1"/>
                        </w14:solidFill>
                      </w14:textFill>
                    </w:rPr>
                    <w:t>)</w:t>
                  </w:r>
                </w:p>
              </w:tc>
              <w:tc>
                <w:tcPr>
                  <w:tcW w:w="1203" w:type="pct"/>
                  <w:vMerge w:val="continue"/>
                  <w:tcBorders>
                    <w:tl2br w:val="nil"/>
                    <w:tr2bl w:val="nil"/>
                  </w:tcBorders>
                  <w:vAlign w:val="center"/>
                </w:tcPr>
                <w:p w14:paraId="63261F0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537" w:type="pct"/>
                  <w:vMerge w:val="continue"/>
                  <w:tcBorders>
                    <w:tl2br w:val="nil"/>
                    <w:tr2bl w:val="nil"/>
                  </w:tcBorders>
                  <w:vAlign w:val="center"/>
                </w:tcPr>
                <w:p w14:paraId="79AF9F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r>
            <w:tr w14:paraId="6DB5C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tcBorders>
                    <w:tl2br w:val="nil"/>
                    <w:tr2bl w:val="nil"/>
                  </w:tcBorders>
                  <w:vAlign w:val="center"/>
                </w:tcPr>
                <w:p w14:paraId="5036672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p>
              </w:tc>
              <w:tc>
                <w:tcPr>
                  <w:tcW w:w="690" w:type="pct"/>
                  <w:tcBorders>
                    <w:tl2br w:val="nil"/>
                    <w:tr2bl w:val="nil"/>
                  </w:tcBorders>
                  <w:vAlign w:val="center"/>
                </w:tcPr>
                <w:p w14:paraId="13C752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除尘风机</w:t>
                  </w:r>
                </w:p>
              </w:tc>
              <w:tc>
                <w:tcPr>
                  <w:tcW w:w="505" w:type="pct"/>
                  <w:tcBorders>
                    <w:tl2br w:val="nil"/>
                    <w:tr2bl w:val="nil"/>
                  </w:tcBorders>
                  <w:vAlign w:val="center"/>
                </w:tcPr>
                <w:p w14:paraId="0CA2139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97</w:t>
                  </w:r>
                </w:p>
              </w:tc>
              <w:tc>
                <w:tcPr>
                  <w:tcW w:w="505" w:type="pct"/>
                  <w:tcBorders>
                    <w:tl2br w:val="nil"/>
                    <w:tr2bl w:val="nil"/>
                  </w:tcBorders>
                  <w:vAlign w:val="center"/>
                </w:tcPr>
                <w:p w14:paraId="0433FD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-3</w:t>
                  </w:r>
                </w:p>
              </w:tc>
              <w:tc>
                <w:tcPr>
                  <w:tcW w:w="507" w:type="pct"/>
                  <w:tcBorders>
                    <w:tl2br w:val="nil"/>
                    <w:tr2bl w:val="nil"/>
                  </w:tcBorders>
                  <w:vAlign w:val="center"/>
                </w:tcPr>
                <w:p w14:paraId="75FACEC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w:t>
                  </w:r>
                </w:p>
              </w:tc>
              <w:tc>
                <w:tcPr>
                  <w:tcW w:w="750" w:type="pct"/>
                  <w:tcBorders>
                    <w:tl2br w:val="nil"/>
                    <w:tr2bl w:val="nil"/>
                  </w:tcBorders>
                  <w:vAlign w:val="center"/>
                </w:tcPr>
                <w:p w14:paraId="034F51F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80</w:t>
                  </w:r>
                </w:p>
              </w:tc>
              <w:tc>
                <w:tcPr>
                  <w:tcW w:w="1203" w:type="pct"/>
                  <w:vMerge w:val="restart"/>
                  <w:tcBorders>
                    <w:tl2br w:val="nil"/>
                    <w:tr2bl w:val="nil"/>
                  </w:tcBorders>
                  <w:vAlign w:val="center"/>
                </w:tcPr>
                <w:p w14:paraId="580AD5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t>减振</w:t>
                  </w:r>
                  <w:r>
                    <w:rPr>
                      <w:rFonts w:hint="eastAsia"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风机</w:t>
                  </w:r>
                  <w:r>
                    <w:rPr>
                      <w:rFonts w:hint="default" w:ascii="Times New Roman" w:cs="Times New Roman"/>
                      <w:color w:val="000000" w:themeColor="text1"/>
                      <w:sz w:val="21"/>
                      <w:szCs w:val="21"/>
                      <w:highlight w:val="none"/>
                      <w14:textFill>
                        <w14:solidFill>
                          <w14:schemeClr w14:val="tx1"/>
                        </w14:solidFill>
                      </w14:textFill>
                    </w:rPr>
                    <w:t>出口安装消声器</w:t>
                  </w:r>
                  <w:r>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t>；</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定期维护</w:t>
                  </w:r>
                  <w:r>
                    <w:rPr>
                      <w:rFonts w:hint="eastAsia" w:cs="Times New Roman"/>
                      <w:color w:val="000000" w:themeColor="text1"/>
                      <w:spacing w:val="0"/>
                      <w:sz w:val="21"/>
                      <w:szCs w:val="21"/>
                      <w:highlight w:val="none"/>
                      <w:lang w:val="en-US" w:eastAsia="zh-CN"/>
                      <w14:textFill>
                        <w14:solidFill>
                          <w14:schemeClr w14:val="tx1"/>
                        </w14:solidFill>
                      </w14:textFill>
                    </w:rPr>
                    <w:t>；加强绿化等</w:t>
                  </w:r>
                </w:p>
              </w:tc>
              <w:tc>
                <w:tcPr>
                  <w:tcW w:w="537" w:type="pct"/>
                  <w:vMerge w:val="restart"/>
                  <w:tcBorders>
                    <w:tl2br w:val="nil"/>
                    <w:tr2bl w:val="nil"/>
                  </w:tcBorders>
                  <w:vAlign w:val="center"/>
                </w:tcPr>
                <w:p w14:paraId="6BC7B8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6:00-22:00</w:t>
                  </w:r>
                </w:p>
              </w:tc>
            </w:tr>
            <w:tr w14:paraId="3995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tcBorders>
                    <w:tl2br w:val="nil"/>
                    <w:tr2bl w:val="nil"/>
                  </w:tcBorders>
                  <w:vAlign w:val="center"/>
                </w:tcPr>
                <w:p w14:paraId="6B6679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2</w:t>
                  </w:r>
                </w:p>
              </w:tc>
              <w:tc>
                <w:tcPr>
                  <w:tcW w:w="690" w:type="pct"/>
                  <w:tcBorders>
                    <w:tl2br w:val="nil"/>
                    <w:tr2bl w:val="nil"/>
                  </w:tcBorders>
                  <w:vAlign w:val="center"/>
                </w:tcPr>
                <w:p w14:paraId="76FE8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除尘风机</w:t>
                  </w:r>
                </w:p>
              </w:tc>
              <w:tc>
                <w:tcPr>
                  <w:tcW w:w="505" w:type="pct"/>
                  <w:tcBorders>
                    <w:tl2br w:val="nil"/>
                    <w:tr2bl w:val="nil"/>
                  </w:tcBorders>
                  <w:vAlign w:val="center"/>
                </w:tcPr>
                <w:p w14:paraId="1C922D2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92</w:t>
                  </w:r>
                </w:p>
              </w:tc>
              <w:tc>
                <w:tcPr>
                  <w:tcW w:w="505" w:type="pct"/>
                  <w:tcBorders>
                    <w:tl2br w:val="nil"/>
                    <w:tr2bl w:val="nil"/>
                  </w:tcBorders>
                  <w:vAlign w:val="center"/>
                </w:tcPr>
                <w:p w14:paraId="5BFD3BB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w:t>
                  </w:r>
                </w:p>
              </w:tc>
              <w:tc>
                <w:tcPr>
                  <w:tcW w:w="507" w:type="pct"/>
                  <w:tcBorders>
                    <w:tl2br w:val="nil"/>
                    <w:tr2bl w:val="nil"/>
                  </w:tcBorders>
                  <w:vAlign w:val="center"/>
                </w:tcPr>
                <w:p w14:paraId="480DB7B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w:t>
                  </w:r>
                </w:p>
              </w:tc>
              <w:tc>
                <w:tcPr>
                  <w:tcW w:w="750" w:type="pct"/>
                  <w:tcBorders>
                    <w:tl2br w:val="nil"/>
                    <w:tr2bl w:val="nil"/>
                  </w:tcBorders>
                  <w:vAlign w:val="center"/>
                </w:tcPr>
                <w:p w14:paraId="2057B2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80</w:t>
                  </w:r>
                </w:p>
              </w:tc>
              <w:tc>
                <w:tcPr>
                  <w:tcW w:w="1203" w:type="pct"/>
                  <w:vMerge w:val="continue"/>
                  <w:tcBorders>
                    <w:tl2br w:val="nil"/>
                    <w:tr2bl w:val="nil"/>
                  </w:tcBorders>
                  <w:vAlign w:val="center"/>
                </w:tcPr>
                <w:p w14:paraId="4AFA97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537" w:type="pct"/>
                  <w:vMerge w:val="continue"/>
                  <w:tcBorders>
                    <w:tl2br w:val="nil"/>
                    <w:tr2bl w:val="nil"/>
                  </w:tcBorders>
                  <w:vAlign w:val="center"/>
                </w:tcPr>
                <w:p w14:paraId="6E75C4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cs="Times New Roman"/>
                      <w:color w:val="000000" w:themeColor="text1"/>
                      <w:spacing w:val="0"/>
                      <w:sz w:val="21"/>
                      <w:szCs w:val="21"/>
                      <w:highlight w:val="none"/>
                      <w:lang w:val="en-US" w:eastAsia="zh-CN"/>
                      <w14:textFill>
                        <w14:solidFill>
                          <w14:schemeClr w14:val="tx1"/>
                        </w14:solidFill>
                      </w14:textFill>
                    </w:rPr>
                  </w:pPr>
                </w:p>
              </w:tc>
            </w:tr>
          </w:tbl>
          <w:p w14:paraId="457CF8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Times New Roman" w:hAnsi="Times New Roman" w:eastAsia="宋体" w:cs="Times New Roman"/>
                <w:b/>
                <w:bCs w:val="0"/>
                <w:color w:val="000000" w:themeColor="text1"/>
                <w:spacing w:val="-10"/>
                <w:sz w:val="24"/>
                <w:szCs w:val="24"/>
                <w:highlight w:val="none"/>
                <w:vertAlign w:val="baseline"/>
                <w:lang w:val="en-US" w:eastAsia="zh-CN"/>
                <w14:textFill>
                  <w14:solidFill>
                    <w14:schemeClr w14:val="tx1"/>
                  </w14:solidFill>
                </w14:textFill>
              </w:rPr>
            </w:pPr>
          </w:p>
        </w:tc>
      </w:tr>
    </w:tbl>
    <w:p w14:paraId="35B621CC">
      <w:pPr>
        <w:rPr>
          <w:rFonts w:hint="default"/>
          <w:color w:val="000000" w:themeColor="text1"/>
          <w:highlight w:val="none"/>
          <w14:textFill>
            <w14:solidFill>
              <w14:schemeClr w14:val="tx1"/>
            </w14:solidFill>
          </w14:textFill>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8399"/>
      </w:tblGrid>
      <w:tr w14:paraId="2134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14:paraId="58DDEC2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t>运营</w:t>
            </w:r>
          </w:p>
          <w:p w14:paraId="110C3B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t>期环</w:t>
            </w:r>
          </w:p>
          <w:p w14:paraId="5841AD3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t>境影</w:t>
            </w:r>
          </w:p>
          <w:p w14:paraId="4B52EB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t>响和</w:t>
            </w:r>
          </w:p>
          <w:p w14:paraId="4A9723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t>保护</w:t>
            </w:r>
          </w:p>
          <w:p w14:paraId="2B835D20">
            <w:pPr>
              <w:keepNext w:val="0"/>
              <w:keepLines w:val="0"/>
              <w:suppressLineNumbers w:val="0"/>
              <w:spacing w:before="0" w:beforeAutospacing="0" w:after="0" w:afterAutospacing="0"/>
              <w:ind w:left="0" w:right="0"/>
              <w:jc w:val="center"/>
              <w:rPr>
                <w:rFonts w:hint="default"/>
                <w:b/>
                <w:bCs w:val="0"/>
                <w:color w:val="000000" w:themeColor="text1"/>
                <w:highlight w:val="none"/>
                <w:vertAlign w:val="baseline"/>
                <w14:textFill>
                  <w14:solidFill>
                    <w14:schemeClr w14:val="tx1"/>
                  </w14:solidFill>
                </w14:textFill>
              </w:rPr>
            </w:pPr>
            <w: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t>措施</w:t>
            </w:r>
          </w:p>
        </w:tc>
        <w:tc>
          <w:tcPr>
            <w:tcW w:w="8399" w:type="dxa"/>
          </w:tcPr>
          <w:p w14:paraId="1DFEA21C">
            <w:pPr>
              <w:keepNext w:val="0"/>
              <w:keepLines w:val="0"/>
              <w:suppressLineNumbers w:val="0"/>
              <w:spacing w:before="0" w:beforeAutospacing="0" w:after="0" w:afterAutospacing="0" w:line="460" w:lineRule="exact"/>
              <w:ind w:left="0" w:right="0"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4.7.</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highlight w:val="none"/>
                <w14:textFill>
                  <w14:solidFill>
                    <w14:schemeClr w14:val="tx1"/>
                  </w14:solidFill>
                </w14:textFill>
              </w:rPr>
              <w:t>噪声预测</w:t>
            </w:r>
          </w:p>
          <w:p w14:paraId="6D7BD4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Cs/>
                <w:color w:val="000000" w:themeColor="text1"/>
                <w:spacing w:val="0"/>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14:textFill>
                  <w14:solidFill>
                    <w14:schemeClr w14:val="tx1"/>
                  </w14:solidFill>
                </w14:textFill>
              </w:rPr>
              <w:t>本次预测采用《环境影响评价技术导则</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pacing w:val="0"/>
                <w:sz w:val="24"/>
                <w:szCs w:val="24"/>
                <w:highlight w:val="none"/>
                <w14:textFill>
                  <w14:solidFill>
                    <w14:schemeClr w14:val="tx1"/>
                  </w14:solidFill>
                </w14:textFill>
              </w:rPr>
              <w:t>声环境》（HJ2.4-2021）中推荐的工业噪声预测计算模式</w:t>
            </w:r>
            <w:r>
              <w:rPr>
                <w:rFonts w:hint="eastAsia" w:ascii="Times New Roman" w:hAnsi="Times New Roman" w:eastAsia="宋体" w:cs="Times New Roman"/>
                <w:bCs/>
                <w:color w:val="000000" w:themeColor="text1"/>
                <w:spacing w:val="0"/>
                <w:sz w:val="24"/>
                <w:szCs w:val="24"/>
                <w:highlight w:val="none"/>
                <w:lang w:eastAsia="zh-CN"/>
                <w14:textFill>
                  <w14:solidFill>
                    <w14:schemeClr w14:val="tx1"/>
                  </w14:solidFill>
                </w14:textFill>
              </w:rPr>
              <w:t>。</w:t>
            </w:r>
          </w:p>
          <w:p w14:paraId="5E929521">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480" w:lineRule="exact"/>
              <w:ind w:left="0" w:right="0"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drawing>
                <wp:inline distT="0" distB="0" distL="114300" distR="114300">
                  <wp:extent cx="1828800" cy="219075"/>
                  <wp:effectExtent l="0" t="0" r="0" b="8255"/>
                  <wp:docPr id="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
                          <pic:cNvPicPr>
                            <a:picLocks noChangeAspect="1"/>
                          </pic:cNvPicPr>
                        </pic:nvPicPr>
                        <pic:blipFill>
                          <a:blip r:embed="rId19"/>
                          <a:stretch>
                            <a:fillRect/>
                          </a:stretch>
                        </pic:blipFill>
                        <pic:spPr>
                          <a:xfrm>
                            <a:off x="0" y="0"/>
                            <a:ext cx="1828800" cy="219075"/>
                          </a:xfrm>
                          <a:prstGeom prst="rect">
                            <a:avLst/>
                          </a:prstGeom>
                          <a:noFill/>
                          <a:ln>
                            <a:noFill/>
                          </a:ln>
                        </pic:spPr>
                      </pic:pic>
                    </a:graphicData>
                  </a:graphic>
                </wp:inline>
              </w:drawing>
            </w:r>
          </w:p>
          <w:p w14:paraId="2BAD2C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式中：L</w:t>
            </w:r>
            <w:r>
              <w:rPr>
                <w:rFonts w:hint="default" w:ascii="Times New Roman" w:hAnsi="Times New Roman" w:eastAsia="宋体" w:cs="Times New Roman"/>
                <w:color w:val="000000" w:themeColor="text1"/>
                <w:sz w:val="24"/>
                <w:vertAlign w:val="subscript"/>
                <w14:textFill>
                  <w14:solidFill>
                    <w14:schemeClr w14:val="tx1"/>
                  </w14:solidFill>
                </w14:textFill>
              </w:rPr>
              <w:t>A</w:t>
            </w:r>
            <w:r>
              <w:rPr>
                <w:rFonts w:hint="default" w:ascii="Times New Roman" w:hAnsi="Times New Roman" w:eastAsia="宋体" w:cs="Times New Roman"/>
                <w:color w:val="000000" w:themeColor="text1"/>
                <w:sz w:val="24"/>
                <w14:textFill>
                  <w14:solidFill>
                    <w14:schemeClr w14:val="tx1"/>
                  </w14:solidFill>
                </w14:textFill>
              </w:rPr>
              <w:t>（r）为距声源r处的A声级；</w:t>
            </w:r>
          </w:p>
          <w:p w14:paraId="17067A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200" w:firstLineChars="5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L</w:t>
            </w:r>
            <w:r>
              <w:rPr>
                <w:rFonts w:hint="default" w:ascii="Times New Roman" w:hAnsi="Times New Roman" w:eastAsia="宋体" w:cs="Times New Roman"/>
                <w:color w:val="000000" w:themeColor="text1"/>
                <w:sz w:val="24"/>
                <w:vertAlign w:val="subscript"/>
                <w14:textFill>
                  <w14:solidFill>
                    <w14:schemeClr w14:val="tx1"/>
                  </w14:solidFill>
                </w14:textFill>
              </w:rPr>
              <w:t>A</w:t>
            </w:r>
            <w:r>
              <w:rPr>
                <w:rFonts w:hint="default" w:ascii="Times New Roman" w:hAnsi="Times New Roman" w:eastAsia="宋体" w:cs="Times New Roman"/>
                <w:color w:val="000000" w:themeColor="text1"/>
                <w:sz w:val="24"/>
                <w14:textFill>
                  <w14:solidFill>
                    <w14:schemeClr w14:val="tx1"/>
                  </w14:solidFill>
                </w14:textFill>
              </w:rPr>
              <w:t>（r</w:t>
            </w:r>
            <w:r>
              <w:rPr>
                <w:rFonts w:hint="default" w:ascii="Times New Roman" w:hAnsi="Times New Roman" w:eastAsia="宋体" w:cs="Times New Roman"/>
                <w:color w:val="000000" w:themeColor="text1"/>
                <w:sz w:val="24"/>
                <w:vertAlign w:val="subscript"/>
                <w14:textFill>
                  <w14:solidFill>
                    <w14:schemeClr w14:val="tx1"/>
                  </w14:solidFill>
                </w14:textFill>
              </w:rPr>
              <w:t>0</w:t>
            </w:r>
            <w:r>
              <w:rPr>
                <w:rFonts w:hint="default" w:ascii="Times New Roman" w:hAnsi="Times New Roman" w:eastAsia="宋体" w:cs="Times New Roman"/>
                <w:color w:val="000000" w:themeColor="text1"/>
                <w:sz w:val="24"/>
                <w14:textFill>
                  <w14:solidFill>
                    <w14:schemeClr w14:val="tx1"/>
                  </w14:solidFill>
                </w14:textFill>
              </w:rPr>
              <w:t>）为参考位置r</w:t>
            </w:r>
            <w:r>
              <w:rPr>
                <w:rFonts w:hint="default" w:ascii="Times New Roman" w:hAnsi="Times New Roman" w:eastAsia="宋体" w:cs="Times New Roman"/>
                <w:color w:val="000000" w:themeColor="text1"/>
                <w:sz w:val="24"/>
                <w:vertAlign w:val="subscript"/>
                <w14:textFill>
                  <w14:solidFill>
                    <w14:schemeClr w14:val="tx1"/>
                  </w14:solidFill>
                </w14:textFill>
              </w:rPr>
              <w:t>0</w:t>
            </w:r>
            <w:r>
              <w:rPr>
                <w:rFonts w:hint="default" w:ascii="Times New Roman" w:hAnsi="Times New Roman" w:eastAsia="宋体" w:cs="Times New Roman"/>
                <w:color w:val="000000" w:themeColor="text1"/>
                <w:sz w:val="24"/>
                <w14:textFill>
                  <w14:solidFill>
                    <w14:schemeClr w14:val="tx1"/>
                  </w14:solidFill>
                </w14:textFill>
              </w:rPr>
              <w:t>的A声级；</w:t>
            </w:r>
          </w:p>
          <w:p w14:paraId="091838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200" w:firstLineChars="5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A</w:t>
            </w:r>
            <w:r>
              <w:rPr>
                <w:rFonts w:hint="default" w:ascii="Times New Roman" w:hAnsi="Times New Roman" w:eastAsia="宋体" w:cs="Times New Roman"/>
                <w:color w:val="000000" w:themeColor="text1"/>
                <w:sz w:val="24"/>
                <w:vertAlign w:val="subscript"/>
                <w14:textFill>
                  <w14:solidFill>
                    <w14:schemeClr w14:val="tx1"/>
                  </w14:solidFill>
                </w14:textFill>
              </w:rPr>
              <w:t>div</w:t>
            </w:r>
            <w:r>
              <w:rPr>
                <w:rFonts w:hint="default" w:ascii="Times New Roman" w:hAnsi="Times New Roman" w:eastAsia="宋体" w:cs="Times New Roman"/>
                <w:color w:val="000000" w:themeColor="text1"/>
                <w:sz w:val="24"/>
                <w14:textFill>
                  <w14:solidFill>
                    <w14:schemeClr w14:val="tx1"/>
                  </w14:solidFill>
                </w14:textFill>
              </w:rPr>
              <w:t>为声波几何发散引起的A声级衰减量；</w:t>
            </w:r>
          </w:p>
          <w:p w14:paraId="2BC2F3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200" w:firstLineChars="5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Aatm为大气吸收引起的A声级衰减量。</w:t>
            </w:r>
          </w:p>
          <w:p w14:paraId="0248B3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本评价根据各噪声源的噪声水平及其采取的降噪及隔声效果，综合考虑Adiv、Aatm和Agr的衰减量，来预测本工程主要噪声源对周围声环境的影响。其中几何发散引起的A声级衰减量的计算公式如下：</w:t>
            </w:r>
          </w:p>
          <w:p w14:paraId="2A9662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drawing>
                <wp:inline distT="0" distB="0" distL="114300" distR="114300">
                  <wp:extent cx="1143000" cy="447675"/>
                  <wp:effectExtent l="0" t="0" r="0" b="7620"/>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pic:cNvPicPr>
                            <a:picLocks noChangeAspect="1"/>
                          </pic:cNvPicPr>
                        </pic:nvPicPr>
                        <pic:blipFill>
                          <a:blip r:embed="rId20"/>
                          <a:stretch>
                            <a:fillRect/>
                          </a:stretch>
                        </pic:blipFill>
                        <pic:spPr>
                          <a:xfrm>
                            <a:off x="0" y="0"/>
                            <a:ext cx="1143000" cy="447675"/>
                          </a:xfrm>
                          <a:prstGeom prst="rect">
                            <a:avLst/>
                          </a:prstGeom>
                          <a:noFill/>
                          <a:ln>
                            <a:noFill/>
                          </a:ln>
                        </pic:spPr>
                      </pic:pic>
                    </a:graphicData>
                  </a:graphic>
                </wp:inline>
              </w:drawing>
            </w:r>
          </w:p>
          <w:p w14:paraId="551C6C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大气吸收引起的A声级衰减量的计算公式如下：</w:t>
            </w:r>
          </w:p>
          <w:p w14:paraId="229152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drawing>
                <wp:inline distT="0" distB="0" distL="114300" distR="114300">
                  <wp:extent cx="1171575" cy="419100"/>
                  <wp:effectExtent l="0" t="0" r="9525" b="0"/>
                  <wp:docPr id="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
                          <pic:cNvPicPr>
                            <a:picLocks noChangeAspect="1"/>
                          </pic:cNvPicPr>
                        </pic:nvPicPr>
                        <pic:blipFill>
                          <a:blip r:embed="rId21"/>
                          <a:stretch>
                            <a:fillRect/>
                          </a:stretch>
                        </pic:blipFill>
                        <pic:spPr>
                          <a:xfrm>
                            <a:off x="0" y="0"/>
                            <a:ext cx="1171575" cy="419100"/>
                          </a:xfrm>
                          <a:prstGeom prst="rect">
                            <a:avLst/>
                          </a:prstGeom>
                          <a:noFill/>
                          <a:ln>
                            <a:noFill/>
                          </a:ln>
                        </pic:spPr>
                      </pic:pic>
                    </a:graphicData>
                  </a:graphic>
                </wp:inline>
              </w:drawing>
            </w:r>
          </w:p>
          <w:p w14:paraId="5F2F1E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式中：α为温度、湿度和声波频率的函数，预测计算中一般根据当地常年平均气温和湿度选择相应的空气吸收系数。</w:t>
            </w:r>
          </w:p>
          <w:p w14:paraId="1C33EE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对多个声源同时存在时，其总A声级用下式计算：</w:t>
            </w:r>
          </w:p>
          <w:p w14:paraId="6BAC1C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drawing>
                <wp:inline distT="0" distB="0" distL="114300" distR="114300">
                  <wp:extent cx="1562100" cy="457200"/>
                  <wp:effectExtent l="0" t="0" r="0" b="0"/>
                  <wp:docPr id="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
                          <pic:cNvPicPr>
                            <a:picLocks noChangeAspect="1"/>
                          </pic:cNvPicPr>
                        </pic:nvPicPr>
                        <pic:blipFill>
                          <a:blip r:embed="rId22"/>
                          <a:stretch>
                            <a:fillRect/>
                          </a:stretch>
                        </pic:blipFill>
                        <pic:spPr>
                          <a:xfrm>
                            <a:off x="0" y="0"/>
                            <a:ext cx="1562100" cy="457200"/>
                          </a:xfrm>
                          <a:prstGeom prst="rect">
                            <a:avLst/>
                          </a:prstGeom>
                          <a:noFill/>
                          <a:ln>
                            <a:noFill/>
                          </a:ln>
                        </pic:spPr>
                      </pic:pic>
                    </a:graphicData>
                  </a:graphic>
                </wp:inline>
              </w:drawing>
            </w:r>
          </w:p>
          <w:p w14:paraId="664BFF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式中：L</w:t>
            </w:r>
            <w:r>
              <w:rPr>
                <w:rFonts w:hint="default" w:ascii="Times New Roman" w:hAnsi="Times New Roman" w:eastAsia="宋体" w:cs="Times New Roman"/>
                <w:color w:val="000000" w:themeColor="text1"/>
                <w:sz w:val="24"/>
                <w:vertAlign w:val="subscript"/>
                <w14:textFill>
                  <w14:solidFill>
                    <w14:schemeClr w14:val="tx1"/>
                  </w14:solidFill>
                </w14:textFill>
              </w:rPr>
              <w:t>eqg</w:t>
            </w:r>
            <w:r>
              <w:rPr>
                <w:rFonts w:hint="default" w:ascii="Times New Roman" w:hAnsi="Times New Roman" w:eastAsia="宋体" w:cs="Times New Roman"/>
                <w:color w:val="000000" w:themeColor="text1"/>
                <w:sz w:val="24"/>
                <w14:textFill>
                  <w14:solidFill>
                    <w14:schemeClr w14:val="tx1"/>
                  </w14:solidFill>
                </w14:textFill>
              </w:rPr>
              <w:t>为本项目声源在预测点的等效声级贡献值，dB（A）；L</w:t>
            </w:r>
            <w:r>
              <w:rPr>
                <w:rFonts w:hint="default" w:ascii="Times New Roman" w:hAnsi="Times New Roman" w:eastAsia="宋体" w:cs="Times New Roman"/>
                <w:color w:val="000000" w:themeColor="text1"/>
                <w:sz w:val="24"/>
                <w:vertAlign w:val="subscript"/>
                <w14:textFill>
                  <w14:solidFill>
                    <w14:schemeClr w14:val="tx1"/>
                  </w14:solidFill>
                </w14:textFill>
              </w:rPr>
              <w:t>Ai</w:t>
            </w:r>
            <w:r>
              <w:rPr>
                <w:rFonts w:hint="default" w:ascii="Times New Roman" w:hAnsi="Times New Roman" w:eastAsia="宋体" w:cs="Times New Roman"/>
                <w:color w:val="000000" w:themeColor="text1"/>
                <w:sz w:val="24"/>
                <w14:textFill>
                  <w14:solidFill>
                    <w14:schemeClr w14:val="tx1"/>
                  </w14:solidFill>
                </w14:textFill>
              </w:rPr>
              <w:t>为i声源在预测点产生的A声级，dB（A）；T预测计算的时间段，s；t</w:t>
            </w:r>
            <w:r>
              <w:rPr>
                <w:rFonts w:hint="default" w:ascii="Times New Roman" w:hAnsi="Times New Roman" w:eastAsia="宋体" w:cs="Times New Roman"/>
                <w:color w:val="000000" w:themeColor="text1"/>
                <w:sz w:val="24"/>
                <w:vertAlign w:val="subscript"/>
                <w14:textFill>
                  <w14:solidFill>
                    <w14:schemeClr w14:val="tx1"/>
                  </w14:solidFill>
                </w14:textFill>
              </w:rPr>
              <w:t>i</w:t>
            </w:r>
            <w:r>
              <w:rPr>
                <w:rFonts w:hint="default" w:ascii="Times New Roman" w:hAnsi="Times New Roman" w:eastAsia="宋体" w:cs="Times New Roman"/>
                <w:color w:val="000000" w:themeColor="text1"/>
                <w:sz w:val="24"/>
                <w14:textFill>
                  <w14:solidFill>
                    <w14:schemeClr w14:val="tx1"/>
                  </w14:solidFill>
                </w14:textFill>
              </w:rPr>
              <w:t>为i声源在T时段内的运行时间，s。</w:t>
            </w:r>
          </w:p>
          <w:p w14:paraId="4CC549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现状监测值与预测贡献值叠加的预测总A声级计算公式如下：</w:t>
            </w:r>
          </w:p>
          <w:p w14:paraId="60AD4784">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480" w:lineRule="exact"/>
              <w:ind w:left="0" w:right="0"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drawing>
                <wp:inline distT="0" distB="0" distL="114300" distR="114300">
                  <wp:extent cx="1790700" cy="266700"/>
                  <wp:effectExtent l="0" t="0" r="0" b="0"/>
                  <wp:docPr id="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
                          <pic:cNvPicPr>
                            <a:picLocks noChangeAspect="1"/>
                          </pic:cNvPicPr>
                        </pic:nvPicPr>
                        <pic:blipFill>
                          <a:blip r:embed="rId23"/>
                          <a:stretch>
                            <a:fillRect/>
                          </a:stretch>
                        </pic:blipFill>
                        <pic:spPr>
                          <a:xfrm>
                            <a:off x="0" y="0"/>
                            <a:ext cx="1790700" cy="266700"/>
                          </a:xfrm>
                          <a:prstGeom prst="rect">
                            <a:avLst/>
                          </a:prstGeom>
                          <a:noFill/>
                          <a:ln>
                            <a:noFill/>
                          </a:ln>
                        </pic:spPr>
                      </pic:pic>
                    </a:graphicData>
                  </a:graphic>
                </wp:inline>
              </w:drawing>
            </w:r>
          </w:p>
          <w:p w14:paraId="7E2258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式中，L</w:t>
            </w:r>
            <w:r>
              <w:rPr>
                <w:rFonts w:hint="default" w:ascii="Times New Roman" w:hAnsi="Times New Roman" w:eastAsia="宋体" w:cs="Times New Roman"/>
                <w:color w:val="000000" w:themeColor="text1"/>
                <w:sz w:val="24"/>
                <w:vertAlign w:val="subscript"/>
                <w14:textFill>
                  <w14:solidFill>
                    <w14:schemeClr w14:val="tx1"/>
                  </w14:solidFill>
                </w14:textFill>
              </w:rPr>
              <w:t>eqg</w:t>
            </w:r>
            <w:r>
              <w:rPr>
                <w:rFonts w:hint="default" w:ascii="Times New Roman" w:hAnsi="Times New Roman" w:eastAsia="宋体" w:cs="Times New Roman"/>
                <w:color w:val="000000" w:themeColor="text1"/>
                <w:sz w:val="24"/>
                <w14:textFill>
                  <w14:solidFill>
                    <w14:schemeClr w14:val="tx1"/>
                  </w14:solidFill>
                </w14:textFill>
              </w:rPr>
              <w:t>为本项目声源在预测点的等效声级贡献值；L</w:t>
            </w:r>
            <w:r>
              <w:rPr>
                <w:rFonts w:hint="default" w:ascii="Times New Roman" w:hAnsi="Times New Roman" w:eastAsia="宋体" w:cs="Times New Roman"/>
                <w:color w:val="000000" w:themeColor="text1"/>
                <w:sz w:val="24"/>
                <w:vertAlign w:val="subscript"/>
                <w14:textFill>
                  <w14:solidFill>
                    <w14:schemeClr w14:val="tx1"/>
                  </w14:solidFill>
                </w14:textFill>
              </w:rPr>
              <w:t>eqb</w:t>
            </w:r>
            <w:r>
              <w:rPr>
                <w:rFonts w:hint="default" w:ascii="Times New Roman" w:hAnsi="Times New Roman" w:eastAsia="宋体" w:cs="Times New Roman"/>
                <w:color w:val="000000" w:themeColor="text1"/>
                <w:sz w:val="24"/>
                <w14:textFill>
                  <w14:solidFill>
                    <w14:schemeClr w14:val="tx1"/>
                  </w14:solidFill>
                </w14:textFill>
              </w:rPr>
              <w:t>为预测点的背景值。</w:t>
            </w:r>
          </w:p>
          <w:p w14:paraId="3B030D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根据《环境影响评价技术导则声环境》（HJ2.4-2021），项目厂界噪声以工程噪声预测值作为评价量进行分析预测，同时考虑建筑物的屏蔽和遮挡，本项目夜间不运行，只进行昼间噪声预测。</w:t>
            </w:r>
            <w:r>
              <w:rPr>
                <w:rFonts w:hint="eastAsia" w:cs="Times New Roman"/>
                <w:color w:val="000000" w:themeColor="text1"/>
                <w:sz w:val="24"/>
                <w:highlight w:val="none"/>
                <w:lang w:val="en-US" w:eastAsia="zh-CN"/>
                <w14:textFill>
                  <w14:solidFill>
                    <w14:schemeClr w14:val="tx1"/>
                  </w14:solidFill>
                </w14:textFill>
              </w:rPr>
              <w:t>现有厂区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厂界</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噪声预测结果见表4.7-</w:t>
            </w:r>
            <w:r>
              <w:rPr>
                <w:rFonts w:hint="eastAsia"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p>
          <w:p w14:paraId="676F33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2741" w:firstLineChars="1300"/>
              <w:jc w:val="both"/>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w:t>
            </w:r>
            <w:r>
              <w:rPr>
                <w:rFonts w:hint="default"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t>4.7-</w:t>
            </w:r>
            <w:r>
              <w:rPr>
                <w:rFonts w:hint="eastAsia" w:eastAsia="宋体" w:cs="Times New Roman"/>
                <w:b/>
                <w:bCs/>
                <w:color w:val="000000" w:themeColor="text1"/>
                <w:spacing w:val="0"/>
                <w:kern w:val="2"/>
                <w:sz w:val="21"/>
                <w:szCs w:val="21"/>
                <w:highlight w:val="none"/>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环境噪声预测结果            单位：dB（A）</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1243"/>
              <w:gridCol w:w="1319"/>
              <w:gridCol w:w="1172"/>
              <w:gridCol w:w="1252"/>
              <w:gridCol w:w="1559"/>
            </w:tblGrid>
            <w:tr w14:paraId="4816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 w:type="pct"/>
                  <w:vMerge w:val="restart"/>
                  <w:tcBorders>
                    <w:tl2br w:val="nil"/>
                    <w:tr2bl w:val="nil"/>
                  </w:tcBorders>
                  <w:noWrap w:val="0"/>
                  <w:vAlign w:val="center"/>
                </w:tcPr>
                <w:p w14:paraId="09D98FAD">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点位</w:t>
                  </w:r>
                </w:p>
              </w:tc>
              <w:tc>
                <w:tcPr>
                  <w:tcW w:w="3051" w:type="pct"/>
                  <w:gridSpan w:val="4"/>
                  <w:tcBorders>
                    <w:tl2br w:val="nil"/>
                    <w:tr2bl w:val="nil"/>
                  </w:tcBorders>
                  <w:noWrap w:val="0"/>
                  <w:vAlign w:val="center"/>
                </w:tcPr>
                <w:p w14:paraId="77499C51">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b/>
                      <w:color w:val="000000" w:themeColor="text1"/>
                      <w:szCs w:val="21"/>
                      <w14:textFill>
                        <w14:solidFill>
                          <w14:schemeClr w14:val="tx1"/>
                        </w14:solidFill>
                      </w14:textFill>
                    </w:rPr>
                  </w:pPr>
                  <w:r>
                    <w:rPr>
                      <w:rFonts w:hint="default"/>
                      <w:b/>
                      <w:color w:val="000000" w:themeColor="text1"/>
                      <w:szCs w:val="21"/>
                      <w14:textFill>
                        <w14:solidFill>
                          <w14:schemeClr w14:val="tx1"/>
                        </w14:solidFill>
                      </w14:textFill>
                    </w:rPr>
                    <w:t>昼间</w:t>
                  </w:r>
                </w:p>
              </w:tc>
              <w:tc>
                <w:tcPr>
                  <w:tcW w:w="952" w:type="pct"/>
                  <w:vMerge w:val="restart"/>
                  <w:tcBorders>
                    <w:tl2br w:val="nil"/>
                    <w:tr2bl w:val="nil"/>
                  </w:tcBorders>
                  <w:noWrap w:val="0"/>
                  <w:vAlign w:val="center"/>
                </w:tcPr>
                <w:p w14:paraId="02C90E6E">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达标情况</w:t>
                  </w:r>
                </w:p>
              </w:tc>
            </w:tr>
            <w:tr w14:paraId="1FAF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 w:type="pct"/>
                  <w:vMerge w:val="continue"/>
                  <w:tcBorders>
                    <w:tl2br w:val="nil"/>
                    <w:tr2bl w:val="nil"/>
                  </w:tcBorders>
                  <w:noWrap w:val="0"/>
                  <w:vAlign w:val="center"/>
                </w:tcPr>
                <w:p w14:paraId="0C7BBCE9">
                  <w:pPr>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480"/>
                    <w:jc w:val="center"/>
                    <w:textAlignment w:val="auto"/>
                    <w:rPr>
                      <w:rFonts w:hint="default"/>
                      <w:b/>
                      <w:color w:val="000000" w:themeColor="text1"/>
                      <w:szCs w:val="21"/>
                      <w14:textFill>
                        <w14:solidFill>
                          <w14:schemeClr w14:val="tx1"/>
                        </w14:solidFill>
                      </w14:textFill>
                    </w:rPr>
                  </w:pPr>
                </w:p>
              </w:tc>
              <w:tc>
                <w:tcPr>
                  <w:tcW w:w="761" w:type="pct"/>
                  <w:tcBorders>
                    <w:tl2br w:val="nil"/>
                    <w:tr2bl w:val="nil"/>
                  </w:tcBorders>
                  <w:noWrap w:val="0"/>
                  <w:vAlign w:val="center"/>
                </w:tcPr>
                <w:p w14:paraId="38CC83FC">
                  <w:pPr>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eastAsia"/>
                      <w:b/>
                      <w:bCs w:val="0"/>
                      <w:color w:val="000000" w:themeColor="text1"/>
                      <w:szCs w:val="21"/>
                      <w:lang w:val="en-US" w:eastAsia="zh-CN"/>
                      <w14:textFill>
                        <w14:solidFill>
                          <w14:schemeClr w14:val="tx1"/>
                        </w14:solidFill>
                      </w14:textFill>
                    </w:rPr>
                  </w:pPr>
                  <w:r>
                    <w:rPr>
                      <w:rFonts w:hint="eastAsia"/>
                      <w:b/>
                      <w:bCs w:val="0"/>
                      <w:color w:val="000000" w:themeColor="text1"/>
                      <w:szCs w:val="21"/>
                      <w:lang w:val="en-US" w:eastAsia="zh-CN"/>
                      <w14:textFill>
                        <w14:solidFill>
                          <w14:schemeClr w14:val="tx1"/>
                        </w14:solidFill>
                      </w14:textFill>
                    </w:rPr>
                    <w:t>本项目</w:t>
                  </w:r>
                </w:p>
                <w:p w14:paraId="09D89B6B">
                  <w:pPr>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b/>
                      <w:bCs w:val="0"/>
                      <w:color w:val="000000" w:themeColor="text1"/>
                      <w:szCs w:val="21"/>
                      <w:highlight w:val="yellow"/>
                      <w14:textFill>
                        <w14:solidFill>
                          <w14:schemeClr w14:val="tx1"/>
                        </w14:solidFill>
                      </w14:textFill>
                    </w:rPr>
                  </w:pPr>
                  <w:r>
                    <w:rPr>
                      <w:rFonts w:hint="default"/>
                      <w:b/>
                      <w:bCs w:val="0"/>
                      <w:color w:val="000000" w:themeColor="text1"/>
                      <w:szCs w:val="21"/>
                      <w14:textFill>
                        <w14:solidFill>
                          <w14:schemeClr w14:val="tx1"/>
                        </w14:solidFill>
                      </w14:textFill>
                    </w:rPr>
                    <w:t>贡献值</w:t>
                  </w:r>
                </w:p>
              </w:tc>
              <w:tc>
                <w:tcPr>
                  <w:tcW w:w="807" w:type="pct"/>
                  <w:tcBorders>
                    <w:tl2br w:val="nil"/>
                    <w:tr2bl w:val="nil"/>
                  </w:tcBorders>
                  <w:noWrap w:val="0"/>
                  <w:vAlign w:val="center"/>
                </w:tcPr>
                <w:p w14:paraId="2012C4C6">
                  <w:pPr>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eastAsia="宋体"/>
                      <w:b/>
                      <w:bCs w:val="0"/>
                      <w:color w:val="000000" w:themeColor="text1"/>
                      <w:szCs w:val="21"/>
                      <w:lang w:val="en-US" w:eastAsia="zh-CN"/>
                      <w14:textFill>
                        <w14:solidFill>
                          <w14:schemeClr w14:val="tx1"/>
                        </w14:solidFill>
                      </w14:textFill>
                    </w:rPr>
                  </w:pPr>
                  <w:r>
                    <w:rPr>
                      <w:rFonts w:hint="eastAsia"/>
                      <w:b/>
                      <w:bCs w:val="0"/>
                      <w:color w:val="000000" w:themeColor="text1"/>
                      <w:szCs w:val="21"/>
                      <w:lang w:val="en-US" w:eastAsia="zh-CN"/>
                      <w14:textFill>
                        <w14:solidFill>
                          <w14:schemeClr w14:val="tx1"/>
                        </w14:solidFill>
                      </w14:textFill>
                    </w:rPr>
                    <w:t>富健达洗煤厂贡献值</w:t>
                  </w:r>
                </w:p>
              </w:tc>
              <w:tc>
                <w:tcPr>
                  <w:tcW w:w="717" w:type="pct"/>
                  <w:tcBorders>
                    <w:tl2br w:val="nil"/>
                    <w:tr2bl w:val="nil"/>
                  </w:tcBorders>
                  <w:noWrap w:val="0"/>
                  <w:vAlign w:val="center"/>
                </w:tcPr>
                <w:p w14:paraId="2F22E2FB">
                  <w:pPr>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b/>
                      <w:bCs w:val="0"/>
                      <w:color w:val="000000" w:themeColor="text1"/>
                      <w:szCs w:val="21"/>
                      <w14:textFill>
                        <w14:solidFill>
                          <w14:schemeClr w14:val="tx1"/>
                        </w14:solidFill>
                      </w14:textFill>
                    </w:rPr>
                  </w:pPr>
                  <w:r>
                    <w:rPr>
                      <w:rFonts w:hint="eastAsia"/>
                      <w:b/>
                      <w:bCs w:val="0"/>
                      <w:color w:val="000000" w:themeColor="text1"/>
                      <w:szCs w:val="21"/>
                      <w:lang w:val="en-US" w:eastAsia="zh-CN"/>
                      <w14:textFill>
                        <w14:solidFill>
                          <w14:schemeClr w14:val="tx1"/>
                        </w14:solidFill>
                      </w14:textFill>
                    </w:rPr>
                    <w:t>叠加值</w:t>
                  </w:r>
                </w:p>
              </w:tc>
              <w:tc>
                <w:tcPr>
                  <w:tcW w:w="764" w:type="pct"/>
                  <w:tcBorders>
                    <w:tl2br w:val="nil"/>
                    <w:tr2bl w:val="nil"/>
                  </w:tcBorders>
                  <w:noWrap w:val="0"/>
                  <w:vAlign w:val="center"/>
                </w:tcPr>
                <w:p w14:paraId="1771FC38">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b/>
                      <w:bCs w:val="0"/>
                      <w:color w:val="000000" w:themeColor="text1"/>
                      <w:szCs w:val="21"/>
                      <w14:textFill>
                        <w14:solidFill>
                          <w14:schemeClr w14:val="tx1"/>
                        </w14:solidFill>
                      </w14:textFill>
                    </w:rPr>
                  </w:pPr>
                  <w:r>
                    <w:rPr>
                      <w:rFonts w:hint="default"/>
                      <w:b/>
                      <w:bCs w:val="0"/>
                      <w:color w:val="000000" w:themeColor="text1"/>
                      <w:szCs w:val="21"/>
                      <w14:textFill>
                        <w14:solidFill>
                          <w14:schemeClr w14:val="tx1"/>
                        </w14:solidFill>
                      </w14:textFill>
                    </w:rPr>
                    <w:t>标准值</w:t>
                  </w:r>
                </w:p>
              </w:tc>
              <w:tc>
                <w:tcPr>
                  <w:tcW w:w="952" w:type="pct"/>
                  <w:vMerge w:val="continue"/>
                  <w:tcBorders>
                    <w:tl2br w:val="nil"/>
                    <w:tr2bl w:val="nil"/>
                  </w:tcBorders>
                  <w:noWrap w:val="0"/>
                  <w:vAlign w:val="center"/>
                </w:tcPr>
                <w:p w14:paraId="7A301647">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b/>
                      <w:bCs w:val="0"/>
                      <w:color w:val="000000" w:themeColor="text1"/>
                      <w:szCs w:val="21"/>
                      <w14:textFill>
                        <w14:solidFill>
                          <w14:schemeClr w14:val="tx1"/>
                        </w14:solidFill>
                      </w14:textFill>
                    </w:rPr>
                  </w:pPr>
                </w:p>
              </w:tc>
            </w:tr>
            <w:tr w14:paraId="3AA7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 w:type="pct"/>
                  <w:tcBorders>
                    <w:tl2br w:val="nil"/>
                    <w:tr2bl w:val="nil"/>
                  </w:tcBorders>
                  <w:noWrap w:val="0"/>
                  <w:vAlign w:val="center"/>
                </w:tcPr>
                <w:p w14:paraId="4944E0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000000" w:themeColor="text1"/>
                      <w:szCs w:val="21"/>
                      <w14:textFill>
                        <w14:solidFill>
                          <w14:schemeClr w14:val="tx1"/>
                        </w14:solidFill>
                      </w14:textFill>
                    </w:rPr>
                  </w:pPr>
                  <w:r>
                    <w:rPr>
                      <w:rFonts w:hint="eastAsia"/>
                      <w:b w:val="0"/>
                      <w:bCs w:val="0"/>
                      <w:color w:val="000000" w:themeColor="text1"/>
                      <w:lang w:val="en-US" w:eastAsia="zh-CN"/>
                      <w14:textFill>
                        <w14:solidFill>
                          <w14:schemeClr w14:val="tx1"/>
                        </w14:solidFill>
                      </w14:textFill>
                    </w:rPr>
                    <w:t>厂界北</w:t>
                  </w:r>
                </w:p>
              </w:tc>
              <w:tc>
                <w:tcPr>
                  <w:tcW w:w="761" w:type="pct"/>
                  <w:tcBorders>
                    <w:tl2br w:val="nil"/>
                    <w:tr2bl w:val="nil"/>
                  </w:tcBorders>
                  <w:noWrap w:val="0"/>
                  <w:vAlign w:val="center"/>
                </w:tcPr>
                <w:p w14:paraId="42650D0F">
                  <w:pPr>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color w:val="000000" w:themeColor="text1"/>
                      <w:kern w:val="0"/>
                      <w:szCs w:val="21"/>
                      <w:highlight w:val="yellow"/>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45.3</w:t>
                  </w:r>
                </w:p>
              </w:tc>
              <w:tc>
                <w:tcPr>
                  <w:tcW w:w="807" w:type="pct"/>
                  <w:tcBorders>
                    <w:tl2br w:val="nil"/>
                    <w:tr2bl w:val="nil"/>
                  </w:tcBorders>
                  <w:noWrap w:val="0"/>
                  <w:vAlign w:val="center"/>
                </w:tcPr>
                <w:p w14:paraId="2603EF3C">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57.4</w:t>
                  </w:r>
                </w:p>
              </w:tc>
              <w:tc>
                <w:tcPr>
                  <w:tcW w:w="717" w:type="pct"/>
                  <w:tcBorders>
                    <w:tl2br w:val="nil"/>
                    <w:tr2bl w:val="nil"/>
                  </w:tcBorders>
                  <w:noWrap w:val="0"/>
                  <w:vAlign w:val="center"/>
                </w:tcPr>
                <w:p w14:paraId="02BFA819">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57.66</w:t>
                  </w:r>
                </w:p>
              </w:tc>
              <w:tc>
                <w:tcPr>
                  <w:tcW w:w="764" w:type="pct"/>
                  <w:tcBorders>
                    <w:tl2br w:val="nil"/>
                    <w:tr2bl w:val="nil"/>
                  </w:tcBorders>
                  <w:noWrap w:val="0"/>
                  <w:vAlign w:val="center"/>
                </w:tcPr>
                <w:p w14:paraId="7E8E3A4C">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w:t>
                  </w:r>
                </w:p>
              </w:tc>
              <w:tc>
                <w:tcPr>
                  <w:tcW w:w="952" w:type="pct"/>
                  <w:tcBorders>
                    <w:tl2br w:val="nil"/>
                    <w:tr2bl w:val="nil"/>
                  </w:tcBorders>
                  <w:noWrap w:val="0"/>
                  <w:vAlign w:val="center"/>
                </w:tcPr>
                <w:p w14:paraId="1E57009B">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达标</w:t>
                  </w:r>
                </w:p>
              </w:tc>
            </w:tr>
            <w:tr w14:paraId="07EB5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 w:type="pct"/>
                  <w:tcBorders>
                    <w:tl2br w:val="nil"/>
                    <w:tr2bl w:val="nil"/>
                  </w:tcBorders>
                  <w:noWrap w:val="0"/>
                  <w:vAlign w:val="center"/>
                </w:tcPr>
                <w:p w14:paraId="656C32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000000" w:themeColor="text1"/>
                      <w:szCs w:val="21"/>
                      <w14:textFill>
                        <w14:solidFill>
                          <w14:schemeClr w14:val="tx1"/>
                        </w14:solidFill>
                      </w14:textFill>
                    </w:rPr>
                  </w:pPr>
                  <w:r>
                    <w:rPr>
                      <w:rFonts w:hint="eastAsia"/>
                      <w:b w:val="0"/>
                      <w:bCs w:val="0"/>
                      <w:color w:val="000000" w:themeColor="text1"/>
                      <w:lang w:val="en-US" w:eastAsia="zh-CN"/>
                      <w14:textFill>
                        <w14:solidFill>
                          <w14:schemeClr w14:val="tx1"/>
                        </w14:solidFill>
                      </w14:textFill>
                    </w:rPr>
                    <w:t>厂界东</w:t>
                  </w:r>
                </w:p>
              </w:tc>
              <w:tc>
                <w:tcPr>
                  <w:tcW w:w="761" w:type="pct"/>
                  <w:tcBorders>
                    <w:tl2br w:val="nil"/>
                    <w:tr2bl w:val="nil"/>
                  </w:tcBorders>
                  <w:noWrap w:val="0"/>
                  <w:vAlign w:val="center"/>
                </w:tcPr>
                <w:p w14:paraId="7374A855">
                  <w:pPr>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color w:val="000000" w:themeColor="text1"/>
                      <w:kern w:val="0"/>
                      <w:szCs w:val="21"/>
                      <w:highlight w:val="yellow"/>
                      <w14:textFill>
                        <w14:solidFill>
                          <w14:schemeClr w14:val="tx1"/>
                        </w14:solidFill>
                      </w14:textFill>
                    </w:rPr>
                  </w:pPr>
                  <w:r>
                    <w:rPr>
                      <w:rFonts w:hint="eastAsia"/>
                      <w:color w:val="000000" w:themeColor="text1"/>
                      <w:szCs w:val="21"/>
                      <w:lang w:val="en-US" w:eastAsia="zh-CN"/>
                      <w14:textFill>
                        <w14:solidFill>
                          <w14:schemeClr w14:val="tx1"/>
                        </w14:solidFill>
                      </w14:textFill>
                    </w:rPr>
                    <w:t>43.2</w:t>
                  </w:r>
                </w:p>
              </w:tc>
              <w:tc>
                <w:tcPr>
                  <w:tcW w:w="807" w:type="pct"/>
                  <w:tcBorders>
                    <w:tl2br w:val="nil"/>
                    <w:tr2bl w:val="nil"/>
                  </w:tcBorders>
                  <w:noWrap w:val="0"/>
                  <w:vAlign w:val="center"/>
                </w:tcPr>
                <w:p w14:paraId="2830CD2E">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56.8</w:t>
                  </w:r>
                </w:p>
              </w:tc>
              <w:tc>
                <w:tcPr>
                  <w:tcW w:w="717" w:type="pct"/>
                  <w:tcBorders>
                    <w:tl2br w:val="nil"/>
                    <w:tr2bl w:val="nil"/>
                  </w:tcBorders>
                  <w:noWrap w:val="0"/>
                  <w:vAlign w:val="center"/>
                </w:tcPr>
                <w:p w14:paraId="00818639">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56.99</w:t>
                  </w:r>
                </w:p>
              </w:tc>
              <w:tc>
                <w:tcPr>
                  <w:tcW w:w="764" w:type="pct"/>
                  <w:tcBorders>
                    <w:tl2br w:val="nil"/>
                    <w:tr2bl w:val="nil"/>
                  </w:tcBorders>
                  <w:noWrap w:val="0"/>
                  <w:vAlign w:val="center"/>
                </w:tcPr>
                <w:p w14:paraId="48AA7FD6">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60</w:t>
                  </w:r>
                </w:p>
              </w:tc>
              <w:tc>
                <w:tcPr>
                  <w:tcW w:w="952" w:type="pct"/>
                  <w:tcBorders>
                    <w:tl2br w:val="nil"/>
                    <w:tr2bl w:val="nil"/>
                  </w:tcBorders>
                  <w:noWrap w:val="0"/>
                  <w:vAlign w:val="center"/>
                </w:tcPr>
                <w:p w14:paraId="43080CA1">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达标</w:t>
                  </w:r>
                </w:p>
              </w:tc>
            </w:tr>
            <w:tr w14:paraId="03EA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 w:type="pct"/>
                  <w:tcBorders>
                    <w:tl2br w:val="nil"/>
                    <w:tr2bl w:val="nil"/>
                  </w:tcBorders>
                  <w:noWrap w:val="0"/>
                  <w:vAlign w:val="center"/>
                </w:tcPr>
                <w:p w14:paraId="5C27EF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000000" w:themeColor="text1"/>
                      <w:szCs w:val="21"/>
                      <w14:textFill>
                        <w14:solidFill>
                          <w14:schemeClr w14:val="tx1"/>
                        </w14:solidFill>
                      </w14:textFill>
                    </w:rPr>
                  </w:pPr>
                  <w:r>
                    <w:rPr>
                      <w:rFonts w:hint="eastAsia"/>
                      <w:b w:val="0"/>
                      <w:bCs w:val="0"/>
                      <w:color w:val="000000" w:themeColor="text1"/>
                      <w:lang w:val="en-US" w:eastAsia="zh-CN"/>
                      <w14:textFill>
                        <w14:solidFill>
                          <w14:schemeClr w14:val="tx1"/>
                        </w14:solidFill>
                      </w14:textFill>
                    </w:rPr>
                    <w:t>厂界南</w:t>
                  </w:r>
                </w:p>
              </w:tc>
              <w:tc>
                <w:tcPr>
                  <w:tcW w:w="761" w:type="pct"/>
                  <w:tcBorders>
                    <w:tl2br w:val="nil"/>
                    <w:tr2bl w:val="nil"/>
                  </w:tcBorders>
                  <w:noWrap w:val="0"/>
                  <w:vAlign w:val="center"/>
                </w:tcPr>
                <w:p w14:paraId="230A35D4">
                  <w:pPr>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color w:val="000000" w:themeColor="text1"/>
                      <w:kern w:val="0"/>
                      <w:szCs w:val="21"/>
                      <w:highlight w:val="yellow"/>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38.6</w:t>
                  </w:r>
                </w:p>
              </w:tc>
              <w:tc>
                <w:tcPr>
                  <w:tcW w:w="807" w:type="pct"/>
                  <w:tcBorders>
                    <w:tl2br w:val="nil"/>
                    <w:tr2bl w:val="nil"/>
                  </w:tcBorders>
                  <w:noWrap w:val="0"/>
                  <w:vAlign w:val="center"/>
                </w:tcPr>
                <w:p w14:paraId="58D083C9">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57.4</w:t>
                  </w:r>
                </w:p>
              </w:tc>
              <w:tc>
                <w:tcPr>
                  <w:tcW w:w="717" w:type="pct"/>
                  <w:tcBorders>
                    <w:tl2br w:val="nil"/>
                    <w:tr2bl w:val="nil"/>
                  </w:tcBorders>
                  <w:noWrap w:val="0"/>
                  <w:vAlign w:val="center"/>
                </w:tcPr>
                <w:p w14:paraId="0DD88836">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57.46</w:t>
                  </w:r>
                </w:p>
              </w:tc>
              <w:tc>
                <w:tcPr>
                  <w:tcW w:w="764" w:type="pct"/>
                  <w:tcBorders>
                    <w:tl2br w:val="nil"/>
                    <w:tr2bl w:val="nil"/>
                  </w:tcBorders>
                  <w:noWrap w:val="0"/>
                  <w:vAlign w:val="center"/>
                </w:tcPr>
                <w:p w14:paraId="6E4EA604">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70</w:t>
                  </w:r>
                </w:p>
              </w:tc>
              <w:tc>
                <w:tcPr>
                  <w:tcW w:w="952" w:type="pct"/>
                  <w:tcBorders>
                    <w:tl2br w:val="nil"/>
                    <w:tr2bl w:val="nil"/>
                  </w:tcBorders>
                  <w:noWrap w:val="0"/>
                  <w:vAlign w:val="center"/>
                </w:tcPr>
                <w:p w14:paraId="6179D54A">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达标</w:t>
                  </w:r>
                </w:p>
              </w:tc>
            </w:tr>
            <w:tr w14:paraId="005B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 w:type="pct"/>
                  <w:tcBorders>
                    <w:tl2br w:val="nil"/>
                    <w:tr2bl w:val="nil"/>
                  </w:tcBorders>
                  <w:noWrap w:val="0"/>
                  <w:vAlign w:val="center"/>
                </w:tcPr>
                <w:p w14:paraId="002B0B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000000" w:themeColor="text1"/>
                      <w:szCs w:val="21"/>
                      <w14:textFill>
                        <w14:solidFill>
                          <w14:schemeClr w14:val="tx1"/>
                        </w14:solidFill>
                      </w14:textFill>
                    </w:rPr>
                  </w:pPr>
                  <w:r>
                    <w:rPr>
                      <w:rFonts w:hint="eastAsia"/>
                      <w:b w:val="0"/>
                      <w:bCs w:val="0"/>
                      <w:color w:val="000000" w:themeColor="text1"/>
                      <w:lang w:val="en-US" w:eastAsia="zh-CN"/>
                      <w14:textFill>
                        <w14:solidFill>
                          <w14:schemeClr w14:val="tx1"/>
                        </w14:solidFill>
                      </w14:textFill>
                    </w:rPr>
                    <w:t>厂界西</w:t>
                  </w:r>
                </w:p>
              </w:tc>
              <w:tc>
                <w:tcPr>
                  <w:tcW w:w="761" w:type="pct"/>
                  <w:tcBorders>
                    <w:tl2br w:val="nil"/>
                    <w:tr2bl w:val="nil"/>
                  </w:tcBorders>
                  <w:noWrap w:val="0"/>
                  <w:vAlign w:val="center"/>
                </w:tcPr>
                <w:p w14:paraId="0017B111">
                  <w:pPr>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color w:val="000000" w:themeColor="text1"/>
                      <w:kern w:val="0"/>
                      <w:szCs w:val="21"/>
                      <w:highlight w:val="yellow"/>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40.9</w:t>
                  </w:r>
                </w:p>
              </w:tc>
              <w:tc>
                <w:tcPr>
                  <w:tcW w:w="807" w:type="pct"/>
                  <w:tcBorders>
                    <w:tl2br w:val="nil"/>
                    <w:tr2bl w:val="nil"/>
                  </w:tcBorders>
                  <w:noWrap w:val="0"/>
                  <w:vAlign w:val="center"/>
                </w:tcPr>
                <w:p w14:paraId="07339246">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56.2</w:t>
                  </w:r>
                </w:p>
              </w:tc>
              <w:tc>
                <w:tcPr>
                  <w:tcW w:w="717" w:type="pct"/>
                  <w:tcBorders>
                    <w:tl2br w:val="nil"/>
                    <w:tr2bl w:val="nil"/>
                  </w:tcBorders>
                  <w:noWrap w:val="0"/>
                  <w:vAlign w:val="center"/>
                </w:tcPr>
                <w:p w14:paraId="40C62C75">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56.33</w:t>
                  </w:r>
                </w:p>
              </w:tc>
              <w:tc>
                <w:tcPr>
                  <w:tcW w:w="764" w:type="pct"/>
                  <w:tcBorders>
                    <w:tl2br w:val="nil"/>
                    <w:tr2bl w:val="nil"/>
                  </w:tcBorders>
                  <w:noWrap w:val="0"/>
                  <w:vAlign w:val="center"/>
                </w:tcPr>
                <w:p w14:paraId="4761037F">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60</w:t>
                  </w:r>
                </w:p>
              </w:tc>
              <w:tc>
                <w:tcPr>
                  <w:tcW w:w="952" w:type="pct"/>
                  <w:tcBorders>
                    <w:tl2br w:val="nil"/>
                    <w:tr2bl w:val="nil"/>
                  </w:tcBorders>
                  <w:noWrap w:val="0"/>
                  <w:vAlign w:val="center"/>
                </w:tcPr>
                <w:p w14:paraId="1F801F09">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达标</w:t>
                  </w:r>
                </w:p>
              </w:tc>
            </w:tr>
            <w:tr w14:paraId="5B69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00" w:type="pct"/>
                  <w:gridSpan w:val="6"/>
                  <w:tcBorders>
                    <w:tl2br w:val="nil"/>
                    <w:tr2bl w:val="nil"/>
                  </w:tcBorders>
                  <w:noWrap w:val="0"/>
                  <w:vAlign w:val="center"/>
                </w:tcPr>
                <w:p w14:paraId="72266640">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left"/>
                    <w:textAlignment w:val="auto"/>
                    <w:rPr>
                      <w:rFonts w:hint="default"/>
                      <w:color w:val="000000" w:themeColor="text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备注：富健达洗煤厂现处于停产状态，富健达洗煤厂昼间</w:t>
                  </w:r>
                  <w:r>
                    <w:rPr>
                      <w:rFonts w:hint="eastAsia"/>
                      <w:color w:val="000000" w:themeColor="text1"/>
                      <w:sz w:val="21"/>
                      <w:szCs w:val="21"/>
                      <w:highlight w:val="none"/>
                      <w:lang w:val="en-US" w:eastAsia="zh-CN"/>
                      <w14:textFill>
                        <w14:solidFill>
                          <w14:schemeClr w14:val="tx1"/>
                        </w14:solidFill>
                      </w14:textFill>
                    </w:rPr>
                    <w:t>噪声贡献值数据来源为《屯留县富健达工贸有限公司自行监测（三季度）》（2022年9月20日）</w:t>
                  </w:r>
                </w:p>
              </w:tc>
            </w:tr>
          </w:tbl>
          <w:p w14:paraId="45B992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96"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4"/>
                <w:kern w:val="2"/>
                <w:sz w:val="24"/>
                <w:szCs w:val="24"/>
                <w:highlight w:val="none"/>
                <w:lang w:val="en-US" w:eastAsia="zh-CN" w:bidi="ar-SA"/>
                <w14:textFill>
                  <w14:solidFill>
                    <w14:schemeClr w14:val="tx1"/>
                  </w14:solidFill>
                </w14:textFill>
              </w:rPr>
              <w:t>根据</w:t>
            </w:r>
            <w:r>
              <w:rPr>
                <w:rFonts w:hint="eastAsia" w:ascii="Times New Roman" w:hAnsi="Times New Roman" w:eastAsia="宋体" w:cs="Times New Roman"/>
                <w:color w:val="000000" w:themeColor="text1"/>
                <w:spacing w:val="4"/>
                <w:kern w:val="2"/>
                <w:sz w:val="24"/>
                <w:szCs w:val="24"/>
                <w:highlight w:val="none"/>
                <w:lang w:val="en-US" w:eastAsia="zh-CN" w:bidi="ar-SA"/>
                <w14:textFill>
                  <w14:solidFill>
                    <w14:schemeClr w14:val="tx1"/>
                  </w14:solidFill>
                </w14:textFill>
              </w:rPr>
              <w:t>以上</w:t>
            </w:r>
            <w:r>
              <w:rPr>
                <w:rFonts w:hint="default" w:ascii="Times New Roman" w:hAnsi="Times New Roman" w:eastAsia="宋体" w:cs="Times New Roman"/>
                <w:color w:val="000000" w:themeColor="text1"/>
                <w:spacing w:val="4"/>
                <w:kern w:val="2"/>
                <w:sz w:val="24"/>
                <w:szCs w:val="24"/>
                <w:highlight w:val="none"/>
                <w:lang w:val="en-US" w:eastAsia="zh-CN" w:bidi="ar-SA"/>
                <w14:textFill>
                  <w14:solidFill>
                    <w14:schemeClr w14:val="tx1"/>
                  </w14:solidFill>
                </w14:textFill>
              </w:rPr>
              <w:t>预测结果可以看出，</w:t>
            </w:r>
            <w:r>
              <w:rPr>
                <w:rFonts w:hint="eastAsia" w:cs="Times New Roman"/>
                <w:color w:val="000000" w:themeColor="text1"/>
                <w:sz w:val="24"/>
                <w:highlight w:val="none"/>
                <w:lang w:val="en-US" w:eastAsia="zh-CN"/>
                <w14:textFill>
                  <w14:solidFill>
                    <w14:schemeClr w14:val="tx1"/>
                  </w14:solidFill>
                </w14:textFill>
              </w:rPr>
              <w:t>现有厂区</w:t>
            </w:r>
            <w:r>
              <w:rPr>
                <w:rFonts w:hint="eastAsia" w:cs="Times New Roman"/>
                <w:color w:val="000000" w:themeColor="text1"/>
                <w:spacing w:val="4"/>
                <w:kern w:val="2"/>
                <w:sz w:val="24"/>
                <w:szCs w:val="24"/>
                <w:highlight w:val="none"/>
                <w:lang w:val="en-US" w:eastAsia="zh-CN" w:bidi="ar-SA"/>
                <w14:textFill>
                  <w14:solidFill>
                    <w14:schemeClr w14:val="tx1"/>
                  </w14:solidFill>
                </w14:textFill>
              </w:rPr>
              <w:t>厂界四周</w:t>
            </w:r>
            <w:r>
              <w:rPr>
                <w:rFonts w:hint="default" w:ascii="Times New Roman" w:hAnsi="Times New Roman" w:eastAsia="宋体" w:cs="Times New Roman"/>
                <w:color w:val="000000" w:themeColor="text1"/>
                <w:spacing w:val="4"/>
                <w:kern w:val="2"/>
                <w:sz w:val="24"/>
                <w:szCs w:val="24"/>
                <w:highlight w:val="none"/>
                <w:lang w:val="en-US" w:eastAsia="zh-CN" w:bidi="ar-SA"/>
                <w14:textFill>
                  <w14:solidFill>
                    <w14:schemeClr w14:val="tx1"/>
                  </w14:solidFill>
                </w14:textFill>
              </w:rPr>
              <w:t>噪声</w:t>
            </w:r>
            <w:r>
              <w:rPr>
                <w:rFonts w:hint="eastAsia" w:cs="Times New Roman"/>
                <w:color w:val="000000" w:themeColor="text1"/>
                <w:spacing w:val="4"/>
                <w:kern w:val="2"/>
                <w:sz w:val="24"/>
                <w:szCs w:val="24"/>
                <w:highlight w:val="none"/>
                <w:lang w:val="en-US" w:eastAsia="zh-CN" w:bidi="ar-SA"/>
                <w14:textFill>
                  <w14:solidFill>
                    <w14:schemeClr w14:val="tx1"/>
                  </w14:solidFill>
                </w14:textFill>
              </w:rPr>
              <w:t>贡献值</w:t>
            </w:r>
            <w:r>
              <w:rPr>
                <w:rFonts w:hint="default" w:ascii="Times New Roman" w:hAnsi="Times New Roman" w:eastAsia="宋体" w:cs="Times New Roman"/>
                <w:color w:val="000000" w:themeColor="text1"/>
                <w:spacing w:val="4"/>
                <w:kern w:val="2"/>
                <w:sz w:val="24"/>
                <w:szCs w:val="24"/>
                <w:highlight w:val="none"/>
                <w:lang w:val="en-US" w:eastAsia="zh-CN" w:bidi="ar-SA"/>
                <w14:textFill>
                  <w14:solidFill>
                    <w14:schemeClr w14:val="tx1"/>
                  </w14:solidFill>
                </w14:textFill>
              </w:rPr>
              <w:t>可满足《工业企业厂界环境噪声排放标准》（GB12348-2008）</w:t>
            </w:r>
            <w:r>
              <w:rPr>
                <w:rFonts w:hint="eastAsia" w:cs="Times New Roman"/>
                <w:color w:val="000000" w:themeColor="text1"/>
                <w:spacing w:val="4"/>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4"/>
                <w:kern w:val="2"/>
                <w:sz w:val="24"/>
                <w:szCs w:val="24"/>
                <w:highlight w:val="none"/>
                <w:lang w:val="en-US" w:eastAsia="zh-CN" w:bidi="ar-SA"/>
                <w14:textFill>
                  <w14:solidFill>
                    <w14:schemeClr w14:val="tx1"/>
                  </w14:solidFill>
                </w14:textFill>
              </w:rPr>
              <w:t>类标准要求</w:t>
            </w:r>
            <w:r>
              <w:rPr>
                <w:rFonts w:hint="eastAsia" w:cs="Times New Roman"/>
                <w:color w:val="000000" w:themeColor="text1"/>
                <w:spacing w:val="4"/>
                <w:kern w:val="2"/>
                <w:sz w:val="24"/>
                <w:szCs w:val="24"/>
                <w:highlight w:val="none"/>
                <w:lang w:val="en-US" w:eastAsia="zh-CN" w:bidi="ar-SA"/>
                <w14:textFill>
                  <w14:solidFill>
                    <w14:schemeClr w14:val="tx1"/>
                  </w14:solidFill>
                </w14:textFill>
              </w:rPr>
              <w:t>。</w:t>
            </w:r>
          </w:p>
          <w:p w14:paraId="514D86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4.7.</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highlight w:val="none"/>
                <w14:textFill>
                  <w14:solidFill>
                    <w14:schemeClr w14:val="tx1"/>
                  </w14:solidFill>
                </w14:textFill>
              </w:rPr>
              <w:t>噪声污染防治措施</w:t>
            </w:r>
          </w:p>
          <w:p w14:paraId="6F4D43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根据本项目的工程和周围环境特征，提出如下治理措施：</w:t>
            </w:r>
          </w:p>
          <w:p w14:paraId="4DF9F0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1</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加强治理</w:t>
            </w:r>
          </w:p>
          <w:p w14:paraId="593D64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尽量选用低噪声</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性能好、对</w:t>
            </w:r>
            <w:r>
              <w:rPr>
                <w:rFonts w:hint="default" w:ascii="Times New Roman" w:hAnsi="Times New Roman" w:eastAsia="宋体" w:cs="Times New Roman"/>
                <w:color w:val="000000" w:themeColor="text1"/>
                <w:sz w:val="24"/>
                <w:highlight w:val="none"/>
                <w14:textFill>
                  <w14:solidFill>
                    <w14:schemeClr w14:val="tx1"/>
                  </w14:solidFill>
                </w14:textFill>
              </w:rPr>
              <w:t>环境影响小的</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设备</w:t>
            </w:r>
            <w:r>
              <w:rPr>
                <w:rFonts w:hint="default" w:ascii="Times New Roman" w:hAnsi="Times New Roman" w:eastAsia="宋体" w:cs="Times New Roman"/>
                <w:color w:val="000000" w:themeColor="text1"/>
                <w:sz w:val="24"/>
                <w:highlight w:val="none"/>
                <w14:textFill>
                  <w14:solidFill>
                    <w14:schemeClr w14:val="tx1"/>
                  </w14:solidFill>
                </w14:textFill>
              </w:rPr>
              <w:t>，使本工程运行噪声对环境的影响达到规定标准</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将生产设备全部进行室内安装，降低噪声影响；对风机类的噪声设备</w:t>
            </w:r>
            <w:r>
              <w:rPr>
                <w:rFonts w:hint="eastAsia" w:cs="Times New Roman"/>
                <w:color w:val="000000" w:themeColor="text1"/>
                <w:sz w:val="24"/>
                <w:highlight w:val="none"/>
                <w:lang w:val="en-US" w:eastAsia="zh-CN"/>
                <w14:textFill>
                  <w14:solidFill>
                    <w14:schemeClr w14:val="tx1"/>
                  </w14:solidFill>
                </w14:textFill>
              </w:rPr>
              <w:t>，在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通风进出口设置消声器，安装减振装置</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本次评价</w:t>
            </w:r>
            <w:r>
              <w:rPr>
                <w:rFonts w:hint="default" w:ascii="Times New Roman" w:hAnsi="Times New Roman" w:eastAsia="宋体" w:cs="Times New Roman"/>
                <w:color w:val="000000" w:themeColor="text1"/>
                <w:sz w:val="24"/>
                <w:highlight w:val="none"/>
                <w14:textFill>
                  <w14:solidFill>
                    <w14:schemeClr w14:val="tx1"/>
                  </w14:solidFill>
                </w14:textFill>
              </w:rPr>
              <w:t>要求企业修筑平滑路面，尽量减小路面坡度，</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以此</w:t>
            </w:r>
            <w:r>
              <w:rPr>
                <w:rFonts w:hint="default" w:ascii="Times New Roman" w:hAnsi="Times New Roman" w:eastAsia="宋体" w:cs="Times New Roman"/>
                <w:color w:val="000000" w:themeColor="text1"/>
                <w:sz w:val="24"/>
                <w:highlight w:val="none"/>
                <w14:textFill>
                  <w14:solidFill>
                    <w14:schemeClr w14:val="tx1"/>
                  </w14:solidFill>
                </w14:textFill>
              </w:rPr>
              <w:t>减轻车辆在启动及行驶过</w:t>
            </w:r>
            <w:r>
              <w:rPr>
                <w:rFonts w:hint="eastAsia" w:cs="Times New Roman"/>
                <w:color w:val="000000" w:themeColor="text1"/>
                <w:sz w:val="24"/>
                <w:highlight w:val="none"/>
                <w:lang w:eastAsia="zh-CN"/>
                <w14:textFill>
                  <w14:solidFill>
                    <w14:schemeClr w14:val="tx1"/>
                  </w14:solidFill>
                </w14:textFill>
              </w:rPr>
              <w:t>程中</w:t>
            </w:r>
            <w:r>
              <w:rPr>
                <w:rFonts w:hint="default" w:ascii="Times New Roman" w:hAnsi="Times New Roman" w:eastAsia="宋体" w:cs="Times New Roman"/>
                <w:color w:val="000000" w:themeColor="text1"/>
                <w:sz w:val="24"/>
                <w:highlight w:val="none"/>
                <w14:textFill>
                  <w14:solidFill>
                    <w14:schemeClr w14:val="tx1"/>
                  </w14:solidFill>
                </w14:textFill>
              </w:rPr>
              <w:t>发动机轰鸣噪声。</w:t>
            </w:r>
          </w:p>
          <w:p w14:paraId="1A45BB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2</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加强管理</w:t>
            </w:r>
          </w:p>
          <w:p w14:paraId="1B9441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建立设备定期维护</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保养的管理制度，以防止设备故障形成的非正常生产噪声，同时确保环保措施发挥最佳有效的功能；加强职工环保意识教育，提倡文明生产，防止人为噪声；强化行车管理制度，设置降噪标准，严禁鸣号，进入厂区低速行驶，最大限度减少流动噪声源。</w:t>
            </w:r>
          </w:p>
          <w:p w14:paraId="1A992E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（3）运输对沿线敏感点的影响</w:t>
            </w:r>
          </w:p>
          <w:p w14:paraId="73998A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olor w:val="000000" w:themeColor="text1"/>
                <w:sz w:val="24"/>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本项目运输主要通过厂区西侧、北侧等乡村道路运输，噪声敏感点主要为前苏村、西河北村、官庄村等，煤矸石运输道路见附图11。环评要求</w:t>
            </w:r>
            <w:r>
              <w:rPr>
                <w:rFonts w:hint="default" w:ascii="Times New Roman" w:hAnsi="Times New Roman" w:eastAsia="宋体" w:cs="Times New Roman"/>
                <w:color w:val="000000" w:themeColor="text1"/>
                <w:sz w:val="24"/>
                <w:highlight w:val="none"/>
                <w14:textFill>
                  <w14:solidFill>
                    <w14:schemeClr w14:val="tx1"/>
                  </w14:solidFill>
                </w14:textFill>
              </w:rPr>
              <w:t>运输车辆经过敏感点时要限制车速、减速行驶，夜间要禁止鸣笛。</w:t>
            </w:r>
            <w:r>
              <w:rPr>
                <w:rFonts w:hint="eastAsia" w:cs="Times New Roman"/>
                <w:color w:val="000000" w:themeColor="text1"/>
                <w:sz w:val="24"/>
                <w:highlight w:val="none"/>
                <w:lang w:val="en-US" w:eastAsia="zh-CN"/>
                <w14:textFill>
                  <w14:solidFill>
                    <w14:schemeClr w14:val="tx1"/>
                  </w14:solidFill>
                </w14:textFill>
              </w:rPr>
              <w:t>运输过程中</w:t>
            </w:r>
            <w:r>
              <w:rPr>
                <w:rFonts w:hint="eastAsia"/>
                <w:color w:val="000000" w:themeColor="text1"/>
                <w:sz w:val="24"/>
                <w:lang w:val="en-US" w:eastAsia="zh-CN"/>
                <w14:textFill>
                  <w14:solidFill>
                    <w14:schemeClr w14:val="tx1"/>
                  </w14:solidFill>
                </w14:textFill>
              </w:rPr>
              <w:t>可能对沿路村庄造成影响主要为运输噪声，应在运输过程中控制车速，在村庄周围禁止鸣笛，夜间不运输。</w:t>
            </w:r>
          </w:p>
          <w:p w14:paraId="094EB0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黑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采取以上措施，厂界噪声可达标排放，噪声对周围环境影响</w:t>
            </w:r>
            <w:r>
              <w:rPr>
                <w:rFonts w:hint="default" w:ascii="Times New Roman" w:hAnsi="Times New Roman" w:eastAsia="宋体" w:cs="Times New Roman"/>
                <w:bCs/>
                <w:color w:val="000000" w:themeColor="text1"/>
                <w:sz w:val="24"/>
                <w:highlight w:val="none"/>
                <w14:textFill>
                  <w14:solidFill>
                    <w14:schemeClr w14:val="tx1"/>
                  </w14:solidFill>
                </w14:textFill>
              </w:rPr>
              <w:t>不大</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w:t>
            </w:r>
          </w:p>
          <w:p w14:paraId="4259FD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4.8</w:t>
            </w:r>
            <w:r>
              <w:rPr>
                <w:rFonts w:hint="default" w:ascii="Times New Roman" w:hAnsi="Times New Roman" w:eastAsia="宋体" w:cs="Times New Roman"/>
                <w:b/>
                <w:color w:val="000000" w:themeColor="text1"/>
                <w:sz w:val="24"/>
                <w:szCs w:val="24"/>
                <w:highlight w:val="none"/>
                <w14:textFill>
                  <w14:solidFill>
                    <w14:schemeClr w14:val="tx1"/>
                  </w14:solidFill>
                </w14:textFill>
              </w:rPr>
              <w:t>固体废物</w:t>
            </w:r>
          </w:p>
          <w:p w14:paraId="381030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4.8.</w:t>
            </w:r>
            <w:r>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t>1固体废物产生及利用处置情况</w:t>
            </w:r>
          </w:p>
          <w:p w14:paraId="52BA94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本项目固体废物产生及利用处置情况见表4</w:t>
            </w:r>
            <w:r>
              <w:rPr>
                <w:rFonts w:hint="eastAsia" w:cs="Times New Roman"/>
                <w:bCs/>
                <w:color w:val="000000" w:themeColor="text1"/>
                <w:sz w:val="24"/>
                <w:highlight w:val="none"/>
                <w:lang w:val="en-US" w:eastAsia="zh-CN"/>
                <w14:textFill>
                  <w14:solidFill>
                    <w14:schemeClr w14:val="tx1"/>
                  </w14:solidFill>
                </w14:textFill>
              </w:rPr>
              <w:t>.8-1</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w:t>
            </w:r>
          </w:p>
          <w:p w14:paraId="36F141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表4</w:t>
            </w:r>
            <w:r>
              <w:rPr>
                <w:rFonts w:hint="eastAsia" w:cs="Times New Roman"/>
                <w:b/>
                <w:bCs/>
                <w:color w:val="000000" w:themeColor="text1"/>
                <w:kern w:val="2"/>
                <w:sz w:val="21"/>
                <w:szCs w:val="21"/>
                <w:highlight w:val="none"/>
                <w:lang w:val="en-US" w:eastAsia="zh-CN" w:bidi="ar-SA"/>
                <w14:textFill>
                  <w14:solidFill>
                    <w14:schemeClr w14:val="tx1"/>
                  </w14:solidFill>
                </w14:textFill>
              </w:rPr>
              <w:t>.8</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-1  固体废物产生情况及利用处置情况表</w:t>
            </w:r>
          </w:p>
          <w:tbl>
            <w:tblPr>
              <w:tblStyle w:val="3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90"/>
              <w:gridCol w:w="1235"/>
              <w:gridCol w:w="871"/>
              <w:gridCol w:w="820"/>
              <w:gridCol w:w="1186"/>
              <w:gridCol w:w="818"/>
              <w:gridCol w:w="2145"/>
            </w:tblGrid>
            <w:tr w14:paraId="5C98D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7" w:type="pct"/>
                  <w:tcBorders>
                    <w:tl2br w:val="nil"/>
                    <w:tr2bl w:val="nil"/>
                  </w:tcBorders>
                  <w:vAlign w:val="center"/>
                </w:tcPr>
                <w:p w14:paraId="3D6241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t>分类</w:t>
                  </w:r>
                </w:p>
              </w:tc>
              <w:tc>
                <w:tcPr>
                  <w:tcW w:w="756" w:type="pct"/>
                  <w:tcBorders>
                    <w:tl2br w:val="nil"/>
                    <w:tr2bl w:val="nil"/>
                  </w:tcBorders>
                  <w:vAlign w:val="center"/>
                </w:tcPr>
                <w:p w14:paraId="433DDD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Cs w:val="21"/>
                      <w:highlight w:val="none"/>
                      <w14:textFill>
                        <w14:solidFill>
                          <w14:schemeClr w14:val="tx1"/>
                        </w14:solidFill>
                      </w14:textFill>
                    </w:rPr>
                    <w:t>名称</w:t>
                  </w:r>
                </w:p>
              </w:tc>
              <w:tc>
                <w:tcPr>
                  <w:tcW w:w="533" w:type="pct"/>
                  <w:tcBorders>
                    <w:tl2br w:val="nil"/>
                    <w:tr2bl w:val="nil"/>
                  </w:tcBorders>
                  <w:vAlign w:val="center"/>
                </w:tcPr>
                <w:p w14:paraId="61E133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t>代码</w:t>
                  </w:r>
                </w:p>
              </w:tc>
              <w:tc>
                <w:tcPr>
                  <w:tcW w:w="502" w:type="pct"/>
                  <w:tcBorders>
                    <w:tl2br w:val="nil"/>
                    <w:tr2bl w:val="nil"/>
                  </w:tcBorders>
                  <w:vAlign w:val="center"/>
                </w:tcPr>
                <w:p w14:paraId="407896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0"/>
                      <w:szCs w:val="21"/>
                      <w:highlight w:val="none"/>
                      <w14:textFill>
                        <w14:solidFill>
                          <w14:schemeClr w14:val="tx1"/>
                        </w14:solidFill>
                      </w14:textFill>
                    </w:rPr>
                    <w:t>产生量</w:t>
                  </w:r>
                  <w:r>
                    <w:rPr>
                      <w:rFonts w:hint="default" w:ascii="Times New Roman" w:hAnsi="Times New Roman" w:eastAsia="宋体" w:cs="Times New Roman"/>
                      <w:b/>
                      <w:bCs/>
                      <w:color w:val="000000" w:themeColor="text1"/>
                      <w:spacing w:val="0"/>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pacing w:val="0"/>
                      <w:szCs w:val="21"/>
                      <w:highlight w:val="none"/>
                      <w14:textFill>
                        <w14:solidFill>
                          <w14:schemeClr w14:val="tx1"/>
                        </w14:solidFill>
                      </w14:textFill>
                    </w:rPr>
                    <w:t>t/a</w:t>
                  </w:r>
                  <w:r>
                    <w:rPr>
                      <w:rFonts w:hint="default" w:ascii="Times New Roman" w:hAnsi="Times New Roman" w:eastAsia="宋体" w:cs="Times New Roman"/>
                      <w:b/>
                      <w:bCs/>
                      <w:color w:val="000000" w:themeColor="text1"/>
                      <w:spacing w:val="0"/>
                      <w:szCs w:val="21"/>
                      <w:highlight w:val="none"/>
                      <w:lang w:eastAsia="zh-CN"/>
                      <w14:textFill>
                        <w14:solidFill>
                          <w14:schemeClr w14:val="tx1"/>
                        </w14:solidFill>
                      </w14:textFill>
                    </w:rPr>
                    <w:t>）</w:t>
                  </w:r>
                </w:p>
              </w:tc>
              <w:tc>
                <w:tcPr>
                  <w:tcW w:w="726" w:type="pct"/>
                  <w:tcBorders>
                    <w:tl2br w:val="nil"/>
                    <w:tr2bl w:val="nil"/>
                  </w:tcBorders>
                  <w:vAlign w:val="center"/>
                </w:tcPr>
                <w:p w14:paraId="38ECE9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t>综合利用量（</w:t>
                  </w:r>
                  <w:r>
                    <w:rPr>
                      <w:rFonts w:hint="default" w:ascii="Times New Roman" w:hAnsi="Times New Roman" w:eastAsia="宋体" w:cs="Times New Roman"/>
                      <w:b/>
                      <w:bCs/>
                      <w:color w:val="000000" w:themeColor="text1"/>
                      <w:spacing w:val="0"/>
                      <w:szCs w:val="21"/>
                      <w:highlight w:val="none"/>
                      <w14:textFill>
                        <w14:solidFill>
                          <w14:schemeClr w14:val="tx1"/>
                        </w14:solidFill>
                      </w14:textFill>
                    </w:rPr>
                    <w:t>t/a</w:t>
                  </w:r>
                  <w:r>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t>）</w:t>
                  </w:r>
                </w:p>
              </w:tc>
              <w:tc>
                <w:tcPr>
                  <w:tcW w:w="501" w:type="pct"/>
                  <w:tcBorders>
                    <w:tl2br w:val="nil"/>
                    <w:tr2bl w:val="nil"/>
                  </w:tcBorders>
                  <w:vAlign w:val="center"/>
                </w:tcPr>
                <w:p w14:paraId="71C934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t>处置量（</w:t>
                  </w:r>
                  <w:r>
                    <w:rPr>
                      <w:rFonts w:hint="default" w:ascii="Times New Roman" w:hAnsi="Times New Roman" w:eastAsia="宋体" w:cs="Times New Roman"/>
                      <w:b/>
                      <w:bCs/>
                      <w:color w:val="000000" w:themeColor="text1"/>
                      <w:spacing w:val="0"/>
                      <w:szCs w:val="21"/>
                      <w:highlight w:val="none"/>
                      <w14:textFill>
                        <w14:solidFill>
                          <w14:schemeClr w14:val="tx1"/>
                        </w14:solidFill>
                      </w14:textFill>
                    </w:rPr>
                    <w:t>t/a</w:t>
                  </w:r>
                  <w:r>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t>）</w:t>
                  </w:r>
                </w:p>
              </w:tc>
              <w:tc>
                <w:tcPr>
                  <w:tcW w:w="1313" w:type="pct"/>
                  <w:tcBorders>
                    <w:tl2br w:val="nil"/>
                    <w:tr2bl w:val="nil"/>
                  </w:tcBorders>
                  <w:vAlign w:val="center"/>
                </w:tcPr>
                <w:p w14:paraId="06FDBD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t>综合利用或处置方式</w:t>
                  </w:r>
                </w:p>
              </w:tc>
            </w:tr>
            <w:tr w14:paraId="45C1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7" w:type="pct"/>
                  <w:tcBorders>
                    <w:tl2br w:val="nil"/>
                    <w:tr2bl w:val="nil"/>
                  </w:tcBorders>
                  <w:vAlign w:val="center"/>
                </w:tcPr>
                <w:p w14:paraId="723FD9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spacing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Cs w:val="21"/>
                      <w:highlight w:val="none"/>
                      <w:lang w:val="en-US" w:eastAsia="zh-CN"/>
                      <w14:textFill>
                        <w14:solidFill>
                          <w14:schemeClr w14:val="tx1"/>
                        </w14:solidFill>
                      </w14:textFill>
                    </w:rPr>
                    <w:t>职工生活</w:t>
                  </w:r>
                </w:p>
              </w:tc>
              <w:tc>
                <w:tcPr>
                  <w:tcW w:w="756" w:type="pct"/>
                  <w:tcBorders>
                    <w:tl2br w:val="nil"/>
                    <w:tr2bl w:val="nil"/>
                  </w:tcBorders>
                  <w:vAlign w:val="center"/>
                </w:tcPr>
                <w:p w14:paraId="2CFB91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000000" w:themeColor="text1"/>
                      <w:spacing w:val="0"/>
                      <w:szCs w:val="21"/>
                      <w:highlight w:val="none"/>
                      <w14:textFill>
                        <w14:solidFill>
                          <w14:schemeClr w14:val="tx1"/>
                        </w14:solidFill>
                      </w14:textFill>
                    </w:rPr>
                  </w:pPr>
                  <w:r>
                    <w:rPr>
                      <w:rFonts w:hint="eastAsia" w:cs="Times New Roman"/>
                      <w:b w:val="0"/>
                      <w:bCs w:val="0"/>
                      <w:color w:val="000000" w:themeColor="text1"/>
                      <w:spacing w:val="0"/>
                      <w:szCs w:val="21"/>
                      <w:highlight w:val="none"/>
                      <w:lang w:val="en-US" w:eastAsia="zh-CN"/>
                      <w14:textFill>
                        <w14:solidFill>
                          <w14:schemeClr w14:val="tx1"/>
                        </w14:solidFill>
                      </w14:textFill>
                    </w:rPr>
                    <w:t>生活垃圾</w:t>
                  </w:r>
                </w:p>
              </w:tc>
              <w:tc>
                <w:tcPr>
                  <w:tcW w:w="533" w:type="pct"/>
                  <w:tcBorders>
                    <w:tl2br w:val="nil"/>
                    <w:tr2bl w:val="nil"/>
                  </w:tcBorders>
                  <w:vAlign w:val="center"/>
                </w:tcPr>
                <w:p w14:paraId="003589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pPr>
                  <w:r>
                    <w:rPr>
                      <w:rFonts w:hint="eastAsia" w:cs="Times New Roman"/>
                      <w:b/>
                      <w:bCs/>
                      <w:color w:val="000000" w:themeColor="text1"/>
                      <w:spacing w:val="0"/>
                      <w:szCs w:val="21"/>
                      <w:highlight w:val="none"/>
                      <w:lang w:val="en-US" w:eastAsia="zh-CN"/>
                      <w14:textFill>
                        <w14:solidFill>
                          <w14:schemeClr w14:val="tx1"/>
                        </w14:solidFill>
                      </w14:textFill>
                    </w:rPr>
                    <w:t>/</w:t>
                  </w:r>
                </w:p>
              </w:tc>
              <w:tc>
                <w:tcPr>
                  <w:tcW w:w="502" w:type="pct"/>
                  <w:tcBorders>
                    <w:tl2br w:val="nil"/>
                    <w:tr2bl w:val="nil"/>
                  </w:tcBorders>
                  <w:vAlign w:val="center"/>
                </w:tcPr>
                <w:p w14:paraId="014DE4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9</w:t>
                  </w:r>
                  <w:r>
                    <w:rPr>
                      <w:rFonts w:hint="eastAsia" w:ascii="Times New Roman" w:hAnsi="Times New Roman" w:cs="Times New Roman"/>
                      <w:color w:val="000000" w:themeColor="text1"/>
                      <w:sz w:val="21"/>
                      <w:szCs w:val="21"/>
                      <w:lang w:val="en-US" w:eastAsia="zh-CN"/>
                      <w14:textFill>
                        <w14:solidFill>
                          <w14:schemeClr w14:val="tx1"/>
                        </w14:solidFill>
                      </w14:textFill>
                    </w:rPr>
                    <w:t>5</w:t>
                  </w:r>
                </w:p>
              </w:tc>
              <w:tc>
                <w:tcPr>
                  <w:tcW w:w="726" w:type="pct"/>
                  <w:tcBorders>
                    <w:tl2br w:val="nil"/>
                    <w:tr2bl w:val="nil"/>
                  </w:tcBorders>
                  <w:vAlign w:val="center"/>
                </w:tcPr>
                <w:p w14:paraId="74A25C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501" w:type="pct"/>
                  <w:tcBorders>
                    <w:tl2br w:val="nil"/>
                    <w:tr2bl w:val="nil"/>
                  </w:tcBorders>
                  <w:vAlign w:val="center"/>
                </w:tcPr>
                <w:p w14:paraId="0838C4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9</w:t>
                  </w:r>
                  <w:r>
                    <w:rPr>
                      <w:rFonts w:hint="eastAsia" w:ascii="Times New Roman" w:hAnsi="Times New Roman" w:cs="Times New Roman"/>
                      <w:color w:val="000000" w:themeColor="text1"/>
                      <w:sz w:val="21"/>
                      <w:szCs w:val="21"/>
                      <w:lang w:val="en-US" w:eastAsia="zh-CN"/>
                      <w14:textFill>
                        <w14:solidFill>
                          <w14:schemeClr w14:val="tx1"/>
                        </w14:solidFill>
                      </w14:textFill>
                    </w:rPr>
                    <w:t>5</w:t>
                  </w:r>
                </w:p>
              </w:tc>
              <w:tc>
                <w:tcPr>
                  <w:tcW w:w="1313" w:type="pct"/>
                  <w:tcBorders>
                    <w:tl2br w:val="nil"/>
                    <w:tr2bl w:val="nil"/>
                  </w:tcBorders>
                  <w:vAlign w:val="center"/>
                </w:tcPr>
                <w:p w14:paraId="79FE53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厂内设置垃圾桶，定期送至当地环卫部门指定地点</w:t>
                  </w:r>
                </w:p>
              </w:tc>
            </w:tr>
            <w:tr w14:paraId="742C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7" w:type="pct"/>
                  <w:tcBorders>
                    <w:tl2br w:val="nil"/>
                    <w:tr2bl w:val="nil"/>
                  </w:tcBorders>
                  <w:vAlign w:val="center"/>
                </w:tcPr>
                <w:p w14:paraId="693037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Cs w:val="21"/>
                      <w:highlight w:val="none"/>
                      <w:lang w:val="en-US" w:eastAsia="zh-CN"/>
                      <w14:textFill>
                        <w14:solidFill>
                          <w14:schemeClr w14:val="tx1"/>
                        </w14:solidFill>
                      </w14:textFill>
                    </w:rPr>
                    <w:t>一般工业固体废物</w:t>
                  </w:r>
                </w:p>
              </w:tc>
              <w:tc>
                <w:tcPr>
                  <w:tcW w:w="756" w:type="pct"/>
                  <w:tcBorders>
                    <w:tl2br w:val="nil"/>
                    <w:tr2bl w:val="nil"/>
                  </w:tcBorders>
                  <w:vAlign w:val="center"/>
                </w:tcPr>
                <w:p w14:paraId="1C5E83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highlight w:val="none"/>
                      <w:lang w:val="en-US" w:eastAsia="zh-CN"/>
                      <w14:textFill>
                        <w14:solidFill>
                          <w14:schemeClr w14:val="tx1"/>
                        </w14:solidFill>
                      </w14:textFill>
                    </w:rPr>
                    <w:t>除尘灰</w:t>
                  </w:r>
                </w:p>
              </w:tc>
              <w:tc>
                <w:tcPr>
                  <w:tcW w:w="533" w:type="pct"/>
                  <w:tcBorders>
                    <w:tl2br w:val="nil"/>
                    <w:tr2bl w:val="nil"/>
                  </w:tcBorders>
                  <w:vAlign w:val="center"/>
                </w:tcPr>
                <w:p w14:paraId="695962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highlight w:val="none"/>
                      <w:lang w:val="en-US" w:eastAsia="zh-CN"/>
                      <w14:textFill>
                        <w14:solidFill>
                          <w14:schemeClr w14:val="tx1"/>
                        </w14:solidFill>
                      </w14:textFill>
                    </w:rPr>
                    <w:t>SW59</w:t>
                  </w:r>
                </w:p>
              </w:tc>
              <w:tc>
                <w:tcPr>
                  <w:tcW w:w="502" w:type="pct"/>
                  <w:tcBorders>
                    <w:tl2br w:val="nil"/>
                    <w:tr2bl w:val="nil"/>
                  </w:tcBorders>
                  <w:vAlign w:val="center"/>
                </w:tcPr>
                <w:p w14:paraId="305F3B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874.42</w:t>
                  </w:r>
                </w:p>
              </w:tc>
              <w:tc>
                <w:tcPr>
                  <w:tcW w:w="726" w:type="pct"/>
                  <w:tcBorders>
                    <w:tl2br w:val="nil"/>
                    <w:tr2bl w:val="nil"/>
                  </w:tcBorders>
                  <w:vAlign w:val="center"/>
                </w:tcPr>
                <w:p w14:paraId="412D97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yellow"/>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874.42</w:t>
                  </w:r>
                </w:p>
              </w:tc>
              <w:tc>
                <w:tcPr>
                  <w:tcW w:w="501" w:type="pct"/>
                  <w:tcBorders>
                    <w:tl2br w:val="nil"/>
                    <w:tr2bl w:val="nil"/>
                  </w:tcBorders>
                  <w:vAlign w:val="center"/>
                </w:tcPr>
                <w:p w14:paraId="62EDC4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highlight w:val="none"/>
                      <w:lang w:val="en-US" w:eastAsia="zh-CN"/>
                      <w14:textFill>
                        <w14:solidFill>
                          <w14:schemeClr w14:val="tx1"/>
                        </w14:solidFill>
                      </w14:textFill>
                    </w:rPr>
                    <w:t>0</w:t>
                  </w:r>
                </w:p>
              </w:tc>
              <w:tc>
                <w:tcPr>
                  <w:tcW w:w="1313" w:type="pct"/>
                  <w:tcBorders>
                    <w:tl2br w:val="nil"/>
                    <w:tr2bl w:val="nil"/>
                  </w:tcBorders>
                  <w:vAlign w:val="center"/>
                </w:tcPr>
                <w:p w14:paraId="7C6671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szCs w:val="21"/>
                      <w:highlight w:val="none"/>
                      <w:lang w:val="en-US" w:eastAsia="zh-CN"/>
                      <w14:textFill>
                        <w14:solidFill>
                          <w14:schemeClr w14:val="tx1"/>
                        </w14:solidFill>
                      </w14:textFill>
                    </w:rPr>
                  </w:pPr>
                  <w:r>
                    <w:rPr>
                      <w:rFonts w:hint="eastAsia" w:cs="Times New Roman"/>
                      <w:color w:val="000000" w:themeColor="text1"/>
                      <w:spacing w:val="0"/>
                      <w:szCs w:val="21"/>
                      <w:highlight w:val="none"/>
                      <w:lang w:val="en-US" w:eastAsia="zh-CN"/>
                      <w14:textFill>
                        <w14:solidFill>
                          <w14:schemeClr w14:val="tx1"/>
                        </w14:solidFill>
                      </w14:textFill>
                    </w:rPr>
                    <w:t>收集后作为产品外售</w:t>
                  </w:r>
                </w:p>
              </w:tc>
            </w:tr>
            <w:tr w14:paraId="1674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667" w:type="pct"/>
                  <w:vMerge w:val="restart"/>
                  <w:tcBorders>
                    <w:tl2br w:val="nil"/>
                    <w:tr2bl w:val="nil"/>
                  </w:tcBorders>
                  <w:vAlign w:val="center"/>
                </w:tcPr>
                <w:p w14:paraId="04DF75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Cs w:val="21"/>
                      <w:highlight w:val="none"/>
                      <w:lang w:val="en-US" w:eastAsia="zh-CN"/>
                      <w14:textFill>
                        <w14:solidFill>
                          <w14:schemeClr w14:val="tx1"/>
                        </w14:solidFill>
                      </w14:textFill>
                    </w:rPr>
                    <w:t>危险废物</w:t>
                  </w:r>
                </w:p>
              </w:tc>
              <w:tc>
                <w:tcPr>
                  <w:tcW w:w="756" w:type="pct"/>
                  <w:tcBorders>
                    <w:tl2br w:val="nil"/>
                    <w:tr2bl w:val="nil"/>
                  </w:tcBorders>
                  <w:vAlign w:val="center"/>
                </w:tcPr>
                <w:p w14:paraId="62B5F0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Cs w:val="21"/>
                      <w:highlight w:val="none"/>
                      <w:lang w:val="en-US" w:eastAsia="zh-CN"/>
                      <w14:textFill>
                        <w14:solidFill>
                          <w14:schemeClr w14:val="tx1"/>
                        </w14:solidFill>
                      </w14:textFill>
                    </w:rPr>
                    <w:t>废矿物油</w:t>
                  </w:r>
                </w:p>
              </w:tc>
              <w:tc>
                <w:tcPr>
                  <w:tcW w:w="533" w:type="pct"/>
                  <w:tcBorders>
                    <w:tl2br w:val="nil"/>
                    <w:tr2bl w:val="nil"/>
                  </w:tcBorders>
                  <w:vAlign w:val="center"/>
                </w:tcPr>
                <w:p w14:paraId="6F7659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Cs w:val="21"/>
                      <w:highlight w:val="none"/>
                      <w:lang w:val="en-US" w:eastAsia="zh-CN"/>
                      <w14:textFill>
                        <w14:solidFill>
                          <w14:schemeClr w14:val="tx1"/>
                        </w14:solidFill>
                      </w14:textFill>
                    </w:rPr>
                    <w:t>HW08</w:t>
                  </w:r>
                </w:p>
              </w:tc>
              <w:tc>
                <w:tcPr>
                  <w:tcW w:w="502" w:type="pct"/>
                  <w:tcBorders>
                    <w:tl2br w:val="nil"/>
                    <w:tr2bl w:val="nil"/>
                  </w:tcBorders>
                  <w:vAlign w:val="center"/>
                </w:tcPr>
                <w:p w14:paraId="4F1C96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0.</w:t>
                  </w:r>
                  <w:r>
                    <w:rPr>
                      <w:rFonts w:hint="eastAsia" w:cs="Times New Roman"/>
                      <w:bCs/>
                      <w:color w:val="000000" w:themeColor="text1"/>
                      <w:kern w:val="2"/>
                      <w:sz w:val="21"/>
                      <w:szCs w:val="21"/>
                      <w:highlight w:val="none"/>
                      <w:lang w:val="en-US" w:eastAsia="zh-CN" w:bidi="ar-SA"/>
                      <w14:textFill>
                        <w14:solidFill>
                          <w14:schemeClr w14:val="tx1"/>
                        </w14:solidFill>
                      </w14:textFill>
                    </w:rPr>
                    <w:t>1</w:t>
                  </w:r>
                </w:p>
              </w:tc>
              <w:tc>
                <w:tcPr>
                  <w:tcW w:w="726" w:type="pct"/>
                  <w:tcBorders>
                    <w:tl2br w:val="nil"/>
                    <w:tr2bl w:val="nil"/>
                  </w:tcBorders>
                  <w:vAlign w:val="center"/>
                </w:tcPr>
                <w:p w14:paraId="29B63C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0</w:t>
                  </w:r>
                </w:p>
              </w:tc>
              <w:tc>
                <w:tcPr>
                  <w:tcW w:w="501" w:type="pct"/>
                  <w:tcBorders>
                    <w:tl2br w:val="nil"/>
                    <w:tr2bl w:val="nil"/>
                  </w:tcBorders>
                  <w:vAlign w:val="center"/>
                </w:tcPr>
                <w:p w14:paraId="205842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0.</w:t>
                  </w:r>
                  <w:r>
                    <w:rPr>
                      <w:rFonts w:hint="eastAsia" w:cs="Times New Roman"/>
                      <w:bCs/>
                      <w:color w:val="000000" w:themeColor="text1"/>
                      <w:kern w:val="2"/>
                      <w:sz w:val="21"/>
                      <w:szCs w:val="21"/>
                      <w:highlight w:val="none"/>
                      <w:lang w:val="en-US" w:eastAsia="zh-CN" w:bidi="ar-SA"/>
                      <w14:textFill>
                        <w14:solidFill>
                          <w14:schemeClr w14:val="tx1"/>
                        </w14:solidFill>
                      </w14:textFill>
                    </w:rPr>
                    <w:t>1</w:t>
                  </w:r>
                </w:p>
              </w:tc>
              <w:tc>
                <w:tcPr>
                  <w:tcW w:w="1313" w:type="pct"/>
                  <w:vMerge w:val="restart"/>
                  <w:tcBorders>
                    <w:tl2br w:val="nil"/>
                    <w:tr2bl w:val="nil"/>
                  </w:tcBorders>
                  <w:vAlign w:val="center"/>
                </w:tcPr>
                <w:p w14:paraId="42BA7F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分区</w:t>
                  </w: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暂存于</w:t>
                  </w:r>
                  <w:r>
                    <w:rPr>
                      <w:rFonts w:hint="eastAsia" w:cs="Times New Roman"/>
                      <w:color w:val="000000" w:themeColor="text1"/>
                      <w:spacing w:val="0"/>
                      <w:kern w:val="2"/>
                      <w:sz w:val="21"/>
                      <w:szCs w:val="21"/>
                      <w:highlight w:val="none"/>
                      <w:lang w:val="en-US" w:eastAsia="zh-CN" w:bidi="ar-SA"/>
                      <w14:textFill>
                        <w14:solidFill>
                          <w14:schemeClr w14:val="tx1"/>
                        </w14:solidFill>
                      </w14:textFill>
                    </w:rPr>
                    <w:t>危废贮存点</w:t>
                  </w: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，定期</w:t>
                  </w:r>
                  <w: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交</w:t>
                  </w: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由有资质单位处置</w:t>
                  </w:r>
                </w:p>
              </w:tc>
            </w:tr>
            <w:tr w14:paraId="5808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7" w:type="pct"/>
                  <w:vMerge w:val="continue"/>
                  <w:tcBorders>
                    <w:tl2br w:val="nil"/>
                    <w:tr2bl w:val="nil"/>
                  </w:tcBorders>
                  <w:vAlign w:val="center"/>
                </w:tcPr>
                <w:p w14:paraId="34717B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0"/>
                      <w:szCs w:val="21"/>
                      <w:highlight w:val="none"/>
                      <w:lang w:val="en-US" w:eastAsia="zh-CN"/>
                      <w14:textFill>
                        <w14:solidFill>
                          <w14:schemeClr w14:val="tx1"/>
                        </w14:solidFill>
                      </w14:textFill>
                    </w:rPr>
                  </w:pPr>
                </w:p>
              </w:tc>
              <w:tc>
                <w:tcPr>
                  <w:tcW w:w="756" w:type="pct"/>
                  <w:tcBorders>
                    <w:tl2br w:val="nil"/>
                    <w:tr2bl w:val="nil"/>
                  </w:tcBorders>
                  <w:vAlign w:val="center"/>
                </w:tcPr>
                <w:p w14:paraId="745FD0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Cs w:val="21"/>
                      <w:highlight w:val="none"/>
                      <w:lang w:val="en-US" w:eastAsia="zh-CN"/>
                      <w14:textFill>
                        <w14:solidFill>
                          <w14:schemeClr w14:val="tx1"/>
                        </w14:solidFill>
                      </w14:textFill>
                    </w:rPr>
                    <w:t>废油桶</w:t>
                  </w:r>
                </w:p>
              </w:tc>
              <w:tc>
                <w:tcPr>
                  <w:tcW w:w="533" w:type="pct"/>
                  <w:tcBorders>
                    <w:tl2br w:val="nil"/>
                    <w:tr2bl w:val="nil"/>
                  </w:tcBorders>
                  <w:vAlign w:val="center"/>
                </w:tcPr>
                <w:p w14:paraId="3D7ABB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Cs w:val="21"/>
                      <w:highlight w:val="none"/>
                      <w:lang w:val="en-US" w:eastAsia="zh-CN"/>
                      <w14:textFill>
                        <w14:solidFill>
                          <w14:schemeClr w14:val="tx1"/>
                        </w14:solidFill>
                      </w14:textFill>
                    </w:rPr>
                    <w:t>HW49</w:t>
                  </w:r>
                </w:p>
              </w:tc>
              <w:tc>
                <w:tcPr>
                  <w:tcW w:w="502" w:type="pct"/>
                  <w:tcBorders>
                    <w:tl2br w:val="nil"/>
                    <w:tr2bl w:val="nil"/>
                  </w:tcBorders>
                  <w:vAlign w:val="center"/>
                </w:tcPr>
                <w:p w14:paraId="0138E3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0.</w:t>
                  </w:r>
                  <w:r>
                    <w:rPr>
                      <w:rFonts w:hint="eastAsia" w:cs="Times New Roman"/>
                      <w:bCs/>
                      <w:color w:val="000000" w:themeColor="text1"/>
                      <w:kern w:val="2"/>
                      <w:sz w:val="21"/>
                      <w:szCs w:val="21"/>
                      <w:highlight w:val="none"/>
                      <w:lang w:val="en-US" w:eastAsia="zh-CN" w:bidi="ar-SA"/>
                      <w14:textFill>
                        <w14:solidFill>
                          <w14:schemeClr w14:val="tx1"/>
                        </w14:solidFill>
                      </w14:textFill>
                    </w:rPr>
                    <w:t>05</w:t>
                  </w:r>
                </w:p>
              </w:tc>
              <w:tc>
                <w:tcPr>
                  <w:tcW w:w="726" w:type="pct"/>
                  <w:tcBorders>
                    <w:tl2br w:val="nil"/>
                    <w:tr2bl w:val="nil"/>
                  </w:tcBorders>
                  <w:vAlign w:val="center"/>
                </w:tcPr>
                <w:p w14:paraId="29929F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0</w:t>
                  </w:r>
                </w:p>
              </w:tc>
              <w:tc>
                <w:tcPr>
                  <w:tcW w:w="501" w:type="pct"/>
                  <w:tcBorders>
                    <w:tl2br w:val="nil"/>
                    <w:tr2bl w:val="nil"/>
                  </w:tcBorders>
                  <w:vAlign w:val="center"/>
                </w:tcPr>
                <w:p w14:paraId="0CBBF5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0.</w:t>
                  </w:r>
                  <w:r>
                    <w:rPr>
                      <w:rFonts w:hint="eastAsia" w:cs="Times New Roman"/>
                      <w:bCs/>
                      <w:color w:val="000000" w:themeColor="text1"/>
                      <w:kern w:val="2"/>
                      <w:sz w:val="21"/>
                      <w:szCs w:val="21"/>
                      <w:highlight w:val="none"/>
                      <w:lang w:val="en-US" w:eastAsia="zh-CN" w:bidi="ar-SA"/>
                      <w14:textFill>
                        <w14:solidFill>
                          <w14:schemeClr w14:val="tx1"/>
                        </w14:solidFill>
                      </w14:textFill>
                    </w:rPr>
                    <w:t>05</w:t>
                  </w:r>
                </w:p>
              </w:tc>
              <w:tc>
                <w:tcPr>
                  <w:tcW w:w="1313" w:type="pct"/>
                  <w:vMerge w:val="continue"/>
                  <w:tcBorders>
                    <w:tl2br w:val="nil"/>
                    <w:tr2bl w:val="nil"/>
                  </w:tcBorders>
                  <w:vAlign w:val="center"/>
                </w:tcPr>
                <w:p w14:paraId="2C0454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r>
          </w:tbl>
          <w:p w14:paraId="03C369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bCs/>
                <w:color w:val="000000" w:themeColor="text1"/>
                <w:sz w:val="24"/>
                <w:highlight w:val="none"/>
                <w:lang w:val="en-US" w:eastAsia="zh-CN"/>
                <w14:textFill>
                  <w14:solidFill>
                    <w14:schemeClr w14:val="tx1"/>
                  </w14:solidFill>
                </w14:textFill>
              </w:rPr>
            </w:pPr>
            <w:r>
              <w:rPr>
                <w:rFonts w:hint="eastAsia" w:cs="Times New Roman"/>
                <w:bCs/>
                <w:color w:val="000000" w:themeColor="text1"/>
                <w:sz w:val="24"/>
                <w:highlight w:val="none"/>
                <w:lang w:val="en-US" w:eastAsia="zh-CN"/>
                <w14:textFill>
                  <w14:solidFill>
                    <w14:schemeClr w14:val="tx1"/>
                  </w14:solidFill>
                </w14:textFill>
              </w:rPr>
              <w:t>（1）生活垃圾</w:t>
            </w:r>
          </w:p>
          <w:p w14:paraId="43AB18B6">
            <w:pPr>
              <w:pStyle w:val="2"/>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default"/>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本项目职工日常办公、生活会产生生活垃圾，根据我国生活污染源产排污系数，生活垃圾产生量人均按0.5kg/d.人计，本项目职工共有</w:t>
            </w:r>
            <w:r>
              <w:rPr>
                <w:rFonts w:hint="eastAsia" w:cs="Times New Roman"/>
                <w:color w:val="000000" w:themeColor="text1"/>
                <w:sz w:val="24"/>
                <w:szCs w:val="24"/>
                <w:lang w:val="en-US" w:eastAsia="zh-CN"/>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人，预计生活垃圾总产生量为</w:t>
            </w:r>
            <w:r>
              <w:rPr>
                <w:rFonts w:hint="eastAsia" w:cs="Times New Roman"/>
                <w:color w:val="000000" w:themeColor="text1"/>
                <w:sz w:val="24"/>
                <w:szCs w:val="24"/>
                <w:lang w:val="en-US" w:eastAsia="zh-CN"/>
                <w14:textFill>
                  <w14:solidFill>
                    <w14:schemeClr w14:val="tx1"/>
                  </w14:solidFill>
                </w14:textFill>
              </w:rPr>
              <w:t>4</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9</w:t>
            </w:r>
            <w:r>
              <w:rPr>
                <w:rFonts w:hint="eastAsia" w:ascii="Times New Roman" w:hAnsi="Times New Roman" w:cs="Times New Roman"/>
                <w:color w:val="000000" w:themeColor="text1"/>
                <w:sz w:val="24"/>
                <w:szCs w:val="24"/>
                <w:lang w:val="en-US" w:eastAsia="zh-CN"/>
                <w14:textFill>
                  <w14:solidFill>
                    <w14:schemeClr w14:val="tx1"/>
                  </w14:solidFill>
                </w14:textFill>
              </w:rPr>
              <w:t>5t/a</w:t>
            </w:r>
            <w:r>
              <w:rPr>
                <w:rFonts w:hint="default" w:ascii="Times New Roman" w:hAnsi="Times New Roman" w:cs="Times New Roman"/>
                <w:color w:val="000000" w:themeColor="text1"/>
                <w:sz w:val="24"/>
                <w:szCs w:val="24"/>
                <w14:textFill>
                  <w14:solidFill>
                    <w14:schemeClr w14:val="tx1"/>
                  </w14:solidFill>
                </w14:textFill>
              </w:rPr>
              <w:t>。厂内设封闭式分类垃圾收集箱若干，将生活垃圾集中分类收集后运送至环卫部门指定的地点进行统一处置，严禁生活垃圾在厂区内长期堆存，随意丢弃</w:t>
            </w:r>
            <w:r>
              <w:rPr>
                <w:rFonts w:hint="eastAsia" w:ascii="Times New Roman" w:hAnsi="Times New Roman" w:cs="Times New Roman"/>
                <w:color w:val="000000" w:themeColor="text1"/>
                <w:sz w:val="24"/>
                <w:szCs w:val="24"/>
                <w:lang w:eastAsia="zh-CN"/>
                <w14:textFill>
                  <w14:solidFill>
                    <w14:schemeClr w14:val="tx1"/>
                  </w14:solidFill>
                </w14:textFill>
              </w:rPr>
              <w:t>。</w:t>
            </w:r>
          </w:p>
          <w:p w14:paraId="37D03C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cs="Times New Roman"/>
                <w:bCs/>
                <w:color w:val="000000" w:themeColor="text1"/>
                <w:sz w:val="24"/>
                <w:highlight w:val="none"/>
                <w:lang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2</w:t>
            </w:r>
            <w:r>
              <w:rPr>
                <w:rFonts w:hint="eastAsia" w:cs="Times New Roman"/>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14:textFill>
                  <w14:solidFill>
                    <w14:schemeClr w14:val="tx1"/>
                  </w14:solidFill>
                </w14:textFill>
              </w:rPr>
              <w:t>除尘器</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除尘灰</w:t>
            </w:r>
          </w:p>
          <w:p w14:paraId="6A70FF45">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000000" w:themeColor="text1"/>
                <w:sz w:val="24"/>
                <w:highlight w:val="none"/>
                <w:lang w:val="en-US"/>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各工序除尘器收集的除尘灰产生量约874.42t/a，</w:t>
            </w:r>
            <w:r>
              <w:rPr>
                <w:rFonts w:hint="eastAsia" w:cs="Times New Roman"/>
                <w:color w:val="000000" w:themeColor="text1"/>
                <w:sz w:val="24"/>
                <w:highlight w:val="none"/>
                <w:lang w:val="en-US" w:eastAsia="zh-CN"/>
                <w14:textFill>
                  <w14:solidFill>
                    <w14:schemeClr w14:val="tx1"/>
                  </w14:solidFill>
                </w14:textFill>
              </w:rPr>
              <w:t>收集后作为产品外售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4EE132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cs="Times New Roman"/>
                <w:bCs/>
                <w:color w:val="000000" w:themeColor="text1"/>
                <w:sz w:val="24"/>
                <w:highlight w:val="none"/>
                <w:lang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3</w:t>
            </w:r>
            <w:r>
              <w:rPr>
                <w:rFonts w:hint="eastAsia" w:cs="Times New Roman"/>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废矿物油</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、废油桶</w:t>
            </w:r>
          </w:p>
          <w:p w14:paraId="37075D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本项目生产过程各设备</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需日常维修保养，在此过程中</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会产生少量废矿物油</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及废油桶</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，按照《国家危险废物名录》（202</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年版），废矿物油</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、废油桶</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属于危险废物，废矿物油产生量约为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0.</w:t>
            </w:r>
            <w:r>
              <w:rPr>
                <w:rFonts w:hint="eastAsia" w:cs="Times New Roman"/>
                <w:bCs/>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t/a，废油桶产生量约0.</w:t>
            </w:r>
            <w:r>
              <w:rPr>
                <w:rFonts w:hint="eastAsia" w:cs="Times New Roman"/>
                <w:bCs/>
                <w:color w:val="000000" w:themeColor="text1"/>
                <w:sz w:val="24"/>
                <w:highlight w:val="none"/>
                <w:lang w:val="en-US" w:eastAsia="zh-CN"/>
                <w14:textFill>
                  <w14:solidFill>
                    <w14:schemeClr w14:val="tx1"/>
                  </w14:solidFill>
                </w14:textFill>
              </w:rPr>
              <w:t>05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本项目危废贮存点位于厂区西北侧，占地面积约40m</w:t>
            </w:r>
            <w:r>
              <w:rPr>
                <w:rFonts w:hint="eastAsia" w:cs="Times New Roman"/>
                <w:bCs/>
                <w:color w:val="000000" w:themeColor="text1"/>
                <w:sz w:val="24"/>
                <w:highlight w:val="none"/>
                <w:vertAlign w:val="superscript"/>
                <w:lang w:val="en-US" w:eastAsia="zh-CN"/>
                <w14:textFill>
                  <w14:solidFill>
                    <w14:schemeClr w14:val="tx1"/>
                  </w14:solidFill>
                </w14:textFill>
              </w:rPr>
              <w:t>2</w:t>
            </w:r>
            <w:r>
              <w:rPr>
                <w:rFonts w:hint="eastAsia"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废矿物油、废油桶分区暂存于</w:t>
            </w:r>
            <w:r>
              <w:rPr>
                <w:rFonts w:hint="eastAsia" w:cs="Times New Roman"/>
                <w:bCs/>
                <w:color w:val="000000" w:themeColor="text1"/>
                <w:sz w:val="24"/>
                <w:highlight w:val="none"/>
                <w:lang w:val="en-US" w:eastAsia="zh-CN"/>
                <w14:textFill>
                  <w14:solidFill>
                    <w14:schemeClr w14:val="tx1"/>
                  </w14:solidFill>
                </w14:textFill>
              </w:rPr>
              <w:t>危废贮存点内</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，定期交由有资质单位</w:t>
            </w:r>
            <w:r>
              <w:rPr>
                <w:rFonts w:hint="eastAsia" w:cs="Times New Roman"/>
                <w:bCs/>
                <w:color w:val="000000" w:themeColor="text1"/>
                <w:sz w:val="24"/>
                <w:highlight w:val="none"/>
                <w:lang w:val="en-US" w:eastAsia="zh-CN"/>
                <w14:textFill>
                  <w14:solidFill>
                    <w14:schemeClr w14:val="tx1"/>
                  </w14:solidFill>
                </w14:textFill>
              </w:rPr>
              <w:t>清运</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处置</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p>
          <w:p w14:paraId="74F6A9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b/>
                <w:bCs w:val="0"/>
                <w:color w:val="000000" w:themeColor="text1"/>
                <w:sz w:val="24"/>
                <w:lang w:val="en-US" w:eastAsia="zh-CN"/>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4.8.</w:t>
            </w:r>
            <w:r>
              <w:rPr>
                <w:rFonts w:hint="eastAsia" w:hAnsi="宋体"/>
                <w:b/>
                <w:bCs w:val="0"/>
                <w:color w:val="000000" w:themeColor="text1"/>
                <w:sz w:val="24"/>
                <w:lang w:val="en-US" w:eastAsia="zh-CN"/>
                <w14:textFill>
                  <w14:solidFill>
                    <w14:schemeClr w14:val="tx1"/>
                  </w14:solidFill>
                </w14:textFill>
              </w:rPr>
              <w:t>2一般固体废物</w:t>
            </w:r>
            <w:r>
              <w:rPr>
                <w:rFonts w:hint="eastAsia" w:hAnsi="宋体"/>
                <w:b/>
                <w:bCs w:val="0"/>
                <w:color w:val="000000" w:themeColor="text1"/>
                <w:sz w:val="24"/>
                <w14:textFill>
                  <w14:solidFill>
                    <w14:schemeClr w14:val="tx1"/>
                  </w14:solidFill>
                </w14:textFill>
              </w:rPr>
              <w:t>污染防治措施及管理要求</w:t>
            </w:r>
          </w:p>
          <w:p w14:paraId="37AFE3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本项目一般固体废物台账应按照《一般工业固体废物管理台账制定指南（试行）》中以下要求记录：</w:t>
            </w:r>
          </w:p>
          <w:p w14:paraId="58B8F6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bCs/>
                <w:color w:val="000000" w:themeColor="text1"/>
                <w:sz w:val="24"/>
                <w14:textFill>
                  <w14:solidFill>
                    <w14:schemeClr w14:val="tx1"/>
                  </w14:solidFill>
                </w14:textFill>
              </w:rPr>
            </w:pP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1</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一般工业固体废物产生清单：应记录一般工业固体废物代码、名称、产生环节、物理性状、主要成分、污染特性、年产量、去向等。</w:t>
            </w:r>
          </w:p>
          <w:p w14:paraId="5E9B77E3">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000000" w:themeColor="text1"/>
                <w:sz w:val="24"/>
                <w14:textFill>
                  <w14:solidFill>
                    <w14:schemeClr w14:val="tx1"/>
                  </w14:solidFill>
                </w14:textFill>
              </w:rPr>
            </w:pP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2</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一般工业固体废物流向汇总表：应记录一般工业固体废物代码、名称、产生量、自行利用数量等。</w:t>
            </w:r>
          </w:p>
          <w:p w14:paraId="667BD1C9">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000000" w:themeColor="text1"/>
                <w:sz w:val="24"/>
                <w14:textFill>
                  <w14:solidFill>
                    <w14:schemeClr w14:val="tx1"/>
                  </w14:solidFill>
                </w14:textFill>
              </w:rPr>
            </w:pP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3</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一般工业固体废物出厂环节记录表：应记录一般工业固体废物代码、名称、出厂时间、出厂数量、出厂环节经办人、运输单位、接收单位、废物流向类型等信息。</w:t>
            </w:r>
          </w:p>
          <w:p w14:paraId="4224DD82">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000000" w:themeColor="text1"/>
                <w:sz w:val="24"/>
                <w14:textFill>
                  <w14:solidFill>
                    <w14:schemeClr w14:val="tx1"/>
                  </w14:solidFill>
                </w14:textFill>
              </w:rPr>
            </w:pP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4</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一般工业固体废物产生环节记录表：应记录一般工业固体废物代码、名称、产生时间、产生数量（单位）、转移时间、转移去向、废物产生部门经办人等。</w:t>
            </w:r>
          </w:p>
          <w:p w14:paraId="47C565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b/>
                <w:bCs w:val="0"/>
                <w:color w:val="000000" w:themeColor="text1"/>
                <w:sz w:val="24"/>
                <w:highlight w:val="none"/>
                <w:lang w:val="en-US" w:eastAsia="zh-CN"/>
                <w14:textFill>
                  <w14:solidFill>
                    <w14:schemeClr w14:val="tx1"/>
                  </w14:solidFill>
                </w14:textFill>
              </w:rPr>
            </w:pP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5</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一般工业固体废物贮存环节记录表：应记录入库情况（入库时间、入库编号等）、出库情况（出库时间、出库数量、废物去向等）。</w:t>
            </w:r>
          </w:p>
          <w:p w14:paraId="07A05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4.8.</w:t>
            </w:r>
            <w:r>
              <w:rPr>
                <w:rFonts w:hint="eastAsia" w:cs="Times New Roman"/>
                <w:b/>
                <w:bCs w:val="0"/>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t>危险废物环境管理要求</w:t>
            </w:r>
          </w:p>
          <w:p w14:paraId="47A15C08">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eastAsia" w:cs="Times New Roman"/>
                <w:bCs/>
                <w:color w:val="000000" w:themeColor="text1"/>
                <w:sz w:val="24"/>
                <w:highlight w:val="none"/>
                <w:lang w:val="en-US" w:eastAsia="zh-CN"/>
                <w14:textFill>
                  <w14:solidFill>
                    <w14:schemeClr w14:val="tx1"/>
                  </w14:solidFill>
                </w14:textFill>
              </w:rPr>
              <w:t>本项目危废贮存点位于厂区西北侧，占地面积约40m</w:t>
            </w:r>
            <w:r>
              <w:rPr>
                <w:rFonts w:hint="eastAsia" w:cs="Times New Roman"/>
                <w:bCs/>
                <w:color w:val="000000" w:themeColor="text1"/>
                <w:sz w:val="24"/>
                <w:highlight w:val="none"/>
                <w:vertAlign w:val="superscript"/>
                <w:lang w:val="en-US" w:eastAsia="zh-CN"/>
                <w14:textFill>
                  <w14:solidFill>
                    <w14:schemeClr w14:val="tx1"/>
                  </w14:solidFill>
                </w14:textFill>
              </w:rPr>
              <w:t>2</w:t>
            </w:r>
            <w:r>
              <w:rPr>
                <w:rFonts w:hint="eastAsia" w:cs="Times New Roman"/>
                <w:bCs/>
                <w:color w:val="000000" w:themeColor="text1"/>
                <w:sz w:val="24"/>
                <w:highlight w:val="none"/>
                <w:lang w:val="en-US" w:eastAsia="zh-CN"/>
                <w14:textFill>
                  <w14:solidFill>
                    <w14:schemeClr w14:val="tx1"/>
                  </w14:solidFill>
                </w14:textFill>
              </w:rPr>
              <w:t>，</w:t>
            </w:r>
            <w:r>
              <w:rPr>
                <w:rFonts w:hint="eastAsia"/>
                <w:bCs/>
                <w:color w:val="000000" w:themeColor="text1"/>
                <w:sz w:val="24"/>
                <w:lang w:eastAsia="zh-CN"/>
                <w14:textFill>
                  <w14:solidFill>
                    <w14:schemeClr w14:val="tx1"/>
                  </w14:solidFill>
                </w14:textFill>
              </w:rPr>
              <w:t>危废贮存点</w:t>
            </w:r>
            <w:r>
              <w:rPr>
                <w:rFonts w:hint="eastAsia"/>
                <w:bCs/>
                <w:color w:val="000000" w:themeColor="text1"/>
                <w:sz w:val="24"/>
                <w:lang w:val="en-US" w:eastAsia="zh-CN"/>
                <w14:textFill>
                  <w14:solidFill>
                    <w14:schemeClr w14:val="tx1"/>
                  </w14:solidFill>
                </w14:textFill>
              </w:rPr>
              <w:t>地面应做硬化处理，在地面及墙裙刷环氧树脂漆进行防渗处理，墙体防渗高度大于危险废物堆存高度，地面四周应设有导流渠和收集池，</w:t>
            </w:r>
            <w:r>
              <w:rPr>
                <w:rFonts w:hint="eastAsia"/>
                <w:bCs/>
                <w:color w:val="000000" w:themeColor="text1"/>
                <w:sz w:val="24"/>
                <w14:textFill>
                  <w14:solidFill>
                    <w14:schemeClr w14:val="tx1"/>
                  </w14:solidFill>
                </w14:textFill>
              </w:rPr>
              <w:t>危险废物环境管理要求如下：</w:t>
            </w:r>
          </w:p>
          <w:p w14:paraId="23F1F2DE">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（1）危险废物储存要求</w:t>
            </w:r>
          </w:p>
          <w:p w14:paraId="2FACFDEE">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1）不同种类的危险化学品要分区储存，并在储存区贴上符合危险废物种类的相应标签。</w:t>
            </w:r>
          </w:p>
          <w:p w14:paraId="76244F0C">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2）贮存场必须做好防渗处理，同时还要略高出地面并加盖防雨措施，防止水流入造成对地表水和大气环境的污染。</w:t>
            </w:r>
          </w:p>
          <w:p w14:paraId="22B1DC31">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3）贮存场设置明显的贮存危险废物种类标识和警示标识，并在贮存场周围显著处标记“严禁烟火”的</w:t>
            </w:r>
            <w:r>
              <w:rPr>
                <w:rFonts w:hint="eastAsia"/>
                <w:bCs/>
                <w:color w:val="000000" w:themeColor="text1"/>
                <w:sz w:val="24"/>
                <w:lang w:eastAsia="zh-CN"/>
                <w14:textFill>
                  <w14:solidFill>
                    <w14:schemeClr w14:val="tx1"/>
                  </w14:solidFill>
                </w14:textFill>
              </w:rPr>
              <w:t>警示牌</w:t>
            </w:r>
            <w:r>
              <w:rPr>
                <w:rFonts w:hint="eastAsia"/>
                <w:bCs/>
                <w:color w:val="000000" w:themeColor="text1"/>
                <w:sz w:val="24"/>
                <w14:textFill>
                  <w14:solidFill>
                    <w14:schemeClr w14:val="tx1"/>
                  </w14:solidFill>
                </w14:textFill>
              </w:rPr>
              <w:t>。</w:t>
            </w:r>
          </w:p>
          <w:p w14:paraId="78338B12">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4）厂内要有专人管理危险废物，危险废物出入贮存场前，应登记造册，做好记录，注明危险废物的名称、来源、数量、特性、入库日期、出库日期、</w:t>
            </w:r>
            <w:r>
              <w:rPr>
                <w:rFonts w:hint="eastAsia"/>
                <w:bCs/>
                <w:color w:val="000000" w:themeColor="text1"/>
                <w:sz w:val="24"/>
                <w:lang w:eastAsia="zh-CN"/>
                <w14:textFill>
                  <w14:solidFill>
                    <w14:schemeClr w14:val="tx1"/>
                  </w14:solidFill>
                </w14:textFill>
              </w:rPr>
              <w:t>接收单位</w:t>
            </w:r>
            <w:r>
              <w:rPr>
                <w:rFonts w:hint="eastAsia"/>
                <w:bCs/>
                <w:color w:val="000000" w:themeColor="text1"/>
                <w:sz w:val="24"/>
                <w14:textFill>
                  <w14:solidFill>
                    <w14:schemeClr w14:val="tx1"/>
                  </w14:solidFill>
                </w14:textFill>
              </w:rPr>
              <w:t>等。</w:t>
            </w:r>
          </w:p>
          <w:p w14:paraId="48BF515A">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5）定期对所贮存的危险废物包装容器及贮存设施进行检查，发现破损及时清理更换。</w:t>
            </w:r>
          </w:p>
          <w:p w14:paraId="00695346">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6）危险废物应按照国家有关规定向当地环境保护行政主管部门申报登记，接受当地环境保护行政主管部门监督管理。危险废物应按照国家有关规定向当地环境保护行政主管部门申报登记，接受当地环境保护行政主管部门监督管理。</w:t>
            </w:r>
          </w:p>
          <w:p w14:paraId="4BD72828">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w:t>
            </w:r>
            <w:r>
              <w:rPr>
                <w:rFonts w:hint="eastAsia"/>
                <w:bCs/>
                <w:color w:val="000000" w:themeColor="text1"/>
                <w:sz w:val="24"/>
                <w:lang w:eastAsia="zh-CN"/>
                <w14:textFill>
                  <w14:solidFill>
                    <w14:schemeClr w14:val="tx1"/>
                  </w14:solidFill>
                </w14:textFill>
              </w:rPr>
              <w:t>危废贮存点</w:t>
            </w:r>
            <w:r>
              <w:rPr>
                <w:rFonts w:hint="eastAsia"/>
                <w:bCs/>
                <w:color w:val="000000" w:themeColor="text1"/>
                <w:sz w:val="24"/>
                <w14:textFill>
                  <w14:solidFill>
                    <w14:schemeClr w14:val="tx1"/>
                  </w14:solidFill>
                </w14:textFill>
              </w:rPr>
              <w:t>建设要求</w:t>
            </w:r>
          </w:p>
          <w:p w14:paraId="72FF034C">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eastAsia"/>
                <w:bCs/>
                <w:color w:val="000000" w:themeColor="text1"/>
                <w:sz w:val="24"/>
                <w:lang w:eastAsia="zh-CN"/>
                <w14:textFill>
                  <w14:solidFill>
                    <w14:schemeClr w14:val="tx1"/>
                  </w14:solidFill>
                </w14:textFill>
              </w:rPr>
              <w:t>危废贮存点</w:t>
            </w:r>
            <w:r>
              <w:rPr>
                <w:rFonts w:hint="eastAsia"/>
                <w:bCs/>
                <w:color w:val="000000" w:themeColor="text1"/>
                <w:sz w:val="24"/>
                <w:lang w:val="en-US" w:eastAsia="zh-CN"/>
                <w14:textFill>
                  <w14:solidFill>
                    <w14:schemeClr w14:val="tx1"/>
                  </w14:solidFill>
                </w14:textFill>
              </w:rPr>
              <w:t>应</w:t>
            </w:r>
            <w:r>
              <w:rPr>
                <w:rFonts w:hint="eastAsia"/>
                <w:bCs/>
                <w:color w:val="000000" w:themeColor="text1"/>
                <w:sz w:val="24"/>
                <w14:textFill>
                  <w14:solidFill>
                    <w14:schemeClr w14:val="tx1"/>
                  </w14:solidFill>
                </w14:textFill>
              </w:rPr>
              <w:t>按照《危险废物贮存污染控制标准》（GB18597-2023）相关要求采取必要的防风、防晒、防雨、防漏、防渗、防腐以及其他环境污染防治措施，不应露天堆放危险废物，可有效防止临时存放过程中的二次污染，危险废物贮存库按照贮存物质特性分区存放（每个项目单独设置存放区），每个项目指定专人进行管理。按照《危险废物识别标志设置技术规范》（HJ2176-2022）要求设置相应的危废标识。</w:t>
            </w:r>
          </w:p>
          <w:p w14:paraId="759C6722">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（3）危险废物控制要求</w:t>
            </w:r>
          </w:p>
          <w:p w14:paraId="5694D78F">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企业应严格加强固体废物贮存和处置全过程的管理，具体可如下执行：</w:t>
            </w:r>
          </w:p>
          <w:p w14:paraId="6BE746B7">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①危险废物应与其他固体废物严格隔离，禁止一般工业固废垃圾混入；同时也禁止危险废物混入一般工业固废中。</w:t>
            </w:r>
          </w:p>
          <w:p w14:paraId="6A039BCF">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②禁止将不相容（相互反应）的危险废物在同一容器内混装；盛装危险废物的容器上必须粘贴符合标准的标签。</w:t>
            </w:r>
          </w:p>
          <w:p w14:paraId="1D5696EA">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eastAsia"/>
                <w:bCs/>
                <w:color w:val="000000" w:themeColor="text1"/>
                <w:sz w:val="24"/>
                <w:lang w:eastAsia="zh-CN"/>
                <w14:textFill>
                  <w14:solidFill>
                    <w14:schemeClr w14:val="tx1"/>
                  </w14:solidFill>
                </w14:textFill>
              </w:rPr>
              <w:t>③</w:t>
            </w:r>
            <w:r>
              <w:rPr>
                <w:rFonts w:hint="eastAsia"/>
                <w:bCs/>
                <w:color w:val="000000" w:themeColor="text1"/>
                <w:sz w:val="24"/>
                <w14:textFill>
                  <w14:solidFill>
                    <w14:schemeClr w14:val="tx1"/>
                  </w14:solidFill>
                </w14:textFill>
              </w:rPr>
              <w:t>检查堆场内的通讯设备、照明设施、安全防护服装及工具，检查应急防护设施。</w:t>
            </w:r>
          </w:p>
          <w:p w14:paraId="42CBF973">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④完善维护制度，定期检查维护防渗设施，发现有损坏可能或异常，应及时采取必要措施，以保障正常运行；详细记录入场固体废物的种类和数量以及其他相关资料并长期保存，供随时查阅。</w:t>
            </w:r>
          </w:p>
          <w:p w14:paraId="0FBD7687">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⑤当贮存库因故不再承担新的贮存、处置任务时，应予以关闭或封场，同时采取措施消除污染，无法消除污染的设备、土壤、墙体等按危险废物处理，并运至正在营运的危险废物处理处置场或其它贮存设施中。关闭或封场后，应设置标志物，注明关闭或封场时间，以及使用该土地时应注意的事项，并继续维护管理，直到稳定为止。监测部门的监测结果表明已不存在污染时，方可摘下警示标志，撤离留守人员。</w:t>
            </w:r>
          </w:p>
          <w:p w14:paraId="48BA56A8">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⑥项目产生的固体废物产生量、拟采取的处置措施及去向按《中华人民共和国固体废物污染环境防治法》的规定向</w:t>
            </w:r>
            <w:r>
              <w:rPr>
                <w:rFonts w:hint="eastAsia"/>
                <w:bCs/>
                <w:color w:val="000000" w:themeColor="text1"/>
                <w:sz w:val="24"/>
                <w:lang w:val="en-US" w:eastAsia="zh-CN"/>
                <w14:textFill>
                  <w14:solidFill>
                    <w14:schemeClr w14:val="tx1"/>
                  </w14:solidFill>
                </w14:textFill>
              </w:rPr>
              <w:t>当地生态环境部门</w:t>
            </w:r>
            <w:r>
              <w:rPr>
                <w:rFonts w:hint="eastAsia"/>
                <w:bCs/>
                <w:color w:val="000000" w:themeColor="text1"/>
                <w:sz w:val="24"/>
                <w14:textFill>
                  <w14:solidFill>
                    <w14:schemeClr w14:val="tx1"/>
                  </w14:solidFill>
                </w14:textFill>
              </w:rPr>
              <w:t>申报，填报危险废物转移五联单，按要求对本项目产生的固体废物特别是危险废物进行全过程严格管理和安全处置。</w:t>
            </w:r>
          </w:p>
          <w:p w14:paraId="7E0CC514">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⑦</w:t>
            </w:r>
            <w:r>
              <w:rPr>
                <w:rFonts w:hint="default" w:ascii="Times New Roman" w:hAnsi="Times New Roman" w:eastAsia="宋体" w:cs="Times New Roman"/>
                <w:bCs/>
                <w:color w:val="000000" w:themeColor="text1"/>
                <w:sz w:val="24"/>
                <w:lang w:val="en-US" w:eastAsia="zh-CN"/>
                <w14:textFill>
                  <w14:solidFill>
                    <w14:schemeClr w14:val="tx1"/>
                  </w14:solidFill>
                </w14:textFill>
              </w:rPr>
              <w:t>环评提出项目运营期建设单位</w:t>
            </w:r>
            <w:r>
              <w:rPr>
                <w:rFonts w:hint="eastAsia" w:cs="Times New Roman"/>
                <w:bCs/>
                <w:color w:val="000000" w:themeColor="text1"/>
                <w:sz w:val="24"/>
                <w:lang w:val="en-US" w:eastAsia="zh-CN"/>
                <w14:textFill>
                  <w14:solidFill>
                    <w14:schemeClr w14:val="tx1"/>
                  </w14:solidFill>
                </w14:textFill>
              </w:rPr>
              <w:t>应</w:t>
            </w:r>
            <w:r>
              <w:rPr>
                <w:rFonts w:hint="default" w:ascii="Times New Roman" w:hAnsi="Times New Roman" w:eastAsia="宋体" w:cs="Times New Roman"/>
                <w:bCs/>
                <w:color w:val="000000" w:themeColor="text1"/>
                <w:sz w:val="24"/>
                <w:lang w:val="en-US" w:eastAsia="zh-CN"/>
                <w14:textFill>
                  <w14:solidFill>
                    <w14:schemeClr w14:val="tx1"/>
                  </w14:solidFill>
                </w14:textFill>
              </w:rPr>
              <w:t>按照《危险废物管理计划和台账指定技术导则》（HJ1259-2022）相关要求制定运营期危险废物管理台账，具体如下：</w:t>
            </w:r>
          </w:p>
          <w:p w14:paraId="63F589AD">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A.记录内容</w:t>
            </w:r>
          </w:p>
          <w:p w14:paraId="1E5EE2DE">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a.危险废物产生环节，应记录产生批次编码、产生时间、危险废物名称、危险废物类别、危险废物代码、产生量、计量单位、容器/包装编码、容器/包装类型、容器/包装数量、产生危险废物设施编码、产生部门经办人、去向等。</w:t>
            </w:r>
          </w:p>
          <w:p w14:paraId="7B1661D2">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 xml:space="preserve">b.危险废物入库环节，应记录入库批次编码、入库时间、容器/包装编码、容器/包装类型、容器/包装数量、危险废物名称、危险废物类别、危险废物代码、入库量、计量单位、贮存设施编码、贮存设施类型、运送部门经办人、贮存部门经办人、产生批次编码等。 </w:t>
            </w:r>
          </w:p>
          <w:p w14:paraId="732F5EA7">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c.危险废物出库环节，应记录出库批次编码、出库时间、容器/包装编码、容器/包装类型、容器包装数量、危险废物名称、危险废物类别、危险废物代码、出库量、计量单位、贮存设施编码、贮存设施类型、出库部门经办人、运送部门经办人、入库批次编码、去向等。</w:t>
            </w:r>
          </w:p>
          <w:p w14:paraId="41CAB855">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d.危险废物委外利用/处置环节，应记录委外利用/处置批次编码、出厂时间、容器/包装编码、容器/包装类型、容器/包装数量、危险废物名称、危险废物类别、危险废物代码、委外利用/处置量、计量单位、利用/处置方式、接收单位类型、利用/处置单位名称、许可证编码/出口核准通知单编号、产生批次编码/出库批次编码等。</w:t>
            </w:r>
          </w:p>
          <w:p w14:paraId="110E0A6E">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B.记录保存</w:t>
            </w:r>
          </w:p>
          <w:p w14:paraId="5859A099">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保存时间原则上应存档5年以上。</w:t>
            </w:r>
          </w:p>
          <w:p w14:paraId="351A015A">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（4）危险废物转移要求</w:t>
            </w:r>
          </w:p>
          <w:p w14:paraId="61E7ACAF">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在送往有资质危险废物定点单位处理时严格执行《危险废物转移联单管理办法》中应严格做好相应防范措施，防止危险废物的泄漏，或发生重大交通事故。</w:t>
            </w:r>
          </w:p>
          <w:p w14:paraId="4CD9AA29">
            <w:pPr>
              <w:keepNext w:val="0"/>
              <w:keepLines w:val="0"/>
              <w:suppressLineNumbers w:val="0"/>
              <w:spacing w:before="0" w:beforeAutospacing="0" w:after="0" w:afterAutospacing="0" w:line="480" w:lineRule="exact"/>
              <w:ind w:left="0" w:right="0" w:firstLine="480" w:firstLineChars="200"/>
              <w:rPr>
                <w:rFonts w:hint="default"/>
                <w:color w:val="000000" w:themeColor="text1"/>
                <w14:textFill>
                  <w14:solidFill>
                    <w14:schemeClr w14:val="tx1"/>
                  </w14:solidFill>
                </w14:textFill>
              </w:rPr>
            </w:pPr>
            <w:r>
              <w:rPr>
                <w:rFonts w:hint="eastAsia"/>
                <w:color w:val="000000" w:themeColor="text1"/>
                <w:sz w:val="24"/>
                <w14:textFill>
                  <w14:solidFill>
                    <w14:schemeClr w14:val="tx1"/>
                  </w14:solidFill>
                </w14:textFill>
              </w:rPr>
              <w:t>危险废物标签参考样式见下图：</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21"/>
              <w:gridCol w:w="4248"/>
            </w:tblGrid>
            <w:tr w14:paraId="6B6D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3" w:type="dxa"/>
                  <w:noWrap w:val="0"/>
                  <w:vAlign w:val="center"/>
                </w:tcPr>
                <w:p w14:paraId="37B4292B">
                  <w:pPr>
                    <w:keepNext w:val="0"/>
                    <w:keepLines w:val="0"/>
                    <w:suppressLineNumbers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INCLUDEPICTURE "https://www.mee.gov.cn/ywgz/fgbz/bz/bzwb/gthw/wxfwjbffbz/202302/W020230515591217696563.jpg" \* MERGEFORMATINET </w:instrText>
                  </w:r>
                  <w:r>
                    <w:rPr>
                      <w:rFonts w:hint="default"/>
                      <w:color w:val="000000" w:themeColor="text1"/>
                      <w14:textFill>
                        <w14:solidFill>
                          <w14:schemeClr w14:val="tx1"/>
                        </w14:solidFill>
                      </w14:textFill>
                    </w:rPr>
                    <w:fldChar w:fldCharType="separate"/>
                  </w: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INCLUDEPICTURE  "https://www.mee.gov.cn/ywgz/fgbz/bz/bzwb/gthw/wxfwjbffbz/202302/W020230515591217696563.jpg" \* MERGEFORMATINET </w:instrText>
                  </w:r>
                  <w:r>
                    <w:rPr>
                      <w:rFonts w:hint="default"/>
                      <w:color w:val="000000" w:themeColor="text1"/>
                      <w14:textFill>
                        <w14:solidFill>
                          <w14:schemeClr w14:val="tx1"/>
                        </w14:solidFill>
                      </w14:textFill>
                    </w:rPr>
                    <w:fldChar w:fldCharType="separate"/>
                  </w: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INCLUDEPICTURE  "https://www.mee.gov.cn/ywgz/fgbz/bz/bzwb/gthw/wxfwjbffbz/202302/W020230515591217696563.jpg" \* MERGEFORMATINET </w:instrText>
                  </w:r>
                  <w:r>
                    <w:rPr>
                      <w:rFonts w:hint="default"/>
                      <w:color w:val="000000" w:themeColor="text1"/>
                      <w14:textFill>
                        <w14:solidFill>
                          <w14:schemeClr w14:val="tx1"/>
                        </w14:solidFill>
                      </w14:textFill>
                    </w:rPr>
                    <w:fldChar w:fldCharType="separate"/>
                  </w: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INCLUDEPICTURE  "https://www.mee.gov.cn/ywgz/fgbz/bz/bzwb/gthw/wxfwjbffbz/202302/W020230515591217696563.jpg" \* MERGEFORMATINET </w:instrText>
                  </w:r>
                  <w:r>
                    <w:rPr>
                      <w:rFonts w:hint="default"/>
                      <w:color w:val="000000" w:themeColor="text1"/>
                      <w14:textFill>
                        <w14:solidFill>
                          <w14:schemeClr w14:val="tx1"/>
                        </w14:solidFill>
                      </w14:textFill>
                    </w:rPr>
                    <w:fldChar w:fldCharType="separate"/>
                  </w: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INCLUDEPICTURE  "https://www.mee.gov.cn/ywgz/fgbz/bz/bzwb/gthw/wxfwjbffbz/202302/W020230515591217696563.jpg" \* MERGEFORMATINET </w:instrText>
                  </w:r>
                  <w:r>
                    <w:rPr>
                      <w:rFonts w:hint="default"/>
                      <w:color w:val="000000" w:themeColor="text1"/>
                      <w14:textFill>
                        <w14:solidFill>
                          <w14:schemeClr w14:val="tx1"/>
                        </w14:solidFill>
                      </w14:textFill>
                    </w:rPr>
                    <w:fldChar w:fldCharType="separate"/>
                  </w:r>
                  <w:r>
                    <w:rPr>
                      <w:rFonts w:hint="default"/>
                      <w:color w:val="000000" w:themeColor="text1"/>
                      <w14:textFill>
                        <w14:solidFill>
                          <w14:schemeClr w14:val="tx1"/>
                        </w14:solidFill>
                      </w14:textFill>
                    </w:rPr>
                    <w:drawing>
                      <wp:inline distT="0" distB="0" distL="114300" distR="114300">
                        <wp:extent cx="2154555" cy="2154555"/>
                        <wp:effectExtent l="0" t="0" r="7620" b="7620"/>
                        <wp:docPr id="164" name="图片 5" descr="W02023051559121769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 descr="W020230515591217696563"/>
                                <pic:cNvPicPr>
                                  <a:picLocks noChangeAspect="1"/>
                                </pic:cNvPicPr>
                              </pic:nvPicPr>
                              <pic:blipFill>
                                <a:blip r:embed="rId24"/>
                                <a:stretch>
                                  <a:fillRect/>
                                </a:stretch>
                              </pic:blipFill>
                              <pic:spPr>
                                <a:xfrm>
                                  <a:off x="0" y="0"/>
                                  <a:ext cx="2154555" cy="2154555"/>
                                </a:xfrm>
                                <a:prstGeom prst="rect">
                                  <a:avLst/>
                                </a:prstGeom>
                                <a:noFill/>
                                <a:ln>
                                  <a:noFill/>
                                </a:ln>
                              </pic:spPr>
                            </pic:pic>
                          </a:graphicData>
                        </a:graphic>
                      </wp:inline>
                    </w:drawing>
                  </w:r>
                  <w:r>
                    <w:rPr>
                      <w:rFonts w:hint="default"/>
                      <w:color w:val="000000" w:themeColor="text1"/>
                      <w14:textFill>
                        <w14:solidFill>
                          <w14:schemeClr w14:val="tx1"/>
                        </w14:solidFill>
                      </w14:textFill>
                    </w:rPr>
                    <w:fldChar w:fldCharType="end"/>
                  </w:r>
                  <w:r>
                    <w:rPr>
                      <w:rFonts w:hint="default"/>
                      <w:color w:val="000000" w:themeColor="text1"/>
                      <w14:textFill>
                        <w14:solidFill>
                          <w14:schemeClr w14:val="tx1"/>
                        </w14:solidFill>
                      </w14:textFill>
                    </w:rPr>
                    <w:fldChar w:fldCharType="end"/>
                  </w:r>
                  <w:r>
                    <w:rPr>
                      <w:rFonts w:hint="default"/>
                      <w:color w:val="000000" w:themeColor="text1"/>
                      <w14:textFill>
                        <w14:solidFill>
                          <w14:schemeClr w14:val="tx1"/>
                        </w14:solidFill>
                      </w14:textFill>
                    </w:rPr>
                    <w:fldChar w:fldCharType="end"/>
                  </w:r>
                  <w:r>
                    <w:rPr>
                      <w:rFonts w:hint="default"/>
                      <w:color w:val="000000" w:themeColor="text1"/>
                      <w14:textFill>
                        <w14:solidFill>
                          <w14:schemeClr w14:val="tx1"/>
                        </w14:solidFill>
                      </w14:textFill>
                    </w:rPr>
                    <w:fldChar w:fldCharType="end"/>
                  </w:r>
                  <w:r>
                    <w:rPr>
                      <w:rFonts w:hint="default"/>
                      <w:color w:val="000000" w:themeColor="text1"/>
                      <w14:textFill>
                        <w14:solidFill>
                          <w14:schemeClr w14:val="tx1"/>
                        </w14:solidFill>
                      </w14:textFill>
                    </w:rPr>
                    <w:fldChar w:fldCharType="end"/>
                  </w:r>
                </w:p>
              </w:tc>
              <w:tc>
                <w:tcPr>
                  <w:tcW w:w="4248" w:type="dxa"/>
                  <w:noWrap w:val="0"/>
                  <w:vAlign w:val="center"/>
                </w:tcPr>
                <w:p w14:paraId="5A5C39F0">
                  <w:pPr>
                    <w:keepNext w:val="0"/>
                    <w:keepLines w:val="0"/>
                    <w:suppressLineNumbers w:val="0"/>
                    <w:spacing w:before="0" w:beforeAutospacing="0" w:after="0" w:afterAutospacing="0"/>
                    <w:ind w:left="0" w:right="0"/>
                    <w:jc w:val="center"/>
                    <w:rPr>
                      <w:rFonts w:hint="default"/>
                      <w:b/>
                      <w:color w:val="000000" w:themeColor="text1"/>
                      <w:szCs w:val="20"/>
                      <w14:textFill>
                        <w14:solidFill>
                          <w14:schemeClr w14:val="tx1"/>
                        </w14:solidFill>
                      </w14:textFill>
                    </w:rPr>
                  </w:pPr>
                  <w:r>
                    <w:rPr>
                      <w:rFonts w:hint="eastAsia"/>
                      <w:b/>
                      <w:color w:val="000000" w:themeColor="text1"/>
                      <w:szCs w:val="20"/>
                      <w14:textFill>
                        <w14:solidFill>
                          <w14:schemeClr w14:val="tx1"/>
                        </w14:solidFill>
                      </w14:textFill>
                    </w:rPr>
                    <w:t>说明</w:t>
                  </w:r>
                </w:p>
                <w:p w14:paraId="4A4F2704">
                  <w:pPr>
                    <w:keepNext w:val="0"/>
                    <w:keepLines w:val="0"/>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1、危险废物标签尺寸颜色</w:t>
                  </w:r>
                </w:p>
                <w:p w14:paraId="1E04C7AC">
                  <w:pPr>
                    <w:keepNext w:val="0"/>
                    <w:keepLines w:val="0"/>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最小尺寸：100×100mm</w:t>
                  </w:r>
                </w:p>
                <w:p w14:paraId="6AF2554F">
                  <w:pPr>
                    <w:keepNext w:val="0"/>
                    <w:keepLines w:val="0"/>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颜色：背景色为醒目的橘黄色，字体和边框颜色为黑色</w:t>
                  </w:r>
                </w:p>
                <w:p w14:paraId="5238FAE1">
                  <w:pPr>
                    <w:keepNext w:val="0"/>
                    <w:keepLines w:val="0"/>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字体：黑体字</w:t>
                  </w:r>
                </w:p>
                <w:p w14:paraId="0B930A27">
                  <w:pPr>
                    <w:keepNext w:val="0"/>
                    <w:keepLines w:val="0"/>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字体颜色：黑色</w:t>
                  </w:r>
                </w:p>
                <w:p w14:paraId="0FE22B4D">
                  <w:pPr>
                    <w:keepNext w:val="0"/>
                    <w:keepLines w:val="0"/>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2、材质：不干胶印刷品，或印刷品外加防水塑料袋或塑封等。</w:t>
                  </w:r>
                </w:p>
                <w:p w14:paraId="03959FF0">
                  <w:pPr>
                    <w:keepNext w:val="0"/>
                    <w:keepLines w:val="0"/>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3、使用于：容器或包装物明显处</w:t>
                  </w:r>
                </w:p>
              </w:tc>
            </w:tr>
          </w:tbl>
          <w:p w14:paraId="1986AADE">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危险废物贮存分区标志牌参考样式见下图：</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21"/>
              <w:gridCol w:w="4288"/>
            </w:tblGrid>
            <w:tr w14:paraId="2994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3" w:type="dxa"/>
                  <w:noWrap w:val="0"/>
                  <w:vAlign w:val="center"/>
                </w:tcPr>
                <w:p w14:paraId="45D28E5B">
                  <w:pPr>
                    <w:keepNext w:val="0"/>
                    <w:keepLines w:val="0"/>
                    <w:suppressLineNumbers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INCLUDEPICTURE "https://www.mee.gov.cn/ywgz/fgbz/bz/bzwb/gthw/wxfwjbffbz/202302/W020230515591221300736.jpg" \* MERGEFORMATINET </w:instrText>
                  </w:r>
                  <w:r>
                    <w:rPr>
                      <w:rFonts w:hint="default"/>
                      <w:color w:val="000000" w:themeColor="text1"/>
                      <w14:textFill>
                        <w14:solidFill>
                          <w14:schemeClr w14:val="tx1"/>
                        </w14:solidFill>
                      </w14:textFill>
                    </w:rPr>
                    <w:fldChar w:fldCharType="separate"/>
                  </w: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INCLUDEPICTURE  "https://www.mee.gov.cn/ywgz/fgbz/bz/bzwb/gthw/wxfwjbffbz/202302/W020230515591221300736.jpg" \* MERGEFORMATINET </w:instrText>
                  </w:r>
                  <w:r>
                    <w:rPr>
                      <w:rFonts w:hint="default"/>
                      <w:color w:val="000000" w:themeColor="text1"/>
                      <w14:textFill>
                        <w14:solidFill>
                          <w14:schemeClr w14:val="tx1"/>
                        </w14:solidFill>
                      </w14:textFill>
                    </w:rPr>
                    <w:fldChar w:fldCharType="separate"/>
                  </w: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INCLUDEPICTURE  "https://www.mee.gov.cn/ywgz/fgbz/bz/bzwb/gthw/wxfwjbffbz/202302/W020230515591221300736.jpg" \* MERGEFORMATINET </w:instrText>
                  </w:r>
                  <w:r>
                    <w:rPr>
                      <w:rFonts w:hint="default"/>
                      <w:color w:val="000000" w:themeColor="text1"/>
                      <w14:textFill>
                        <w14:solidFill>
                          <w14:schemeClr w14:val="tx1"/>
                        </w14:solidFill>
                      </w14:textFill>
                    </w:rPr>
                    <w:fldChar w:fldCharType="separate"/>
                  </w: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INCLUDEPICTURE  "https://www.mee.gov.cn/ywgz/fgbz/bz/bzwb/gthw/wxfwjbffbz/202302/W020230515591221300736.jpg" \* MERGEFORMATINET </w:instrText>
                  </w:r>
                  <w:r>
                    <w:rPr>
                      <w:rFonts w:hint="default"/>
                      <w:color w:val="000000" w:themeColor="text1"/>
                      <w14:textFill>
                        <w14:solidFill>
                          <w14:schemeClr w14:val="tx1"/>
                        </w14:solidFill>
                      </w14:textFill>
                    </w:rPr>
                    <w:fldChar w:fldCharType="separate"/>
                  </w: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INCLUDEPICTURE  "https://www.mee.gov.cn/ywgz/fgbz/bz/bzwb/gthw/wxfwjbffbz/202302/W020230515591221300736.jpg" \* MERGEFORMATINET </w:instrText>
                  </w:r>
                  <w:r>
                    <w:rPr>
                      <w:rFonts w:hint="default"/>
                      <w:color w:val="000000" w:themeColor="text1"/>
                      <w14:textFill>
                        <w14:solidFill>
                          <w14:schemeClr w14:val="tx1"/>
                        </w14:solidFill>
                      </w14:textFill>
                    </w:rPr>
                    <w:fldChar w:fldCharType="separate"/>
                  </w:r>
                  <w:r>
                    <w:rPr>
                      <w:rFonts w:hint="default"/>
                      <w:color w:val="000000" w:themeColor="text1"/>
                      <w14:textFill>
                        <w14:solidFill>
                          <w14:schemeClr w14:val="tx1"/>
                        </w14:solidFill>
                      </w14:textFill>
                    </w:rPr>
                    <w:drawing>
                      <wp:inline distT="0" distB="0" distL="114300" distR="114300">
                        <wp:extent cx="2159635" cy="2159635"/>
                        <wp:effectExtent l="0" t="0" r="2540" b="2540"/>
                        <wp:docPr id="175" name="图片 6" descr="W02023051559122130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 descr="W020230515591221300736"/>
                                <pic:cNvPicPr>
                                  <a:picLocks noChangeAspect="1"/>
                                </pic:cNvPicPr>
                              </pic:nvPicPr>
                              <pic:blipFill>
                                <a:blip r:embed="rId25"/>
                                <a:stretch>
                                  <a:fillRect/>
                                </a:stretch>
                              </pic:blipFill>
                              <pic:spPr>
                                <a:xfrm>
                                  <a:off x="0" y="0"/>
                                  <a:ext cx="2159635" cy="2159635"/>
                                </a:xfrm>
                                <a:prstGeom prst="rect">
                                  <a:avLst/>
                                </a:prstGeom>
                                <a:noFill/>
                                <a:ln>
                                  <a:noFill/>
                                </a:ln>
                              </pic:spPr>
                            </pic:pic>
                          </a:graphicData>
                        </a:graphic>
                      </wp:inline>
                    </w:drawing>
                  </w:r>
                  <w:r>
                    <w:rPr>
                      <w:rFonts w:hint="default"/>
                      <w:color w:val="000000" w:themeColor="text1"/>
                      <w14:textFill>
                        <w14:solidFill>
                          <w14:schemeClr w14:val="tx1"/>
                        </w14:solidFill>
                      </w14:textFill>
                    </w:rPr>
                    <w:fldChar w:fldCharType="end"/>
                  </w:r>
                  <w:r>
                    <w:rPr>
                      <w:rFonts w:hint="default"/>
                      <w:color w:val="000000" w:themeColor="text1"/>
                      <w14:textFill>
                        <w14:solidFill>
                          <w14:schemeClr w14:val="tx1"/>
                        </w14:solidFill>
                      </w14:textFill>
                    </w:rPr>
                    <w:fldChar w:fldCharType="end"/>
                  </w:r>
                  <w:r>
                    <w:rPr>
                      <w:rFonts w:hint="default"/>
                      <w:color w:val="000000" w:themeColor="text1"/>
                      <w14:textFill>
                        <w14:solidFill>
                          <w14:schemeClr w14:val="tx1"/>
                        </w14:solidFill>
                      </w14:textFill>
                    </w:rPr>
                    <w:fldChar w:fldCharType="end"/>
                  </w:r>
                  <w:r>
                    <w:rPr>
                      <w:rFonts w:hint="default"/>
                      <w:color w:val="000000" w:themeColor="text1"/>
                      <w14:textFill>
                        <w14:solidFill>
                          <w14:schemeClr w14:val="tx1"/>
                        </w14:solidFill>
                      </w14:textFill>
                    </w:rPr>
                    <w:fldChar w:fldCharType="end"/>
                  </w:r>
                  <w:r>
                    <w:rPr>
                      <w:rFonts w:hint="default"/>
                      <w:color w:val="000000" w:themeColor="text1"/>
                      <w14:textFill>
                        <w14:solidFill>
                          <w14:schemeClr w14:val="tx1"/>
                        </w14:solidFill>
                      </w14:textFill>
                    </w:rPr>
                    <w:fldChar w:fldCharType="end"/>
                  </w:r>
                </w:p>
              </w:tc>
              <w:tc>
                <w:tcPr>
                  <w:tcW w:w="4288" w:type="dxa"/>
                  <w:noWrap w:val="0"/>
                  <w:vAlign w:val="center"/>
                </w:tcPr>
                <w:p w14:paraId="503AC27B">
                  <w:pPr>
                    <w:keepNext w:val="0"/>
                    <w:keepLines w:val="0"/>
                    <w:suppressLineNumbers w:val="0"/>
                    <w:spacing w:before="0" w:beforeAutospacing="0" w:after="0" w:afterAutospacing="0"/>
                    <w:ind w:left="0" w:right="0"/>
                    <w:jc w:val="center"/>
                    <w:rPr>
                      <w:rFonts w:hint="default"/>
                      <w:b/>
                      <w:color w:val="000000" w:themeColor="text1"/>
                      <w:szCs w:val="20"/>
                      <w14:textFill>
                        <w14:solidFill>
                          <w14:schemeClr w14:val="tx1"/>
                        </w14:solidFill>
                      </w14:textFill>
                    </w:rPr>
                  </w:pPr>
                  <w:r>
                    <w:rPr>
                      <w:rFonts w:hint="eastAsia"/>
                      <w:b/>
                      <w:color w:val="000000" w:themeColor="text1"/>
                      <w:szCs w:val="20"/>
                      <w14:textFill>
                        <w14:solidFill>
                          <w14:schemeClr w14:val="tx1"/>
                        </w14:solidFill>
                      </w14:textFill>
                    </w:rPr>
                    <w:t>说明</w:t>
                  </w:r>
                </w:p>
                <w:p w14:paraId="7D67869B">
                  <w:pPr>
                    <w:keepNext w:val="0"/>
                    <w:keepLines w:val="0"/>
                    <w:suppressLineNumbers w:val="0"/>
                    <w:spacing w:before="0" w:beforeAutospacing="0" w:after="0" w:afterAutospacing="0"/>
                    <w:ind w:left="0" w:right="0"/>
                    <w:jc w:val="left"/>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1、颜色：背景颜色为黄色，字体和边框颜色为黑色</w:t>
                  </w:r>
                </w:p>
                <w:p w14:paraId="76CCD751">
                  <w:pPr>
                    <w:keepNext w:val="0"/>
                    <w:keepLines w:val="0"/>
                    <w:suppressLineNumbers w:val="0"/>
                    <w:spacing w:before="0" w:beforeAutospacing="0" w:after="0" w:afterAutospacing="0"/>
                    <w:ind w:left="0" w:right="0"/>
                    <w:jc w:val="left"/>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2、字体：黑体字</w:t>
                  </w:r>
                </w:p>
                <w:p w14:paraId="6DE9E09E">
                  <w:pPr>
                    <w:keepNext w:val="0"/>
                    <w:keepLines w:val="0"/>
                    <w:suppressLineNumbers w:val="0"/>
                    <w:spacing w:before="0" w:beforeAutospacing="0" w:after="0" w:afterAutospacing="0"/>
                    <w:ind w:left="0" w:right="0"/>
                    <w:jc w:val="left"/>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3、标志整体外形最小尺寸：300×300mm</w:t>
                  </w:r>
                </w:p>
                <w:p w14:paraId="1CB501DD">
                  <w:pPr>
                    <w:keepNext w:val="0"/>
                    <w:keepLines w:val="0"/>
                    <w:suppressLineNumbers w:val="0"/>
                    <w:spacing w:before="0" w:beforeAutospacing="0" w:after="0" w:afterAutospacing="0"/>
                    <w:ind w:left="0" w:right="0"/>
                    <w:jc w:val="left"/>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4、材质：衬底宜采用坚固耐用的材料，废物贮存种类信息等可采用印刷纸张、不粘胶材质或塑料卡片等，以便固定在衬底上。</w:t>
                  </w:r>
                </w:p>
                <w:p w14:paraId="367FFE3E">
                  <w:pPr>
                    <w:keepNext w:val="0"/>
                    <w:keepLines w:val="0"/>
                    <w:suppressLineNumbers w:val="0"/>
                    <w:spacing w:before="0" w:beforeAutospacing="0" w:after="0" w:afterAutospacing="0"/>
                    <w:ind w:left="0" w:right="0"/>
                    <w:jc w:val="left"/>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5、印刷：危险废物贮存分区标志的图形和文字应清晰、完整，保证在足够的观察距离条件下不影响阅读。“危险废物贮存分区标志”字样与其他信息宜加黑色分界线区分，分界线的宽度不小于2mm。</w:t>
                  </w:r>
                </w:p>
              </w:tc>
            </w:tr>
          </w:tbl>
          <w:p w14:paraId="1361F5FC">
            <w:pPr>
              <w:keepNext w:val="0"/>
              <w:keepLines w:val="0"/>
              <w:suppressLineNumbers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p>
          <w:p w14:paraId="4D0B46A9">
            <w:pPr>
              <w:keepNext w:val="0"/>
              <w:keepLines w:val="0"/>
              <w:suppressLineNumbers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p>
          <w:p w14:paraId="529E4F93">
            <w:pPr>
              <w:keepNext w:val="0"/>
              <w:keepLines w:val="0"/>
              <w:suppressLineNumbers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p>
          <w:p w14:paraId="7C287F4A">
            <w:pPr>
              <w:keepNext w:val="0"/>
              <w:keepLines w:val="0"/>
              <w:suppressLineNumbers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p>
          <w:p w14:paraId="70BA641A">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危险废物</w:t>
            </w:r>
            <w:r>
              <w:rPr>
                <w:rFonts w:hint="eastAsia"/>
                <w:color w:val="000000" w:themeColor="text1"/>
                <w:sz w:val="24"/>
                <w:lang w:val="en-US" w:eastAsia="zh-CN"/>
                <w14:textFill>
                  <w14:solidFill>
                    <w14:schemeClr w14:val="tx1"/>
                  </w14:solidFill>
                </w14:textFill>
              </w:rPr>
              <w:t>贮存</w:t>
            </w:r>
            <w:r>
              <w:rPr>
                <w:rFonts w:hint="eastAsia"/>
                <w:color w:val="000000" w:themeColor="text1"/>
                <w:sz w:val="24"/>
                <w14:textFill>
                  <w14:solidFill>
                    <w14:schemeClr w14:val="tx1"/>
                  </w14:solidFill>
                </w14:textFill>
              </w:rPr>
              <w:t>库标志牌参考样式见下图：</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23"/>
              <w:gridCol w:w="4334"/>
            </w:tblGrid>
            <w:tr w14:paraId="447E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23" w:type="dxa"/>
                  <w:noWrap w:val="0"/>
                  <w:vAlign w:val="center"/>
                </w:tcPr>
                <w:p w14:paraId="68DE14E8">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szCs w:val="20"/>
                      <w14:textFill>
                        <w14:solidFill>
                          <w14:schemeClr w14:val="tx1"/>
                        </w14:solidFill>
                      </w14:textFill>
                    </w:rPr>
                    <w:drawing>
                      <wp:inline distT="0" distB="0" distL="114300" distR="114300">
                        <wp:extent cx="2159635" cy="1371600"/>
                        <wp:effectExtent l="0" t="0" r="2540" b="0"/>
                        <wp:docPr id="186" name="图片 7" descr="W02023051559122187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7" descr="W020230515591221879653"/>
                                <pic:cNvPicPr>
                                  <a:picLocks noChangeAspect="1"/>
                                </pic:cNvPicPr>
                              </pic:nvPicPr>
                              <pic:blipFill>
                                <a:blip r:embed="rId26"/>
                                <a:stretch>
                                  <a:fillRect/>
                                </a:stretch>
                              </pic:blipFill>
                              <pic:spPr>
                                <a:xfrm>
                                  <a:off x="0" y="0"/>
                                  <a:ext cx="2159635" cy="1371600"/>
                                </a:xfrm>
                                <a:prstGeom prst="rect">
                                  <a:avLst/>
                                </a:prstGeom>
                                <a:noFill/>
                                <a:ln>
                                  <a:noFill/>
                                </a:ln>
                              </pic:spPr>
                            </pic:pic>
                          </a:graphicData>
                        </a:graphic>
                      </wp:inline>
                    </w:drawing>
                  </w:r>
                </w:p>
              </w:tc>
              <w:tc>
                <w:tcPr>
                  <w:tcW w:w="4334" w:type="dxa"/>
                  <w:noWrap w:val="0"/>
                  <w:vAlign w:val="center"/>
                </w:tcPr>
                <w:p w14:paraId="1503B4B9">
                  <w:pPr>
                    <w:keepNext w:val="0"/>
                    <w:keepLines w:val="0"/>
                    <w:suppressLineNumbers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drawing>
                      <wp:inline distT="0" distB="0" distL="114300" distR="114300">
                        <wp:extent cx="1308100" cy="2047240"/>
                        <wp:effectExtent l="0" t="0" r="9525" b="635"/>
                        <wp:docPr id="187" name="图片 8" descr="W02023051559122296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8" descr="W020230515591222963411"/>
                                <pic:cNvPicPr>
                                  <a:picLocks noChangeAspect="1"/>
                                </pic:cNvPicPr>
                              </pic:nvPicPr>
                              <pic:blipFill>
                                <a:blip r:embed="rId27"/>
                                <a:stretch>
                                  <a:fillRect/>
                                </a:stretch>
                              </pic:blipFill>
                              <pic:spPr>
                                <a:xfrm>
                                  <a:off x="0" y="0"/>
                                  <a:ext cx="1308100" cy="2047240"/>
                                </a:xfrm>
                                <a:prstGeom prst="rect">
                                  <a:avLst/>
                                </a:prstGeom>
                                <a:noFill/>
                                <a:ln>
                                  <a:noFill/>
                                </a:ln>
                              </pic:spPr>
                            </pic:pic>
                          </a:graphicData>
                        </a:graphic>
                      </wp:inline>
                    </w:drawing>
                  </w:r>
                </w:p>
              </w:tc>
            </w:tr>
            <w:tr w14:paraId="31A3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7" w:type="dxa"/>
                  <w:gridSpan w:val="2"/>
                  <w:noWrap w:val="0"/>
                  <w:vAlign w:val="center"/>
                </w:tcPr>
                <w:p w14:paraId="69AB7F70">
                  <w:pPr>
                    <w:keepNext w:val="0"/>
                    <w:keepLines w:val="0"/>
                    <w:suppressLineNumbers w:val="0"/>
                    <w:spacing w:before="0" w:beforeAutospacing="0" w:after="0" w:afterAutospacing="0"/>
                    <w:ind w:left="0" w:right="0"/>
                    <w:jc w:val="left"/>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说明</w:t>
                  </w:r>
                </w:p>
                <w:p w14:paraId="09C57902">
                  <w:pPr>
                    <w:keepNext w:val="0"/>
                    <w:keepLines w:val="0"/>
                    <w:suppressLineNumbers w:val="0"/>
                    <w:spacing w:before="0" w:beforeAutospacing="0" w:after="0" w:afterAutospacing="0"/>
                    <w:ind w:left="0" w:right="0"/>
                    <w:jc w:val="left"/>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1、颜色：背景颜色为黄色，字体和边框为黑色；</w:t>
                  </w:r>
                </w:p>
                <w:p w14:paraId="22F2A397">
                  <w:pPr>
                    <w:keepNext w:val="0"/>
                    <w:keepLines w:val="0"/>
                    <w:suppressLineNumbers w:val="0"/>
                    <w:spacing w:before="0" w:beforeAutospacing="0" w:after="0" w:afterAutospacing="0"/>
                    <w:ind w:left="0" w:right="0"/>
                    <w:jc w:val="left"/>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2、字体：黑体字</w:t>
                  </w:r>
                </w:p>
                <w:p w14:paraId="342542D8">
                  <w:pPr>
                    <w:keepNext w:val="0"/>
                    <w:keepLines w:val="0"/>
                    <w:suppressLineNumbers w:val="0"/>
                    <w:spacing w:before="0" w:beforeAutospacing="0" w:after="0" w:afterAutospacing="0"/>
                    <w:ind w:left="0" w:right="0"/>
                    <w:jc w:val="left"/>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3、标志牌整体外形最小尺寸：露天/室外入口900×558mm</w:t>
                  </w:r>
                </w:p>
                <w:p w14:paraId="5EA5A24F">
                  <w:pPr>
                    <w:keepNext w:val="0"/>
                    <w:keepLines w:val="0"/>
                    <w:suppressLineNumbers w:val="0"/>
                    <w:spacing w:before="0" w:beforeAutospacing="0" w:after="0" w:afterAutospacing="0"/>
                    <w:ind w:left="0" w:right="0"/>
                    <w:jc w:val="left"/>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4、材质：采用坚固耐用的材料（如1.5mm～2mm冷轧钢板），并做搪瓷处理或贴膜处理。标志的图形和文字应清晰、完整，保证在足够的观察距离条件下也不影响阅读。三角形警告性图形与其他信息间宜加黑色分界线区分，分界线的宽度宜不小于3mm。</w:t>
                  </w:r>
                </w:p>
                <w:p w14:paraId="455410D4">
                  <w:pPr>
                    <w:keepNext w:val="0"/>
                    <w:keepLines w:val="0"/>
                    <w:suppressLineNumbers w:val="0"/>
                    <w:spacing w:before="0" w:beforeAutospacing="0" w:after="0" w:afterAutospacing="0"/>
                    <w:ind w:left="0" w:right="0"/>
                    <w:jc w:val="left"/>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5、可采用横版或竖版的形式</w:t>
                  </w:r>
                </w:p>
              </w:tc>
            </w:tr>
          </w:tbl>
          <w:p w14:paraId="04C6BC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综上所述，本项目所产生的固体废物均得到了综合利用或合理处置，对周围环境影响较小。</w:t>
            </w:r>
          </w:p>
          <w:p w14:paraId="791E6D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黑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表4</w:t>
            </w:r>
            <w:r>
              <w:rPr>
                <w:rFonts w:hint="eastAsia" w:cs="Times New Roman"/>
                <w:b/>
                <w:bCs/>
                <w:color w:val="000000" w:themeColor="text1"/>
                <w:kern w:val="2"/>
                <w:sz w:val="21"/>
                <w:szCs w:val="21"/>
                <w:highlight w:val="none"/>
                <w:lang w:val="en-US" w:eastAsia="zh-CN" w:bidi="ar-SA"/>
                <w14:textFill>
                  <w14:solidFill>
                    <w14:schemeClr w14:val="tx1"/>
                  </w14:solidFill>
                </w14:textFill>
              </w:rPr>
              <w:t>.8</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w:t>
            </w:r>
            <w:r>
              <w:rPr>
                <w:rFonts w:hint="eastAsia" w:eastAsia="宋体" w:cs="Times New Roman"/>
                <w:b/>
                <w:bCs/>
                <w:color w:val="000000" w:themeColor="text1"/>
                <w:kern w:val="2"/>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项目危险废物汇总情况</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987"/>
              <w:gridCol w:w="2855"/>
              <w:gridCol w:w="3328"/>
            </w:tblGrid>
            <w:tr w14:paraId="7D84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6BC03DC7">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危险废物名称</w:t>
                  </w:r>
                </w:p>
              </w:tc>
              <w:tc>
                <w:tcPr>
                  <w:tcW w:w="1747" w:type="pct"/>
                  <w:tcBorders>
                    <w:tl2br w:val="nil"/>
                    <w:tr2bl w:val="nil"/>
                  </w:tcBorders>
                  <w:shd w:val="clear" w:color="auto" w:fill="auto"/>
                  <w:noWrap w:val="0"/>
                  <w:vAlign w:val="center"/>
                </w:tcPr>
                <w:p w14:paraId="7C590B70">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废</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矿物油</w:t>
                  </w:r>
                </w:p>
              </w:tc>
              <w:tc>
                <w:tcPr>
                  <w:tcW w:w="2036" w:type="pct"/>
                  <w:tcBorders>
                    <w:tl2br w:val="nil"/>
                    <w:tr2bl w:val="nil"/>
                  </w:tcBorders>
                  <w:shd w:val="clear" w:color="auto" w:fill="auto"/>
                  <w:noWrap w:val="0"/>
                  <w:vAlign w:val="center"/>
                </w:tcPr>
                <w:p w14:paraId="594E86E8">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废</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油桶</w:t>
                  </w:r>
                </w:p>
              </w:tc>
            </w:tr>
            <w:tr w14:paraId="63F3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1A744559">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危险废物类别</w:t>
                  </w:r>
                </w:p>
              </w:tc>
              <w:tc>
                <w:tcPr>
                  <w:tcW w:w="1747" w:type="pct"/>
                  <w:tcBorders>
                    <w:tl2br w:val="nil"/>
                    <w:tr2bl w:val="nil"/>
                  </w:tcBorders>
                  <w:shd w:val="clear" w:color="auto" w:fill="auto"/>
                  <w:noWrap w:val="0"/>
                  <w:vAlign w:val="center"/>
                </w:tcPr>
                <w:p w14:paraId="596D4122">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HW08</w:t>
                  </w:r>
                </w:p>
              </w:tc>
              <w:tc>
                <w:tcPr>
                  <w:tcW w:w="2036" w:type="pct"/>
                  <w:tcBorders>
                    <w:tl2br w:val="nil"/>
                    <w:tr2bl w:val="nil"/>
                  </w:tcBorders>
                  <w:shd w:val="clear" w:color="auto" w:fill="auto"/>
                  <w:noWrap w:val="0"/>
                  <w:vAlign w:val="center"/>
                </w:tcPr>
                <w:p w14:paraId="045030C9">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HW</w:t>
                  </w:r>
                  <w:r>
                    <w:rPr>
                      <w:rFonts w:hint="default" w:ascii="Times New Roman" w:hAnsi="Times New Roman" w:eastAsia="宋体" w:cs="Times New Roman"/>
                      <w:color w:val="000000" w:themeColor="text1"/>
                      <w:highlight w:val="none"/>
                      <w:lang w:val="en-US" w:eastAsia="zh-CN"/>
                      <w14:textFill>
                        <w14:solidFill>
                          <w14:schemeClr w14:val="tx1"/>
                        </w14:solidFill>
                      </w14:textFill>
                    </w:rPr>
                    <w:t>49</w:t>
                  </w:r>
                </w:p>
              </w:tc>
            </w:tr>
            <w:tr w14:paraId="5517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0A1D2894">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危险废物代码</w:t>
                  </w:r>
                </w:p>
              </w:tc>
              <w:tc>
                <w:tcPr>
                  <w:tcW w:w="1747" w:type="pct"/>
                  <w:tcBorders>
                    <w:tl2br w:val="nil"/>
                    <w:tr2bl w:val="nil"/>
                  </w:tcBorders>
                  <w:shd w:val="clear" w:color="auto" w:fill="auto"/>
                  <w:noWrap w:val="0"/>
                  <w:vAlign w:val="center"/>
                </w:tcPr>
                <w:p w14:paraId="76F0C428">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900-2</w:t>
                  </w:r>
                  <w:r>
                    <w:rPr>
                      <w:rFonts w:hint="eastAsia" w:cs="Times New Roman"/>
                      <w:color w:val="000000" w:themeColor="text1"/>
                      <w:highlight w:val="none"/>
                      <w:lang w:val="en-US" w:eastAsia="zh-CN"/>
                      <w14:textFill>
                        <w14:solidFill>
                          <w14:schemeClr w14:val="tx1"/>
                        </w14:solidFill>
                      </w14:textFill>
                    </w:rPr>
                    <w:t>49</w:t>
                  </w:r>
                  <w:r>
                    <w:rPr>
                      <w:rFonts w:hint="default" w:ascii="Times New Roman" w:hAnsi="Times New Roman" w:eastAsia="宋体" w:cs="Times New Roman"/>
                      <w:color w:val="000000" w:themeColor="text1"/>
                      <w:highlight w:val="none"/>
                      <w14:textFill>
                        <w14:solidFill>
                          <w14:schemeClr w14:val="tx1"/>
                        </w14:solidFill>
                      </w14:textFill>
                    </w:rPr>
                    <w:t>-08</w:t>
                  </w:r>
                </w:p>
              </w:tc>
              <w:tc>
                <w:tcPr>
                  <w:tcW w:w="2036" w:type="pct"/>
                  <w:tcBorders>
                    <w:tl2br w:val="nil"/>
                    <w:tr2bl w:val="nil"/>
                  </w:tcBorders>
                  <w:shd w:val="clear" w:color="auto" w:fill="auto"/>
                  <w:noWrap w:val="0"/>
                  <w:vAlign w:val="center"/>
                </w:tcPr>
                <w:p w14:paraId="3850EAB3">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900-2</w:t>
                  </w:r>
                  <w:r>
                    <w:rPr>
                      <w:rFonts w:hint="eastAsia" w:cs="Times New Roman"/>
                      <w:color w:val="000000" w:themeColor="text1"/>
                      <w:highlight w:val="none"/>
                      <w:lang w:val="en-US" w:eastAsia="zh-CN"/>
                      <w14:textFill>
                        <w14:solidFill>
                          <w14:schemeClr w14:val="tx1"/>
                        </w14:solidFill>
                      </w14:textFill>
                    </w:rPr>
                    <w:t>49</w:t>
                  </w:r>
                  <w:r>
                    <w:rPr>
                      <w:rFonts w:hint="default" w:ascii="Times New Roman" w:hAnsi="Times New Roman" w:eastAsia="宋体" w:cs="Times New Roman"/>
                      <w:color w:val="000000" w:themeColor="text1"/>
                      <w:highlight w:val="none"/>
                      <w14:textFill>
                        <w14:solidFill>
                          <w14:schemeClr w14:val="tx1"/>
                        </w14:solidFill>
                      </w14:textFill>
                    </w:rPr>
                    <w:t>-08</w:t>
                  </w:r>
                </w:p>
              </w:tc>
            </w:tr>
            <w:tr w14:paraId="66CCA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03333057">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产生量(吨/年)</w:t>
                  </w:r>
                </w:p>
              </w:tc>
              <w:tc>
                <w:tcPr>
                  <w:tcW w:w="1747" w:type="pct"/>
                  <w:tcBorders>
                    <w:tl2br w:val="nil"/>
                    <w:tr2bl w:val="nil"/>
                  </w:tcBorders>
                  <w:shd w:val="clear" w:color="auto" w:fill="auto"/>
                  <w:noWrap w:val="0"/>
                  <w:vAlign w:val="center"/>
                </w:tcPr>
                <w:p w14:paraId="5B4A6984">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r>
                    <w:rPr>
                      <w:rFonts w:hint="eastAsia" w:ascii="Times New Roman" w:hAnsi="Times New Roman" w:cs="Times New Roman"/>
                      <w:color w:val="000000" w:themeColor="text1"/>
                      <w:highlight w:val="none"/>
                      <w:lang w:val="en-US" w:eastAsia="zh-CN"/>
                      <w14:textFill>
                        <w14:solidFill>
                          <w14:schemeClr w14:val="tx1"/>
                        </w14:solidFill>
                      </w14:textFill>
                    </w:rPr>
                    <w:t>1</w:t>
                  </w:r>
                </w:p>
              </w:tc>
              <w:tc>
                <w:tcPr>
                  <w:tcW w:w="2036" w:type="pct"/>
                  <w:tcBorders>
                    <w:tl2br w:val="nil"/>
                    <w:tr2bl w:val="nil"/>
                  </w:tcBorders>
                  <w:shd w:val="clear" w:color="auto" w:fill="auto"/>
                  <w:noWrap w:val="0"/>
                  <w:vAlign w:val="center"/>
                </w:tcPr>
                <w:p w14:paraId="3012C4E2">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w:t>
                  </w:r>
                  <w:r>
                    <w:rPr>
                      <w:rFonts w:hint="eastAsia" w:cs="Times New Roman"/>
                      <w:color w:val="000000" w:themeColor="text1"/>
                      <w:highlight w:val="none"/>
                      <w:lang w:val="en-US" w:eastAsia="zh-CN"/>
                      <w14:textFill>
                        <w14:solidFill>
                          <w14:schemeClr w14:val="tx1"/>
                        </w14:solidFill>
                      </w14:textFill>
                    </w:rPr>
                    <w:t>5</w:t>
                  </w:r>
                </w:p>
              </w:tc>
            </w:tr>
            <w:tr w14:paraId="5A41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42D2E905">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产生工序及装置</w:t>
                  </w:r>
                </w:p>
              </w:tc>
              <w:tc>
                <w:tcPr>
                  <w:tcW w:w="1747" w:type="pct"/>
                  <w:tcBorders>
                    <w:tl2br w:val="nil"/>
                    <w:tr2bl w:val="nil"/>
                  </w:tcBorders>
                  <w:shd w:val="clear" w:color="auto" w:fill="auto"/>
                  <w:noWrap w:val="0"/>
                  <w:vAlign w:val="center"/>
                </w:tcPr>
                <w:p w14:paraId="6524EA46">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生产工艺及设备维护</w:t>
                  </w:r>
                </w:p>
              </w:tc>
              <w:tc>
                <w:tcPr>
                  <w:tcW w:w="2036" w:type="pct"/>
                  <w:tcBorders>
                    <w:tl2br w:val="nil"/>
                    <w:tr2bl w:val="nil"/>
                  </w:tcBorders>
                  <w:shd w:val="clear" w:color="auto" w:fill="auto"/>
                  <w:noWrap w:val="0"/>
                  <w:vAlign w:val="center"/>
                </w:tcPr>
                <w:p w14:paraId="25B133E9">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生产工艺及设备维护</w:t>
                  </w:r>
                </w:p>
              </w:tc>
            </w:tr>
            <w:tr w14:paraId="0308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03CA7EA1">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形态</w:t>
                  </w:r>
                </w:p>
              </w:tc>
              <w:tc>
                <w:tcPr>
                  <w:tcW w:w="1747" w:type="pct"/>
                  <w:tcBorders>
                    <w:tl2br w:val="nil"/>
                    <w:tr2bl w:val="nil"/>
                  </w:tcBorders>
                  <w:shd w:val="clear" w:color="auto" w:fill="auto"/>
                  <w:noWrap w:val="0"/>
                  <w:vAlign w:val="center"/>
                </w:tcPr>
                <w:p w14:paraId="734618A2">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液态</w:t>
                  </w:r>
                </w:p>
              </w:tc>
              <w:tc>
                <w:tcPr>
                  <w:tcW w:w="2036" w:type="pct"/>
                  <w:tcBorders>
                    <w:tl2br w:val="nil"/>
                    <w:tr2bl w:val="nil"/>
                  </w:tcBorders>
                  <w:shd w:val="clear" w:color="auto" w:fill="auto"/>
                  <w:noWrap w:val="0"/>
                  <w:vAlign w:val="center"/>
                </w:tcPr>
                <w:p w14:paraId="25A4643B">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固态</w:t>
                  </w:r>
                </w:p>
              </w:tc>
            </w:tr>
            <w:tr w14:paraId="7E19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101E80A9">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主要成分</w:t>
                  </w:r>
                </w:p>
              </w:tc>
              <w:tc>
                <w:tcPr>
                  <w:tcW w:w="1747" w:type="pct"/>
                  <w:tcBorders>
                    <w:tl2br w:val="nil"/>
                    <w:tr2bl w:val="nil"/>
                  </w:tcBorders>
                  <w:shd w:val="clear" w:color="auto" w:fill="auto"/>
                  <w:noWrap w:val="0"/>
                  <w:vAlign w:val="center"/>
                </w:tcPr>
                <w:p w14:paraId="1D44E9A0">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矿物油</w:t>
                  </w:r>
                </w:p>
              </w:tc>
              <w:tc>
                <w:tcPr>
                  <w:tcW w:w="2036" w:type="pct"/>
                  <w:tcBorders>
                    <w:tl2br w:val="nil"/>
                    <w:tr2bl w:val="nil"/>
                  </w:tcBorders>
                  <w:shd w:val="clear" w:color="auto" w:fill="auto"/>
                  <w:noWrap w:val="0"/>
                  <w:vAlign w:val="center"/>
                </w:tcPr>
                <w:p w14:paraId="03417698">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矿物油</w:t>
                  </w:r>
                </w:p>
              </w:tc>
            </w:tr>
            <w:tr w14:paraId="0EAF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2B0AB0EB">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有害成分</w:t>
                  </w:r>
                </w:p>
              </w:tc>
              <w:tc>
                <w:tcPr>
                  <w:tcW w:w="1747" w:type="pct"/>
                  <w:tcBorders>
                    <w:tl2br w:val="nil"/>
                    <w:tr2bl w:val="nil"/>
                  </w:tcBorders>
                  <w:shd w:val="clear" w:color="auto" w:fill="auto"/>
                  <w:noWrap w:val="0"/>
                  <w:vAlign w:val="center"/>
                </w:tcPr>
                <w:p w14:paraId="132E7D2E">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矿物油</w:t>
                  </w:r>
                </w:p>
              </w:tc>
              <w:tc>
                <w:tcPr>
                  <w:tcW w:w="2036" w:type="pct"/>
                  <w:tcBorders>
                    <w:tl2br w:val="nil"/>
                    <w:tr2bl w:val="nil"/>
                  </w:tcBorders>
                  <w:shd w:val="clear" w:color="auto" w:fill="auto"/>
                  <w:noWrap w:val="0"/>
                  <w:vAlign w:val="center"/>
                </w:tcPr>
                <w:p w14:paraId="7AAB15B6">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矿物油</w:t>
                  </w:r>
                </w:p>
              </w:tc>
            </w:tr>
            <w:tr w14:paraId="61274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53" w:hRule="atLeast"/>
                <w:jc w:val="center"/>
              </w:trPr>
              <w:tc>
                <w:tcPr>
                  <w:tcW w:w="1216" w:type="pct"/>
                  <w:tcBorders>
                    <w:tl2br w:val="nil"/>
                    <w:tr2bl w:val="nil"/>
                  </w:tcBorders>
                  <w:shd w:val="clear" w:color="auto" w:fill="auto"/>
                  <w:noWrap w:val="0"/>
                  <w:vAlign w:val="center"/>
                </w:tcPr>
                <w:p w14:paraId="5E9DBD6B">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产废周期</w:t>
                  </w:r>
                </w:p>
              </w:tc>
              <w:tc>
                <w:tcPr>
                  <w:tcW w:w="1747" w:type="pct"/>
                  <w:tcBorders>
                    <w:tl2br w:val="nil"/>
                    <w:tr2bl w:val="nil"/>
                  </w:tcBorders>
                  <w:shd w:val="clear" w:color="auto" w:fill="auto"/>
                  <w:noWrap w:val="0"/>
                  <w:vAlign w:val="center"/>
                </w:tcPr>
                <w:p w14:paraId="59928CB3">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2月</w:t>
                  </w:r>
                </w:p>
              </w:tc>
              <w:tc>
                <w:tcPr>
                  <w:tcW w:w="2036" w:type="pct"/>
                  <w:tcBorders>
                    <w:tl2br w:val="nil"/>
                    <w:tr2bl w:val="nil"/>
                  </w:tcBorders>
                  <w:shd w:val="clear" w:color="auto" w:fill="auto"/>
                  <w:noWrap w:val="0"/>
                  <w:vAlign w:val="center"/>
                </w:tcPr>
                <w:p w14:paraId="2D61E339">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1月</w:t>
                  </w:r>
                </w:p>
              </w:tc>
            </w:tr>
            <w:tr w14:paraId="4F12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11374E7F">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危险特性</w:t>
                  </w:r>
                </w:p>
              </w:tc>
              <w:tc>
                <w:tcPr>
                  <w:tcW w:w="1747" w:type="pct"/>
                  <w:tcBorders>
                    <w:tl2br w:val="nil"/>
                    <w:tr2bl w:val="nil"/>
                  </w:tcBorders>
                  <w:shd w:val="clear" w:color="auto" w:fill="auto"/>
                  <w:noWrap w:val="0"/>
                  <w:vAlign w:val="center"/>
                </w:tcPr>
                <w:p w14:paraId="697BC437">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T、I</w:t>
                  </w:r>
                </w:p>
              </w:tc>
              <w:tc>
                <w:tcPr>
                  <w:tcW w:w="2036" w:type="pct"/>
                  <w:tcBorders>
                    <w:tl2br w:val="nil"/>
                    <w:tr2bl w:val="nil"/>
                  </w:tcBorders>
                  <w:shd w:val="clear" w:color="auto" w:fill="auto"/>
                  <w:noWrap w:val="0"/>
                  <w:vAlign w:val="center"/>
                </w:tcPr>
                <w:p w14:paraId="520D7D7E">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T</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I</w:t>
                  </w:r>
                </w:p>
              </w:tc>
            </w:tr>
            <w:tr w14:paraId="692B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4D506985">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储存周期</w:t>
                  </w:r>
                </w:p>
              </w:tc>
              <w:tc>
                <w:tcPr>
                  <w:tcW w:w="1747" w:type="pct"/>
                  <w:tcBorders>
                    <w:tl2br w:val="nil"/>
                    <w:tr2bl w:val="nil"/>
                  </w:tcBorders>
                  <w:shd w:val="clear" w:color="auto" w:fill="auto"/>
                  <w:noWrap w:val="0"/>
                  <w:vAlign w:val="center"/>
                </w:tcPr>
                <w:p w14:paraId="26710283">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1年</w:t>
                  </w:r>
                </w:p>
              </w:tc>
              <w:tc>
                <w:tcPr>
                  <w:tcW w:w="2036" w:type="pct"/>
                  <w:tcBorders>
                    <w:tl2br w:val="nil"/>
                    <w:tr2bl w:val="nil"/>
                  </w:tcBorders>
                  <w:shd w:val="clear" w:color="auto" w:fill="auto"/>
                  <w:noWrap w:val="0"/>
                  <w:vAlign w:val="center"/>
                </w:tcPr>
                <w:p w14:paraId="1F528D22">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1年</w:t>
                  </w:r>
                </w:p>
              </w:tc>
            </w:tr>
            <w:tr w14:paraId="4882C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633690C2">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储存方式</w:t>
                  </w:r>
                </w:p>
              </w:tc>
              <w:tc>
                <w:tcPr>
                  <w:tcW w:w="1747" w:type="pct"/>
                  <w:tcBorders>
                    <w:tl2br w:val="nil"/>
                    <w:tr2bl w:val="nil"/>
                  </w:tcBorders>
                  <w:shd w:val="clear" w:color="auto" w:fill="auto"/>
                  <w:noWrap w:val="0"/>
                  <w:vAlign w:val="center"/>
                </w:tcPr>
                <w:p w14:paraId="2CFC4F95">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密闭废油桶，置于防渗托盘上</w:t>
                  </w:r>
                </w:p>
              </w:tc>
              <w:tc>
                <w:tcPr>
                  <w:tcW w:w="2036" w:type="pct"/>
                  <w:tcBorders>
                    <w:tl2br w:val="nil"/>
                    <w:tr2bl w:val="nil"/>
                  </w:tcBorders>
                  <w:shd w:val="clear" w:color="auto" w:fill="auto"/>
                  <w:noWrap w:val="0"/>
                  <w:vAlign w:val="center"/>
                </w:tcPr>
                <w:p w14:paraId="78040F4B">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置于防渗托盘上</w:t>
                  </w:r>
                </w:p>
              </w:tc>
            </w:tr>
            <w:tr w14:paraId="6DA1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46234154">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处置方式</w:t>
                  </w:r>
                </w:p>
              </w:tc>
              <w:tc>
                <w:tcPr>
                  <w:tcW w:w="3783" w:type="pct"/>
                  <w:gridSpan w:val="2"/>
                  <w:tcBorders>
                    <w:tl2br w:val="nil"/>
                    <w:tr2bl w:val="nil"/>
                  </w:tcBorders>
                  <w:shd w:val="clear" w:color="auto" w:fill="auto"/>
                  <w:noWrap w:val="0"/>
                  <w:vAlign w:val="center"/>
                </w:tcPr>
                <w:p w14:paraId="1EF187FD">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收集至</w:t>
                  </w:r>
                  <w:r>
                    <w:rPr>
                      <w:rFonts w:hint="eastAsia" w:cs="Times New Roman"/>
                      <w:color w:val="000000" w:themeColor="text1"/>
                      <w:kern w:val="0"/>
                      <w:sz w:val="21"/>
                      <w:szCs w:val="21"/>
                      <w:highlight w:val="none"/>
                      <w:lang w:val="en-US" w:eastAsia="zh-CN"/>
                      <w14:textFill>
                        <w14:solidFill>
                          <w14:schemeClr w14:val="tx1"/>
                        </w14:solidFill>
                      </w14:textFill>
                    </w:rPr>
                    <w:t>厂区内</w:t>
                  </w:r>
                  <w:r>
                    <w:rPr>
                      <w:rFonts w:hint="eastAsia" w:cs="Times New Roman"/>
                      <w:color w:val="000000" w:themeColor="text1"/>
                      <w:kern w:val="0"/>
                      <w:sz w:val="21"/>
                      <w:szCs w:val="21"/>
                      <w:highlight w:val="none"/>
                      <w:lang w:eastAsia="zh-CN"/>
                      <w14:textFill>
                        <w14:solidFill>
                          <w14:schemeClr w14:val="tx1"/>
                        </w14:solidFill>
                      </w14:textFill>
                    </w:rPr>
                    <w:t>危废贮存点</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内</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分区贮存</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，定期交由有资质的单位处置</w:t>
                  </w:r>
                </w:p>
              </w:tc>
            </w:tr>
          </w:tbl>
          <w:p w14:paraId="284A5D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4.9</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地下水</w:t>
            </w:r>
            <w:r>
              <w:rPr>
                <w:rFonts w:hint="eastAsia" w:ascii="Times New Roman" w:hAnsi="Times New Roman" w:eastAsia="宋体" w:cs="Times New Roman"/>
                <w:b/>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14:textFill>
                  <w14:solidFill>
                    <w14:schemeClr w14:val="tx1"/>
                  </w14:solidFill>
                </w14:textFill>
              </w:rPr>
              <w:t>土壤</w:t>
            </w:r>
          </w:p>
          <w:p w14:paraId="5A3994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4.9.</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highlight w:val="none"/>
                <w14:textFill>
                  <w14:solidFill>
                    <w14:schemeClr w14:val="tx1"/>
                  </w14:solidFill>
                </w14:textFill>
              </w:rPr>
              <w:t>污染源</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和污染途径</w:t>
            </w:r>
          </w:p>
          <w:p w14:paraId="7E41D51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本项目运营期废水主要为</w:t>
            </w:r>
            <w:r>
              <w:rPr>
                <w:rFonts w:hint="eastAsia" w:cs="Times New Roman"/>
                <w:bCs/>
                <w:color w:val="000000" w:themeColor="text1"/>
                <w:sz w:val="24"/>
                <w:highlight w:val="none"/>
                <w:lang w:val="en-US" w:eastAsia="zh-CN"/>
                <w14:textFill>
                  <w14:solidFill>
                    <w14:schemeClr w14:val="tx1"/>
                  </w14:solidFill>
                </w14:textFill>
              </w:rPr>
              <w:t>生活污水、</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洗车废水</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，废水水质复杂程度属简单</w:t>
            </w:r>
            <w:r>
              <w:rPr>
                <w:rFonts w:hint="eastAsia" w:cs="Times New Roman"/>
                <w:bCs/>
                <w:color w:val="000000" w:themeColor="text1"/>
                <w:sz w:val="24"/>
                <w:highlight w:val="none"/>
                <w:lang w:val="en-US" w:eastAsia="zh-CN"/>
                <w14:textFill>
                  <w14:solidFill>
                    <w14:schemeClr w14:val="tx1"/>
                  </w14:solidFill>
                </w14:textFill>
              </w:rPr>
              <w:t>，生活污水排入旱厕定时清掏，不外排；</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洗车废水</w:t>
            </w:r>
            <w:r>
              <w:rPr>
                <w:rFonts w:hint="eastAsia" w:cs="Times New Roman"/>
                <w:bCs/>
                <w:color w:val="000000" w:themeColor="text1"/>
                <w:sz w:val="24"/>
                <w:highlight w:val="none"/>
                <w:lang w:val="en-US" w:eastAsia="zh-CN"/>
                <w14:textFill>
                  <w14:solidFill>
                    <w14:schemeClr w14:val="tx1"/>
                  </w14:solidFill>
                </w14:textFill>
              </w:rPr>
              <w:t>经</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沉淀池沉淀处理后，回用至洗车工序，循环使用，不</w:t>
            </w:r>
            <w:r>
              <w:rPr>
                <w:rFonts w:hint="eastAsia" w:cs="Times New Roman"/>
                <w:bCs/>
                <w:color w:val="000000" w:themeColor="text1"/>
                <w:sz w:val="24"/>
                <w:highlight w:val="none"/>
                <w:lang w:val="en-US" w:eastAsia="zh-CN"/>
                <w14:textFill>
                  <w14:solidFill>
                    <w14:schemeClr w14:val="tx1"/>
                  </w14:solidFill>
                </w14:textFill>
              </w:rPr>
              <w:t>外排。</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因此</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本项目土壤</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地下水</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污染途径</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主要为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危废贮存</w:t>
            </w:r>
            <w:r>
              <w:rPr>
                <w:rFonts w:hint="eastAsia" w:cs="Times New Roman"/>
                <w:bCs/>
                <w:color w:val="000000" w:themeColor="text1"/>
                <w:sz w:val="24"/>
                <w:highlight w:val="none"/>
                <w:lang w:val="en-US" w:eastAsia="zh-CN"/>
                <w14:textFill>
                  <w14:solidFill>
                    <w14:schemeClr w14:val="tx1"/>
                  </w14:solidFill>
                </w14:textFill>
              </w:rPr>
              <w:t>点内</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地面防渗结构发生破损且包装出现开裂或倾覆</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造成的</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废矿物油</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泄漏，主要成分为石油类。污染物经土层运移至含水层进而下渗污染土壤、地下水，会对区域土壤及地下水造成影响。</w:t>
            </w:r>
          </w:p>
          <w:p w14:paraId="4A47D0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4.9.</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2防控措施</w:t>
            </w:r>
          </w:p>
          <w:p w14:paraId="1B2F28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both"/>
              <w:textAlignment w:val="auto"/>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污染防治措施针对项目可能发生的地下水、土壤污染，本项目按照分区防控的要求提出了以下的防控措施：</w:t>
            </w:r>
          </w:p>
          <w:p w14:paraId="0145D99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both"/>
              <w:textAlignment w:val="auto"/>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pPr>
            <w:r>
              <w:rPr>
                <w:rFonts w:hint="eastAsia" w:ascii="Times New Roman" w:hAnsi="Times New Roman"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（1）</w:t>
            </w: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厂区防渗分区及要求</w:t>
            </w:r>
          </w:p>
          <w:p w14:paraId="1143444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both"/>
              <w:textAlignment w:val="auto"/>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对厂区可能泄漏污染物的污染区地面进行防渗处理，并及时地将泄漏渗漏的污染物收集起来进行处理，可有效</w:t>
            </w:r>
            <w:r>
              <w:rPr>
                <w:rFonts w:hint="eastAsia"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防止</w:t>
            </w: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洒落地面的污染物渗入地下根据防渗参照的标准和规范，结合目前施工过程中的可操作性和技术水平针对不同的防渗区域采用的防渗措施如下:</w:t>
            </w:r>
          </w:p>
          <w:p w14:paraId="53148C0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both"/>
              <w:textAlignment w:val="auto"/>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pPr>
            <w:r>
              <w:rPr>
                <w:rFonts w:hint="eastAsia" w:ascii="Times New Roman" w:hAnsi="Times New Roman"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1）</w:t>
            </w: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重点污染防治区</w:t>
            </w:r>
          </w:p>
          <w:p w14:paraId="367026B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both"/>
              <w:textAlignment w:val="auto"/>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主要为危废</w:t>
            </w:r>
            <w:r>
              <w:rPr>
                <w:rFonts w:hint="eastAsia"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贮存点</w:t>
            </w: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，防渗标准参照《环境影响评价技术导则 地下水环境》</w:t>
            </w:r>
            <w:r>
              <w:rPr>
                <w:rFonts w:hint="eastAsia" w:ascii="Times New Roman" w:hAnsi="Times New Roman"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HJ610-2016</w:t>
            </w:r>
            <w:r>
              <w:rPr>
                <w:rFonts w:hint="eastAsia" w:ascii="Times New Roman" w:hAnsi="Times New Roman"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中关于重点防渗区的要求</w:t>
            </w:r>
            <w:r>
              <w:rPr>
                <w:rFonts w:hint="eastAsia" w:ascii="Times New Roman" w:hAnsi="Times New Roman"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14:textFill>
                  <w14:solidFill>
                    <w14:schemeClr w14:val="tx1"/>
                  </w14:solidFill>
                </w14:textFill>
              </w:rPr>
              <w:t>至少2mm厚高密度聚乙烯，渗透系数K</w:t>
            </w:r>
            <w:r>
              <w:rPr>
                <w:rFonts w:hint="eastAsia" w:ascii="宋体" w:hAnsi="宋体" w:eastAsia="宋体" w:cs="宋体"/>
                <w:color w:val="000000" w:themeColor="text1"/>
                <w:kern w:val="2"/>
                <w:sz w:val="24"/>
                <w:szCs w:val="24"/>
                <w14:textFill>
                  <w14:solidFill>
                    <w14:schemeClr w14:val="tx1"/>
                  </w14:solidFill>
                </w14:textFill>
              </w:rPr>
              <w:t>≤</w:t>
            </w:r>
            <w:r>
              <w:rPr>
                <w:rFonts w:hint="default" w:ascii="Times New Roman" w:hAnsi="Times New Roman" w:eastAsia="宋体" w:cs="Times New Roman"/>
                <w:color w:val="000000" w:themeColor="text1"/>
                <w:kern w:val="2"/>
                <w:sz w:val="24"/>
                <w:szCs w:val="24"/>
                <w14:textFill>
                  <w14:solidFill>
                    <w14:schemeClr w14:val="tx1"/>
                  </w14:solidFill>
                </w14:textFill>
              </w:rPr>
              <w:t>1×10</w:t>
            </w:r>
            <w:r>
              <w:rPr>
                <w:rFonts w:hint="default" w:ascii="Times New Roman" w:hAnsi="Times New Roman" w:eastAsia="宋体" w:cs="Times New Roman"/>
                <w:color w:val="000000" w:themeColor="text1"/>
                <w:kern w:val="2"/>
                <w:sz w:val="24"/>
                <w:szCs w:val="24"/>
                <w:vertAlign w:val="superscript"/>
                <w14:textFill>
                  <w14:solidFill>
                    <w14:schemeClr w14:val="tx1"/>
                  </w14:solidFill>
                </w14:textFill>
              </w:rPr>
              <w:t>-</w:t>
            </w:r>
            <w:r>
              <w:rPr>
                <w:rFonts w:hint="eastAsia" w:cs="Times New Roman"/>
                <w:color w:val="000000" w:themeColor="text1"/>
                <w:kern w:val="2"/>
                <w:sz w:val="24"/>
                <w:szCs w:val="24"/>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kern w:val="2"/>
                <w:sz w:val="24"/>
                <w:szCs w:val="24"/>
                <w14:textFill>
                  <w14:solidFill>
                    <w14:schemeClr w14:val="tx1"/>
                  </w14:solidFill>
                </w14:textFill>
              </w:rPr>
              <w:t>cm/s</w:t>
            </w:r>
            <w:r>
              <w:rPr>
                <w:rFonts w:hint="eastAsia" w:ascii="Times New Roman" w:hAnsi="Times New Roman"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w:t>
            </w:r>
          </w:p>
          <w:p w14:paraId="226E7A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both"/>
              <w:textAlignment w:val="auto"/>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pPr>
            <w:r>
              <w:rPr>
                <w:rFonts w:hint="eastAsia" w:ascii="Times New Roman" w:hAnsi="Times New Roman"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一般防渗区</w:t>
            </w:r>
          </w:p>
          <w:p w14:paraId="6DBB9BA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both"/>
              <w:textAlignment w:val="auto"/>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主要为</w:t>
            </w:r>
            <w:r>
              <w:rPr>
                <w:rFonts w:hint="eastAsia" w:ascii="Times New Roman" w:hAnsi="Times New Roman" w:cs="Times New Roman"/>
                <w:i w:val="0"/>
                <w:iCs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生产车间</w:t>
            </w:r>
            <w:r>
              <w:rPr>
                <w:rFonts w:hint="default" w:ascii="Times New Roman" w:hAnsi="Times New Roman" w:eastAsia="宋体" w:cs="Times New Roman"/>
                <w:i w:val="0"/>
                <w:iCs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、沉淀池、初期雨水收集池等，</w:t>
            </w: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防渗标准参照《环境影响评价技术导则 地下水环境》</w:t>
            </w:r>
            <w:r>
              <w:rPr>
                <w:rFonts w:hint="eastAsia" w:ascii="Times New Roman" w:hAnsi="Times New Roman"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HJ610-2016</w:t>
            </w:r>
            <w:r>
              <w:rPr>
                <w:rFonts w:hint="eastAsia" w:ascii="Times New Roman" w:hAnsi="Times New Roman"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中关于一般防渗区的要求</w:t>
            </w:r>
            <w:r>
              <w:rPr>
                <w:rFonts w:hint="eastAsia" w:ascii="Times New Roman" w:hAnsi="Times New Roman"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等效黏土防渗层Mb&gt;1.5m，K</w:t>
            </w:r>
            <w:r>
              <w:rPr>
                <w:rFonts w:hint="eastAsia"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≤1</w:t>
            </w: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0</w:t>
            </w:r>
            <w:r>
              <w:rPr>
                <w:rFonts w:hint="default" w:ascii="Times New Roman" w:hAnsi="Times New Roman" w:eastAsia="宋体" w:cs="Times New Roman"/>
                <w:i w:val="0"/>
                <w:iCs w:val="0"/>
                <w:caps w:val="0"/>
                <w:color w:val="000000" w:themeColor="text1"/>
                <w:spacing w:val="0"/>
                <w:kern w:val="0"/>
                <w:sz w:val="24"/>
                <w:szCs w:val="24"/>
                <w:shd w:val="clear" w:color="auto" w:fill="FFFFFF"/>
                <w:vertAlign w:val="superscript"/>
                <w:lang w:val="en-US" w:eastAsia="zh-CN" w:bidi="ar"/>
                <w14:textFill>
                  <w14:solidFill>
                    <w14:schemeClr w14:val="tx1"/>
                  </w14:solidFill>
                </w14:textFill>
              </w:rPr>
              <w:t>-7</w:t>
            </w: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cm/s</w:t>
            </w:r>
            <w:r>
              <w:rPr>
                <w:rFonts w:hint="eastAsia" w:ascii="Times New Roman" w:hAnsi="Times New Roman"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w:t>
            </w:r>
          </w:p>
          <w:p w14:paraId="581FE9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both"/>
              <w:textAlignment w:val="auto"/>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pPr>
            <w:r>
              <w:rPr>
                <w:rFonts w:hint="eastAsia" w:ascii="Times New Roman" w:hAnsi="Times New Roman"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简单防渗区</w:t>
            </w:r>
          </w:p>
          <w:p w14:paraId="4225298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both"/>
              <w:textAlignment w:val="auto"/>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厂区道路全部采用混凝土硬化</w:t>
            </w:r>
            <w:r>
              <w:rPr>
                <w:rFonts w:hint="eastAsia" w:ascii="Times New Roman" w:hAnsi="Times New Roman"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w:t>
            </w:r>
          </w:p>
          <w:p w14:paraId="1F522EC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both"/>
              <w:textAlignment w:val="auto"/>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pPr>
            <w:r>
              <w:rPr>
                <w:rFonts w:hint="eastAsia" w:ascii="Times New Roman" w:hAnsi="Times New Roman"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w:t>
            </w:r>
            <w:r>
              <w:rPr>
                <w:rFonts w:hint="eastAsia"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2</w:t>
            </w:r>
            <w:r>
              <w:rPr>
                <w:rFonts w:hint="eastAsia" w:ascii="Times New Roman" w:hAnsi="Times New Roman"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防渗效果的保证性要求</w:t>
            </w:r>
          </w:p>
          <w:p w14:paraId="304930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both"/>
              <w:textAlignment w:val="auto"/>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按照上述各区的防渗要求进行修建，各贮水设施及</w:t>
            </w:r>
            <w:r>
              <w:rPr>
                <w:rFonts w:hint="eastAsia"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危废贮存点</w:t>
            </w: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在运行期间应加强管理，定期进行检修维护，发现问题及时解决，保证各水工建构筑设施等正常运行，使废水、废油不发生渗漏造成地下水污染</w:t>
            </w:r>
            <w:r>
              <w:rPr>
                <w:rFonts w:hint="eastAsia" w:ascii="Times New Roman" w:hAnsi="Times New Roman"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4"/>
                <w:szCs w:val="24"/>
                <w:shd w:val="clear" w:color="auto" w:fill="FFFFFF"/>
                <w:lang w:val="en-US" w:eastAsia="zh-CN" w:bidi="ar"/>
                <w14:textFill>
                  <w14:solidFill>
                    <w14:schemeClr w14:val="tx1"/>
                  </w14:solidFill>
                </w14:textFill>
              </w:rPr>
              <w:t>本次评价要求建设单位加强环保措施的运行管理，保证其稳定运行，降低气态污染物的排放，同时加强车间地面维护工作，防止地面出现裂缝等，降低污染物入渗对地下水环境的影响。</w:t>
            </w:r>
          </w:p>
          <w:p w14:paraId="0B67FB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表4</w:t>
            </w:r>
            <w:r>
              <w:rPr>
                <w:rFonts w:hint="eastAsia" w:cs="Times New Roman"/>
                <w:b/>
                <w:bCs/>
                <w:color w:val="000000" w:themeColor="text1"/>
                <w:kern w:val="2"/>
                <w:sz w:val="21"/>
                <w:szCs w:val="21"/>
                <w:highlight w:val="none"/>
                <w:lang w:val="en-US" w:eastAsia="zh-CN" w:bidi="ar-SA"/>
                <w14:textFill>
                  <w14:solidFill>
                    <w14:schemeClr w14:val="tx1"/>
                  </w14:solidFill>
                </w14:textFill>
              </w:rPr>
              <w:t>.9-1</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防渗分区及防渗要求情况表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1313"/>
              <w:gridCol w:w="1909"/>
              <w:gridCol w:w="3642"/>
            </w:tblGrid>
            <w:tr w14:paraId="7737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pct"/>
                  <w:tcBorders>
                    <w:tl2br w:val="nil"/>
                    <w:tr2bl w:val="nil"/>
                  </w:tcBorders>
                  <w:vAlign w:val="center"/>
                </w:tcPr>
                <w:p w14:paraId="462F063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Cs w:val="2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2"/>
                      <w:highlight w:val="none"/>
                      <w:lang w:val="en-US" w:eastAsia="zh-CN"/>
                      <w14:textFill>
                        <w14:solidFill>
                          <w14:schemeClr w14:val="tx1"/>
                        </w14:solidFill>
                      </w14:textFill>
                    </w:rPr>
                    <w:t>防渗分区</w:t>
                  </w:r>
                </w:p>
              </w:tc>
              <w:tc>
                <w:tcPr>
                  <w:tcW w:w="803" w:type="pct"/>
                  <w:tcBorders>
                    <w:tl2br w:val="nil"/>
                    <w:tr2bl w:val="nil"/>
                  </w:tcBorders>
                  <w:vAlign w:val="center"/>
                </w:tcPr>
                <w:p w14:paraId="0870421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Cs w:val="22"/>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2"/>
                      <w:highlight w:val="none"/>
                      <w:lang w:val="en-US" w:eastAsia="zh-CN"/>
                      <w14:textFill>
                        <w14:solidFill>
                          <w14:schemeClr w14:val="tx1"/>
                        </w14:solidFill>
                      </w14:textFill>
                    </w:rPr>
                    <w:t>防渗区域</w:t>
                  </w:r>
                </w:p>
              </w:tc>
              <w:tc>
                <w:tcPr>
                  <w:tcW w:w="1168" w:type="pct"/>
                  <w:tcBorders>
                    <w:tl2br w:val="nil"/>
                    <w:tr2bl w:val="nil"/>
                  </w:tcBorders>
                  <w:vAlign w:val="center"/>
                </w:tcPr>
                <w:p w14:paraId="1BA6EB3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Cs w:val="2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2"/>
                      <w:highlight w:val="none"/>
                      <w:lang w:val="en-US" w:eastAsia="zh-CN"/>
                      <w14:textFill>
                        <w14:solidFill>
                          <w14:schemeClr w14:val="tx1"/>
                        </w14:solidFill>
                      </w14:textFill>
                    </w:rPr>
                    <w:t>防渗要求</w:t>
                  </w:r>
                </w:p>
              </w:tc>
              <w:tc>
                <w:tcPr>
                  <w:tcW w:w="2228" w:type="pct"/>
                  <w:tcBorders>
                    <w:tl2br w:val="nil"/>
                    <w:tr2bl w:val="nil"/>
                  </w:tcBorders>
                  <w:vAlign w:val="center"/>
                </w:tcPr>
                <w:p w14:paraId="32B588A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Cs w:val="2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采取的防渗处理措施</w:t>
                  </w:r>
                </w:p>
              </w:tc>
            </w:tr>
            <w:tr w14:paraId="4203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pct"/>
                  <w:tcBorders>
                    <w:tl2br w:val="nil"/>
                    <w:tr2bl w:val="nil"/>
                  </w:tcBorders>
                  <w:vAlign w:val="center"/>
                </w:tcPr>
                <w:p w14:paraId="580B2D9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重点防渗区</w:t>
                  </w:r>
                </w:p>
              </w:tc>
              <w:tc>
                <w:tcPr>
                  <w:tcW w:w="803" w:type="pct"/>
                  <w:tcBorders>
                    <w:tl2br w:val="nil"/>
                    <w:tr2bl w:val="nil"/>
                  </w:tcBorders>
                  <w:vAlign w:val="center"/>
                </w:tcPr>
                <w:p w14:paraId="0FD1165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危废贮存点</w:t>
                  </w:r>
                </w:p>
              </w:tc>
              <w:tc>
                <w:tcPr>
                  <w:tcW w:w="1168" w:type="pct"/>
                  <w:tcBorders>
                    <w:tl2br w:val="nil"/>
                    <w:tr2bl w:val="nil"/>
                  </w:tcBorders>
                  <w:vAlign w:val="center"/>
                </w:tcPr>
                <w:p w14:paraId="293BD48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Cs w:val="22"/>
                      <w:highlight w:val="none"/>
                      <w:lang w:val="en-US" w:eastAsia="zh-CN"/>
                      <w14:textFill>
                        <w14:solidFill>
                          <w14:schemeClr w14:val="tx1"/>
                        </w14:solidFill>
                      </w14:textFill>
                    </w:rPr>
                    <w:t>等效黏土防渗层Mb≥6.0m，</w:t>
                  </w:r>
                  <w:r>
                    <w:rPr>
                      <w:rFonts w:hint="default" w:ascii="Times New Roman" w:hAnsi="Times New Roman" w:eastAsia="宋体" w:cs="Times New Roman"/>
                      <w:color w:val="000000" w:themeColor="text1"/>
                      <w:kern w:val="2"/>
                      <w:sz w:val="21"/>
                      <w:szCs w:val="21"/>
                      <w14:textFill>
                        <w14:solidFill>
                          <w14:schemeClr w14:val="tx1"/>
                        </w14:solidFill>
                      </w14:textFill>
                    </w:rPr>
                    <w:t>渗透系数K</w:t>
                  </w:r>
                  <w:r>
                    <w:rPr>
                      <w:rFonts w:hint="eastAsia" w:ascii="宋体" w:hAnsi="宋体" w:eastAsia="宋体" w:cs="宋体"/>
                      <w:color w:val="000000" w:themeColor="text1"/>
                      <w:kern w:val="2"/>
                      <w:sz w:val="21"/>
                      <w:szCs w:val="21"/>
                      <w14:textFill>
                        <w14:solidFill>
                          <w14:schemeClr w14:val="tx1"/>
                        </w14:solidFill>
                      </w14:textFill>
                    </w:rPr>
                    <w:t>≤</w:t>
                  </w:r>
                  <w:r>
                    <w:rPr>
                      <w:rFonts w:hint="default" w:ascii="Times New Roman" w:hAnsi="Times New Roman" w:eastAsia="宋体" w:cs="Times New Roman"/>
                      <w:color w:val="000000" w:themeColor="text1"/>
                      <w:kern w:val="2"/>
                      <w:sz w:val="21"/>
                      <w:szCs w:val="21"/>
                      <w14:textFill>
                        <w14:solidFill>
                          <w14:schemeClr w14:val="tx1"/>
                        </w14:solidFill>
                      </w14:textFill>
                    </w:rPr>
                    <w:t>1×10</w:t>
                  </w:r>
                  <w:r>
                    <w:rPr>
                      <w:rFonts w:hint="default" w:ascii="Times New Roman" w:hAnsi="Times New Roman" w:eastAsia="宋体" w:cs="Times New Roman"/>
                      <w:color w:val="000000" w:themeColor="text1"/>
                      <w:kern w:val="2"/>
                      <w:sz w:val="21"/>
                      <w:szCs w:val="21"/>
                      <w:vertAlign w:val="superscript"/>
                      <w14:textFill>
                        <w14:solidFill>
                          <w14:schemeClr w14:val="tx1"/>
                        </w14:solidFill>
                      </w14:textFill>
                    </w:rPr>
                    <w:t>-</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kern w:val="2"/>
                      <w:sz w:val="21"/>
                      <w:szCs w:val="21"/>
                      <w14:textFill>
                        <w14:solidFill>
                          <w14:schemeClr w14:val="tx1"/>
                        </w14:solidFill>
                      </w14:textFill>
                    </w:rPr>
                    <w:t>cm/s</w:t>
                  </w:r>
                </w:p>
              </w:tc>
              <w:tc>
                <w:tcPr>
                  <w:tcW w:w="2228" w:type="pct"/>
                  <w:tcBorders>
                    <w:tl2br w:val="nil"/>
                    <w:tr2bl w:val="nil"/>
                  </w:tcBorders>
                  <w:vAlign w:val="center"/>
                </w:tcPr>
                <w:p w14:paraId="62556B6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000000" w:themeColor="text1"/>
                      <w:spacing w:val="0"/>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地面</w:t>
                  </w:r>
                  <w:r>
                    <w:rPr>
                      <w:rFonts w:hint="eastAsia" w:cs="Times New Roman"/>
                      <w:color w:val="000000" w:themeColor="text1"/>
                      <w:sz w:val="21"/>
                      <w:szCs w:val="21"/>
                      <w:lang w:val="en-US" w:eastAsia="zh-CN"/>
                      <w14:textFill>
                        <w14:solidFill>
                          <w14:schemeClr w14:val="tx1"/>
                        </w14:solidFill>
                      </w14:textFill>
                    </w:rPr>
                    <w:t>应做</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厚C20混凝土</w:t>
                  </w:r>
                  <w:r>
                    <w:rPr>
                      <w:rFonts w:hint="eastAsia" w:ascii="Times New Roman" w:hAnsi="Times New Roman" w:cs="Times New Roman"/>
                      <w:color w:val="000000" w:themeColor="text1"/>
                      <w:sz w:val="21"/>
                      <w:szCs w:val="21"/>
                      <w:lang w:val="en-US" w:eastAsia="zh-CN"/>
                      <w14:textFill>
                        <w14:solidFill>
                          <w14:schemeClr w14:val="tx1"/>
                        </w14:solidFill>
                      </w14:textFill>
                    </w:rPr>
                    <w:t>硬化</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，在地面涂刷5mm厚环氧树脂漆，在门口设置围堰，设置0.5cm高的铁质托盘</w:t>
                  </w:r>
                </w:p>
              </w:tc>
            </w:tr>
            <w:tr w14:paraId="2FE3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99" w:type="pct"/>
                  <w:vMerge w:val="restart"/>
                  <w:tcBorders>
                    <w:tl2br w:val="nil"/>
                    <w:tr2bl w:val="nil"/>
                  </w:tcBorders>
                  <w:vAlign w:val="center"/>
                </w:tcPr>
                <w:p w14:paraId="7012618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一般防渗区</w:t>
                  </w:r>
                </w:p>
              </w:tc>
              <w:tc>
                <w:tcPr>
                  <w:tcW w:w="803" w:type="pct"/>
                  <w:tcBorders>
                    <w:tl2br w:val="nil"/>
                    <w:tr2bl w:val="nil"/>
                  </w:tcBorders>
                  <w:vAlign w:val="center"/>
                </w:tcPr>
                <w:p w14:paraId="7812260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生产车间</w:t>
                  </w:r>
                </w:p>
              </w:tc>
              <w:tc>
                <w:tcPr>
                  <w:tcW w:w="1168" w:type="pct"/>
                  <w:vMerge w:val="restart"/>
                  <w:tcBorders>
                    <w:tl2br w:val="nil"/>
                    <w:tr2bl w:val="nil"/>
                  </w:tcBorders>
                  <w:vAlign w:val="center"/>
                </w:tcPr>
                <w:p w14:paraId="61E36C0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2"/>
                      <w:highlight w:val="none"/>
                      <w:lang w:val="en-US" w:eastAsia="zh-CN"/>
                      <w14:textFill>
                        <w14:solidFill>
                          <w14:schemeClr w14:val="tx1"/>
                        </w14:solidFill>
                      </w14:textFill>
                    </w:rPr>
                    <w:t>等效黏土防渗层Mb≥1.5m，</w:t>
                  </w:r>
                  <w:r>
                    <w:rPr>
                      <w:rFonts w:hint="default" w:ascii="Times New Roman" w:hAnsi="Times New Roman" w:eastAsia="宋体" w:cs="Times New Roman"/>
                      <w:color w:val="000000" w:themeColor="text1"/>
                      <w:spacing w:val="0"/>
                      <w:szCs w:val="22"/>
                      <w:highlight w:val="none"/>
                      <w:lang w:val="en-US" w:eastAsia="zh-CN"/>
                      <w14:textFill>
                        <w14:solidFill>
                          <w14:schemeClr w14:val="tx1"/>
                        </w14:solidFill>
                      </w14:textFill>
                    </w:rPr>
                    <w:t>渗透系数</w:t>
                  </w:r>
                  <w:r>
                    <w:rPr>
                      <w:rFonts w:hint="default" w:ascii="Times New Roman" w:hAnsi="Times New Roman" w:eastAsia="宋体" w:cs="Times New Roman"/>
                      <w:color w:val="000000" w:themeColor="text1"/>
                      <w:kern w:val="2"/>
                      <w:sz w:val="21"/>
                      <w:szCs w:val="21"/>
                      <w14:textFill>
                        <w14:solidFill>
                          <w14:schemeClr w14:val="tx1"/>
                        </w14:solidFill>
                      </w14:textFill>
                    </w:rPr>
                    <w:t>K</w:t>
                  </w:r>
                  <w:r>
                    <w:rPr>
                      <w:rFonts w:hint="eastAsia" w:ascii="宋体" w:hAnsi="宋体" w:eastAsia="宋体" w:cs="宋体"/>
                      <w:color w:val="000000" w:themeColor="text1"/>
                      <w:kern w:val="2"/>
                      <w:sz w:val="21"/>
                      <w:szCs w:val="21"/>
                      <w14:textFill>
                        <w14:solidFill>
                          <w14:schemeClr w14:val="tx1"/>
                        </w14:solidFill>
                      </w14:textFill>
                    </w:rPr>
                    <w:t>≤</w:t>
                  </w:r>
                  <w:r>
                    <w:rPr>
                      <w:rFonts w:hint="default" w:ascii="Times New Roman" w:hAnsi="Times New Roman" w:eastAsia="宋体" w:cs="Times New Roman"/>
                      <w:color w:val="000000" w:themeColor="text1"/>
                      <w:kern w:val="2"/>
                      <w:sz w:val="21"/>
                      <w:szCs w:val="21"/>
                      <w14:textFill>
                        <w14:solidFill>
                          <w14:schemeClr w14:val="tx1"/>
                        </w14:solidFill>
                      </w14:textFill>
                    </w:rPr>
                    <w:t>1×10</w:t>
                  </w:r>
                  <w:r>
                    <w:rPr>
                      <w:rFonts w:hint="default" w:ascii="Times New Roman" w:hAnsi="Times New Roman" w:eastAsia="宋体" w:cs="Times New Roman"/>
                      <w:color w:val="000000" w:themeColor="text1"/>
                      <w:kern w:val="2"/>
                      <w:sz w:val="21"/>
                      <w:szCs w:val="21"/>
                      <w:vertAlign w:val="superscript"/>
                      <w14:textFill>
                        <w14:solidFill>
                          <w14:schemeClr w14:val="tx1"/>
                        </w14:solidFill>
                      </w14:textFill>
                    </w:rPr>
                    <w:t>-</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kern w:val="2"/>
                      <w:sz w:val="21"/>
                      <w:szCs w:val="21"/>
                      <w14:textFill>
                        <w14:solidFill>
                          <w14:schemeClr w14:val="tx1"/>
                        </w14:solidFill>
                      </w14:textFill>
                    </w:rPr>
                    <w:t>cm/s</w:t>
                  </w:r>
                </w:p>
              </w:tc>
              <w:tc>
                <w:tcPr>
                  <w:tcW w:w="2228" w:type="pct"/>
                  <w:tcBorders>
                    <w:tl2br w:val="nil"/>
                    <w:tr2bl w:val="nil"/>
                  </w:tcBorders>
                  <w:vAlign w:val="center"/>
                </w:tcPr>
                <w:p w14:paraId="7FA56D2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000000" w:themeColor="text1"/>
                      <w:spacing w:val="0"/>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混凝土抗渗等级</w:t>
                  </w:r>
                  <w:r>
                    <w:rPr>
                      <w:rFonts w:hint="eastAsia" w:cs="Times New Roman"/>
                      <w:color w:val="000000" w:themeColor="text1"/>
                      <w:sz w:val="21"/>
                      <w:szCs w:val="21"/>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P6，基础之下的地基均采取强夯处理</w:t>
                  </w:r>
                </w:p>
              </w:tc>
            </w:tr>
            <w:tr w14:paraId="594D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99" w:type="pct"/>
                  <w:vMerge w:val="continue"/>
                  <w:tcBorders>
                    <w:tl2br w:val="nil"/>
                    <w:tr2bl w:val="nil"/>
                  </w:tcBorders>
                  <w:vAlign w:val="center"/>
                </w:tcPr>
                <w:p w14:paraId="7F33DFF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14:textFill>
                        <w14:solidFill>
                          <w14:schemeClr w14:val="tx1"/>
                        </w14:solidFill>
                      </w14:textFill>
                    </w:rPr>
                  </w:pPr>
                </w:p>
              </w:tc>
              <w:tc>
                <w:tcPr>
                  <w:tcW w:w="803" w:type="pct"/>
                  <w:tcBorders>
                    <w:tl2br w:val="nil"/>
                    <w:tr2bl w:val="nil"/>
                  </w:tcBorders>
                  <w:vAlign w:val="center"/>
                </w:tcPr>
                <w:p w14:paraId="5355A2B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洗车平台沉淀池、雨水收集池</w:t>
                  </w:r>
                </w:p>
              </w:tc>
              <w:tc>
                <w:tcPr>
                  <w:tcW w:w="1168" w:type="pct"/>
                  <w:vMerge w:val="continue"/>
                  <w:tcBorders>
                    <w:tl2br w:val="nil"/>
                    <w:tr2bl w:val="nil"/>
                  </w:tcBorders>
                  <w:vAlign w:val="center"/>
                </w:tcPr>
                <w:p w14:paraId="2A869EF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2228" w:type="pct"/>
                  <w:tcBorders>
                    <w:tl2br w:val="nil"/>
                    <w:tr2bl w:val="nil"/>
                  </w:tcBorders>
                  <w:vAlign w:val="center"/>
                </w:tcPr>
                <w:p w14:paraId="0E38CD1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已做</w:t>
                  </w:r>
                  <w:r>
                    <w:rPr>
                      <w:rFonts w:hint="default" w:ascii="Times New Roman" w:hAnsi="Times New Roman" w:eastAsia="宋体" w:cs="Times New Roman"/>
                      <w:color w:val="000000" w:themeColor="text1"/>
                      <w:sz w:val="21"/>
                      <w:szCs w:val="21"/>
                      <w14:textFill>
                        <w14:solidFill>
                          <w14:schemeClr w14:val="tx1"/>
                        </w14:solidFill>
                      </w14:textFill>
                    </w:rPr>
                    <w:t>钢筋混凝土池体，池底及池壁为混凝土，强度等级为C30，抗渗等级为P6，池体内表面刷防腐防渗涂料，基础土分层夯实。</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加强地下管道及设施的固化和密封，管道拟采用耐腐蚀抗压的钢质管道</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管道与池壁的连接采用柔性的橡胶圈接口，减少连接不良引起的泄漏</w:t>
                  </w:r>
                </w:p>
              </w:tc>
            </w:tr>
            <w:tr w14:paraId="6E8B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99" w:type="pct"/>
                  <w:tcBorders>
                    <w:tl2br w:val="nil"/>
                    <w:tr2bl w:val="nil"/>
                  </w:tcBorders>
                  <w:vAlign w:val="center"/>
                </w:tcPr>
                <w:p w14:paraId="04F270F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简单防渗区</w:t>
                  </w:r>
                </w:p>
              </w:tc>
              <w:tc>
                <w:tcPr>
                  <w:tcW w:w="803" w:type="pct"/>
                  <w:tcBorders>
                    <w:tl2br w:val="nil"/>
                    <w:tr2bl w:val="nil"/>
                  </w:tcBorders>
                  <w:vAlign w:val="center"/>
                </w:tcPr>
                <w:p w14:paraId="7CF4D7D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厂区道路</w:t>
                  </w:r>
                </w:p>
              </w:tc>
              <w:tc>
                <w:tcPr>
                  <w:tcW w:w="1168" w:type="pct"/>
                  <w:tcBorders>
                    <w:tl2br w:val="nil"/>
                    <w:tr2bl w:val="nil"/>
                  </w:tcBorders>
                  <w:vAlign w:val="center"/>
                </w:tcPr>
                <w:p w14:paraId="40A50CB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Cs w:val="22"/>
                      <w:highlight w:val="none"/>
                      <w:lang w:val="en-US" w:eastAsia="zh-CN"/>
                      <w14:textFill>
                        <w14:solidFill>
                          <w14:schemeClr w14:val="tx1"/>
                        </w14:solidFill>
                      </w14:textFill>
                    </w:rPr>
                  </w:pPr>
                  <w:r>
                    <w:rPr>
                      <w:rFonts w:hint="eastAsia" w:cs="Times New Roman"/>
                      <w:color w:val="000000" w:themeColor="text1"/>
                      <w:spacing w:val="0"/>
                      <w:szCs w:val="22"/>
                      <w:highlight w:val="none"/>
                      <w:lang w:val="en-US" w:eastAsia="zh-CN"/>
                      <w14:textFill>
                        <w14:solidFill>
                          <w14:schemeClr w14:val="tx1"/>
                        </w14:solidFill>
                      </w14:textFill>
                    </w:rPr>
                    <w:t>一般地面硬化</w:t>
                  </w:r>
                </w:p>
              </w:tc>
              <w:tc>
                <w:tcPr>
                  <w:tcW w:w="2228" w:type="pct"/>
                  <w:tcBorders>
                    <w:tl2br w:val="nil"/>
                    <w:tr2bl w:val="nil"/>
                  </w:tcBorders>
                  <w:vAlign w:val="center"/>
                </w:tcPr>
                <w:p w14:paraId="323B866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both"/>
                    <w:textAlignment w:val="auto"/>
                    <w:rPr>
                      <w:rFonts w:hint="eastAsia" w:cs="Times New Roman"/>
                      <w:color w:val="000000" w:themeColor="text1"/>
                      <w:spacing w:val="0"/>
                      <w:szCs w:val="22"/>
                      <w:highlight w:val="none"/>
                      <w:lang w:val="en-US" w:eastAsia="zh-CN"/>
                      <w14:textFill>
                        <w14:solidFill>
                          <w14:schemeClr w14:val="tx1"/>
                        </w14:solidFill>
                      </w14:textFill>
                    </w:rPr>
                  </w:pPr>
                  <w:r>
                    <w:rPr>
                      <w:rFonts w:hint="eastAsia" w:cs="Times New Roman"/>
                      <w:color w:val="000000" w:themeColor="text1"/>
                      <w:spacing w:val="-4"/>
                      <w:sz w:val="21"/>
                      <w:szCs w:val="21"/>
                      <w:lang w:val="en-US" w:eastAsia="zh-CN"/>
                      <w14:textFill>
                        <w14:solidFill>
                          <w14:schemeClr w14:val="tx1"/>
                        </w14:solidFill>
                      </w14:textFill>
                    </w:rPr>
                    <w:t>已做</w:t>
                  </w:r>
                  <w:r>
                    <w:rPr>
                      <w:rFonts w:hint="eastAsia" w:ascii="Times New Roman" w:hAnsi="Times New Roman" w:eastAsia="宋体" w:cs="Times New Roman"/>
                      <w:color w:val="000000" w:themeColor="text1"/>
                      <w:spacing w:val="-4"/>
                      <w:sz w:val="21"/>
                      <w:szCs w:val="21"/>
                      <w:lang w:val="en-US" w:eastAsia="zh-CN"/>
                      <w14:textFill>
                        <w14:solidFill>
                          <w14:schemeClr w14:val="tx1"/>
                        </w14:solidFill>
                      </w14:textFill>
                    </w:rPr>
                    <w:t>沥青</w:t>
                  </w:r>
                  <w:r>
                    <w:rPr>
                      <w:rFonts w:hint="default" w:ascii="Times New Roman" w:hAnsi="Times New Roman" w:eastAsia="宋体" w:cs="Times New Roman"/>
                      <w:color w:val="000000" w:themeColor="text1"/>
                      <w:spacing w:val="-4"/>
                      <w:sz w:val="21"/>
                      <w:szCs w:val="21"/>
                      <w14:textFill>
                        <w14:solidFill>
                          <w14:schemeClr w14:val="tx1"/>
                        </w14:solidFill>
                      </w14:textFill>
                    </w:rPr>
                    <w:t>混凝土硬化</w:t>
                  </w:r>
                  <w:r>
                    <w:rPr>
                      <w:rFonts w:hint="default" w:ascii="Times New Roman" w:hAnsi="Times New Roman" w:eastAsia="宋体" w:cs="Times New Roman"/>
                      <w:color w:val="000000" w:themeColor="text1"/>
                      <w:sz w:val="21"/>
                      <w:szCs w:val="21"/>
                      <w14:textFill>
                        <w14:solidFill>
                          <w14:schemeClr w14:val="tx1"/>
                        </w14:solidFill>
                      </w14:textFill>
                    </w:rPr>
                    <w:t>；基础土分层夯实，压实系数不小于0.95</w:t>
                  </w:r>
                </w:p>
              </w:tc>
            </w:tr>
          </w:tbl>
          <w:p w14:paraId="5D51A09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4.10</w:t>
            </w:r>
            <w:r>
              <w:rPr>
                <w:rFonts w:hint="default" w:ascii="Times New Roman" w:hAnsi="Times New Roman" w:eastAsia="宋体" w:cs="Times New Roman"/>
                <w:b/>
                <w:color w:val="000000" w:themeColor="text1"/>
                <w:sz w:val="24"/>
                <w:szCs w:val="24"/>
                <w:highlight w:val="none"/>
                <w14:textFill>
                  <w14:solidFill>
                    <w14:schemeClr w14:val="tx1"/>
                  </w14:solidFill>
                </w14:textFill>
              </w:rPr>
              <w:t>环境风险</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评价</w:t>
            </w:r>
          </w:p>
          <w:p w14:paraId="63F8F0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baseline"/>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4.10.</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1风险评价等级判定</w:t>
            </w:r>
          </w:p>
          <w:p w14:paraId="5D60C2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）风险调查</w:t>
            </w:r>
          </w:p>
          <w:p w14:paraId="6D7AF5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根据工程分析，结合《建设项目环境风险评价技术导则》（HJ169-2018）中附录B可知，本项目涉及的危险物质主要为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废矿物油</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5BCAA7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环境风险潜势初判</w:t>
            </w:r>
          </w:p>
          <w:p w14:paraId="2E8F88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根据《建设项目环境风险评价技术导则》（HJ 169-2018）附录B、附录C的有关规定，当</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只涉及一种</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危险物质时，计算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物质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总量与其临界量比值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，即为Q。</w:t>
            </w:r>
          </w:p>
          <w:p w14:paraId="1B7BFC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表4</w:t>
            </w:r>
            <w:r>
              <w:rPr>
                <w:rFonts w:hint="eastAsia" w:cs="Times New Roman"/>
                <w:b/>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1</w:t>
            </w:r>
            <w:r>
              <w:rPr>
                <w:rFonts w:hint="eastAsia" w:cs="Times New Roman"/>
                <w:b/>
                <w:bCs/>
                <w:color w:val="000000" w:themeColor="text1"/>
                <w:kern w:val="2"/>
                <w:sz w:val="21"/>
                <w:szCs w:val="21"/>
                <w:highlight w:val="none"/>
                <w:lang w:val="en-US" w:eastAsia="zh-CN" w:bidi="ar-SA"/>
                <w14:textFill>
                  <w14:solidFill>
                    <w14:schemeClr w14:val="tx1"/>
                  </w14:solidFill>
                </w14:textFill>
              </w:rPr>
              <w:t>0-1</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重大危险源判定一览表</w:t>
            </w:r>
          </w:p>
          <w:tbl>
            <w:tblPr>
              <w:tblStyle w:val="30"/>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2226"/>
              <w:gridCol w:w="1915"/>
              <w:gridCol w:w="1812"/>
            </w:tblGrid>
            <w:tr w14:paraId="4D86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4" w:type="dxa"/>
                  <w:tcBorders>
                    <w:tl2br w:val="nil"/>
                    <w:tr2bl w:val="nil"/>
                  </w:tcBorders>
                  <w:vAlign w:val="center"/>
                </w:tcPr>
                <w:p w14:paraId="6A39BC6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危险物质名称</w:t>
                  </w:r>
                </w:p>
              </w:tc>
              <w:tc>
                <w:tcPr>
                  <w:tcW w:w="2226" w:type="dxa"/>
                  <w:tcBorders>
                    <w:tl2br w:val="nil"/>
                    <w:tr2bl w:val="nil"/>
                  </w:tcBorders>
                  <w:vAlign w:val="center"/>
                </w:tcPr>
                <w:p w14:paraId="0F774B8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物质总量</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（t）</w:t>
                  </w:r>
                </w:p>
              </w:tc>
              <w:tc>
                <w:tcPr>
                  <w:tcW w:w="1915" w:type="dxa"/>
                  <w:tcBorders>
                    <w:tl2br w:val="nil"/>
                    <w:tr2bl w:val="nil"/>
                  </w:tcBorders>
                  <w:vAlign w:val="center"/>
                </w:tcPr>
                <w:p w14:paraId="58F19D4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临界量（t）</w:t>
                  </w:r>
                </w:p>
              </w:tc>
              <w:tc>
                <w:tcPr>
                  <w:tcW w:w="1812" w:type="dxa"/>
                  <w:tcBorders>
                    <w:tl2br w:val="nil"/>
                    <w:tr2bl w:val="nil"/>
                  </w:tcBorders>
                  <w:vAlign w:val="center"/>
                </w:tcPr>
                <w:p w14:paraId="1EDE776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Q值</w:t>
                  </w:r>
                </w:p>
              </w:tc>
            </w:tr>
            <w:tr w14:paraId="7515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4" w:type="dxa"/>
                  <w:tcBorders>
                    <w:tl2br w:val="nil"/>
                    <w:tr2bl w:val="nil"/>
                  </w:tcBorders>
                  <w:vAlign w:val="center"/>
                </w:tcPr>
                <w:p w14:paraId="1EFFA8A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废矿物油</w:t>
                  </w:r>
                </w:p>
              </w:tc>
              <w:tc>
                <w:tcPr>
                  <w:tcW w:w="2226" w:type="dxa"/>
                  <w:tcBorders>
                    <w:tl2br w:val="nil"/>
                    <w:tr2bl w:val="nil"/>
                  </w:tcBorders>
                  <w:vAlign w:val="center"/>
                </w:tcPr>
                <w:p w14:paraId="0E2D417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0.1</w:t>
                  </w:r>
                </w:p>
              </w:tc>
              <w:tc>
                <w:tcPr>
                  <w:tcW w:w="1915" w:type="dxa"/>
                  <w:tcBorders>
                    <w:tl2br w:val="nil"/>
                    <w:tr2bl w:val="nil"/>
                  </w:tcBorders>
                  <w:vAlign w:val="center"/>
                </w:tcPr>
                <w:p w14:paraId="641569B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5000</w:t>
                  </w:r>
                </w:p>
              </w:tc>
              <w:tc>
                <w:tcPr>
                  <w:tcW w:w="1812" w:type="dxa"/>
                  <w:tcBorders>
                    <w:tl2br w:val="nil"/>
                    <w:tr2bl w:val="nil"/>
                  </w:tcBorders>
                  <w:vAlign w:val="center"/>
                </w:tcPr>
                <w:p w14:paraId="0AA84DF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0.000</w:t>
                  </w:r>
                  <w:r>
                    <w:rPr>
                      <w:rFonts w:hint="eastAsia" w:cs="Times New Roman"/>
                      <w:color w:val="000000" w:themeColor="text1"/>
                      <w:kern w:val="2"/>
                      <w:sz w:val="21"/>
                      <w:szCs w:val="21"/>
                      <w:highlight w:val="none"/>
                      <w:lang w:val="en-US" w:eastAsia="zh-CN" w:bidi="ar-SA"/>
                      <w14:textFill>
                        <w14:solidFill>
                          <w14:schemeClr w14:val="tx1"/>
                        </w14:solidFill>
                      </w14:textFill>
                    </w:rPr>
                    <w:t>02</w:t>
                  </w:r>
                </w:p>
              </w:tc>
            </w:tr>
            <w:tr w14:paraId="1C60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5" w:type="dxa"/>
                  <w:gridSpan w:val="3"/>
                  <w:tcBorders>
                    <w:tl2br w:val="nil"/>
                    <w:tr2bl w:val="nil"/>
                  </w:tcBorders>
                  <w:vAlign w:val="center"/>
                </w:tcPr>
                <w:p w14:paraId="6F3CDF6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合计</w:t>
                  </w:r>
                </w:p>
              </w:tc>
              <w:tc>
                <w:tcPr>
                  <w:tcW w:w="1812" w:type="dxa"/>
                  <w:tcBorders>
                    <w:tl2br w:val="nil"/>
                    <w:tr2bl w:val="nil"/>
                  </w:tcBorders>
                  <w:vAlign w:val="center"/>
                </w:tcPr>
                <w:p w14:paraId="55EDCE2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0.00002</w:t>
                  </w:r>
                </w:p>
              </w:tc>
            </w:tr>
          </w:tbl>
          <w:p w14:paraId="4093AB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经计算，Q&lt;1，本项目风险潜势为I，风险评价仅需简单分析，无需设置风险评价范围。</w:t>
            </w:r>
          </w:p>
          <w:p w14:paraId="49F214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baseline"/>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4.10.</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2环境风险分析</w:t>
            </w:r>
          </w:p>
          <w:p w14:paraId="244619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废矿物油在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暂存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过程中会因包装桶破裂或操作不当引起泄漏，可能导致项目区域地下水、地表水、土壤等被污染</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当废矿物油泄漏引发火灾事故时，环境风险物质燃烧过程中会产生烟尘、二氧化硫和氮氧化物等多种大气污染物，会对大气环境造成负面影响；消防废水外排会对地表水环境造成负面影响。</w:t>
            </w:r>
          </w:p>
          <w:p w14:paraId="3AE945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baseline"/>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4.10.</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环境风险防范措施</w:t>
            </w:r>
          </w:p>
          <w:p w14:paraId="19DB78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eastAsia"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本项目产生废矿物油的设备底部均进行防渗、并设置钢制托盘收集废矿物油；危废贮存</w:t>
            </w:r>
            <w:r>
              <w:rPr>
                <w:rFonts w:hint="eastAsia" w:cs="Times New Roman"/>
                <w:color w:val="000000" w:themeColor="text1"/>
                <w:spacing w:val="0"/>
                <w:sz w:val="24"/>
                <w:szCs w:val="24"/>
                <w:highlight w:val="none"/>
                <w:lang w:val="en-US" w:eastAsia="zh-CN"/>
                <w14:textFill>
                  <w14:solidFill>
                    <w14:schemeClr w14:val="tx1"/>
                  </w14:solidFill>
                </w14:textFill>
              </w:rPr>
              <w:t>点</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已</w:t>
            </w:r>
            <w:r>
              <w:rPr>
                <w:rFonts w:hint="eastAsia" w:cs="Times New Roman"/>
                <w:color w:val="000000" w:themeColor="text1"/>
                <w:spacing w:val="0"/>
                <w:sz w:val="24"/>
                <w:szCs w:val="24"/>
                <w:highlight w:val="none"/>
                <w:lang w:val="en-US" w:eastAsia="zh-CN"/>
                <w14:textFill>
                  <w14:solidFill>
                    <w14:schemeClr w14:val="tx1"/>
                  </w14:solidFill>
                </w14:textFill>
              </w:rPr>
              <w:t>做好</w:t>
            </w:r>
            <w:r>
              <w:rPr>
                <w:rFonts w:hint="eastAsia" w:ascii="Times New Roman" w:hAnsi="Times New Roman" w:eastAsia="宋体" w:cs="Times New Roman"/>
                <w:color w:val="000000" w:themeColor="text1"/>
                <w:kern w:val="2"/>
                <w:sz w:val="24"/>
                <w:highlight w:val="none"/>
                <w:lang w:val="en-US" w:eastAsia="zh-CN"/>
                <w14:textFill>
                  <w14:solidFill>
                    <w14:schemeClr w14:val="tx1"/>
                  </w14:solidFill>
                </w14:textFill>
              </w:rPr>
              <w:t>防风、</w:t>
            </w:r>
            <w:r>
              <w:rPr>
                <w:rFonts w:hint="eastAsia" w:cs="Times New Roman"/>
                <w:color w:val="000000" w:themeColor="text1"/>
                <w:kern w:val="2"/>
                <w:sz w:val="24"/>
                <w:highlight w:val="none"/>
                <w:lang w:val="en-US" w:eastAsia="zh-CN"/>
                <w14:textFill>
                  <w14:solidFill>
                    <w14:schemeClr w14:val="tx1"/>
                  </w14:solidFill>
                </w14:textFill>
              </w:rPr>
              <w:t>防晒、</w:t>
            </w:r>
            <w:r>
              <w:rPr>
                <w:rFonts w:hint="eastAsia" w:ascii="Times New Roman" w:hAnsi="Times New Roman" w:eastAsia="宋体" w:cs="Times New Roman"/>
                <w:color w:val="000000" w:themeColor="text1"/>
                <w:kern w:val="2"/>
                <w:sz w:val="24"/>
                <w:highlight w:val="none"/>
                <w:lang w:val="en-US" w:eastAsia="zh-CN"/>
                <w14:textFill>
                  <w14:solidFill>
                    <w14:schemeClr w14:val="tx1"/>
                  </w14:solidFill>
                </w14:textFill>
              </w:rPr>
              <w:t>防雨、</w:t>
            </w:r>
            <w:r>
              <w:rPr>
                <w:rFonts w:hint="eastAsia" w:cs="Times New Roman"/>
                <w:color w:val="000000" w:themeColor="text1"/>
                <w:kern w:val="2"/>
                <w:sz w:val="24"/>
                <w:highlight w:val="none"/>
                <w:lang w:val="en-US" w:eastAsia="zh-CN"/>
                <w14:textFill>
                  <w14:solidFill>
                    <w14:schemeClr w14:val="tx1"/>
                  </w14:solidFill>
                </w14:textFill>
              </w:rPr>
              <w:t>防漏、</w:t>
            </w:r>
            <w:r>
              <w:rPr>
                <w:rFonts w:hint="eastAsia" w:ascii="Times New Roman" w:hAnsi="Times New Roman" w:eastAsia="宋体" w:cs="Times New Roman"/>
                <w:color w:val="000000" w:themeColor="text1"/>
                <w:kern w:val="2"/>
                <w:sz w:val="24"/>
                <w:highlight w:val="none"/>
                <w:lang w:val="en-US" w:eastAsia="zh-CN"/>
                <w14:textFill>
                  <w14:solidFill>
                    <w14:schemeClr w14:val="tx1"/>
                  </w14:solidFill>
                </w14:textFill>
              </w:rPr>
              <w:t>防</w:t>
            </w:r>
            <w:r>
              <w:rPr>
                <w:rFonts w:hint="eastAsia" w:cs="Times New Roman"/>
                <w:color w:val="000000" w:themeColor="text1"/>
                <w:kern w:val="2"/>
                <w:sz w:val="24"/>
                <w:highlight w:val="none"/>
                <w:lang w:val="en-US" w:eastAsia="zh-CN"/>
                <w14:textFill>
                  <w14:solidFill>
                    <w14:schemeClr w14:val="tx1"/>
                  </w14:solidFill>
                </w14:textFill>
              </w:rPr>
              <w:t>渗、防腐</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措施</w:t>
            </w:r>
            <w:r>
              <w:rPr>
                <w:rFonts w:hint="eastAsia" w:cs="Times New Roman"/>
                <w:color w:val="000000" w:themeColor="text1"/>
                <w:spacing w:val="0"/>
                <w:sz w:val="24"/>
                <w:szCs w:val="24"/>
                <w:highlight w:val="none"/>
                <w:lang w:val="en-US" w:eastAsia="zh-CN"/>
                <w14:textFill>
                  <w14:solidFill>
                    <w14:schemeClr w14:val="tx1"/>
                  </w14:solidFill>
                </w14:textFill>
              </w:rPr>
              <w:t>，具</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有足够地面承载能力，并能确保雨水不会流至贮存设施内，贮存设施</w:t>
            </w:r>
            <w:r>
              <w:rPr>
                <w:rFonts w:hint="eastAsia" w:cs="Times New Roman"/>
                <w:color w:val="000000" w:themeColor="text1"/>
                <w:spacing w:val="0"/>
                <w:sz w:val="24"/>
                <w:szCs w:val="24"/>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封闭</w:t>
            </w:r>
            <w:r>
              <w:rPr>
                <w:rFonts w:hint="eastAsia" w:cs="Times New Roman"/>
                <w:color w:val="000000" w:themeColor="text1"/>
                <w:spacing w:val="0"/>
                <w:sz w:val="24"/>
                <w:szCs w:val="24"/>
                <w:highlight w:val="none"/>
                <w:lang w:val="en-US" w:eastAsia="zh-CN"/>
                <w14:textFill>
                  <w14:solidFill>
                    <w14:schemeClr w14:val="tx1"/>
                  </w14:solidFill>
                </w14:textFill>
              </w:rPr>
              <w:t>式，</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加强对</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废矿物油</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贮存包装的管理，一旦发现有破损现象须及时更换包装，防止发生泄漏进入土壤及地下水</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p>
          <w:p w14:paraId="478A87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严禁火源进入</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危废贮存</w:t>
            </w:r>
            <w:r>
              <w:rPr>
                <w:rFonts w:hint="eastAsia" w:cs="Times New Roman"/>
                <w:color w:val="000000" w:themeColor="text1"/>
                <w:spacing w:val="0"/>
                <w:sz w:val="24"/>
                <w:szCs w:val="24"/>
                <w:highlight w:val="none"/>
                <w:lang w:val="en-US" w:eastAsia="zh-CN"/>
                <w14:textFill>
                  <w14:solidFill>
                    <w14:schemeClr w14:val="tx1"/>
                  </w14:solidFill>
                </w14:textFill>
              </w:rPr>
              <w:t>点</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，对明火严格控制。配置相应的灭火装置和设施，如灭火器、消防砂、消火栓等，并保持完好。值班人员应掌握一般消防知识。</w:t>
            </w:r>
          </w:p>
          <w:p w14:paraId="7AE690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baseline"/>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4.10.</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bookmarkStart w:id="12" w:name="_Toc164788227"/>
            <w:bookmarkStart w:id="13" w:name="_Toc179601982"/>
            <w:bookmarkStart w:id="14" w:name="_Toc219170345"/>
            <w:bookmarkStart w:id="15" w:name="_Toc157591136"/>
            <w:bookmarkStart w:id="16" w:name="_Toc306609410"/>
            <w:bookmarkStart w:id="17" w:name="_Toc222586620"/>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环境风险应急预案</w:t>
            </w:r>
            <w:bookmarkEnd w:id="12"/>
            <w:bookmarkEnd w:id="13"/>
            <w:bookmarkEnd w:id="14"/>
            <w:bookmarkEnd w:id="15"/>
            <w:bookmarkEnd w:id="16"/>
            <w:bookmarkEnd w:id="17"/>
          </w:p>
          <w:p w14:paraId="1B07B9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对可能发生的事故，应制定应急计划，使各部门在事故发生后能有步骤、有秩序地采取各项应急措施。</w:t>
            </w:r>
          </w:p>
          <w:p w14:paraId="6F6577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（1）事故发生后，应根据具体情况采取应急措施，切断泄漏源、火源，控制事故扩大，同时通知控制室，根据事故类型、大小启动相应的应急预案；</w:t>
            </w:r>
          </w:p>
          <w:p w14:paraId="70AE55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（2）发生重大事故，应立即上报相关部门，启动社会救援系统，就近地区调拨到专业救援队伍协助处理；</w:t>
            </w:r>
          </w:p>
          <w:p w14:paraId="20A67B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（3）事故发生后，应立即通知当地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生态环境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、消防等部门，进行救援与监控。</w:t>
            </w:r>
          </w:p>
          <w:p w14:paraId="006B60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表4</w:t>
            </w:r>
            <w:r>
              <w:rPr>
                <w:rFonts w:hint="eastAsia" w:cs="Times New Roman"/>
                <w:b/>
                <w:bCs/>
                <w:color w:val="000000" w:themeColor="text1"/>
                <w:kern w:val="2"/>
                <w:sz w:val="21"/>
                <w:szCs w:val="21"/>
                <w:highlight w:val="none"/>
                <w:lang w:val="en-US" w:eastAsia="zh-CN" w:bidi="ar-SA"/>
                <w14:textFill>
                  <w14:solidFill>
                    <w14:schemeClr w14:val="tx1"/>
                  </w14:solidFill>
                </w14:textFill>
              </w:rPr>
              <w:t>.10-2</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环境风险应急预案内容一览表</w:t>
            </w:r>
          </w:p>
          <w:tbl>
            <w:tblPr>
              <w:tblStyle w:val="30"/>
              <w:tblW w:w="80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2599"/>
              <w:gridCol w:w="4777"/>
            </w:tblGrid>
            <w:tr w14:paraId="453A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2FD876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序号</w:t>
                  </w:r>
                </w:p>
              </w:tc>
              <w:tc>
                <w:tcPr>
                  <w:tcW w:w="2599" w:type="dxa"/>
                  <w:tcBorders>
                    <w:tl2br w:val="nil"/>
                    <w:tr2bl w:val="nil"/>
                  </w:tcBorders>
                  <w:vAlign w:val="center"/>
                </w:tcPr>
                <w:p w14:paraId="483617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项目</w:t>
                  </w:r>
                </w:p>
              </w:tc>
              <w:tc>
                <w:tcPr>
                  <w:tcW w:w="4777" w:type="dxa"/>
                  <w:tcBorders>
                    <w:tl2br w:val="nil"/>
                    <w:tr2bl w:val="nil"/>
                  </w:tcBorders>
                  <w:vAlign w:val="center"/>
                </w:tcPr>
                <w:p w14:paraId="5EE6BD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内容及要求</w:t>
                  </w:r>
                </w:p>
              </w:tc>
            </w:tr>
            <w:tr w14:paraId="7A42D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1AEBD1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w:t>
                  </w:r>
                </w:p>
              </w:tc>
              <w:tc>
                <w:tcPr>
                  <w:tcW w:w="2599" w:type="dxa"/>
                  <w:tcBorders>
                    <w:tl2br w:val="nil"/>
                    <w:tr2bl w:val="nil"/>
                  </w:tcBorders>
                  <w:vAlign w:val="center"/>
                </w:tcPr>
                <w:p w14:paraId="08B68A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应急计划区</w:t>
                  </w:r>
                </w:p>
              </w:tc>
              <w:tc>
                <w:tcPr>
                  <w:tcW w:w="4777" w:type="dxa"/>
                  <w:tcBorders>
                    <w:tl2br w:val="nil"/>
                    <w:tr2bl w:val="nil"/>
                  </w:tcBorders>
                  <w:vAlign w:val="center"/>
                </w:tcPr>
                <w:p w14:paraId="50D0D3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危险目标：危废贮存库</w:t>
                  </w:r>
                </w:p>
              </w:tc>
            </w:tr>
            <w:tr w14:paraId="5167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4982F8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2</w:t>
                  </w:r>
                </w:p>
              </w:tc>
              <w:tc>
                <w:tcPr>
                  <w:tcW w:w="2599" w:type="dxa"/>
                  <w:tcBorders>
                    <w:tl2br w:val="nil"/>
                    <w:tr2bl w:val="nil"/>
                  </w:tcBorders>
                  <w:vAlign w:val="center"/>
                </w:tcPr>
                <w:p w14:paraId="4728C5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应急组织</w:t>
                  </w:r>
                </w:p>
              </w:tc>
              <w:tc>
                <w:tcPr>
                  <w:tcW w:w="4777" w:type="dxa"/>
                  <w:tcBorders>
                    <w:tl2br w:val="nil"/>
                    <w:tr2bl w:val="nil"/>
                  </w:tcBorders>
                  <w:vAlign w:val="center"/>
                </w:tcPr>
                <w:p w14:paraId="237936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企业应急组织机构及人员</w:t>
                  </w:r>
                </w:p>
              </w:tc>
            </w:tr>
            <w:tr w14:paraId="1401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243960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3</w:t>
                  </w:r>
                </w:p>
              </w:tc>
              <w:tc>
                <w:tcPr>
                  <w:tcW w:w="2599" w:type="dxa"/>
                  <w:tcBorders>
                    <w:tl2br w:val="nil"/>
                    <w:tr2bl w:val="nil"/>
                  </w:tcBorders>
                  <w:vAlign w:val="center"/>
                </w:tcPr>
                <w:p w14:paraId="38E679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预案分级响应条件</w:t>
                  </w:r>
                </w:p>
              </w:tc>
              <w:tc>
                <w:tcPr>
                  <w:tcW w:w="4777" w:type="dxa"/>
                  <w:tcBorders>
                    <w:tl2br w:val="nil"/>
                    <w:tr2bl w:val="nil"/>
                  </w:tcBorders>
                  <w:vAlign w:val="center"/>
                </w:tcPr>
                <w:p w14:paraId="630ECC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规定预案的级别及分级响应条件</w:t>
                  </w:r>
                </w:p>
              </w:tc>
            </w:tr>
            <w:tr w14:paraId="3C5D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0C43BE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w:t>
                  </w:r>
                </w:p>
              </w:tc>
              <w:tc>
                <w:tcPr>
                  <w:tcW w:w="2599" w:type="dxa"/>
                  <w:tcBorders>
                    <w:tl2br w:val="nil"/>
                    <w:tr2bl w:val="nil"/>
                  </w:tcBorders>
                  <w:vAlign w:val="center"/>
                </w:tcPr>
                <w:p w14:paraId="5E4E59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应急救援保障</w:t>
                  </w:r>
                </w:p>
              </w:tc>
              <w:tc>
                <w:tcPr>
                  <w:tcW w:w="4777" w:type="dxa"/>
                  <w:tcBorders>
                    <w:tl2br w:val="nil"/>
                    <w:tr2bl w:val="nil"/>
                  </w:tcBorders>
                  <w:vAlign w:val="center"/>
                </w:tcPr>
                <w:p w14:paraId="101D3B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应急设施、设备及器材等</w:t>
                  </w:r>
                </w:p>
              </w:tc>
            </w:tr>
            <w:tr w14:paraId="2959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4AB544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5</w:t>
                  </w:r>
                </w:p>
              </w:tc>
              <w:tc>
                <w:tcPr>
                  <w:tcW w:w="2599" w:type="dxa"/>
                  <w:tcBorders>
                    <w:tl2br w:val="nil"/>
                    <w:tr2bl w:val="nil"/>
                  </w:tcBorders>
                  <w:vAlign w:val="center"/>
                </w:tcPr>
                <w:p w14:paraId="65BA19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应急通讯通告与交通</w:t>
                  </w:r>
                </w:p>
              </w:tc>
              <w:tc>
                <w:tcPr>
                  <w:tcW w:w="4777" w:type="dxa"/>
                  <w:tcBorders>
                    <w:tl2br w:val="nil"/>
                    <w:tr2bl w:val="nil"/>
                  </w:tcBorders>
                  <w:vAlign w:val="center"/>
                </w:tcPr>
                <w:p w14:paraId="7701D0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规定应急状态下的通讯、通告方式和交通保障、管制等事项</w:t>
                  </w:r>
                </w:p>
              </w:tc>
            </w:tr>
            <w:tr w14:paraId="13F4F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016FC5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6</w:t>
                  </w:r>
                </w:p>
              </w:tc>
              <w:tc>
                <w:tcPr>
                  <w:tcW w:w="2599" w:type="dxa"/>
                  <w:tcBorders>
                    <w:tl2br w:val="nil"/>
                    <w:tr2bl w:val="nil"/>
                  </w:tcBorders>
                  <w:vAlign w:val="center"/>
                </w:tcPr>
                <w:p w14:paraId="787731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应急环境监测及事故评估</w:t>
                  </w:r>
                </w:p>
              </w:tc>
              <w:tc>
                <w:tcPr>
                  <w:tcW w:w="4777" w:type="dxa"/>
                  <w:tcBorders>
                    <w:tl2br w:val="nil"/>
                    <w:tr2bl w:val="nil"/>
                  </w:tcBorders>
                  <w:vAlign w:val="center"/>
                </w:tcPr>
                <w:p w14:paraId="226B9D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由专业人员对环境风险事故现场进行应急监测，对事故性质、严重程度等所造成的环境危害后果进行评估，吸取经验教</w:t>
                  </w:r>
                  <w:r>
                    <w:rPr>
                      <w:rFonts w:hint="eastAsia" w:cs="Times New Roman"/>
                      <w:color w:val="000000" w:themeColor="text1"/>
                      <w:kern w:val="0"/>
                      <w:sz w:val="21"/>
                      <w:szCs w:val="21"/>
                      <w:highlight w:val="none"/>
                      <w:lang w:val="en-US" w:eastAsia="zh-CN" w:bidi="ar-SA"/>
                      <w14:textFill>
                        <w14:solidFill>
                          <w14:schemeClr w14:val="tx1"/>
                        </w14:solidFill>
                      </w14:textFill>
                    </w:rPr>
                    <w:t>训避</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免再次发生事故，为指挥部门提供决策依据。</w:t>
                  </w:r>
                </w:p>
              </w:tc>
            </w:tr>
            <w:tr w14:paraId="3C48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532C28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7</w:t>
                  </w:r>
                </w:p>
              </w:tc>
              <w:tc>
                <w:tcPr>
                  <w:tcW w:w="2599" w:type="dxa"/>
                  <w:tcBorders>
                    <w:tl2br w:val="nil"/>
                    <w:tr2bl w:val="nil"/>
                  </w:tcBorders>
                  <w:vAlign w:val="center"/>
                </w:tcPr>
                <w:p w14:paraId="1CDB0D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应急防护措施</w:t>
                  </w:r>
                </w:p>
              </w:tc>
              <w:tc>
                <w:tcPr>
                  <w:tcW w:w="4777" w:type="dxa"/>
                  <w:tcBorders>
                    <w:tl2br w:val="nil"/>
                    <w:tr2bl w:val="nil"/>
                  </w:tcBorders>
                  <w:vAlign w:val="center"/>
                </w:tcPr>
                <w:p w14:paraId="7622E6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事故现场：控制事故发展，防止扩大、蔓延及连锁反应；相应的设施器材配备；临近地区：控制防火区域，控制和消除环境污染的措施及相应的设备设施。</w:t>
                  </w:r>
                </w:p>
              </w:tc>
            </w:tr>
            <w:tr w14:paraId="206F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37D0D5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8</w:t>
                  </w:r>
                </w:p>
              </w:tc>
              <w:tc>
                <w:tcPr>
                  <w:tcW w:w="2599" w:type="dxa"/>
                  <w:tcBorders>
                    <w:tl2br w:val="nil"/>
                    <w:tr2bl w:val="nil"/>
                  </w:tcBorders>
                  <w:vAlign w:val="center"/>
                </w:tcPr>
                <w:p w14:paraId="29BE5F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撤离组织计划，医疗救护与公众健康</w:t>
                  </w:r>
                </w:p>
              </w:tc>
              <w:tc>
                <w:tcPr>
                  <w:tcW w:w="4777" w:type="dxa"/>
                  <w:tcBorders>
                    <w:tl2br w:val="nil"/>
                    <w:tr2bl w:val="nil"/>
                  </w:tcBorders>
                  <w:vAlign w:val="center"/>
                </w:tcPr>
                <w:p w14:paraId="423188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事故现场：事故处理人员、现场及临近人员的撤离组织计划和紧急救护方案；邻近地区：制定受事故影响的临近地区人员的疏散组织计划和紧急救护方案。</w:t>
                  </w:r>
                </w:p>
              </w:tc>
            </w:tr>
            <w:tr w14:paraId="091B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6E0173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9</w:t>
                  </w:r>
                </w:p>
              </w:tc>
              <w:tc>
                <w:tcPr>
                  <w:tcW w:w="2599" w:type="dxa"/>
                  <w:tcBorders>
                    <w:tl2br w:val="nil"/>
                    <w:tr2bl w:val="nil"/>
                  </w:tcBorders>
                  <w:vAlign w:val="center"/>
                </w:tcPr>
                <w:p w14:paraId="327D92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应急状态终止恢复措施</w:t>
                  </w:r>
                </w:p>
              </w:tc>
              <w:tc>
                <w:tcPr>
                  <w:tcW w:w="4777" w:type="dxa"/>
                  <w:tcBorders>
                    <w:tl2br w:val="nil"/>
                    <w:tr2bl w:val="nil"/>
                  </w:tcBorders>
                  <w:vAlign w:val="center"/>
                </w:tcPr>
                <w:p w14:paraId="60038B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事故现场：规定应急状态终止秩序，事故善后处理，恢复生产措施；临近地区：解除事故警戒、公众返回和善后恢复措施。</w:t>
                  </w:r>
                </w:p>
              </w:tc>
            </w:tr>
            <w:tr w14:paraId="70700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5B20BA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10</w:t>
                  </w:r>
                </w:p>
              </w:tc>
              <w:tc>
                <w:tcPr>
                  <w:tcW w:w="2599" w:type="dxa"/>
                  <w:tcBorders>
                    <w:tl2br w:val="nil"/>
                    <w:tr2bl w:val="nil"/>
                  </w:tcBorders>
                  <w:vAlign w:val="center"/>
                </w:tcPr>
                <w:p w14:paraId="305273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人员培训与演习</w:t>
                  </w:r>
                </w:p>
              </w:tc>
              <w:tc>
                <w:tcPr>
                  <w:tcW w:w="4777" w:type="dxa"/>
                  <w:tcBorders>
                    <w:tl2br w:val="nil"/>
                    <w:tr2bl w:val="nil"/>
                  </w:tcBorders>
                  <w:vAlign w:val="center"/>
                </w:tcPr>
                <w:p w14:paraId="3559C4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应急计划制定后，平时安排事故处理人员进行相关知识培训、进行事故应急处理演习；对企业职工进行安全卫生教育。</w:t>
                  </w:r>
                </w:p>
              </w:tc>
            </w:tr>
            <w:tr w14:paraId="70DE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354F23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11</w:t>
                  </w:r>
                </w:p>
              </w:tc>
              <w:tc>
                <w:tcPr>
                  <w:tcW w:w="2599" w:type="dxa"/>
                  <w:tcBorders>
                    <w:tl2br w:val="nil"/>
                    <w:tr2bl w:val="nil"/>
                  </w:tcBorders>
                  <w:vAlign w:val="center"/>
                </w:tcPr>
                <w:p w14:paraId="63C72B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公众教育</w:t>
                  </w:r>
                </w:p>
              </w:tc>
              <w:tc>
                <w:tcPr>
                  <w:tcW w:w="4777" w:type="dxa"/>
                  <w:tcBorders>
                    <w:tl2br w:val="nil"/>
                    <w:tr2bl w:val="nil"/>
                  </w:tcBorders>
                  <w:vAlign w:val="center"/>
                </w:tcPr>
                <w:p w14:paraId="2A7907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对企业临近地区公众开展环境风险事故预防教育、应急知识培训并定期发布相关信息。</w:t>
                  </w:r>
                </w:p>
              </w:tc>
            </w:tr>
            <w:tr w14:paraId="01CB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38A466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12</w:t>
                  </w:r>
                </w:p>
              </w:tc>
              <w:tc>
                <w:tcPr>
                  <w:tcW w:w="2599" w:type="dxa"/>
                  <w:tcBorders>
                    <w:tl2br w:val="nil"/>
                    <w:tr2bl w:val="nil"/>
                  </w:tcBorders>
                  <w:vAlign w:val="center"/>
                </w:tcPr>
                <w:p w14:paraId="7A8069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记录和报告</w:t>
                  </w:r>
                </w:p>
              </w:tc>
              <w:tc>
                <w:tcPr>
                  <w:tcW w:w="4777" w:type="dxa"/>
                  <w:tcBorders>
                    <w:tl2br w:val="nil"/>
                    <w:tr2bl w:val="nil"/>
                  </w:tcBorders>
                  <w:vAlign w:val="center"/>
                </w:tcPr>
                <w:p w14:paraId="3BDEDB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设立</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应急事故专门记录，建立档案和报告制度，设专门部门负责管理。</w:t>
                  </w:r>
                </w:p>
              </w:tc>
            </w:tr>
            <w:tr w14:paraId="4E70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dxa"/>
                  <w:tcBorders>
                    <w:tl2br w:val="nil"/>
                    <w:tr2bl w:val="nil"/>
                  </w:tcBorders>
                  <w:vAlign w:val="center"/>
                </w:tcPr>
                <w:p w14:paraId="4D45DE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13</w:t>
                  </w:r>
                </w:p>
              </w:tc>
              <w:tc>
                <w:tcPr>
                  <w:tcW w:w="2599" w:type="dxa"/>
                  <w:tcBorders>
                    <w:tl2br w:val="nil"/>
                    <w:tr2bl w:val="nil"/>
                  </w:tcBorders>
                  <w:vAlign w:val="center"/>
                </w:tcPr>
                <w:p w14:paraId="7609B7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附件</w:t>
                  </w:r>
                </w:p>
              </w:tc>
              <w:tc>
                <w:tcPr>
                  <w:tcW w:w="4777" w:type="dxa"/>
                  <w:tcBorders>
                    <w:tl2br w:val="nil"/>
                    <w:tr2bl w:val="nil"/>
                  </w:tcBorders>
                  <w:vAlign w:val="center"/>
                </w:tcPr>
                <w:p w14:paraId="5B0121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准备并形成环境风险事故应急处理有关的附件材料</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r>
          </w:tbl>
          <w:p w14:paraId="5F001DE8">
            <w:pPr>
              <w:keepNext w:val="0"/>
              <w:keepLines w:val="0"/>
              <w:widowControl w:val="0"/>
              <w:suppressLineNumbers w:val="0"/>
              <w:spacing w:before="0" w:beforeAutospacing="0" w:after="0" w:afterAutospacing="0" w:line="480" w:lineRule="exact"/>
              <w:ind w:left="0" w:right="0" w:firstLine="482" w:firstLineChars="200"/>
              <w:jc w:val="both"/>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4.10.</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5环境风险评价小结</w:t>
            </w:r>
          </w:p>
          <w:p w14:paraId="271A75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本次评价通过对项目可能发生的环境风险事故进行定性分析，在采取</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应急</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防范措施、综合管理措施、制定风险应急预案等措施后，可将泄漏、火灾等事故对环境的影响减少到最低和可接受范围，避免使项目本身及周边环境遭受损失。</w:t>
            </w:r>
          </w:p>
          <w:p w14:paraId="624D79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因此，在加强对各类风险的管理，做到各项管理措施及要求后，本项目风险处于可接受水平，风险管理措施有效、可靠，从风险角度而言是可行的</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70F2F8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default"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4.11</w:t>
            </w:r>
            <w:r>
              <w:rPr>
                <w:rFonts w:hint="eastAsia" w:cs="Times New Roman"/>
                <w:b/>
                <w:bCs/>
                <w:color w:val="000000" w:themeColor="text1"/>
                <w:sz w:val="24"/>
                <w:szCs w:val="24"/>
                <w:highlight w:val="none"/>
                <w:lang w:val="en-US" w:eastAsia="zh-CN"/>
                <w14:textFill>
                  <w14:solidFill>
                    <w14:schemeClr w14:val="tx1"/>
                  </w14:solidFill>
                </w14:textFill>
              </w:rPr>
              <w:t>监测计划</w:t>
            </w:r>
          </w:p>
          <w:p w14:paraId="0A4EB7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根据《排污单位自行监测技术指南</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 xml:space="preserve"> 总则</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》（HJ819-2017）</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《排污许可证申请与核发技术规范 石墨及其他非金属矿物制品制造》（HJ 1119）等要求制定监测计划</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见下表。</w:t>
            </w:r>
          </w:p>
          <w:p w14:paraId="02D665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表4</w:t>
            </w:r>
            <w:r>
              <w:rPr>
                <w:rFonts w:hint="eastAsia" w:cs="Times New Roman"/>
                <w:b/>
                <w:bCs/>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1</w:t>
            </w:r>
            <w:r>
              <w:rPr>
                <w:rFonts w:hint="eastAsia" w:cs="Times New Roman"/>
                <w:b/>
                <w:bCs/>
                <w:color w:val="000000" w:themeColor="text1"/>
                <w:kern w:val="2"/>
                <w:sz w:val="21"/>
                <w:szCs w:val="21"/>
                <w:highlight w:val="none"/>
                <w:lang w:val="en-US" w:eastAsia="zh-CN" w:bidi="ar-SA"/>
                <w14:textFill>
                  <w14:solidFill>
                    <w14:schemeClr w14:val="tx1"/>
                  </w14:solidFill>
                </w14:textFill>
              </w:rPr>
              <w:t>1-1</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污染源监测计划一览表</w:t>
            </w:r>
          </w:p>
          <w:tbl>
            <w:tblPr>
              <w:tblStyle w:val="30"/>
              <w:tblW w:w="79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3185"/>
              <w:gridCol w:w="927"/>
              <w:gridCol w:w="1950"/>
              <w:gridCol w:w="1123"/>
            </w:tblGrid>
            <w:tr w14:paraId="780D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tcBorders>
                    <w:tl2br w:val="nil"/>
                    <w:tr2bl w:val="nil"/>
                  </w:tcBorders>
                  <w:vAlign w:val="center"/>
                </w:tcPr>
                <w:p w14:paraId="18F5C5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t>类别</w:t>
                  </w:r>
                </w:p>
              </w:tc>
              <w:tc>
                <w:tcPr>
                  <w:tcW w:w="3185" w:type="dxa"/>
                  <w:tcBorders>
                    <w:tl2br w:val="nil"/>
                    <w:tr2bl w:val="nil"/>
                  </w:tcBorders>
                  <w:vAlign w:val="center"/>
                </w:tcPr>
                <w:p w14:paraId="7E58F0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监测点位</w:t>
                  </w:r>
                </w:p>
              </w:tc>
              <w:tc>
                <w:tcPr>
                  <w:tcW w:w="927" w:type="dxa"/>
                  <w:tcBorders>
                    <w:tl2br w:val="nil"/>
                    <w:tr2bl w:val="nil"/>
                  </w:tcBorders>
                  <w:vAlign w:val="center"/>
                </w:tcPr>
                <w:p w14:paraId="7F0153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color w:val="000000" w:themeColor="text1"/>
                      <w:kern w:val="2"/>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u w:val="none"/>
                      <w:lang w:val="en-US" w:eastAsia="zh-CN"/>
                      <w14:textFill>
                        <w14:solidFill>
                          <w14:schemeClr w14:val="tx1"/>
                        </w14:solidFill>
                      </w14:textFill>
                    </w:rPr>
                    <w:t>点数</w:t>
                  </w:r>
                </w:p>
              </w:tc>
              <w:tc>
                <w:tcPr>
                  <w:tcW w:w="1950" w:type="dxa"/>
                  <w:tcBorders>
                    <w:tl2br w:val="nil"/>
                    <w:tr2bl w:val="nil"/>
                  </w:tcBorders>
                  <w:vAlign w:val="center"/>
                </w:tcPr>
                <w:p w14:paraId="7230FC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2"/>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t>监测项目</w:t>
                  </w:r>
                </w:p>
              </w:tc>
              <w:tc>
                <w:tcPr>
                  <w:tcW w:w="1123" w:type="dxa"/>
                  <w:tcBorders>
                    <w:tl2br w:val="nil"/>
                    <w:tr2bl w:val="nil"/>
                  </w:tcBorders>
                  <w:vAlign w:val="center"/>
                </w:tcPr>
                <w:p w14:paraId="422E83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color w:val="000000" w:themeColor="text1"/>
                      <w:kern w:val="2"/>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监测</w:t>
                  </w:r>
                  <w:r>
                    <w:rPr>
                      <w:rFonts w:hint="eastAsia"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t>频次</w:t>
                  </w:r>
                </w:p>
              </w:tc>
            </w:tr>
            <w:tr w14:paraId="06A8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restart"/>
                  <w:tcBorders>
                    <w:tl2br w:val="nil"/>
                    <w:tr2bl w:val="nil"/>
                  </w:tcBorders>
                  <w:vAlign w:val="center"/>
                </w:tcPr>
                <w:p w14:paraId="3E1A9D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废气</w:t>
                  </w:r>
                </w:p>
              </w:tc>
              <w:tc>
                <w:tcPr>
                  <w:tcW w:w="3185" w:type="dxa"/>
                  <w:tcBorders>
                    <w:tl2br w:val="nil"/>
                    <w:tr2bl w:val="nil"/>
                  </w:tcBorders>
                  <w:vAlign w:val="center"/>
                </w:tcPr>
                <w:p w14:paraId="1C95666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给料、破碎废气</w:t>
                  </w: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排放口</w:t>
                  </w:r>
                </w:p>
              </w:tc>
              <w:tc>
                <w:tcPr>
                  <w:tcW w:w="927" w:type="dxa"/>
                  <w:tcBorders>
                    <w:tl2br w:val="nil"/>
                    <w:tr2bl w:val="nil"/>
                  </w:tcBorders>
                  <w:vAlign w:val="center"/>
                </w:tcPr>
                <w:p w14:paraId="7E0AEFEA">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1个</w:t>
                  </w:r>
                </w:p>
              </w:tc>
              <w:tc>
                <w:tcPr>
                  <w:tcW w:w="1950" w:type="dxa"/>
                  <w:tcBorders>
                    <w:tl2br w:val="nil"/>
                    <w:tr2bl w:val="nil"/>
                  </w:tcBorders>
                  <w:vAlign w:val="center"/>
                </w:tcPr>
                <w:p w14:paraId="1AC3D7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颗粒物</w:t>
                  </w:r>
                </w:p>
              </w:tc>
              <w:tc>
                <w:tcPr>
                  <w:tcW w:w="1123" w:type="dxa"/>
                  <w:tcBorders>
                    <w:tl2br w:val="nil"/>
                    <w:tr2bl w:val="nil"/>
                  </w:tcBorders>
                  <w:vAlign w:val="center"/>
                </w:tcPr>
                <w:p w14:paraId="74D745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1次/年</w:t>
                  </w:r>
                </w:p>
              </w:tc>
            </w:tr>
            <w:tr w14:paraId="1144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vAlign w:val="center"/>
                </w:tcPr>
                <w:p w14:paraId="62DDEA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3185" w:type="dxa"/>
                  <w:tcBorders>
                    <w:tl2br w:val="nil"/>
                    <w:tr2bl w:val="nil"/>
                  </w:tcBorders>
                  <w:vAlign w:val="center"/>
                </w:tcPr>
                <w:p w14:paraId="4DC9B5CA">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制砂、筛分废气排放口</w:t>
                  </w:r>
                </w:p>
              </w:tc>
              <w:tc>
                <w:tcPr>
                  <w:tcW w:w="927" w:type="dxa"/>
                  <w:tcBorders>
                    <w:tl2br w:val="nil"/>
                    <w:tr2bl w:val="nil"/>
                  </w:tcBorders>
                  <w:vAlign w:val="center"/>
                </w:tcPr>
                <w:p w14:paraId="79FCF0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个</w:t>
                  </w:r>
                </w:p>
              </w:tc>
              <w:tc>
                <w:tcPr>
                  <w:tcW w:w="1950" w:type="dxa"/>
                  <w:tcBorders>
                    <w:tl2br w:val="nil"/>
                    <w:tr2bl w:val="nil"/>
                  </w:tcBorders>
                  <w:vAlign w:val="center"/>
                </w:tcPr>
                <w:p w14:paraId="5FCABC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颗粒物</w:t>
                  </w:r>
                </w:p>
              </w:tc>
              <w:tc>
                <w:tcPr>
                  <w:tcW w:w="1123" w:type="dxa"/>
                  <w:tcBorders>
                    <w:tl2br w:val="nil"/>
                    <w:tr2bl w:val="nil"/>
                  </w:tcBorders>
                  <w:vAlign w:val="center"/>
                </w:tcPr>
                <w:p w14:paraId="0C55F4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1次/年</w:t>
                  </w:r>
                </w:p>
              </w:tc>
            </w:tr>
            <w:tr w14:paraId="4C7D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vAlign w:val="center"/>
                </w:tcPr>
                <w:p w14:paraId="20A649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3185" w:type="dxa"/>
                  <w:tcBorders>
                    <w:tl2br w:val="nil"/>
                    <w:tr2bl w:val="nil"/>
                  </w:tcBorders>
                  <w:vAlign w:val="center"/>
                </w:tcPr>
                <w:p w14:paraId="24AF68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厂界</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上风向1个点位，下风向</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个点位</w:t>
                  </w:r>
                </w:p>
              </w:tc>
              <w:tc>
                <w:tcPr>
                  <w:tcW w:w="927" w:type="dxa"/>
                  <w:tcBorders>
                    <w:tl2br w:val="nil"/>
                    <w:tr2bl w:val="nil"/>
                  </w:tcBorders>
                  <w:vAlign w:val="center"/>
                </w:tcPr>
                <w:p w14:paraId="046584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5个</w:t>
                  </w:r>
                </w:p>
              </w:tc>
              <w:tc>
                <w:tcPr>
                  <w:tcW w:w="1950" w:type="dxa"/>
                  <w:tcBorders>
                    <w:tl2br w:val="nil"/>
                    <w:tr2bl w:val="nil"/>
                  </w:tcBorders>
                  <w:vAlign w:val="center"/>
                </w:tcPr>
                <w:p w14:paraId="201131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颗粒物</w:t>
                  </w:r>
                </w:p>
              </w:tc>
              <w:tc>
                <w:tcPr>
                  <w:tcW w:w="1123" w:type="dxa"/>
                  <w:tcBorders>
                    <w:tl2br w:val="nil"/>
                    <w:tr2bl w:val="nil"/>
                  </w:tcBorders>
                  <w:vAlign w:val="center"/>
                </w:tcPr>
                <w:p w14:paraId="1EF372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1次/年</w:t>
                  </w:r>
                </w:p>
              </w:tc>
            </w:tr>
            <w:tr w14:paraId="061F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tcBorders>
                    <w:tl2br w:val="nil"/>
                    <w:tr2bl w:val="nil"/>
                  </w:tcBorders>
                  <w:vAlign w:val="center"/>
                </w:tcPr>
                <w:p w14:paraId="58F304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噪声</w:t>
                  </w:r>
                </w:p>
              </w:tc>
              <w:tc>
                <w:tcPr>
                  <w:tcW w:w="3185" w:type="dxa"/>
                  <w:tcBorders>
                    <w:tl2br w:val="nil"/>
                    <w:tr2bl w:val="nil"/>
                  </w:tcBorders>
                  <w:vAlign w:val="center"/>
                </w:tcPr>
                <w:p w14:paraId="0E3163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厂界四周外1m</w:t>
                  </w:r>
                </w:p>
              </w:tc>
              <w:tc>
                <w:tcPr>
                  <w:tcW w:w="927" w:type="dxa"/>
                  <w:tcBorders>
                    <w:tl2br w:val="nil"/>
                    <w:tr2bl w:val="nil"/>
                  </w:tcBorders>
                  <w:vAlign w:val="center"/>
                </w:tcPr>
                <w:p w14:paraId="776661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个</w:t>
                  </w:r>
                </w:p>
              </w:tc>
              <w:tc>
                <w:tcPr>
                  <w:tcW w:w="1950" w:type="dxa"/>
                  <w:tcBorders>
                    <w:tl2br w:val="nil"/>
                    <w:tr2bl w:val="nil"/>
                  </w:tcBorders>
                  <w:vAlign w:val="center"/>
                </w:tcPr>
                <w:p w14:paraId="2846AF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L</w:t>
                  </w:r>
                  <w:r>
                    <w:rPr>
                      <w:rFonts w:hint="eastAsia" w:ascii="Times New Roman" w:hAnsi="Times New Roman" w:eastAsia="宋体" w:cs="Times New Roman"/>
                      <w:color w:val="000000" w:themeColor="text1"/>
                      <w:szCs w:val="21"/>
                      <w:highlight w:val="none"/>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、L</w:t>
                  </w:r>
                  <w:r>
                    <w:rPr>
                      <w:rFonts w:hint="eastAsia" w:ascii="Times New Roman" w:hAnsi="Times New Roman" w:eastAsia="宋体" w:cs="Times New Roman"/>
                      <w:color w:val="000000" w:themeColor="text1"/>
                      <w:szCs w:val="21"/>
                      <w:highlight w:val="none"/>
                      <w:vertAlign w:val="subscript"/>
                      <w:lang w:val="en-US" w:eastAsia="zh-CN"/>
                      <w14:textFill>
                        <w14:solidFill>
                          <w14:schemeClr w14:val="tx1"/>
                        </w14:solidFill>
                      </w14:textFill>
                    </w:rPr>
                    <w:t>50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、L</w:t>
                  </w:r>
                  <w:r>
                    <w:rPr>
                      <w:rFonts w:hint="eastAsia" w:ascii="Times New Roman" w:hAnsi="Times New Roman" w:eastAsia="宋体" w:cs="Times New Roman"/>
                      <w:color w:val="000000" w:themeColor="text1"/>
                      <w:szCs w:val="21"/>
                      <w:highlight w:val="none"/>
                      <w:vertAlign w:val="subscript"/>
                      <w:lang w:val="en-US" w:eastAsia="zh-CN"/>
                      <w14:textFill>
                        <w14:solidFill>
                          <w14:schemeClr w14:val="tx1"/>
                        </w14:solidFill>
                      </w14:textFill>
                    </w:rPr>
                    <w:t>90</w:t>
                  </w:r>
                  <w:r>
                    <w:rPr>
                      <w:rFonts w:hint="eastAsia"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、Leq</w:t>
                  </w:r>
                </w:p>
              </w:tc>
              <w:tc>
                <w:tcPr>
                  <w:tcW w:w="1123" w:type="dxa"/>
                  <w:tcBorders>
                    <w:tl2br w:val="nil"/>
                    <w:tr2bl w:val="nil"/>
                  </w:tcBorders>
                  <w:vAlign w:val="center"/>
                </w:tcPr>
                <w:p w14:paraId="79E56F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1次/季</w:t>
                  </w:r>
                </w:p>
              </w:tc>
            </w:tr>
          </w:tbl>
          <w:p w14:paraId="15F39EED">
            <w:pPr>
              <w:keepNext/>
              <w:keepLines/>
              <w:pageBreakBefore w:val="0"/>
              <w:widowControl/>
              <w:numPr>
                <w:ilvl w:val="0"/>
                <w:numId w:val="0"/>
              </w:numPr>
              <w:suppressLineNumbers w:val="0"/>
              <w:kinsoku/>
              <w:wordWrap/>
              <w:overflowPunct/>
              <w:topLinePunct w:val="0"/>
              <w:autoSpaceDE/>
              <w:autoSpaceDN/>
              <w:bidi w:val="0"/>
              <w:adjustRightInd/>
              <w:snapToGrid/>
              <w:spacing w:before="0" w:beforeLines="0" w:beforeAutospacing="0" w:after="0" w:afterAutospacing="0" w:line="480" w:lineRule="exact"/>
              <w:ind w:left="0" w:leftChars="0" w:right="0" w:rightChars="0" w:firstLine="482" w:firstLineChars="200"/>
              <w:textAlignment w:val="auto"/>
              <w:outlineLvl w:val="9"/>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4.12</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环保投资估算</w:t>
            </w:r>
          </w:p>
          <w:p w14:paraId="6E92B8B3">
            <w:pPr>
              <w:keepNext w:val="0"/>
              <w:keepLines w:val="0"/>
              <w:suppressLineNumbers w:val="0"/>
              <w:spacing w:before="0" w:beforeAutospacing="0" w:after="0" w:afterAutospacing="0" w:line="480" w:lineRule="exact"/>
              <w:ind w:left="0" w:right="0" w:firstLine="480" w:firstLineChars="200"/>
              <w:jc w:val="both"/>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本项目总投资</w:t>
            </w:r>
            <w:r>
              <w:rPr>
                <w:rFonts w:hint="eastAsia" w:cs="Times New Roman"/>
                <w:color w:val="000000" w:themeColor="text1"/>
                <w:kern w:val="0"/>
                <w:sz w:val="24"/>
                <w:highlight w:val="none"/>
                <w:lang w:val="en-US" w:eastAsia="zh-CN"/>
                <w14:textFill>
                  <w14:solidFill>
                    <w14:schemeClr w14:val="tx1"/>
                  </w14:solidFill>
                </w14:textFill>
              </w:rPr>
              <w:t>60</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00</w:t>
            </w:r>
            <w:r>
              <w:rPr>
                <w:rFonts w:hint="default" w:ascii="Times New Roman" w:hAnsi="Times New Roman" w:eastAsia="宋体" w:cs="Times New Roman"/>
                <w:color w:val="000000" w:themeColor="text1"/>
                <w:kern w:val="0"/>
                <w:sz w:val="24"/>
                <w:highlight w:val="none"/>
                <w14:textFill>
                  <w14:solidFill>
                    <w14:schemeClr w14:val="tx1"/>
                  </w14:solidFill>
                </w14:textFill>
              </w:rPr>
              <w:t>万元</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其中，</w:t>
            </w:r>
            <w:r>
              <w:rPr>
                <w:rFonts w:hint="default" w:ascii="Times New Roman" w:hAnsi="Times New Roman" w:eastAsia="宋体" w:cs="Times New Roman"/>
                <w:color w:val="000000" w:themeColor="text1"/>
                <w:kern w:val="0"/>
                <w:sz w:val="24"/>
                <w:highlight w:val="none"/>
                <w14:textFill>
                  <w14:solidFill>
                    <w14:schemeClr w14:val="tx1"/>
                  </w14:solidFill>
                </w14:textFill>
              </w:rPr>
              <w:t>环保投资约</w:t>
            </w:r>
            <w:r>
              <w:rPr>
                <w:rFonts w:hint="eastAsia" w:cs="Times New Roman"/>
                <w:color w:val="000000" w:themeColor="text1"/>
                <w:kern w:val="0"/>
                <w:sz w:val="24"/>
                <w:highlight w:val="none"/>
                <w:lang w:val="en-US" w:eastAsia="zh-CN"/>
                <w14:textFill>
                  <w14:solidFill>
                    <w14:schemeClr w14:val="tx1"/>
                  </w14:solidFill>
                </w14:textFill>
              </w:rPr>
              <w:t>103</w:t>
            </w:r>
            <w:r>
              <w:rPr>
                <w:rFonts w:hint="default" w:ascii="Times New Roman" w:hAnsi="Times New Roman" w:eastAsia="宋体" w:cs="Times New Roman"/>
                <w:color w:val="000000" w:themeColor="text1"/>
                <w:kern w:val="0"/>
                <w:sz w:val="24"/>
                <w:highlight w:val="none"/>
                <w14:textFill>
                  <w14:solidFill>
                    <w14:schemeClr w14:val="tx1"/>
                  </w14:solidFill>
                </w14:textFill>
              </w:rPr>
              <w:t>万元</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14:textFill>
                  <w14:solidFill>
                    <w14:schemeClr w14:val="tx1"/>
                  </w14:solidFill>
                </w14:textFill>
              </w:rPr>
              <w:t>占总投资比例为</w:t>
            </w:r>
            <w:r>
              <w:rPr>
                <w:rFonts w:hint="eastAsia" w:cs="Times New Roman"/>
                <w:color w:val="000000" w:themeColor="text1"/>
                <w:kern w:val="0"/>
                <w:sz w:val="24"/>
                <w:highlight w:val="none"/>
                <w:lang w:val="en-US" w:eastAsia="zh-CN"/>
                <w14:textFill>
                  <w14:solidFill>
                    <w14:schemeClr w14:val="tx1"/>
                  </w14:solidFill>
                </w14:textFill>
              </w:rPr>
              <w:t>1.72</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14:textFill>
                  <w14:solidFill>
                    <w14:schemeClr w14:val="tx1"/>
                  </w14:solidFill>
                </w14:textFill>
              </w:rPr>
              <w:t>。具体见表</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4</w:t>
            </w:r>
            <w:r>
              <w:rPr>
                <w:rFonts w:hint="eastAsia" w:cs="Times New Roman"/>
                <w:color w:val="000000" w:themeColor="text1"/>
                <w:kern w:val="0"/>
                <w:sz w:val="24"/>
                <w:highlight w:val="none"/>
                <w:lang w:val="en-US" w:eastAsia="zh-CN"/>
                <w14:textFill>
                  <w14:solidFill>
                    <w14:schemeClr w14:val="tx1"/>
                  </w14:solidFill>
                </w14:textFill>
              </w:rPr>
              <w:t>.12-1</w:t>
            </w:r>
            <w:r>
              <w:rPr>
                <w:rFonts w:hint="default" w:ascii="Times New Roman" w:hAnsi="Times New Roman" w:eastAsia="宋体" w:cs="Times New Roman"/>
                <w:color w:val="000000" w:themeColor="text1"/>
                <w:kern w:val="0"/>
                <w:sz w:val="24"/>
                <w:highlight w:val="none"/>
                <w14:textFill>
                  <w14:solidFill>
                    <w14:schemeClr w14:val="tx1"/>
                  </w14:solidFill>
                </w14:textFill>
              </w:rPr>
              <w:t>。</w:t>
            </w:r>
          </w:p>
          <w:p w14:paraId="51CA05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表4</w:t>
            </w:r>
            <w:r>
              <w:rPr>
                <w:rFonts w:hint="eastAsia" w:cs="Times New Roman"/>
                <w:b/>
                <w:bCs/>
                <w:color w:val="000000" w:themeColor="text1"/>
                <w:kern w:val="2"/>
                <w:sz w:val="21"/>
                <w:szCs w:val="21"/>
                <w:highlight w:val="none"/>
                <w:lang w:val="en-US" w:eastAsia="zh-CN" w:bidi="ar-SA"/>
                <w14:textFill>
                  <w14:solidFill>
                    <w14:schemeClr w14:val="tx1"/>
                  </w14:solidFill>
                </w14:textFill>
              </w:rPr>
              <w:t>.12-1</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环保投资估算一览表</w:t>
            </w:r>
          </w:p>
          <w:tbl>
            <w:tblPr>
              <w:tblStyle w:val="30"/>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751"/>
              <w:gridCol w:w="4605"/>
              <w:gridCol w:w="1010"/>
            </w:tblGrid>
            <w:tr w14:paraId="71F2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dxa"/>
                  <w:tcBorders>
                    <w:tl2br w:val="nil"/>
                    <w:tr2bl w:val="nil"/>
                  </w:tcBorders>
                  <w:vAlign w:val="center"/>
                </w:tcPr>
                <w:p w14:paraId="2F3B4B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类型</w:t>
                  </w:r>
                </w:p>
              </w:tc>
              <w:tc>
                <w:tcPr>
                  <w:tcW w:w="1751" w:type="dxa"/>
                  <w:tcBorders>
                    <w:tl2br w:val="nil"/>
                    <w:tr2bl w:val="nil"/>
                  </w:tcBorders>
                  <w:vAlign w:val="center"/>
                </w:tcPr>
                <w:p w14:paraId="1E83DC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污染源</w:t>
                  </w:r>
                </w:p>
              </w:tc>
              <w:tc>
                <w:tcPr>
                  <w:tcW w:w="4605" w:type="dxa"/>
                  <w:tcBorders>
                    <w:tl2br w:val="nil"/>
                    <w:tr2bl w:val="nil"/>
                  </w:tcBorders>
                  <w:vAlign w:val="center"/>
                </w:tcPr>
                <w:p w14:paraId="3A1262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环保设施</w:t>
                  </w:r>
                </w:p>
              </w:tc>
              <w:tc>
                <w:tcPr>
                  <w:tcW w:w="1010" w:type="dxa"/>
                  <w:tcBorders>
                    <w:tl2br w:val="nil"/>
                    <w:tr2bl w:val="nil"/>
                  </w:tcBorders>
                  <w:vAlign w:val="center"/>
                </w:tcPr>
                <w:p w14:paraId="31083F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投资</w:t>
                  </w:r>
                </w:p>
                <w:p w14:paraId="30A209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（万元）</w:t>
                  </w:r>
                </w:p>
              </w:tc>
            </w:tr>
            <w:tr w14:paraId="6E5D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dxa"/>
                  <w:vMerge w:val="restart"/>
                  <w:tcBorders>
                    <w:tl2br w:val="nil"/>
                    <w:tr2bl w:val="nil"/>
                  </w:tcBorders>
                  <w:vAlign w:val="center"/>
                </w:tcPr>
                <w:p w14:paraId="3AF5C7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废气</w:t>
                  </w:r>
                </w:p>
              </w:tc>
              <w:tc>
                <w:tcPr>
                  <w:tcW w:w="1751" w:type="dxa"/>
                  <w:tcBorders>
                    <w:tl2br w:val="nil"/>
                    <w:tr2bl w:val="nil"/>
                  </w:tcBorders>
                  <w:vAlign w:val="center"/>
                </w:tcPr>
                <w:p w14:paraId="741BF8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vertAlign w:val="baseline"/>
                      <w:lang w:val="en-US" w:eastAsia="zh-CN" w:bidi="ar-SA"/>
                      <w14:textFill>
                        <w14:solidFill>
                          <w14:schemeClr w14:val="tx1"/>
                        </w14:solidFill>
                      </w14:textFill>
                    </w:rPr>
                    <w:t>给料、破碎废气</w:t>
                  </w:r>
                </w:p>
              </w:tc>
              <w:tc>
                <w:tcPr>
                  <w:tcW w:w="4605" w:type="dxa"/>
                  <w:tcBorders>
                    <w:tl2br w:val="nil"/>
                    <w:tr2bl w:val="nil"/>
                  </w:tcBorders>
                  <w:vAlign w:val="center"/>
                </w:tcPr>
                <w:p w14:paraId="225407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t>给料机上方安装1个</w:t>
                  </w:r>
                  <w:r>
                    <w:rPr>
                      <w:rFonts w:hint="eastAsia" w:cs="Times New Roman"/>
                      <w:color w:val="000000" w:themeColor="text1"/>
                      <w:spacing w:val="0"/>
                      <w:kern w:val="2"/>
                      <w:sz w:val="21"/>
                      <w:szCs w:val="21"/>
                      <w:highlight w:val="none"/>
                      <w:vertAlign w:val="baseline"/>
                      <w:lang w:val="en-US" w:eastAsia="zh-CN" w:bidi="ar-SA"/>
                      <w14:textFill>
                        <w14:solidFill>
                          <w14:schemeClr w14:val="tx1"/>
                        </w14:solidFill>
                      </w14:textFill>
                    </w:rPr>
                    <w:t>顶吸式</w:t>
                  </w:r>
                  <w:r>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t>集气罩，颚式破碎机为全封闭式，上方设置集气管道，废气收集后共同引入1台布袋除尘器（TA001）处理后，由1根15m高排气筒（DA001）排放</w:t>
                  </w:r>
                </w:p>
              </w:tc>
              <w:tc>
                <w:tcPr>
                  <w:tcW w:w="1010" w:type="dxa"/>
                  <w:tcBorders>
                    <w:tl2br w:val="nil"/>
                    <w:tr2bl w:val="nil"/>
                  </w:tcBorders>
                  <w:vAlign w:val="center"/>
                </w:tcPr>
                <w:p w14:paraId="173D19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15</w:t>
                  </w:r>
                </w:p>
              </w:tc>
            </w:tr>
            <w:tr w14:paraId="077B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dxa"/>
                  <w:vMerge w:val="continue"/>
                  <w:tcBorders>
                    <w:tl2br w:val="nil"/>
                    <w:tr2bl w:val="nil"/>
                  </w:tcBorders>
                  <w:vAlign w:val="center"/>
                </w:tcPr>
                <w:p w14:paraId="10E80B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751" w:type="dxa"/>
                  <w:tcBorders>
                    <w:tl2br w:val="nil"/>
                    <w:tr2bl w:val="nil"/>
                  </w:tcBorders>
                  <w:vAlign w:val="center"/>
                </w:tcPr>
                <w:p w14:paraId="140F63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制砂、筛分</w:t>
                  </w:r>
                </w:p>
                <w:p w14:paraId="571994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vertAlign w:val="baseline"/>
                      <w:lang w:val="en-US" w:eastAsia="zh-CN" w:bidi="ar-SA"/>
                      <w14:textFill>
                        <w14:solidFill>
                          <w14:schemeClr w14:val="tx1"/>
                        </w14:solidFill>
                      </w14:textFill>
                    </w:rPr>
                    <w:t>废气</w:t>
                  </w:r>
                </w:p>
              </w:tc>
              <w:tc>
                <w:tcPr>
                  <w:tcW w:w="4605" w:type="dxa"/>
                  <w:tcBorders>
                    <w:tl2br w:val="nil"/>
                    <w:tr2bl w:val="nil"/>
                  </w:tcBorders>
                  <w:shd w:val="clear" w:color="auto" w:fill="auto"/>
                  <w:vAlign w:val="center"/>
                </w:tcPr>
                <w:p w14:paraId="1189DD7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双级破碎机</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筛分机</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为全封闭式，上方设置集气管道，废气收集后共同引入1台布袋除尘器（TA002）处理后，由1根15m高排气筒（DA002）排放</w:t>
                  </w:r>
                </w:p>
              </w:tc>
              <w:tc>
                <w:tcPr>
                  <w:tcW w:w="1010" w:type="dxa"/>
                  <w:tcBorders>
                    <w:tl2br w:val="nil"/>
                    <w:tr2bl w:val="nil"/>
                  </w:tcBorders>
                  <w:vAlign w:val="center"/>
                </w:tcPr>
                <w:p w14:paraId="0C05A8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20</w:t>
                  </w:r>
                </w:p>
              </w:tc>
            </w:tr>
            <w:tr w14:paraId="2D1B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dxa"/>
                  <w:vMerge w:val="continue"/>
                  <w:tcBorders>
                    <w:tl2br w:val="nil"/>
                    <w:tr2bl w:val="nil"/>
                  </w:tcBorders>
                  <w:vAlign w:val="center"/>
                </w:tcPr>
                <w:p w14:paraId="7A5024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751" w:type="dxa"/>
                  <w:tcBorders>
                    <w:tl2br w:val="nil"/>
                    <w:tr2bl w:val="nil"/>
                  </w:tcBorders>
                  <w:vAlign w:val="center"/>
                </w:tcPr>
                <w:p w14:paraId="119768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pacing w:val="0"/>
                      <w:kern w:val="28"/>
                      <w:sz w:val="21"/>
                      <w:szCs w:val="21"/>
                      <w:highlight w:val="none"/>
                      <w:lang w:val="en-US" w:eastAsia="zh-CN" w:bidi="ar-SA"/>
                      <w14:textFill>
                        <w14:solidFill>
                          <w14:schemeClr w14:val="tx1"/>
                        </w14:solidFill>
                      </w14:textFill>
                    </w:rPr>
                  </w:pPr>
                  <w:r>
                    <w:rPr>
                      <w:rFonts w:hint="eastAsia" w:cs="Times New Roman"/>
                      <w:b w:val="0"/>
                      <w:bCs/>
                      <w:color w:val="000000" w:themeColor="text1"/>
                      <w:spacing w:val="0"/>
                      <w:kern w:val="28"/>
                      <w:sz w:val="21"/>
                      <w:szCs w:val="21"/>
                      <w:highlight w:val="none"/>
                      <w:lang w:val="en-US" w:eastAsia="zh-CN" w:bidi="ar-SA"/>
                      <w14:textFill>
                        <w14:solidFill>
                          <w14:schemeClr w14:val="tx1"/>
                        </w14:solidFill>
                      </w14:textFill>
                    </w:rPr>
                    <w:t>原料及成品堆放、卸料</w:t>
                  </w:r>
                  <w:r>
                    <w:rPr>
                      <w:rFonts w:hint="eastAsia" w:cs="Times New Roman"/>
                      <w:color w:val="000000" w:themeColor="text1"/>
                      <w:spacing w:val="0"/>
                      <w:kern w:val="2"/>
                      <w:sz w:val="21"/>
                      <w:szCs w:val="21"/>
                      <w:highlight w:val="none"/>
                      <w:vertAlign w:val="baseline"/>
                      <w:lang w:val="en-US" w:eastAsia="zh-CN" w:bidi="ar-SA"/>
                      <w14:textFill>
                        <w14:solidFill>
                          <w14:schemeClr w14:val="tx1"/>
                        </w14:solidFill>
                      </w14:textFill>
                    </w:rPr>
                    <w:t>废气</w:t>
                  </w:r>
                </w:p>
              </w:tc>
              <w:tc>
                <w:tcPr>
                  <w:tcW w:w="4605" w:type="dxa"/>
                  <w:tcBorders>
                    <w:tl2br w:val="nil"/>
                    <w:tr2bl w:val="nil"/>
                  </w:tcBorders>
                  <w:vAlign w:val="center"/>
                </w:tcPr>
                <w:p w14:paraId="5ABF1E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原料、成品堆放区位于全封闭生产车间内，顶部安装喷雾抑尘措施，装卸物料时设有移动式雾炮机同时抑尘，地面硬化，车辆出入口设有自动感应密闭门，同时加设扬尘在线监测和视频监控设施，并与生态环境部门联网</w:t>
                  </w:r>
                </w:p>
              </w:tc>
              <w:tc>
                <w:tcPr>
                  <w:tcW w:w="1010" w:type="dxa"/>
                  <w:tcBorders>
                    <w:tl2br w:val="nil"/>
                    <w:tr2bl w:val="nil"/>
                  </w:tcBorders>
                  <w:vAlign w:val="center"/>
                </w:tcPr>
                <w:p w14:paraId="270119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22</w:t>
                  </w:r>
                </w:p>
              </w:tc>
            </w:tr>
            <w:tr w14:paraId="2189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dxa"/>
                  <w:vMerge w:val="continue"/>
                  <w:tcBorders>
                    <w:tl2br w:val="nil"/>
                    <w:tr2bl w:val="nil"/>
                  </w:tcBorders>
                  <w:vAlign w:val="center"/>
                </w:tcPr>
                <w:p w14:paraId="359387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751" w:type="dxa"/>
                  <w:tcBorders>
                    <w:tl2br w:val="nil"/>
                    <w:tr2bl w:val="nil"/>
                  </w:tcBorders>
                  <w:vAlign w:val="center"/>
                </w:tcPr>
                <w:p w14:paraId="4540C0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000000" w:themeColor="text1"/>
                      <w:spacing w:val="0"/>
                      <w:kern w:val="28"/>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pacing w:val="0"/>
                      <w:kern w:val="28"/>
                      <w:sz w:val="21"/>
                      <w:szCs w:val="21"/>
                      <w:highlight w:val="none"/>
                      <w:lang w:val="en-US" w:eastAsia="zh-CN" w:bidi="ar-SA"/>
                      <w14:textFill>
                        <w14:solidFill>
                          <w14:schemeClr w14:val="tx1"/>
                        </w14:solidFill>
                      </w14:textFill>
                    </w:rPr>
                    <w:t>物料输送</w:t>
                  </w:r>
                  <w:r>
                    <w:rPr>
                      <w:rFonts w:hint="eastAsia" w:cs="Times New Roman"/>
                      <w:b w:val="0"/>
                      <w:bCs/>
                      <w:color w:val="000000" w:themeColor="text1"/>
                      <w:spacing w:val="0"/>
                      <w:kern w:val="28"/>
                      <w:sz w:val="21"/>
                      <w:szCs w:val="21"/>
                      <w:highlight w:val="none"/>
                      <w:lang w:val="en-US" w:eastAsia="zh-CN" w:bidi="ar-SA"/>
                      <w14:textFill>
                        <w14:solidFill>
                          <w14:schemeClr w14:val="tx1"/>
                        </w14:solidFill>
                      </w14:textFill>
                    </w:rPr>
                    <w:t>及转载</w:t>
                  </w:r>
                  <w:r>
                    <w:rPr>
                      <w:rFonts w:hint="eastAsia" w:cs="Times New Roman"/>
                      <w:color w:val="000000" w:themeColor="text1"/>
                      <w:spacing w:val="0"/>
                      <w:kern w:val="2"/>
                      <w:sz w:val="21"/>
                      <w:szCs w:val="21"/>
                      <w:highlight w:val="none"/>
                      <w:vertAlign w:val="baseline"/>
                      <w:lang w:val="en-US" w:eastAsia="zh-CN" w:bidi="ar-SA"/>
                      <w14:textFill>
                        <w14:solidFill>
                          <w14:schemeClr w14:val="tx1"/>
                        </w14:solidFill>
                      </w14:textFill>
                    </w:rPr>
                    <w:t>废气</w:t>
                  </w:r>
                </w:p>
              </w:tc>
              <w:tc>
                <w:tcPr>
                  <w:tcW w:w="4605" w:type="dxa"/>
                  <w:tcBorders>
                    <w:tl2br w:val="nil"/>
                    <w:tr2bl w:val="nil"/>
                  </w:tcBorders>
                  <w:vAlign w:val="center"/>
                </w:tcPr>
                <w:p w14:paraId="6F4683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spacing w:val="0"/>
                      <w:kern w:val="2"/>
                      <w:sz w:val="21"/>
                      <w:szCs w:val="21"/>
                      <w:highlight w:val="none"/>
                      <w:lang w:val="en-US" w:eastAsia="zh-CN" w:bidi="ar-SA"/>
                      <w14:textFill>
                        <w14:solidFill>
                          <w14:schemeClr w14:val="tx1"/>
                        </w14:solidFill>
                      </w14:textFill>
                    </w:rPr>
                    <w:t>采用全封</w:t>
                  </w:r>
                  <w:r>
                    <w:rPr>
                      <w:rFonts w:hint="eastAsia" w:ascii="Times New Roman" w:hAnsi="Times New Roman" w:cs="Times New Roman"/>
                      <w:b w:val="0"/>
                      <w:bCs/>
                      <w:color w:val="000000" w:themeColor="text1"/>
                      <w:spacing w:val="0"/>
                      <w:kern w:val="2"/>
                      <w:sz w:val="21"/>
                      <w:szCs w:val="21"/>
                      <w:highlight w:val="none"/>
                      <w:lang w:val="en-GB" w:eastAsia="zh-CN" w:bidi="ar-SA"/>
                      <w14:textFill>
                        <w14:solidFill>
                          <w14:schemeClr w14:val="tx1"/>
                        </w14:solidFill>
                      </w14:textFill>
                    </w:rPr>
                    <w:t>闭皮带</w:t>
                  </w:r>
                  <w:r>
                    <w:rPr>
                      <w:rFonts w:hint="eastAsia" w:ascii="Times New Roman" w:hAnsi="Times New Roman" w:cs="Times New Roman"/>
                      <w:b w:val="0"/>
                      <w:bCs/>
                      <w:color w:val="000000" w:themeColor="text1"/>
                      <w:spacing w:val="0"/>
                      <w:kern w:val="2"/>
                      <w:sz w:val="21"/>
                      <w:szCs w:val="21"/>
                      <w:highlight w:val="none"/>
                      <w:lang w:val="en-US" w:eastAsia="zh-CN" w:bidi="ar-SA"/>
                      <w14:textFill>
                        <w14:solidFill>
                          <w14:schemeClr w14:val="tx1"/>
                        </w14:solidFill>
                      </w14:textFill>
                    </w:rPr>
                    <w:t>输送，降低落料点高度，在原料堆放处、皮带转运跌落点处设固定式雾化喷头</w:t>
                  </w:r>
                </w:p>
              </w:tc>
              <w:tc>
                <w:tcPr>
                  <w:tcW w:w="1010" w:type="dxa"/>
                  <w:tcBorders>
                    <w:tl2br w:val="nil"/>
                    <w:tr2bl w:val="nil"/>
                  </w:tcBorders>
                  <w:vAlign w:val="center"/>
                </w:tcPr>
                <w:p w14:paraId="6D2C81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8</w:t>
                  </w:r>
                </w:p>
              </w:tc>
            </w:tr>
            <w:tr w14:paraId="1AB79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dxa"/>
                  <w:vMerge w:val="continue"/>
                  <w:tcBorders>
                    <w:tl2br w:val="nil"/>
                    <w:tr2bl w:val="nil"/>
                  </w:tcBorders>
                  <w:vAlign w:val="center"/>
                </w:tcPr>
                <w:p w14:paraId="438B97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751" w:type="dxa"/>
                  <w:tcBorders>
                    <w:tl2br w:val="nil"/>
                    <w:tr2bl w:val="nil"/>
                  </w:tcBorders>
                  <w:vAlign w:val="center"/>
                </w:tcPr>
                <w:p w14:paraId="43729F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000000" w:themeColor="text1"/>
                      <w:spacing w:val="0"/>
                      <w:kern w:val="28"/>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pacing w:val="0"/>
                      <w:kern w:val="28"/>
                      <w:sz w:val="21"/>
                      <w:szCs w:val="21"/>
                      <w:highlight w:val="none"/>
                      <w:lang w:val="en-US" w:eastAsia="zh-CN" w:bidi="ar-SA"/>
                      <w14:textFill>
                        <w14:solidFill>
                          <w14:schemeClr w14:val="tx1"/>
                        </w14:solidFill>
                      </w14:textFill>
                    </w:rPr>
                    <w:t>道路</w:t>
                  </w:r>
                  <w:r>
                    <w:rPr>
                      <w:rFonts w:hint="eastAsia" w:ascii="Times New Roman" w:hAnsi="Times New Roman" w:cs="Times New Roman"/>
                      <w:b w:val="0"/>
                      <w:bCs/>
                      <w:color w:val="000000" w:themeColor="text1"/>
                      <w:spacing w:val="0"/>
                      <w:kern w:val="28"/>
                      <w:sz w:val="21"/>
                      <w:szCs w:val="21"/>
                      <w:highlight w:val="none"/>
                      <w:lang w:val="en-US" w:eastAsia="zh-CN" w:bidi="ar-SA"/>
                      <w14:textFill>
                        <w14:solidFill>
                          <w14:schemeClr w14:val="tx1"/>
                        </w14:solidFill>
                      </w14:textFill>
                    </w:rPr>
                    <w:t>运输</w:t>
                  </w:r>
                  <w:r>
                    <w:rPr>
                      <w:rFonts w:hint="eastAsia" w:cs="Times New Roman"/>
                      <w:color w:val="000000" w:themeColor="text1"/>
                      <w:spacing w:val="0"/>
                      <w:kern w:val="2"/>
                      <w:sz w:val="21"/>
                      <w:szCs w:val="21"/>
                      <w:highlight w:val="none"/>
                      <w:vertAlign w:val="baseline"/>
                      <w:lang w:val="en-US" w:eastAsia="zh-CN" w:bidi="ar-SA"/>
                      <w14:textFill>
                        <w14:solidFill>
                          <w14:schemeClr w14:val="tx1"/>
                        </w14:solidFill>
                      </w14:textFill>
                    </w:rPr>
                    <w:t>废气</w:t>
                  </w:r>
                </w:p>
              </w:tc>
              <w:tc>
                <w:tcPr>
                  <w:tcW w:w="4605" w:type="dxa"/>
                  <w:tcBorders>
                    <w:tl2br w:val="nil"/>
                    <w:tr2bl w:val="nil"/>
                  </w:tcBorders>
                  <w:vAlign w:val="center"/>
                </w:tcPr>
                <w:p w14:paraId="0BA6D7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厂区运输道路全部硬化，对道路定期洒水，并对物料运输车辆采取加盖篷布等封闭措施，限制车速</w:t>
                  </w:r>
                </w:p>
              </w:tc>
              <w:tc>
                <w:tcPr>
                  <w:tcW w:w="1010" w:type="dxa"/>
                  <w:tcBorders>
                    <w:tl2br w:val="nil"/>
                    <w:tr2bl w:val="nil"/>
                  </w:tcBorders>
                  <w:vAlign w:val="center"/>
                </w:tcPr>
                <w:p w14:paraId="69ADFB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8</w:t>
                  </w:r>
                </w:p>
              </w:tc>
            </w:tr>
            <w:tr w14:paraId="03DA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dxa"/>
                  <w:vMerge w:val="restart"/>
                  <w:tcBorders>
                    <w:tl2br w:val="nil"/>
                    <w:tr2bl w:val="nil"/>
                  </w:tcBorders>
                  <w:vAlign w:val="center"/>
                </w:tcPr>
                <w:p w14:paraId="65EA78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废水</w:t>
                  </w:r>
                </w:p>
              </w:tc>
              <w:tc>
                <w:tcPr>
                  <w:tcW w:w="1751" w:type="dxa"/>
                  <w:tcBorders>
                    <w:tl2br w:val="nil"/>
                    <w:tr2bl w:val="nil"/>
                  </w:tcBorders>
                  <w:vAlign w:val="center"/>
                </w:tcPr>
                <w:p w14:paraId="4A62A9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生活污水</w:t>
                  </w:r>
                </w:p>
              </w:tc>
              <w:tc>
                <w:tcPr>
                  <w:tcW w:w="4605" w:type="dxa"/>
                  <w:tcBorders>
                    <w:tl2br w:val="nil"/>
                    <w:tr2bl w:val="nil"/>
                  </w:tcBorders>
                  <w:vAlign w:val="center"/>
                </w:tcPr>
                <w:p w14:paraId="4F90F3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vertAlign w:val="baseline"/>
                      <w:lang w:val="en-US" w:eastAsia="zh-CN" w:bidi="ar-SA"/>
                      <w14:textFill>
                        <w14:solidFill>
                          <w14:schemeClr w14:val="tx1"/>
                        </w14:solidFill>
                      </w14:textFill>
                    </w:rPr>
                    <w:t>依托厂区现有旱厕，定时清掏，不外排</w:t>
                  </w:r>
                </w:p>
              </w:tc>
              <w:tc>
                <w:tcPr>
                  <w:tcW w:w="1010" w:type="dxa"/>
                  <w:tcBorders>
                    <w:tl2br w:val="nil"/>
                    <w:tr2bl w:val="nil"/>
                  </w:tcBorders>
                  <w:vAlign w:val="center"/>
                </w:tcPr>
                <w:p w14:paraId="7D098A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r>
            <w:tr w14:paraId="1B76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dxa"/>
                  <w:vMerge w:val="continue"/>
                  <w:tcBorders>
                    <w:tl2br w:val="nil"/>
                    <w:tr2bl w:val="nil"/>
                  </w:tcBorders>
                  <w:vAlign w:val="center"/>
                </w:tcPr>
                <w:p w14:paraId="332CFF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751" w:type="dxa"/>
                  <w:tcBorders>
                    <w:tl2br w:val="nil"/>
                    <w:tr2bl w:val="nil"/>
                  </w:tcBorders>
                  <w:vAlign w:val="center"/>
                </w:tcPr>
                <w:p w14:paraId="42A923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r>
                    <w:rPr>
                      <w:rFonts w:hint="default" w:ascii="Times New Roman" w:hAnsi="Times New Roman" w:cs="Times New Roman"/>
                      <w:color w:val="000000" w:themeColor="text1"/>
                      <w:spacing w:val="0"/>
                      <w:sz w:val="21"/>
                      <w:szCs w:val="21"/>
                      <w:highlight w:val="none"/>
                      <w14:textFill>
                        <w14:solidFill>
                          <w14:schemeClr w14:val="tx1"/>
                        </w14:solidFill>
                      </w14:textFill>
                    </w:rPr>
                    <w:t>洗车废水</w:t>
                  </w:r>
                </w:p>
              </w:tc>
              <w:tc>
                <w:tcPr>
                  <w:tcW w:w="4605" w:type="dxa"/>
                  <w:tcBorders>
                    <w:tl2br w:val="nil"/>
                    <w:tr2bl w:val="nil"/>
                  </w:tcBorders>
                  <w:vAlign w:val="center"/>
                </w:tcPr>
                <w:p w14:paraId="19282D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依托厂区内现有洗车平台</w:t>
                  </w:r>
                  <w:r>
                    <w:rPr>
                      <w:rFonts w:hint="eastAsia" w:cs="Times New Roman"/>
                      <w:color w:val="000000" w:themeColor="text1"/>
                      <w:spacing w:val="0"/>
                      <w:kern w:val="2"/>
                      <w:sz w:val="21"/>
                      <w:szCs w:val="21"/>
                      <w:highlight w:val="none"/>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洗车废水经</w:t>
                  </w: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沉淀池沉淀后，回用至洗车工序，循环使用，不</w:t>
                  </w:r>
                  <w:r>
                    <w:rPr>
                      <w:rFonts w:hint="default" w:ascii="Times New Roman" w:hAnsi="Times New Roman" w:eastAsia="宋体" w:cs="Times New Roman"/>
                      <w:color w:val="000000" w:themeColor="text1"/>
                      <w:spacing w:val="0"/>
                      <w:sz w:val="21"/>
                      <w:szCs w:val="21"/>
                      <w:highlight w:val="none"/>
                      <w:vertAlign w:val="baseline"/>
                      <w:lang w:val="en-US" w:eastAsia="zh-CN"/>
                      <w14:textFill>
                        <w14:solidFill>
                          <w14:schemeClr w14:val="tx1"/>
                        </w14:solidFill>
                      </w14:textFill>
                    </w:rPr>
                    <w:t>外排</w:t>
                  </w:r>
                </w:p>
              </w:tc>
              <w:tc>
                <w:tcPr>
                  <w:tcW w:w="1010" w:type="dxa"/>
                  <w:tcBorders>
                    <w:tl2br w:val="nil"/>
                    <w:tr2bl w:val="nil"/>
                  </w:tcBorders>
                  <w:vAlign w:val="center"/>
                </w:tcPr>
                <w:p w14:paraId="58E302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r>
            <w:tr w14:paraId="45C8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dxa"/>
                  <w:vMerge w:val="continue"/>
                  <w:tcBorders>
                    <w:tl2br w:val="nil"/>
                    <w:tr2bl w:val="nil"/>
                  </w:tcBorders>
                  <w:vAlign w:val="center"/>
                </w:tcPr>
                <w:p w14:paraId="6F802E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751" w:type="dxa"/>
                  <w:tcBorders>
                    <w:tl2br w:val="nil"/>
                    <w:tr2bl w:val="nil"/>
                  </w:tcBorders>
                  <w:vAlign w:val="center"/>
                </w:tcPr>
                <w:p w14:paraId="38D560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初期雨水</w:t>
                  </w:r>
                </w:p>
              </w:tc>
              <w:tc>
                <w:tcPr>
                  <w:tcW w:w="4605" w:type="dxa"/>
                  <w:tcBorders>
                    <w:tl2br w:val="nil"/>
                    <w:tr2bl w:val="nil"/>
                  </w:tcBorders>
                  <w:vAlign w:val="center"/>
                </w:tcPr>
                <w:p w14:paraId="4D444F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依托厂区内现有</w:t>
                  </w:r>
                  <w:r>
                    <w:rPr>
                      <w:rFonts w:hint="eastAsia" w:cs="Times New Roman"/>
                      <w:color w:val="000000" w:themeColor="text1"/>
                      <w:spacing w:val="0"/>
                      <w:sz w:val="21"/>
                      <w:szCs w:val="21"/>
                      <w:highlight w:val="none"/>
                      <w:lang w:val="en-US" w:eastAsia="zh-CN"/>
                      <w14:textFill>
                        <w14:solidFill>
                          <w14:schemeClr w14:val="tx1"/>
                        </w14:solidFill>
                      </w14:textFill>
                    </w:rPr>
                    <w:t>1座380m</w:t>
                  </w:r>
                  <w:r>
                    <w:rPr>
                      <w:rFonts w:hint="eastAsia" w:cs="Times New Roman"/>
                      <w:color w:val="000000" w:themeColor="text1"/>
                      <w:spacing w:val="0"/>
                      <w:sz w:val="21"/>
                      <w:szCs w:val="21"/>
                      <w:highlight w:val="none"/>
                      <w:vertAlign w:val="superscript"/>
                      <w:lang w:val="en-US" w:eastAsia="zh-CN"/>
                      <w14:textFill>
                        <w14:solidFill>
                          <w14:schemeClr w14:val="tx1"/>
                        </w14:solidFill>
                      </w14:textFill>
                    </w:rPr>
                    <w:t>3</w:t>
                  </w:r>
                  <w:r>
                    <w:rPr>
                      <w:rFonts w:hint="eastAsia" w:cs="Times New Roman"/>
                      <w:color w:val="000000" w:themeColor="text1"/>
                      <w:spacing w:val="0"/>
                      <w:sz w:val="21"/>
                      <w:szCs w:val="21"/>
                      <w:highlight w:val="none"/>
                      <w:vertAlign w:val="baseline"/>
                      <w:lang w:val="en-US" w:eastAsia="zh-CN"/>
                      <w14:textFill>
                        <w14:solidFill>
                          <w14:schemeClr w14:val="tx1"/>
                        </w14:solidFill>
                      </w14:textFill>
                    </w:rPr>
                    <w:t>雨水收集池，雨水经沉淀后回用于厂区洒水抑尘</w:t>
                  </w:r>
                </w:p>
              </w:tc>
              <w:tc>
                <w:tcPr>
                  <w:tcW w:w="1010" w:type="dxa"/>
                  <w:tcBorders>
                    <w:tl2br w:val="nil"/>
                    <w:tr2bl w:val="nil"/>
                  </w:tcBorders>
                  <w:vAlign w:val="center"/>
                </w:tcPr>
                <w:p w14:paraId="628753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r>
            <w:tr w14:paraId="7BA4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dxa"/>
                  <w:vMerge w:val="restart"/>
                  <w:tcBorders>
                    <w:tl2br w:val="nil"/>
                    <w:tr2bl w:val="nil"/>
                  </w:tcBorders>
                  <w:vAlign w:val="center"/>
                </w:tcPr>
                <w:p w14:paraId="0AE347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固废</w:t>
                  </w:r>
                </w:p>
              </w:tc>
              <w:tc>
                <w:tcPr>
                  <w:tcW w:w="1751" w:type="dxa"/>
                  <w:tcBorders>
                    <w:tl2br w:val="nil"/>
                    <w:tr2bl w:val="nil"/>
                  </w:tcBorders>
                  <w:vAlign w:val="center"/>
                </w:tcPr>
                <w:p w14:paraId="51062E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生活垃圾</w:t>
                  </w:r>
                </w:p>
              </w:tc>
              <w:tc>
                <w:tcPr>
                  <w:tcW w:w="4605" w:type="dxa"/>
                  <w:tcBorders>
                    <w:tl2br w:val="nil"/>
                    <w:tr2bl w:val="nil"/>
                  </w:tcBorders>
                  <w:vAlign w:val="center"/>
                </w:tcPr>
                <w:p w14:paraId="6EC64A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厂内设置垃圾桶，定期送至当地环卫部门指定地点</w:t>
                  </w:r>
                </w:p>
              </w:tc>
              <w:tc>
                <w:tcPr>
                  <w:tcW w:w="1010" w:type="dxa"/>
                  <w:tcBorders>
                    <w:tl2br w:val="nil"/>
                    <w:tr2bl w:val="nil"/>
                  </w:tcBorders>
                  <w:vAlign w:val="center"/>
                </w:tcPr>
                <w:p w14:paraId="0AF70B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r>
            <w:tr w14:paraId="0A0CD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dxa"/>
                  <w:vMerge w:val="continue"/>
                  <w:tcBorders>
                    <w:tl2br w:val="nil"/>
                    <w:tr2bl w:val="nil"/>
                  </w:tcBorders>
                  <w:vAlign w:val="center"/>
                </w:tcPr>
                <w:p w14:paraId="2D66A4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751" w:type="dxa"/>
                  <w:tcBorders>
                    <w:tl2br w:val="nil"/>
                    <w:tr2bl w:val="nil"/>
                  </w:tcBorders>
                  <w:vAlign w:val="center"/>
                </w:tcPr>
                <w:p w14:paraId="61406A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除尘灰</w:t>
                  </w:r>
                </w:p>
              </w:tc>
              <w:tc>
                <w:tcPr>
                  <w:tcW w:w="4605" w:type="dxa"/>
                  <w:tcBorders>
                    <w:tl2br w:val="nil"/>
                    <w:tr2bl w:val="nil"/>
                  </w:tcBorders>
                  <w:vAlign w:val="center"/>
                </w:tcPr>
                <w:p w14:paraId="6E3831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各工序除尘器收集的除尘灰均</w:t>
                  </w: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作为</w:t>
                  </w:r>
                  <w:r>
                    <w:rPr>
                      <w:rFonts w:hint="eastAsia" w:cs="Times New Roman"/>
                      <w:color w:val="000000" w:themeColor="text1"/>
                      <w:spacing w:val="0"/>
                      <w:kern w:val="2"/>
                      <w:sz w:val="21"/>
                      <w:szCs w:val="21"/>
                      <w:highlight w:val="none"/>
                      <w:lang w:val="en-US" w:eastAsia="zh-CN" w:bidi="ar-SA"/>
                      <w14:textFill>
                        <w14:solidFill>
                          <w14:schemeClr w14:val="tx1"/>
                        </w14:solidFill>
                      </w14:textFill>
                    </w:rPr>
                    <w:t>产品外售</w:t>
                  </w:r>
                </w:p>
              </w:tc>
              <w:tc>
                <w:tcPr>
                  <w:tcW w:w="1010" w:type="dxa"/>
                  <w:tcBorders>
                    <w:tl2br w:val="nil"/>
                    <w:tr2bl w:val="nil"/>
                  </w:tcBorders>
                  <w:vAlign w:val="center"/>
                </w:tcPr>
                <w:p w14:paraId="320F41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r>
            <w:tr w14:paraId="71AC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dxa"/>
                  <w:vMerge w:val="continue"/>
                  <w:tcBorders>
                    <w:tl2br w:val="nil"/>
                    <w:tr2bl w:val="nil"/>
                  </w:tcBorders>
                  <w:vAlign w:val="center"/>
                </w:tcPr>
                <w:p w14:paraId="786567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751" w:type="dxa"/>
                  <w:tcBorders>
                    <w:tl2br w:val="nil"/>
                    <w:tr2bl w:val="nil"/>
                  </w:tcBorders>
                  <w:vAlign w:val="center"/>
                </w:tcPr>
                <w:p w14:paraId="79CE0C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废矿物油</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p w14:paraId="7EF109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废油桶</w:t>
                  </w:r>
                </w:p>
              </w:tc>
              <w:tc>
                <w:tcPr>
                  <w:tcW w:w="4605" w:type="dxa"/>
                  <w:tcBorders>
                    <w:tl2br w:val="nil"/>
                    <w:tr2bl w:val="nil"/>
                  </w:tcBorders>
                  <w:vAlign w:val="center"/>
                </w:tcPr>
                <w:p w14:paraId="63C784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厂区西北侧建设1座40m</w:t>
                  </w:r>
                  <w:r>
                    <w:rPr>
                      <w:rFonts w:hint="eastAsia" w:cs="Times New Roman"/>
                      <w:color w:val="000000" w:themeColor="text1"/>
                      <w:spacing w:val="0"/>
                      <w:sz w:val="21"/>
                      <w:szCs w:val="21"/>
                      <w:highlight w:val="none"/>
                      <w:vertAlign w:val="superscript"/>
                      <w:lang w:val="en-US" w:eastAsia="zh-CN"/>
                      <w14:textFill>
                        <w14:solidFill>
                          <w14:schemeClr w14:val="tx1"/>
                        </w14:solidFill>
                      </w14:textFill>
                    </w:rPr>
                    <w:t>2</w:t>
                  </w:r>
                  <w:r>
                    <w:rPr>
                      <w:rFonts w:hint="eastAsia" w:cs="Times New Roman"/>
                      <w:color w:val="000000" w:themeColor="text1"/>
                      <w:spacing w:val="0"/>
                      <w:sz w:val="21"/>
                      <w:szCs w:val="21"/>
                      <w:highlight w:val="none"/>
                      <w:vertAlign w:val="baseline"/>
                      <w:lang w:val="en-US" w:eastAsia="zh-CN"/>
                      <w14:textFill>
                        <w14:solidFill>
                          <w14:schemeClr w14:val="tx1"/>
                        </w14:solidFill>
                      </w14:textFill>
                    </w:rPr>
                    <w:t>危废贮存点，废矿物油、废油桶</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暂存于</w:t>
                  </w:r>
                  <w:r>
                    <w:rPr>
                      <w:rFonts w:hint="eastAsia" w:cs="Times New Roman"/>
                      <w:color w:val="000000" w:themeColor="text1"/>
                      <w:spacing w:val="0"/>
                      <w:sz w:val="21"/>
                      <w:szCs w:val="21"/>
                      <w:highlight w:val="none"/>
                      <w:lang w:val="en-US" w:eastAsia="zh-CN"/>
                      <w14:textFill>
                        <w14:solidFill>
                          <w14:schemeClr w14:val="tx1"/>
                        </w14:solidFill>
                      </w14:textFill>
                    </w:rPr>
                    <w:t>危废贮存点</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定期委托有资质单位处置</w:t>
                  </w:r>
                </w:p>
              </w:tc>
              <w:tc>
                <w:tcPr>
                  <w:tcW w:w="1010" w:type="dxa"/>
                  <w:tcBorders>
                    <w:tl2br w:val="nil"/>
                    <w:tr2bl w:val="nil"/>
                  </w:tcBorders>
                  <w:vAlign w:val="center"/>
                </w:tcPr>
                <w:p w14:paraId="12A90B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10</w:t>
                  </w:r>
                </w:p>
              </w:tc>
            </w:tr>
            <w:tr w14:paraId="3983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dxa"/>
                  <w:tcBorders>
                    <w:tl2br w:val="nil"/>
                    <w:tr2bl w:val="nil"/>
                  </w:tcBorders>
                  <w:vAlign w:val="center"/>
                </w:tcPr>
                <w:p w14:paraId="402B19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噪声</w:t>
                  </w:r>
                </w:p>
              </w:tc>
              <w:tc>
                <w:tcPr>
                  <w:tcW w:w="1751" w:type="dxa"/>
                  <w:tcBorders>
                    <w:tl2br w:val="nil"/>
                    <w:tr2bl w:val="nil"/>
                  </w:tcBorders>
                  <w:vAlign w:val="center"/>
                </w:tcPr>
                <w:p w14:paraId="06918E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车间内各生产设备</w:t>
                  </w:r>
                </w:p>
              </w:tc>
              <w:tc>
                <w:tcPr>
                  <w:tcW w:w="4605" w:type="dxa"/>
                  <w:tcBorders>
                    <w:tl2br w:val="nil"/>
                    <w:tr2bl w:val="nil"/>
                  </w:tcBorders>
                  <w:vAlign w:val="center"/>
                </w:tcPr>
                <w:p w14:paraId="0D9003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选用低噪声设备，高噪音设备做基础减振、柔性连接，厂房隔声等，保持设备运行良好；车辆限速行驶，减少鸣笛</w:t>
                  </w:r>
                </w:p>
              </w:tc>
              <w:tc>
                <w:tcPr>
                  <w:tcW w:w="1010" w:type="dxa"/>
                  <w:tcBorders>
                    <w:tl2br w:val="nil"/>
                    <w:tr2bl w:val="nil"/>
                  </w:tcBorders>
                  <w:vAlign w:val="center"/>
                </w:tcPr>
                <w:p w14:paraId="40F4E2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20</w:t>
                  </w:r>
                </w:p>
              </w:tc>
            </w:tr>
            <w:tr w14:paraId="5A61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7" w:type="dxa"/>
                  <w:gridSpan w:val="3"/>
                  <w:tcBorders>
                    <w:tl2br w:val="nil"/>
                    <w:tr2bl w:val="nil"/>
                  </w:tcBorders>
                  <w:vAlign w:val="center"/>
                </w:tcPr>
                <w:p w14:paraId="519539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合计</w:t>
                  </w:r>
                </w:p>
              </w:tc>
              <w:tc>
                <w:tcPr>
                  <w:tcW w:w="1010" w:type="dxa"/>
                  <w:tcBorders>
                    <w:tl2br w:val="nil"/>
                    <w:tr2bl w:val="nil"/>
                  </w:tcBorders>
                  <w:vAlign w:val="center"/>
                </w:tcPr>
                <w:p w14:paraId="0D9DA6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103</w:t>
                  </w:r>
                </w:p>
              </w:tc>
            </w:tr>
          </w:tbl>
          <w:p w14:paraId="174E2E24">
            <w:pPr>
              <w:pStyle w:val="2"/>
              <w:keepNext w:val="0"/>
              <w:keepLines w:val="0"/>
              <w:suppressLineNumbers w:val="0"/>
              <w:spacing w:before="0" w:beforeAutospacing="0" w:after="0" w:afterAutospacing="0"/>
              <w:ind w:left="0" w:leftChars="0" w:right="0" w:firstLine="0" w:firstLineChars="0"/>
              <w:rPr>
                <w:rFonts w:hint="default" w:eastAsia="宋体"/>
                <w:color w:val="000000" w:themeColor="text1"/>
                <w:highlight w:val="none"/>
                <w:vertAlign w:val="baseline"/>
                <w:lang w:val="en-US" w:eastAsia="zh-CN"/>
                <w14:textFill>
                  <w14:solidFill>
                    <w14:schemeClr w14:val="tx1"/>
                  </w14:solidFill>
                </w14:textFill>
              </w:rPr>
            </w:pPr>
          </w:p>
        </w:tc>
      </w:tr>
    </w:tbl>
    <w:p w14:paraId="5508DDBD">
      <w:pPr>
        <w:rPr>
          <w:rFonts w:hint="default"/>
          <w:color w:val="000000" w:themeColor="text1"/>
          <w:highlight w:val="none"/>
          <w14:textFill>
            <w14:solidFill>
              <w14:schemeClr w14:val="tx1"/>
            </w14:solidFill>
          </w14:textFill>
        </w:rPr>
        <w:sectPr>
          <w:pgSz w:w="11907" w:h="16840"/>
          <w:pgMar w:top="1701" w:right="1531" w:bottom="1701" w:left="1531" w:header="851" w:footer="1134" w:gutter="0"/>
          <w:pgBorders>
            <w:top w:val="none" w:sz="0" w:space="0"/>
            <w:left w:val="none" w:sz="0" w:space="0"/>
            <w:bottom w:val="none" w:sz="0" w:space="0"/>
            <w:right w:val="none" w:sz="0" w:space="0"/>
          </w:pgBorders>
          <w:pgNumType w:fmt="decimal"/>
          <w:cols w:space="720" w:num="1"/>
          <w:docGrid w:linePitch="312" w:charSpace="0"/>
        </w:sectPr>
      </w:pPr>
    </w:p>
    <w:p w14:paraId="728280F0">
      <w:pPr>
        <w:pStyle w:val="22"/>
        <w:jc w:val="center"/>
        <w:outlineLvl w:val="0"/>
        <w:rPr>
          <w:rFonts w:hint="default" w:ascii="Times New Roman" w:hAnsi="Times New Roman" w:eastAsia="黑体" w:cs="Times New Roman"/>
          <w:snapToGrid w:val="0"/>
          <w:color w:val="000000" w:themeColor="text1"/>
          <w:sz w:val="30"/>
          <w:szCs w:val="30"/>
          <w:highlight w:val="none"/>
          <w:lang w:val="en-US" w:eastAsia="zh-CN"/>
          <w14:textFill>
            <w14:solidFill>
              <w14:schemeClr w14:val="tx1"/>
            </w14:solidFill>
          </w14:textFill>
        </w:rPr>
      </w:pPr>
      <w:bookmarkStart w:id="18" w:name="_Toc2591"/>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五、</w:t>
      </w:r>
      <w:bookmarkStart w:id="19" w:name="_Hlk54167917"/>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环境保护措施监督检查清单</w:t>
      </w:r>
      <w:bookmarkEnd w:id="18"/>
      <w:bookmarkEnd w:id="19"/>
    </w:p>
    <w:tbl>
      <w:tblPr>
        <w:tblStyle w:val="30"/>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1281"/>
        <w:gridCol w:w="1227"/>
        <w:gridCol w:w="3511"/>
        <w:gridCol w:w="1943"/>
      </w:tblGrid>
      <w:tr w14:paraId="4AD92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tcBorders>
              <w:tl2br w:val="single" w:color="auto" w:sz="4" w:space="0"/>
            </w:tcBorders>
          </w:tcPr>
          <w:p w14:paraId="6D6D8F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2" w:firstLineChars="200"/>
              <w:jc w:val="right"/>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内容</w:t>
            </w:r>
          </w:p>
          <w:p w14:paraId="5DD67C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要素</w:t>
            </w:r>
          </w:p>
        </w:tc>
        <w:tc>
          <w:tcPr>
            <w:tcW w:w="1281" w:type="dxa"/>
            <w:vAlign w:val="center"/>
          </w:tcPr>
          <w:p w14:paraId="7736C2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排放口</w:t>
            </w:r>
            <w:r>
              <w:rPr>
                <w:rFonts w:hint="default" w:ascii="Times New Roman" w:hAnsi="Times New Roman" w:cs="Times New Roman"/>
                <w:b/>
                <w:bCs/>
                <w:color w:val="000000" w:themeColor="text1"/>
                <w:szCs w:val="21"/>
                <w:highlight w:val="none"/>
                <w:lang w:eastAsia="zh-CN"/>
                <w14:textFill>
                  <w14:solidFill>
                    <w14:schemeClr w14:val="tx1"/>
                  </w14:solidFill>
                </w14:textFill>
              </w:rPr>
              <w:t>（</w:t>
            </w:r>
            <w:r>
              <w:rPr>
                <w:rFonts w:hint="default" w:ascii="Times New Roman" w:hAnsi="Times New Roman" w:cs="Times New Roman"/>
                <w:b/>
                <w:bCs/>
                <w:color w:val="000000" w:themeColor="text1"/>
                <w:szCs w:val="21"/>
                <w:highlight w:val="none"/>
                <w14:textFill>
                  <w14:solidFill>
                    <w14:schemeClr w14:val="tx1"/>
                  </w14:solidFill>
                </w14:textFill>
              </w:rPr>
              <w:t>编号、名称</w:t>
            </w:r>
            <w:r>
              <w:rPr>
                <w:rFonts w:hint="default" w:ascii="Times New Roman" w:hAnsi="Times New Roman" w:cs="Times New Roman"/>
                <w:b/>
                <w:bCs/>
                <w:color w:val="000000" w:themeColor="text1"/>
                <w:szCs w:val="21"/>
                <w:highlight w:val="none"/>
                <w:lang w:eastAsia="zh-CN"/>
                <w14:textFill>
                  <w14:solidFill>
                    <w14:schemeClr w14:val="tx1"/>
                  </w14:solidFill>
                </w14:textFill>
              </w:rPr>
              <w:t>）</w:t>
            </w:r>
            <w:r>
              <w:rPr>
                <w:rFonts w:hint="default" w:ascii="Times New Roman" w:hAnsi="Times New Roman" w:cs="Times New Roman"/>
                <w:b/>
                <w:bCs/>
                <w:color w:val="000000" w:themeColor="text1"/>
                <w:szCs w:val="21"/>
                <w:highlight w:val="none"/>
                <w14:textFill>
                  <w14:solidFill>
                    <w14:schemeClr w14:val="tx1"/>
                  </w14:solidFill>
                </w14:textFill>
              </w:rPr>
              <w:t>/污染源</w:t>
            </w:r>
          </w:p>
        </w:tc>
        <w:tc>
          <w:tcPr>
            <w:tcW w:w="1227" w:type="dxa"/>
            <w:vAlign w:val="center"/>
          </w:tcPr>
          <w:p w14:paraId="22D224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污染物项目</w:t>
            </w:r>
          </w:p>
        </w:tc>
        <w:tc>
          <w:tcPr>
            <w:tcW w:w="3511" w:type="dxa"/>
            <w:vAlign w:val="center"/>
          </w:tcPr>
          <w:p w14:paraId="6120B4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环境保护措施</w:t>
            </w:r>
          </w:p>
        </w:tc>
        <w:tc>
          <w:tcPr>
            <w:tcW w:w="1943" w:type="dxa"/>
            <w:vAlign w:val="center"/>
          </w:tcPr>
          <w:p w14:paraId="2F60DB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执行标准</w:t>
            </w:r>
          </w:p>
        </w:tc>
      </w:tr>
      <w:tr w14:paraId="5345B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restart"/>
            <w:vAlign w:val="center"/>
          </w:tcPr>
          <w:p w14:paraId="75E24E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大气环境</w:t>
            </w:r>
          </w:p>
        </w:tc>
        <w:tc>
          <w:tcPr>
            <w:tcW w:w="1281" w:type="dxa"/>
            <w:vAlign w:val="center"/>
          </w:tcPr>
          <w:p w14:paraId="44DDCF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vertAlign w:val="baseline"/>
                <w:lang w:val="en-US" w:eastAsia="zh-CN" w:bidi="ar-SA"/>
                <w14:textFill>
                  <w14:solidFill>
                    <w14:schemeClr w14:val="tx1"/>
                  </w14:solidFill>
                </w14:textFill>
              </w:rPr>
              <w:t>给料、破碎废气</w:t>
            </w:r>
          </w:p>
        </w:tc>
        <w:tc>
          <w:tcPr>
            <w:tcW w:w="1227" w:type="dxa"/>
            <w:vAlign w:val="center"/>
          </w:tcPr>
          <w:p w14:paraId="3A48352B">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3511" w:type="dxa"/>
            <w:shd w:val="clear" w:color="auto" w:fill="auto"/>
            <w:vAlign w:val="center"/>
          </w:tcPr>
          <w:p w14:paraId="09CB9C73">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jc w:val="both"/>
              <w:textAlignment w:val="auto"/>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t>给料机上方安装1个</w:t>
            </w:r>
            <w:r>
              <w:rPr>
                <w:rFonts w:hint="eastAsia" w:cs="Times New Roman"/>
                <w:color w:val="000000" w:themeColor="text1"/>
                <w:spacing w:val="0"/>
                <w:kern w:val="2"/>
                <w:sz w:val="21"/>
                <w:szCs w:val="21"/>
                <w:highlight w:val="none"/>
                <w:vertAlign w:val="baseline"/>
                <w:lang w:val="en-US" w:eastAsia="zh-CN" w:bidi="ar-SA"/>
                <w14:textFill>
                  <w14:solidFill>
                    <w14:schemeClr w14:val="tx1"/>
                  </w14:solidFill>
                </w14:textFill>
              </w:rPr>
              <w:t>顶吸式</w:t>
            </w:r>
            <w:r>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t>集气罩，颚式破碎机为全封闭式，上方设置集气管道，废气收集后共同引入1台布袋除尘器（TA001）处理后，由1根15m高排气筒（DA001）排放</w:t>
            </w:r>
          </w:p>
        </w:tc>
        <w:tc>
          <w:tcPr>
            <w:tcW w:w="1943" w:type="dxa"/>
            <w:vMerge w:val="restart"/>
            <w:vAlign w:val="center"/>
          </w:tcPr>
          <w:p w14:paraId="625EBF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t>《长治市大气污染防治工作领导组办公室文件关于印发长治市工业企业无组织排放治理实施方案的通知》（长气防办[2019]9号）</w:t>
            </w:r>
          </w:p>
        </w:tc>
      </w:tr>
      <w:tr w14:paraId="5862E5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721A08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1281" w:type="dxa"/>
            <w:vAlign w:val="center"/>
          </w:tcPr>
          <w:p w14:paraId="09FC1B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cs="Times New Roman"/>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vertAlign w:val="baseline"/>
                <w:lang w:val="en-US" w:eastAsia="zh-CN" w:bidi="ar-SA"/>
                <w14:textFill>
                  <w14:solidFill>
                    <w14:schemeClr w14:val="tx1"/>
                  </w14:solidFill>
                </w14:textFill>
              </w:rPr>
              <w:t>制砂、筛分废气</w:t>
            </w:r>
          </w:p>
        </w:tc>
        <w:tc>
          <w:tcPr>
            <w:tcW w:w="1227" w:type="dxa"/>
            <w:vAlign w:val="center"/>
          </w:tcPr>
          <w:p w14:paraId="282356D9">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jc w:val="center"/>
              <w:textAlignment w:val="auto"/>
              <w:rPr>
                <w:rFonts w:hint="eastAsia" w:cs="Times New Roman"/>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3511" w:type="dxa"/>
            <w:shd w:val="clear" w:color="auto" w:fill="auto"/>
            <w:vAlign w:val="center"/>
          </w:tcPr>
          <w:p w14:paraId="171A991F">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jc w:val="both"/>
              <w:textAlignment w:val="auto"/>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双级破碎机、筛分机均</w:t>
            </w:r>
            <w:r>
              <w:rPr>
                <w:rFonts w:hint="default"/>
                <w:color w:val="000000" w:themeColor="text1"/>
                <w:szCs w:val="21"/>
                <w:lang w:val="en-US" w:eastAsia="zh-CN"/>
                <w14:textFill>
                  <w14:solidFill>
                    <w14:schemeClr w14:val="tx1"/>
                  </w14:solidFill>
                </w14:textFill>
              </w:rPr>
              <w:t>为全封闭式，上方设置集气管道，</w:t>
            </w:r>
            <w:r>
              <w:rPr>
                <w:rFonts w:hint="default"/>
                <w:color w:val="000000" w:themeColor="text1"/>
                <w:szCs w:val="21"/>
                <w14:textFill>
                  <w14:solidFill>
                    <w14:schemeClr w14:val="tx1"/>
                  </w14:solidFill>
                </w14:textFill>
              </w:rPr>
              <w:t>废气</w:t>
            </w:r>
            <w:r>
              <w:rPr>
                <w:rFonts w:hint="default"/>
                <w:color w:val="000000" w:themeColor="text1"/>
                <w:szCs w:val="21"/>
                <w:lang w:val="en-US" w:eastAsia="zh-CN"/>
                <w14:textFill>
                  <w14:solidFill>
                    <w14:schemeClr w14:val="tx1"/>
                  </w14:solidFill>
                </w14:textFill>
              </w:rPr>
              <w:t>收集后共同引入1台</w:t>
            </w:r>
            <w:r>
              <w:rPr>
                <w:rFonts w:hint="default"/>
                <w:color w:val="000000" w:themeColor="text1"/>
                <w:szCs w:val="21"/>
                <w14:textFill>
                  <w14:solidFill>
                    <w14:schemeClr w14:val="tx1"/>
                  </w14:solidFill>
                </w14:textFill>
              </w:rPr>
              <w:t>布袋除尘器</w:t>
            </w:r>
            <w:r>
              <w:rPr>
                <w:rFonts w:hint="default"/>
                <w:color w:val="000000" w:themeColor="text1"/>
                <w:szCs w:val="21"/>
                <w:lang w:eastAsia="zh-CN"/>
                <w14:textFill>
                  <w14:solidFill>
                    <w14:schemeClr w14:val="tx1"/>
                  </w14:solidFill>
                </w14:textFill>
              </w:rPr>
              <w:t>（</w:t>
            </w:r>
            <w:r>
              <w:rPr>
                <w:rFonts w:hint="default"/>
                <w:color w:val="000000" w:themeColor="text1"/>
                <w:szCs w:val="21"/>
                <w:lang w:val="en-US" w:eastAsia="zh-CN"/>
                <w14:textFill>
                  <w14:solidFill>
                    <w14:schemeClr w14:val="tx1"/>
                  </w14:solidFill>
                </w14:textFill>
              </w:rPr>
              <w:t>TA002</w:t>
            </w:r>
            <w:r>
              <w:rPr>
                <w:rFonts w:hint="default"/>
                <w:color w:val="000000" w:themeColor="text1"/>
                <w:szCs w:val="21"/>
                <w:lang w:eastAsia="zh-CN"/>
                <w14:textFill>
                  <w14:solidFill>
                    <w14:schemeClr w14:val="tx1"/>
                  </w14:solidFill>
                </w14:textFill>
              </w:rPr>
              <w:t>）</w:t>
            </w:r>
            <w:r>
              <w:rPr>
                <w:rFonts w:hint="default"/>
                <w:color w:val="000000" w:themeColor="text1"/>
                <w:szCs w:val="21"/>
                <w14:textFill>
                  <w14:solidFill>
                    <w14:schemeClr w14:val="tx1"/>
                  </w14:solidFill>
                </w14:textFill>
              </w:rPr>
              <w:t>处理</w:t>
            </w:r>
            <w:r>
              <w:rPr>
                <w:rFonts w:hint="default"/>
                <w:color w:val="000000" w:themeColor="text1"/>
                <w:szCs w:val="21"/>
                <w:lang w:val="en-US" w:eastAsia="zh-CN"/>
                <w14:textFill>
                  <w14:solidFill>
                    <w14:schemeClr w14:val="tx1"/>
                  </w14:solidFill>
                </w14:textFill>
              </w:rPr>
              <w:t>后</w:t>
            </w:r>
            <w:r>
              <w:rPr>
                <w:rFonts w:hint="default"/>
                <w:color w:val="000000" w:themeColor="text1"/>
                <w:szCs w:val="21"/>
                <w14:textFill>
                  <w14:solidFill>
                    <w14:schemeClr w14:val="tx1"/>
                  </w14:solidFill>
                </w14:textFill>
              </w:rPr>
              <w:t>，</w:t>
            </w:r>
            <w:r>
              <w:rPr>
                <w:rFonts w:hint="default"/>
                <w:color w:val="000000" w:themeColor="text1"/>
                <w:szCs w:val="21"/>
                <w:lang w:val="en-US" w:eastAsia="zh-CN"/>
                <w14:textFill>
                  <w14:solidFill>
                    <w14:schemeClr w14:val="tx1"/>
                  </w14:solidFill>
                </w14:textFill>
              </w:rPr>
              <w:t>由</w:t>
            </w:r>
            <w:r>
              <w:rPr>
                <w:rFonts w:hint="default"/>
                <w:color w:val="000000" w:themeColor="text1"/>
                <w:szCs w:val="21"/>
                <w14:textFill>
                  <w14:solidFill>
                    <w14:schemeClr w14:val="tx1"/>
                  </w14:solidFill>
                </w14:textFill>
              </w:rPr>
              <w:t>1根15m高排气筒（DA00</w:t>
            </w:r>
            <w:r>
              <w:rPr>
                <w:rFonts w:hint="default"/>
                <w:color w:val="000000" w:themeColor="text1"/>
                <w:szCs w:val="21"/>
                <w:lang w:val="en-US" w:eastAsia="zh-CN"/>
                <w14:textFill>
                  <w14:solidFill>
                    <w14:schemeClr w14:val="tx1"/>
                  </w14:solidFill>
                </w14:textFill>
              </w:rPr>
              <w:t>2</w:t>
            </w:r>
            <w:r>
              <w:rPr>
                <w:rFonts w:hint="default"/>
                <w:color w:val="000000" w:themeColor="text1"/>
                <w:szCs w:val="21"/>
                <w14:textFill>
                  <w14:solidFill>
                    <w14:schemeClr w14:val="tx1"/>
                  </w14:solidFill>
                </w14:textFill>
              </w:rPr>
              <w:t>）排放</w:t>
            </w:r>
          </w:p>
        </w:tc>
        <w:tc>
          <w:tcPr>
            <w:tcW w:w="1943" w:type="dxa"/>
            <w:vMerge w:val="continue"/>
            <w:vAlign w:val="center"/>
          </w:tcPr>
          <w:p w14:paraId="5A7AEE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pPr>
          </w:p>
        </w:tc>
      </w:tr>
      <w:tr w14:paraId="271EBA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7C420B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1281" w:type="dxa"/>
            <w:vAlign w:val="center"/>
          </w:tcPr>
          <w:p w14:paraId="4E53E5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color w:val="000000" w:themeColor="text1"/>
                <w:spacing w:val="0"/>
                <w:kern w:val="28"/>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pacing w:val="0"/>
                <w:kern w:val="28"/>
                <w:sz w:val="21"/>
                <w:szCs w:val="21"/>
                <w:highlight w:val="none"/>
                <w:lang w:val="en-US" w:eastAsia="zh-CN" w:bidi="ar-SA"/>
                <w14:textFill>
                  <w14:solidFill>
                    <w14:schemeClr w14:val="tx1"/>
                  </w14:solidFill>
                </w14:textFill>
              </w:rPr>
              <w:t>物料</w:t>
            </w:r>
            <w:r>
              <w:rPr>
                <w:rFonts w:hint="eastAsia" w:cs="Times New Roman"/>
                <w:b w:val="0"/>
                <w:bCs/>
                <w:color w:val="000000" w:themeColor="text1"/>
                <w:spacing w:val="0"/>
                <w:kern w:val="28"/>
                <w:sz w:val="21"/>
                <w:szCs w:val="21"/>
                <w:highlight w:val="none"/>
                <w:lang w:val="en-US" w:eastAsia="zh-CN" w:bidi="ar-SA"/>
                <w14:textFill>
                  <w14:solidFill>
                    <w14:schemeClr w14:val="tx1"/>
                  </w14:solidFill>
                </w14:textFill>
              </w:rPr>
              <w:t>转载及</w:t>
            </w:r>
            <w:r>
              <w:rPr>
                <w:rFonts w:hint="eastAsia" w:ascii="Times New Roman" w:hAnsi="Times New Roman" w:eastAsia="宋体" w:cs="Times New Roman"/>
                <w:b w:val="0"/>
                <w:bCs/>
                <w:color w:val="000000" w:themeColor="text1"/>
                <w:spacing w:val="0"/>
                <w:kern w:val="28"/>
                <w:sz w:val="21"/>
                <w:szCs w:val="21"/>
                <w:highlight w:val="none"/>
                <w:lang w:val="en-US" w:eastAsia="zh-CN" w:bidi="ar-SA"/>
                <w14:textFill>
                  <w14:solidFill>
                    <w14:schemeClr w14:val="tx1"/>
                  </w14:solidFill>
                </w14:textFill>
              </w:rPr>
              <w:t>输送</w:t>
            </w:r>
            <w:r>
              <w:rPr>
                <w:rFonts w:hint="eastAsia" w:cs="Times New Roman"/>
                <w:color w:val="000000" w:themeColor="text1"/>
                <w:spacing w:val="0"/>
                <w:kern w:val="2"/>
                <w:sz w:val="21"/>
                <w:szCs w:val="21"/>
                <w:highlight w:val="none"/>
                <w:vertAlign w:val="baseline"/>
                <w:lang w:val="en-US" w:eastAsia="zh-CN" w:bidi="ar-SA"/>
                <w14:textFill>
                  <w14:solidFill>
                    <w14:schemeClr w14:val="tx1"/>
                  </w14:solidFill>
                </w14:textFill>
              </w:rPr>
              <w:t>废气</w:t>
            </w:r>
          </w:p>
        </w:tc>
        <w:tc>
          <w:tcPr>
            <w:tcW w:w="1227" w:type="dxa"/>
            <w:vAlign w:val="center"/>
          </w:tcPr>
          <w:p w14:paraId="05C38A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color w:val="000000" w:themeColor="text1"/>
                <w:spacing w:val="0"/>
                <w:kern w:val="28"/>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t>颗粒物</w:t>
            </w:r>
          </w:p>
        </w:tc>
        <w:tc>
          <w:tcPr>
            <w:tcW w:w="3511" w:type="dxa"/>
            <w:vAlign w:val="center"/>
          </w:tcPr>
          <w:p w14:paraId="4734D1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spacing w:val="0"/>
                <w:kern w:val="2"/>
                <w:sz w:val="21"/>
                <w:szCs w:val="21"/>
                <w:highlight w:val="none"/>
                <w:lang w:val="en-US" w:eastAsia="zh-CN" w:bidi="ar-SA"/>
                <w14:textFill>
                  <w14:solidFill>
                    <w14:schemeClr w14:val="tx1"/>
                  </w14:solidFill>
                </w14:textFill>
              </w:rPr>
              <w:t>采用全封</w:t>
            </w:r>
            <w:r>
              <w:rPr>
                <w:rFonts w:hint="eastAsia" w:ascii="Times New Roman" w:hAnsi="Times New Roman" w:cs="Times New Roman"/>
                <w:b w:val="0"/>
                <w:bCs/>
                <w:color w:val="000000" w:themeColor="text1"/>
                <w:spacing w:val="0"/>
                <w:kern w:val="2"/>
                <w:sz w:val="21"/>
                <w:szCs w:val="21"/>
                <w:highlight w:val="none"/>
                <w:lang w:val="en-GB" w:eastAsia="zh-CN" w:bidi="ar-SA"/>
                <w14:textFill>
                  <w14:solidFill>
                    <w14:schemeClr w14:val="tx1"/>
                  </w14:solidFill>
                </w14:textFill>
              </w:rPr>
              <w:t>闭皮带</w:t>
            </w:r>
            <w:r>
              <w:rPr>
                <w:rFonts w:hint="eastAsia" w:ascii="Times New Roman" w:hAnsi="Times New Roman" w:cs="Times New Roman"/>
                <w:b w:val="0"/>
                <w:bCs/>
                <w:color w:val="000000" w:themeColor="text1"/>
                <w:spacing w:val="0"/>
                <w:kern w:val="2"/>
                <w:sz w:val="21"/>
                <w:szCs w:val="21"/>
                <w:highlight w:val="none"/>
                <w:lang w:val="en-US" w:eastAsia="zh-CN" w:bidi="ar-SA"/>
                <w14:textFill>
                  <w14:solidFill>
                    <w14:schemeClr w14:val="tx1"/>
                  </w14:solidFill>
                </w14:textFill>
              </w:rPr>
              <w:t>输送，降低落料点高度，在原料堆放处、皮带转运跌落点处设固定式雾化喷头</w:t>
            </w:r>
          </w:p>
        </w:tc>
        <w:tc>
          <w:tcPr>
            <w:tcW w:w="1943" w:type="dxa"/>
            <w:vMerge w:val="restart"/>
            <w:vAlign w:val="center"/>
          </w:tcPr>
          <w:p w14:paraId="2A30D9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《大气污染物综合排放标准》（GB16297-1996）</w:t>
            </w:r>
          </w:p>
        </w:tc>
      </w:tr>
      <w:tr w14:paraId="01177C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7D89E5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1281" w:type="dxa"/>
            <w:vAlign w:val="center"/>
          </w:tcPr>
          <w:p w14:paraId="32D50A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color w:val="000000" w:themeColor="text1"/>
                <w:spacing w:val="0"/>
                <w:kern w:val="28"/>
                <w:sz w:val="21"/>
                <w:szCs w:val="21"/>
                <w:highlight w:val="none"/>
                <w:lang w:val="en-US" w:eastAsia="zh-CN" w:bidi="ar-SA"/>
                <w14:textFill>
                  <w14:solidFill>
                    <w14:schemeClr w14:val="tx1"/>
                  </w14:solidFill>
                </w14:textFill>
              </w:rPr>
            </w:pPr>
            <w:r>
              <w:rPr>
                <w:rFonts w:hint="eastAsia" w:cs="Times New Roman"/>
                <w:b w:val="0"/>
                <w:bCs/>
                <w:color w:val="000000" w:themeColor="text1"/>
                <w:spacing w:val="0"/>
                <w:kern w:val="28"/>
                <w:sz w:val="21"/>
                <w:szCs w:val="21"/>
                <w:highlight w:val="none"/>
                <w:lang w:val="en-US" w:eastAsia="zh-CN" w:bidi="ar-SA"/>
                <w14:textFill>
                  <w14:solidFill>
                    <w14:schemeClr w14:val="tx1"/>
                  </w14:solidFill>
                </w14:textFill>
              </w:rPr>
              <w:t>原料及成品装卸、堆放</w:t>
            </w:r>
            <w:r>
              <w:rPr>
                <w:rFonts w:hint="eastAsia" w:cs="Times New Roman"/>
                <w:color w:val="000000" w:themeColor="text1"/>
                <w:spacing w:val="0"/>
                <w:kern w:val="2"/>
                <w:sz w:val="21"/>
                <w:szCs w:val="21"/>
                <w:highlight w:val="none"/>
                <w:vertAlign w:val="baseline"/>
                <w:lang w:val="en-US" w:eastAsia="zh-CN" w:bidi="ar-SA"/>
                <w14:textFill>
                  <w14:solidFill>
                    <w14:schemeClr w14:val="tx1"/>
                  </w14:solidFill>
                </w14:textFill>
              </w:rPr>
              <w:t>废气</w:t>
            </w:r>
          </w:p>
        </w:tc>
        <w:tc>
          <w:tcPr>
            <w:tcW w:w="1227" w:type="dxa"/>
            <w:vAlign w:val="center"/>
          </w:tcPr>
          <w:p w14:paraId="60052E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color w:val="000000" w:themeColor="text1"/>
                <w:spacing w:val="0"/>
                <w:kern w:val="28"/>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t>颗粒物</w:t>
            </w:r>
          </w:p>
        </w:tc>
        <w:tc>
          <w:tcPr>
            <w:tcW w:w="3511" w:type="dxa"/>
            <w:vAlign w:val="center"/>
          </w:tcPr>
          <w:p w14:paraId="69C888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原料、成品堆放区位于全封闭生产车间内，库顶安装喷雾抑尘措施，装卸物料时设有移动式雾炮机同时抑尘，地面硬化，车辆出入口设有自动感应密闭门，同时加设扬尘在线监测和视频监控设施，并与生态环境部门联网</w:t>
            </w:r>
          </w:p>
        </w:tc>
        <w:tc>
          <w:tcPr>
            <w:tcW w:w="1943" w:type="dxa"/>
            <w:vMerge w:val="continue"/>
            <w:vAlign w:val="center"/>
          </w:tcPr>
          <w:p w14:paraId="47ACD6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pPr>
          </w:p>
        </w:tc>
      </w:tr>
      <w:tr w14:paraId="3108E9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6A363F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1281" w:type="dxa"/>
            <w:vAlign w:val="center"/>
          </w:tcPr>
          <w:p w14:paraId="42FC32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b w:val="0"/>
                <w:bCs/>
                <w:color w:val="000000" w:themeColor="text1"/>
                <w:spacing w:val="0"/>
                <w:kern w:val="28"/>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道路运输</w:t>
            </w:r>
            <w:r>
              <w:rPr>
                <w:rFonts w:hint="eastAsia" w:cs="Times New Roman"/>
                <w:color w:val="000000" w:themeColor="text1"/>
                <w:spacing w:val="0"/>
                <w:kern w:val="2"/>
                <w:sz w:val="21"/>
                <w:szCs w:val="21"/>
                <w:highlight w:val="none"/>
                <w:vertAlign w:val="baseline"/>
                <w:lang w:val="en-US" w:eastAsia="zh-CN" w:bidi="ar-SA"/>
                <w14:textFill>
                  <w14:solidFill>
                    <w14:schemeClr w14:val="tx1"/>
                  </w14:solidFill>
                </w14:textFill>
              </w:rPr>
              <w:t>废气</w:t>
            </w:r>
          </w:p>
        </w:tc>
        <w:tc>
          <w:tcPr>
            <w:tcW w:w="1227" w:type="dxa"/>
            <w:vAlign w:val="center"/>
          </w:tcPr>
          <w:p w14:paraId="766158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t>颗粒物</w:t>
            </w:r>
          </w:p>
        </w:tc>
        <w:tc>
          <w:tcPr>
            <w:tcW w:w="3511" w:type="dxa"/>
            <w:vAlign w:val="center"/>
          </w:tcPr>
          <w:p w14:paraId="1666E3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both"/>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依托厂区出入口处全自动洗车平台，出厂对车辆轮胎清洗</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后方可上路</w:t>
            </w:r>
            <w:r>
              <w:rPr>
                <w:rFonts w:hint="default" w:ascii="Times New Roman" w:hAnsi="Times New Roman"/>
                <w:color w:val="000000" w:themeColor="text1"/>
                <w:sz w:val="21"/>
                <w:szCs w:val="21"/>
                <w:lang w:eastAsia="zh-CN"/>
                <w14:textFill>
                  <w14:solidFill>
                    <w14:schemeClr w14:val="tx1"/>
                  </w14:solidFill>
                </w14:textFill>
              </w:rPr>
              <w:t>；对厂区地面、道路定时洒水；</w:t>
            </w:r>
            <w:r>
              <w:rPr>
                <w:rFonts w:hint="default" w:ascii="Times New Roman" w:hAnsi="Times New Roman"/>
                <w:color w:val="000000" w:themeColor="text1"/>
                <w:sz w:val="21"/>
                <w:szCs w:val="21"/>
                <w14:textFill>
                  <w14:solidFill>
                    <w14:schemeClr w14:val="tx1"/>
                  </w14:solidFill>
                </w14:textFill>
              </w:rPr>
              <w:t>限制汽车超载，</w:t>
            </w:r>
            <w:r>
              <w:rPr>
                <w:rFonts w:hint="eastAsia"/>
                <w:color w:val="000000" w:themeColor="text1"/>
                <w:sz w:val="21"/>
                <w:szCs w:val="21"/>
                <w:lang w:val="en-US" w:eastAsia="zh-CN"/>
                <w14:textFill>
                  <w14:solidFill>
                    <w14:schemeClr w14:val="tx1"/>
                  </w14:solidFill>
                </w14:textFill>
              </w:rPr>
              <w:t>运输</w:t>
            </w:r>
            <w:r>
              <w:rPr>
                <w:rFonts w:hint="default" w:ascii="Times New Roman" w:hAnsi="Times New Roman"/>
                <w:color w:val="000000" w:themeColor="text1"/>
                <w:sz w:val="21"/>
                <w:szCs w:val="21"/>
                <w14:textFill>
                  <w14:solidFill>
                    <w14:schemeClr w14:val="tx1"/>
                  </w14:solidFill>
                </w14:textFill>
              </w:rPr>
              <w:t>采用</w:t>
            </w:r>
            <w:r>
              <w:rPr>
                <w:rFonts w:hint="eastAsia"/>
                <w:color w:val="000000" w:themeColor="text1"/>
                <w:sz w:val="21"/>
                <w:szCs w:val="21"/>
                <w:lang w:val="en-US" w:eastAsia="zh-CN"/>
                <w14:textFill>
                  <w14:solidFill>
                    <w14:schemeClr w14:val="tx1"/>
                  </w14:solidFill>
                </w14:textFill>
              </w:rPr>
              <w:t>厢</w:t>
            </w:r>
            <w:r>
              <w:rPr>
                <w:rFonts w:hint="default" w:ascii="Times New Roman" w:hAnsi="Times New Roman"/>
                <w:color w:val="000000" w:themeColor="text1"/>
                <w:sz w:val="21"/>
                <w:szCs w:val="21"/>
                <w14:textFill>
                  <w14:solidFill>
                    <w14:schemeClr w14:val="tx1"/>
                  </w14:solidFill>
                </w14:textFill>
              </w:rPr>
              <w:t>式车</w:t>
            </w:r>
          </w:p>
        </w:tc>
        <w:tc>
          <w:tcPr>
            <w:tcW w:w="1943" w:type="dxa"/>
            <w:vMerge w:val="continue"/>
            <w:vAlign w:val="center"/>
          </w:tcPr>
          <w:p w14:paraId="65D25F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color w:val="000000" w:themeColor="text1"/>
                <w:kern w:val="28"/>
                <w:sz w:val="21"/>
                <w:szCs w:val="21"/>
                <w:highlight w:val="none"/>
                <w:lang w:val="en-US" w:eastAsia="zh-CN" w:bidi="ar-SA"/>
                <w14:textFill>
                  <w14:solidFill>
                    <w14:schemeClr w14:val="tx1"/>
                  </w14:solidFill>
                </w14:textFill>
              </w:rPr>
            </w:pPr>
          </w:p>
        </w:tc>
      </w:tr>
      <w:tr w14:paraId="1D8D54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restart"/>
            <w:vAlign w:val="center"/>
          </w:tcPr>
          <w:p w14:paraId="387B4A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地表水</w:t>
            </w:r>
          </w:p>
          <w:p w14:paraId="069109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环境</w:t>
            </w:r>
          </w:p>
        </w:tc>
        <w:tc>
          <w:tcPr>
            <w:tcW w:w="1281" w:type="dxa"/>
            <w:vAlign w:val="center"/>
          </w:tcPr>
          <w:p w14:paraId="6BD677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生活污水</w:t>
            </w:r>
          </w:p>
        </w:tc>
        <w:tc>
          <w:tcPr>
            <w:tcW w:w="1227" w:type="dxa"/>
            <w:vAlign w:val="center"/>
          </w:tcPr>
          <w:p w14:paraId="3CC3F1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hAnsi="宋体"/>
                <w:color w:val="000000" w:themeColor="text1"/>
                <w:szCs w:val="21"/>
                <w14:textFill>
                  <w14:solidFill>
                    <w14:schemeClr w14:val="tx1"/>
                  </w14:solidFill>
                </w14:textFill>
              </w:rPr>
              <w:t>COD、BOD</w:t>
            </w:r>
            <w:r>
              <w:rPr>
                <w:rFonts w:hint="default" w:hAnsi="宋体"/>
                <w:color w:val="000000" w:themeColor="text1"/>
                <w:szCs w:val="21"/>
                <w:vertAlign w:val="subscript"/>
                <w14:textFill>
                  <w14:solidFill>
                    <w14:schemeClr w14:val="tx1"/>
                  </w14:solidFill>
                </w14:textFill>
              </w:rPr>
              <w:t>5</w:t>
            </w:r>
            <w:r>
              <w:rPr>
                <w:rFonts w:hint="default" w:hAnsi="宋体"/>
                <w:color w:val="000000" w:themeColor="text1"/>
                <w:szCs w:val="21"/>
                <w14:textFill>
                  <w14:solidFill>
                    <w14:schemeClr w14:val="tx1"/>
                  </w14:solidFill>
                </w14:textFill>
              </w:rPr>
              <w:t>、NH</w:t>
            </w:r>
            <w:r>
              <w:rPr>
                <w:rFonts w:hint="default" w:hAnsi="宋体"/>
                <w:color w:val="000000" w:themeColor="text1"/>
                <w:szCs w:val="21"/>
                <w:vertAlign w:val="subscript"/>
                <w14:textFill>
                  <w14:solidFill>
                    <w14:schemeClr w14:val="tx1"/>
                  </w14:solidFill>
                </w14:textFill>
              </w:rPr>
              <w:t>3</w:t>
            </w:r>
            <w:r>
              <w:rPr>
                <w:rFonts w:hint="default" w:hAnsi="宋体"/>
                <w:color w:val="000000" w:themeColor="text1"/>
                <w:szCs w:val="21"/>
                <w14:textFill>
                  <w14:solidFill>
                    <w14:schemeClr w14:val="tx1"/>
                  </w14:solidFill>
                </w14:textFill>
              </w:rPr>
              <w:t>-N</w:t>
            </w:r>
            <w:r>
              <w:rPr>
                <w:rFonts w:hint="eastAsia" w:hAnsi="宋体"/>
                <w:color w:val="000000" w:themeColor="text1"/>
                <w:szCs w:val="21"/>
                <w14:textFill>
                  <w14:solidFill>
                    <w14:schemeClr w14:val="tx1"/>
                  </w14:solidFill>
                </w14:textFill>
              </w:rPr>
              <w:t>、S</w:t>
            </w:r>
            <w:r>
              <w:rPr>
                <w:rFonts w:hint="default" w:hAnsi="宋体"/>
                <w:color w:val="000000" w:themeColor="text1"/>
                <w:szCs w:val="21"/>
                <w14:textFill>
                  <w14:solidFill>
                    <w14:schemeClr w14:val="tx1"/>
                  </w14:solidFill>
                </w14:textFill>
              </w:rPr>
              <w:t>S</w:t>
            </w:r>
          </w:p>
        </w:tc>
        <w:tc>
          <w:tcPr>
            <w:tcW w:w="3511" w:type="dxa"/>
            <w:vAlign w:val="center"/>
          </w:tcPr>
          <w:p w14:paraId="6BF85317">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vertAlign w:val="baseline"/>
                <w:lang w:val="en-US" w:eastAsia="zh-CN" w:bidi="ar-SA"/>
                <w14:textFill>
                  <w14:solidFill>
                    <w14:schemeClr w14:val="tx1"/>
                  </w14:solidFill>
                </w14:textFill>
              </w:rPr>
              <w:t>依托厂区现有旱厕</w:t>
            </w:r>
            <w:r>
              <w:rPr>
                <w:rFonts w:hint="eastAsia" w:cs="Times New Roman"/>
                <w:color w:val="000000" w:themeColor="text1"/>
                <w:spacing w:val="0"/>
                <w:kern w:val="2"/>
                <w:sz w:val="21"/>
                <w:szCs w:val="21"/>
                <w:highlight w:val="none"/>
                <w:lang w:val="en-US" w:eastAsia="zh-CN" w:bidi="ar-SA"/>
                <w14:textFill>
                  <w14:solidFill>
                    <w14:schemeClr w14:val="tx1"/>
                  </w14:solidFill>
                </w14:textFill>
              </w:rPr>
              <w:t>，定时清掏，不外排</w:t>
            </w:r>
          </w:p>
        </w:tc>
        <w:tc>
          <w:tcPr>
            <w:tcW w:w="1943" w:type="dxa"/>
            <w:vAlign w:val="center"/>
          </w:tcPr>
          <w:p w14:paraId="0AEB80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w:t>
            </w:r>
          </w:p>
        </w:tc>
      </w:tr>
      <w:tr w14:paraId="5B3F32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52C2EE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1281" w:type="dxa"/>
            <w:vAlign w:val="center"/>
          </w:tcPr>
          <w:p w14:paraId="3D401A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洗车废水</w:t>
            </w:r>
          </w:p>
        </w:tc>
        <w:tc>
          <w:tcPr>
            <w:tcW w:w="1227" w:type="dxa"/>
            <w:vAlign w:val="center"/>
          </w:tcPr>
          <w:p w14:paraId="4EDFAA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SS、石油类</w:t>
            </w:r>
          </w:p>
        </w:tc>
        <w:tc>
          <w:tcPr>
            <w:tcW w:w="3511" w:type="dxa"/>
            <w:vAlign w:val="center"/>
          </w:tcPr>
          <w:p w14:paraId="564F6679">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both"/>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r>
              <w:rPr>
                <w:rFonts w:hint="default" w:ascii="Times New Roman" w:hAnsi="Times New Roman" w:cs="Times New Roman"/>
                <w:color w:val="000000" w:themeColor="text1"/>
                <w:spacing w:val="0"/>
                <w:sz w:val="21"/>
                <w:szCs w:val="21"/>
                <w:highlight w:val="none"/>
                <w14:textFill>
                  <w14:solidFill>
                    <w14:schemeClr w14:val="tx1"/>
                  </w14:solidFill>
                </w14:textFill>
              </w:rPr>
              <w:t>洗车废水</w:t>
            </w:r>
            <w:r>
              <w:rPr>
                <w:rFonts w:hint="eastAsia" w:cs="Times New Roman"/>
                <w:color w:val="000000" w:themeColor="text1"/>
                <w:spacing w:val="0"/>
                <w:sz w:val="21"/>
                <w:szCs w:val="21"/>
                <w:highlight w:val="none"/>
                <w:lang w:val="en-US" w:eastAsia="zh-CN"/>
                <w14:textFill>
                  <w14:solidFill>
                    <w14:schemeClr w14:val="tx1"/>
                  </w14:solidFill>
                </w14:textFill>
              </w:rPr>
              <w:t>经厂区现有</w:t>
            </w:r>
            <w:r>
              <w:rPr>
                <w:rFonts w:hint="default" w:ascii="Times New Roman" w:hAnsi="Times New Roman" w:cs="Times New Roman"/>
                <w:color w:val="000000" w:themeColor="text1"/>
                <w:spacing w:val="0"/>
                <w:sz w:val="21"/>
                <w:szCs w:val="21"/>
                <w:highlight w:val="none"/>
                <w14:textFill>
                  <w14:solidFill>
                    <w14:schemeClr w14:val="tx1"/>
                  </w14:solidFill>
                </w14:textFill>
              </w:rPr>
              <w:t>沉淀池沉淀后，回用至</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洗车</w:t>
            </w:r>
            <w:r>
              <w:rPr>
                <w:rFonts w:hint="default" w:ascii="Times New Roman" w:hAnsi="Times New Roman" w:cs="Times New Roman"/>
                <w:color w:val="000000" w:themeColor="text1"/>
                <w:spacing w:val="0"/>
                <w:sz w:val="21"/>
                <w:szCs w:val="21"/>
                <w:highlight w:val="none"/>
                <w14:textFill>
                  <w14:solidFill>
                    <w14:schemeClr w14:val="tx1"/>
                  </w14:solidFill>
                </w14:textFill>
              </w:rPr>
              <w:t>工序，循环使用，不排放</w:t>
            </w:r>
          </w:p>
        </w:tc>
        <w:tc>
          <w:tcPr>
            <w:tcW w:w="1943" w:type="dxa"/>
            <w:vAlign w:val="center"/>
          </w:tcPr>
          <w:p w14:paraId="6A5AE7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jc w:val="center"/>
              <w:textAlignment w:val="auto"/>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w:t>
            </w:r>
          </w:p>
        </w:tc>
      </w:tr>
      <w:tr w14:paraId="7694E2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3798D2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1281" w:type="dxa"/>
            <w:vAlign w:val="center"/>
          </w:tcPr>
          <w:p w14:paraId="51C975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初期雨水</w:t>
            </w:r>
          </w:p>
        </w:tc>
        <w:tc>
          <w:tcPr>
            <w:tcW w:w="1227" w:type="dxa"/>
            <w:vAlign w:val="center"/>
          </w:tcPr>
          <w:p w14:paraId="57EF25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SS</w:t>
            </w:r>
          </w:p>
        </w:tc>
        <w:tc>
          <w:tcPr>
            <w:tcW w:w="3511" w:type="dxa"/>
            <w:vAlign w:val="center"/>
          </w:tcPr>
          <w:p w14:paraId="54CFE6E1">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依托厂区内现有1座380m</w:t>
            </w:r>
            <w:r>
              <w:rPr>
                <w:rFonts w:hint="eastAsia" w:cs="Times New Roman"/>
                <w:color w:val="000000" w:themeColor="text1"/>
                <w:spacing w:val="0"/>
                <w:sz w:val="21"/>
                <w:szCs w:val="21"/>
                <w:highlight w:val="none"/>
                <w:vertAlign w:val="superscript"/>
                <w:lang w:val="en-US" w:eastAsia="zh-CN"/>
                <w14:textFill>
                  <w14:solidFill>
                    <w14:schemeClr w14:val="tx1"/>
                  </w14:solidFill>
                </w14:textFill>
              </w:rPr>
              <w:t>3</w:t>
            </w:r>
            <w:r>
              <w:rPr>
                <w:rFonts w:hint="eastAsia" w:cs="Times New Roman"/>
                <w:color w:val="000000" w:themeColor="text1"/>
                <w:spacing w:val="0"/>
                <w:sz w:val="21"/>
                <w:szCs w:val="21"/>
                <w:highlight w:val="none"/>
                <w:vertAlign w:val="baseline"/>
                <w:lang w:val="en-US" w:eastAsia="zh-CN"/>
                <w14:textFill>
                  <w14:solidFill>
                    <w14:schemeClr w14:val="tx1"/>
                  </w14:solidFill>
                </w14:textFill>
              </w:rPr>
              <w:t>初期雨水收集池，雨水经沉淀后用于厂区洒水抑尘</w:t>
            </w:r>
          </w:p>
        </w:tc>
        <w:tc>
          <w:tcPr>
            <w:tcW w:w="1943" w:type="dxa"/>
            <w:vAlign w:val="center"/>
          </w:tcPr>
          <w:p w14:paraId="79D5D7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w:t>
            </w:r>
          </w:p>
        </w:tc>
      </w:tr>
      <w:tr w14:paraId="03AD7B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Align w:val="center"/>
          </w:tcPr>
          <w:p w14:paraId="27DA9B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声环境</w:t>
            </w:r>
          </w:p>
        </w:tc>
        <w:tc>
          <w:tcPr>
            <w:tcW w:w="1281" w:type="dxa"/>
            <w:vAlign w:val="center"/>
          </w:tcPr>
          <w:p w14:paraId="3914D4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生产设备</w:t>
            </w:r>
          </w:p>
        </w:tc>
        <w:tc>
          <w:tcPr>
            <w:tcW w:w="1227" w:type="dxa"/>
            <w:vAlign w:val="center"/>
          </w:tcPr>
          <w:p w14:paraId="566E54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噪声</w:t>
            </w:r>
          </w:p>
        </w:tc>
        <w:tc>
          <w:tcPr>
            <w:tcW w:w="3511" w:type="dxa"/>
            <w:vAlign w:val="center"/>
          </w:tcPr>
          <w:p w14:paraId="7AB7AA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jc w:val="both"/>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选用低噪声设备，高噪音设备做基础减振、柔性连接，厂房隔声等，保持设备运行良好；车辆限速行驶，减少鸣笛</w:t>
            </w:r>
          </w:p>
        </w:tc>
        <w:tc>
          <w:tcPr>
            <w:tcW w:w="1943" w:type="dxa"/>
            <w:vAlign w:val="center"/>
          </w:tcPr>
          <w:p w14:paraId="252D43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fldChar w:fldCharType="begin"/>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instrText xml:space="preserve"> HYPERLINK "http://www.mep.gov.cn/info/bgw/bgg/200809/W020081017399508921576.pdf" \t "_self" </w:instrTex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fldChar w:fldCharType="separate"/>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工业企业厂界环境噪声</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fldChar w:fldCharType="end"/>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排放标准》（GB12348-2008）</w:t>
            </w:r>
          </w:p>
        </w:tc>
      </w:tr>
      <w:tr w14:paraId="32FEFB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Align w:val="center"/>
          </w:tcPr>
          <w:p w14:paraId="4D4BE3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固体废物</w:t>
            </w:r>
          </w:p>
        </w:tc>
        <w:tc>
          <w:tcPr>
            <w:tcW w:w="7962" w:type="dxa"/>
            <w:gridSpan w:val="4"/>
            <w:vAlign w:val="center"/>
          </w:tcPr>
          <w:p w14:paraId="35B80D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生活垃圾：</w:t>
            </w:r>
            <w:r>
              <w:rPr>
                <w:rFonts w:hint="eastAsia" w:cs="Times New Roman"/>
                <w:color w:val="000000" w:themeColor="text1"/>
                <w:spacing w:val="0"/>
                <w:kern w:val="2"/>
                <w:sz w:val="21"/>
                <w:szCs w:val="21"/>
                <w:highlight w:val="none"/>
                <w:lang w:val="en-US" w:eastAsia="zh-CN" w:bidi="ar-SA"/>
                <w14:textFill>
                  <w14:solidFill>
                    <w14:schemeClr w14:val="tx1"/>
                  </w14:solidFill>
                </w14:textFill>
              </w:rPr>
              <w:t>厂内设置垃圾桶，定期送至当地环卫部门指定地点。</w:t>
            </w:r>
          </w:p>
          <w:p w14:paraId="086716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一般工业固体废物：除尘器收集的除尘灰</w:t>
            </w:r>
            <w:r>
              <w:rPr>
                <w:rFonts w:hint="eastAsia" w:cs="Times New Roman"/>
                <w:color w:val="000000" w:themeColor="text1"/>
                <w:kern w:val="2"/>
                <w:sz w:val="21"/>
                <w:szCs w:val="21"/>
                <w:highlight w:val="none"/>
                <w:lang w:val="en-US" w:eastAsia="zh-CN" w:bidi="ar-SA"/>
                <w14:textFill>
                  <w14:solidFill>
                    <w14:schemeClr w14:val="tx1"/>
                  </w14:solidFill>
                </w14:textFill>
              </w:rPr>
              <w:t>作为产品外售</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p w14:paraId="65897B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危险废物：</w:t>
            </w:r>
            <w:r>
              <w:rPr>
                <w:rFonts w:hint="eastAsia" w:cs="Times New Roman"/>
                <w:color w:val="000000" w:themeColor="text1"/>
                <w:spacing w:val="0"/>
                <w:sz w:val="21"/>
                <w:szCs w:val="21"/>
                <w:highlight w:val="none"/>
                <w:lang w:val="en-US" w:eastAsia="zh-CN"/>
                <w14:textFill>
                  <w14:solidFill>
                    <w14:schemeClr w14:val="tx1"/>
                  </w14:solidFill>
                </w14:textFill>
              </w:rPr>
              <w:t>厂区西北侧建设1座40m</w:t>
            </w:r>
            <w:r>
              <w:rPr>
                <w:rFonts w:hint="eastAsia" w:cs="Times New Roman"/>
                <w:color w:val="000000" w:themeColor="text1"/>
                <w:spacing w:val="0"/>
                <w:sz w:val="21"/>
                <w:szCs w:val="21"/>
                <w:highlight w:val="none"/>
                <w:vertAlign w:val="superscript"/>
                <w:lang w:val="en-US" w:eastAsia="zh-CN"/>
                <w14:textFill>
                  <w14:solidFill>
                    <w14:schemeClr w14:val="tx1"/>
                  </w14:solidFill>
                </w14:textFill>
              </w:rPr>
              <w:t>2</w:t>
            </w:r>
            <w:r>
              <w:rPr>
                <w:rFonts w:hint="eastAsia" w:cs="Times New Roman"/>
                <w:color w:val="000000" w:themeColor="text1"/>
                <w:spacing w:val="0"/>
                <w:sz w:val="21"/>
                <w:szCs w:val="21"/>
                <w:highlight w:val="none"/>
                <w:vertAlign w:val="baseline"/>
                <w:lang w:val="en-US" w:eastAsia="zh-CN"/>
                <w14:textFill>
                  <w14:solidFill>
                    <w14:schemeClr w14:val="tx1"/>
                  </w14:solidFill>
                </w14:textFill>
              </w:rPr>
              <w:t>危废贮存点，废矿物油、废油桶</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暂存于</w:t>
            </w:r>
            <w:r>
              <w:rPr>
                <w:rFonts w:hint="eastAsia" w:cs="Times New Roman"/>
                <w:color w:val="000000" w:themeColor="text1"/>
                <w:spacing w:val="0"/>
                <w:sz w:val="21"/>
                <w:szCs w:val="21"/>
                <w:highlight w:val="none"/>
                <w:lang w:val="en-US" w:eastAsia="zh-CN"/>
                <w14:textFill>
                  <w14:solidFill>
                    <w14:schemeClr w14:val="tx1"/>
                  </w14:solidFill>
                </w14:textFill>
              </w:rPr>
              <w:t>危废贮存点</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定期委托有资质单位处置</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r>
      <w:tr w14:paraId="1FDAA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Align w:val="center"/>
          </w:tcPr>
          <w:p w14:paraId="0010CE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土壤及地下水污染防治措施</w:t>
            </w:r>
          </w:p>
        </w:tc>
        <w:tc>
          <w:tcPr>
            <w:tcW w:w="7962" w:type="dxa"/>
            <w:gridSpan w:val="4"/>
            <w:vAlign w:val="center"/>
          </w:tcPr>
          <w:p w14:paraId="26E953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加强设备运行维护管理，减少跑冒滴漏事故产生；</w:t>
            </w:r>
          </w:p>
          <w:p w14:paraId="7CE647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加强污染防治措施运行管理，保证污染物达标排放；</w:t>
            </w:r>
          </w:p>
          <w:p w14:paraId="30FE2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加强厂区内危废贮存点等构筑物的防渗措施，</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本次评价将项目区划分为重点防渗区、一般防渗区</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和简单防渗区</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危废贮存点</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为重点防渗区，生产车间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、洗车平台沉淀池、初期雨水收集池</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为一般防渗区</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，其他为简单防渗区。</w:t>
            </w:r>
          </w:p>
        </w:tc>
      </w:tr>
      <w:tr w14:paraId="0352A7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Align w:val="center"/>
          </w:tcPr>
          <w:p w14:paraId="436775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生态保护措施</w:t>
            </w:r>
          </w:p>
        </w:tc>
        <w:tc>
          <w:tcPr>
            <w:tcW w:w="7962" w:type="dxa"/>
            <w:gridSpan w:val="4"/>
            <w:vAlign w:val="center"/>
          </w:tcPr>
          <w:p w14:paraId="3006A0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加强污染防治措施运行管理，保证污染物达标排放；</w:t>
            </w:r>
          </w:p>
          <w:p w14:paraId="4B85DC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加强厂区硬化、绿化措施</w:t>
            </w:r>
            <w:r>
              <w:rPr>
                <w:rFonts w:hint="eastAsia" w:eastAsia="宋体" w:cs="Times New Roman"/>
                <w:color w:val="000000" w:themeColor="text1"/>
                <w:kern w:val="2"/>
                <w:sz w:val="21"/>
                <w:szCs w:val="21"/>
                <w:highlight w:val="none"/>
                <w:lang w:val="en-US" w:eastAsia="zh-CN" w:bidi="ar-SA"/>
                <w14:textFill>
                  <w14:solidFill>
                    <w14:schemeClr w14:val="tx1"/>
                  </w14:solidFill>
                </w14:textFill>
              </w:rPr>
              <w:t>。</w:t>
            </w:r>
          </w:p>
        </w:tc>
      </w:tr>
      <w:tr w14:paraId="40367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Align w:val="center"/>
          </w:tcPr>
          <w:p w14:paraId="40B1A0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jc w:val="center"/>
              <w:textAlignment w:val="auto"/>
              <w:rPr>
                <w:rFonts w:hint="default" w:ascii="Times New Roman" w:hAnsi="Times New Roman" w:cs="Times New Roman"/>
                <w:color w:val="000000" w:themeColor="text1"/>
                <w:spacing w:val="-8"/>
                <w:szCs w:val="21"/>
                <w:highlight w:val="none"/>
                <w14:textFill>
                  <w14:solidFill>
                    <w14:schemeClr w14:val="tx1"/>
                  </w14:solidFill>
                </w14:textFill>
              </w:rPr>
            </w:pPr>
            <w:r>
              <w:rPr>
                <w:rFonts w:hint="default" w:ascii="Times New Roman" w:hAnsi="Times New Roman" w:cs="Times New Roman"/>
                <w:color w:val="000000" w:themeColor="text1"/>
                <w:spacing w:val="-8"/>
                <w:szCs w:val="21"/>
                <w:highlight w:val="none"/>
                <w14:textFill>
                  <w14:solidFill>
                    <w14:schemeClr w14:val="tx1"/>
                  </w14:solidFill>
                </w14:textFill>
              </w:rPr>
              <w:t>环境风险</w:t>
            </w:r>
          </w:p>
          <w:p w14:paraId="19FA60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jc w:val="center"/>
              <w:textAlignment w:val="auto"/>
              <w:rPr>
                <w:rFonts w:hint="default" w:ascii="Times New Roman" w:hAnsi="Times New Roman" w:cs="Times New Roman"/>
                <w:color w:val="000000" w:themeColor="text1"/>
                <w:spacing w:val="-8"/>
                <w:szCs w:val="21"/>
                <w:highlight w:val="none"/>
                <w14:textFill>
                  <w14:solidFill>
                    <w14:schemeClr w14:val="tx1"/>
                  </w14:solidFill>
                </w14:textFill>
              </w:rPr>
            </w:pPr>
            <w:r>
              <w:rPr>
                <w:rFonts w:hint="default" w:ascii="Times New Roman" w:hAnsi="Times New Roman" w:cs="Times New Roman"/>
                <w:color w:val="000000" w:themeColor="text1"/>
                <w:spacing w:val="-8"/>
                <w:szCs w:val="21"/>
                <w:highlight w:val="none"/>
                <w14:textFill>
                  <w14:solidFill>
                    <w14:schemeClr w14:val="tx1"/>
                  </w14:solidFill>
                </w14:textFill>
              </w:rPr>
              <w:t>防范措施</w:t>
            </w:r>
          </w:p>
        </w:tc>
        <w:tc>
          <w:tcPr>
            <w:tcW w:w="7962" w:type="dxa"/>
            <w:gridSpan w:val="4"/>
            <w:vAlign w:val="center"/>
          </w:tcPr>
          <w:p w14:paraId="4CF6C7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应安排专人管理，进行定期巡检，及时发现安全隐患，并采取相应的安全措施；</w:t>
            </w:r>
          </w:p>
          <w:p w14:paraId="6939C1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在全厂内设置移动灭火器，用于防范初起火灾，对职工进行安全和消防教育，提高火灾防范意识；</w:t>
            </w:r>
          </w:p>
          <w:p w14:paraId="3F819F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完善事故发生时的应急措施；</w:t>
            </w:r>
          </w:p>
          <w:p w14:paraId="2F11A3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制定严格有效的环境风险应急预案。</w:t>
            </w:r>
          </w:p>
        </w:tc>
      </w:tr>
      <w:tr w14:paraId="22B0E6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Align w:val="center"/>
          </w:tcPr>
          <w:p w14:paraId="4360E3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000000" w:themeColor="text1"/>
                <w:spacing w:val="-8"/>
                <w:szCs w:val="21"/>
                <w:highlight w:val="none"/>
                <w14:textFill>
                  <w14:solidFill>
                    <w14:schemeClr w14:val="tx1"/>
                  </w14:solidFill>
                </w14:textFill>
              </w:rPr>
            </w:pPr>
            <w:r>
              <w:rPr>
                <w:rFonts w:hint="default" w:ascii="Times New Roman" w:hAnsi="Times New Roman" w:cs="Times New Roman"/>
                <w:color w:val="000000" w:themeColor="text1"/>
                <w:spacing w:val="-8"/>
                <w:szCs w:val="21"/>
                <w:highlight w:val="none"/>
                <w14:textFill>
                  <w14:solidFill>
                    <w14:schemeClr w14:val="tx1"/>
                  </w14:solidFill>
                </w14:textFill>
              </w:rPr>
              <w:t>其他环境</w:t>
            </w:r>
          </w:p>
          <w:p w14:paraId="419EE7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000000" w:themeColor="text1"/>
                <w:spacing w:val="-8"/>
                <w:szCs w:val="21"/>
                <w:highlight w:val="none"/>
                <w14:textFill>
                  <w14:solidFill>
                    <w14:schemeClr w14:val="tx1"/>
                  </w14:solidFill>
                </w14:textFill>
              </w:rPr>
            </w:pPr>
            <w:r>
              <w:rPr>
                <w:rFonts w:hint="default" w:ascii="Times New Roman" w:hAnsi="Times New Roman" w:cs="Times New Roman"/>
                <w:color w:val="000000" w:themeColor="text1"/>
                <w:spacing w:val="-8"/>
                <w:szCs w:val="21"/>
                <w:highlight w:val="none"/>
                <w14:textFill>
                  <w14:solidFill>
                    <w14:schemeClr w14:val="tx1"/>
                  </w14:solidFill>
                </w14:textFill>
              </w:rPr>
              <w:t>管理要求</w:t>
            </w:r>
          </w:p>
        </w:tc>
        <w:tc>
          <w:tcPr>
            <w:tcW w:w="7962" w:type="dxa"/>
            <w:gridSpan w:val="4"/>
            <w:vAlign w:val="center"/>
          </w:tcPr>
          <w:p w14:paraId="16CEB1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环境管理计划</w:t>
            </w:r>
          </w:p>
          <w:p w14:paraId="7E19C3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本工程环境管理工作计划见表5-1。</w:t>
            </w:r>
          </w:p>
          <w:p w14:paraId="61D6FFB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表5-1</w:t>
            </w:r>
            <w:r>
              <w:rPr>
                <w:rFonts w:hint="default" w:ascii="Times New Roman" w:hAnsi="Times New Roman" w:eastAsia="宋体" w:cs="Times New Roman"/>
                <w:b/>
                <w:bCs/>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Cs w:val="21"/>
                <w14:textFill>
                  <w14:solidFill>
                    <w14:schemeClr w14:val="tx1"/>
                  </w14:solidFill>
                </w14:textFill>
              </w:rPr>
              <w:t>环境管理工作计划表</w:t>
            </w:r>
          </w:p>
          <w:tbl>
            <w:tblPr>
              <w:tblStyle w:val="30"/>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6458"/>
            </w:tblGrid>
            <w:tr w14:paraId="49FE5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blHeader/>
              </w:trPr>
              <w:tc>
                <w:tcPr>
                  <w:tcW w:w="821" w:type="pct"/>
                  <w:tcBorders>
                    <w:tl2br w:val="nil"/>
                    <w:tr2bl w:val="nil"/>
                  </w:tcBorders>
                  <w:noWrap w:val="0"/>
                  <w:vAlign w:val="center"/>
                </w:tcPr>
                <w:p w14:paraId="345A8FB3">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阶段</w:t>
                  </w:r>
                </w:p>
              </w:tc>
              <w:tc>
                <w:tcPr>
                  <w:tcW w:w="4178" w:type="pct"/>
                  <w:tcBorders>
                    <w:tl2br w:val="nil"/>
                    <w:tr2bl w:val="nil"/>
                  </w:tcBorders>
                  <w:noWrap w:val="0"/>
                  <w:vAlign w:val="center"/>
                </w:tcPr>
                <w:p w14:paraId="42B8CA0E">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环境管理工作主要内容</w:t>
                  </w:r>
                </w:p>
              </w:tc>
            </w:tr>
            <w:tr w14:paraId="22D0D7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1" w:type="pct"/>
                  <w:tcBorders>
                    <w:tl2br w:val="nil"/>
                    <w:tr2bl w:val="nil"/>
                  </w:tcBorders>
                  <w:noWrap w:val="0"/>
                  <w:vAlign w:val="center"/>
                </w:tcPr>
                <w:p w14:paraId="075FA85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环境管理</w:t>
                  </w:r>
                </w:p>
                <w:p w14:paraId="55A5C193">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机构的职能</w:t>
                  </w:r>
                </w:p>
              </w:tc>
              <w:tc>
                <w:tcPr>
                  <w:tcW w:w="4178" w:type="pct"/>
                  <w:tcBorders>
                    <w:tl2br w:val="nil"/>
                    <w:tr2bl w:val="nil"/>
                  </w:tcBorders>
                  <w:noWrap w:val="0"/>
                  <w:vAlign w:val="center"/>
                </w:tcPr>
                <w:p w14:paraId="72B2A136">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根据国家建设目环境管理规定，认真落实各项环保手续，完成各级环保主管部门对企业提出的环境要求，对企业内部各项管理计划的执行及完成情况进行监督，确保环境管理工作真正发挥作用。</w:t>
                  </w:r>
                </w:p>
              </w:tc>
            </w:tr>
            <w:tr w14:paraId="7E07B8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1" w:type="pct"/>
                  <w:tcBorders>
                    <w:tl2br w:val="nil"/>
                    <w:tr2bl w:val="nil"/>
                  </w:tcBorders>
                  <w:noWrap w:val="0"/>
                  <w:vAlign w:val="center"/>
                </w:tcPr>
                <w:p w14:paraId="64404D71">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建设期</w:t>
                  </w:r>
                </w:p>
              </w:tc>
              <w:tc>
                <w:tcPr>
                  <w:tcW w:w="4178" w:type="pct"/>
                  <w:tcBorders>
                    <w:tl2br w:val="nil"/>
                    <w:tr2bl w:val="nil"/>
                  </w:tcBorders>
                  <w:noWrap w:val="0"/>
                  <w:vAlign w:val="center"/>
                </w:tcPr>
                <w:p w14:paraId="1FBA4B57">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1、合理选址，减少用地。</w:t>
                  </w:r>
                </w:p>
                <w:p w14:paraId="67E63A4C">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2、施工便道定期洒水。</w:t>
                  </w:r>
                </w:p>
                <w:p w14:paraId="2CF8AA0D">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3、临时用地恢复绿化。</w:t>
                  </w:r>
                </w:p>
                <w:p w14:paraId="58C61003">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4、路基防护与加固</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p>
                <w:p w14:paraId="57C63AD8">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5、夜间严禁进行打桩等噪声大的施工作业。</w:t>
                  </w:r>
                </w:p>
                <w:p w14:paraId="7099A142">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6、施工营地加强环境管理。</w:t>
                  </w:r>
                </w:p>
              </w:tc>
            </w:tr>
            <w:tr w14:paraId="76A7FA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1" w:type="pct"/>
                  <w:tcBorders>
                    <w:tl2br w:val="nil"/>
                    <w:tr2bl w:val="nil"/>
                  </w:tcBorders>
                  <w:noWrap w:val="0"/>
                  <w:vAlign w:val="center"/>
                </w:tcPr>
                <w:p w14:paraId="15911954">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调试期</w:t>
                  </w:r>
                </w:p>
              </w:tc>
              <w:tc>
                <w:tcPr>
                  <w:tcW w:w="4178" w:type="pct"/>
                  <w:tcBorders>
                    <w:tl2br w:val="nil"/>
                    <w:tr2bl w:val="nil"/>
                  </w:tcBorders>
                  <w:noWrap w:val="0"/>
                  <w:vAlign w:val="center"/>
                </w:tcPr>
                <w:p w14:paraId="729DF2E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1、申领排污许可证。</w:t>
                  </w:r>
                </w:p>
                <w:p w14:paraId="27AB1B40">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2、对噪声防治效果进行检测。</w:t>
                  </w:r>
                </w:p>
                <w:p w14:paraId="02364BA0">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3、对各设施不定期进行检查。</w:t>
                  </w:r>
                </w:p>
                <w:p w14:paraId="763B6283">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4、记录各项环保设施的试运行状况，针对出现问题提出完善意见。</w:t>
                  </w:r>
                </w:p>
                <w:p w14:paraId="3BBA0303">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5、总结试运行期的生产经验，健全前期制定各项管理制度。</w:t>
                  </w:r>
                </w:p>
                <w:p w14:paraId="6A16699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6、生产装置生产三个月内，进行环保设施的竣工验收。</w:t>
                  </w:r>
                </w:p>
              </w:tc>
            </w:tr>
            <w:tr w14:paraId="0443A2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1" w:type="pct"/>
                  <w:tcBorders>
                    <w:tl2br w:val="nil"/>
                    <w:tr2bl w:val="nil"/>
                  </w:tcBorders>
                  <w:noWrap w:val="0"/>
                  <w:vAlign w:val="center"/>
                </w:tcPr>
                <w:p w14:paraId="712B1521">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生产运行期</w:t>
                  </w:r>
                </w:p>
              </w:tc>
              <w:tc>
                <w:tcPr>
                  <w:tcW w:w="4178" w:type="pct"/>
                  <w:tcBorders>
                    <w:tl2br w:val="nil"/>
                    <w:tr2bl w:val="nil"/>
                  </w:tcBorders>
                  <w:noWrap w:val="0"/>
                  <w:vAlign w:val="center"/>
                </w:tcPr>
                <w:p w14:paraId="727A1BD2">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1、严格执行各项生产及环境管理制度，保证生产的正常进行。</w:t>
                  </w:r>
                </w:p>
                <w:p w14:paraId="21E14606">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2、设立环保设施运行卡，对环保设施定期进行检查维护，做到勤查、勤记、勤养护。</w:t>
                  </w:r>
                </w:p>
                <w:p w14:paraId="6CDA0863">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3、按照监测计划组织厂内的污染源监测，对不达标装置立即寻找原因，及时处理。</w:t>
                  </w:r>
                </w:p>
                <w:p w14:paraId="3274ED9E">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4、不断加强技术培训，组织企业技术交流，提高操作水平，保持操作工人队伍稳定。</w:t>
                  </w:r>
                </w:p>
                <w:p w14:paraId="63733301">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5、建立环境管理台账制度，应真实记录基本信息、产污设施运行管理信息、污染防治设施运行管理信息、监测记录信息及其他环境管理信息等；按照电子台账和纸质台账两种记录形式同步管理。</w:t>
                  </w:r>
                </w:p>
              </w:tc>
            </w:tr>
          </w:tbl>
          <w:p w14:paraId="21A272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bookmarkStart w:id="20" w:name="_Toc15842"/>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排污口规范化设置</w:t>
            </w:r>
            <w:bookmarkEnd w:id="20"/>
          </w:p>
          <w:p w14:paraId="7CE05B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项目需要按照要求设立排污口。本项目排污口均为一般排放口，依照生产线编号以及生产工艺顺序进行编号。废气、废水排放口应进行规范化设计，具备采样、监测条件，排放口附近树立环保图形标志牌。排污口应符合“一明显、二合理、三便于”的要求，即环保标志明显，排污口设置合理，排污去向合理，便于采集样品，便于监测计量，便于公众监督管理。</w:t>
            </w:r>
          </w:p>
          <w:p w14:paraId="00269B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按照国家环境保护总局制定的《（环境保护图形标志）实施细则（试行）》（环监[1996]463号）的规定，在各排污口树立响应的环境保护图形标志牌，具体要求见表5-2。</w:t>
            </w:r>
          </w:p>
          <w:p w14:paraId="1749458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表</w:t>
            </w:r>
            <w:r>
              <w:rPr>
                <w:rFonts w:hint="default" w:ascii="Times New Roman" w:hAnsi="Times New Roman" w:eastAsia="宋体" w:cs="Times New Roman"/>
                <w:b/>
                <w:bCs/>
                <w:color w:val="000000" w:themeColor="text1"/>
                <w:szCs w:val="21"/>
                <w14:textFill>
                  <w14:solidFill>
                    <w14:schemeClr w14:val="tx1"/>
                  </w14:solidFill>
                </w14:textFill>
              </w:rPr>
              <w:t>5-2</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Cs w:val="21"/>
                <w14:textFill>
                  <w14:solidFill>
                    <w14:schemeClr w14:val="tx1"/>
                  </w14:solidFill>
                </w14:textFill>
              </w:rPr>
              <w:t>环境保护图形标志</w:t>
            </w:r>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656"/>
              <w:gridCol w:w="2336"/>
              <w:gridCol w:w="1656"/>
              <w:gridCol w:w="2075"/>
            </w:tblGrid>
            <w:tr w14:paraId="738E6E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48" w:hRule="atLeast"/>
                <w:jc w:val="center"/>
              </w:trPr>
              <w:tc>
                <w:tcPr>
                  <w:tcW w:w="1017" w:type="pct"/>
                  <w:tcBorders>
                    <w:tl2br w:val="nil"/>
                    <w:tr2bl w:val="nil"/>
                  </w:tcBorders>
                  <w:noWrap w:val="0"/>
                  <w:vAlign w:val="center"/>
                </w:tcPr>
                <w:p w14:paraId="1873CFDC">
                  <w:pPr>
                    <w:keepNext w:val="0"/>
                    <w:keepLines w:val="0"/>
                    <w:suppressLineNumbers w:val="0"/>
                    <w:spacing w:before="0" w:beforeAutospacing="0" w:after="0" w:afterAutospacing="0"/>
                    <w:ind w:left="0" w:right="0"/>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"http://www.biaozhi.net/enews/UploadFiles/smallImg/783.gif"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drawing>
                      <wp:inline distT="0" distB="0" distL="114300" distR="114300">
                        <wp:extent cx="914400" cy="914400"/>
                        <wp:effectExtent l="0" t="0" r="0" b="0"/>
                        <wp:docPr id="190" name="图片 9"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9" descr="点击看大图及详细资料"/>
                                <pic:cNvPicPr>
                                  <a:picLocks noChangeAspect="1"/>
                                </pic:cNvPicPr>
                              </pic:nvPicPr>
                              <pic:blipFill>
                                <a:blip r:embed="rId28"/>
                                <a:stretch>
                                  <a:fillRect/>
                                </a:stretch>
                              </pic:blipFill>
                              <pic:spPr>
                                <a:xfrm>
                                  <a:off x="0" y="0"/>
                                  <a:ext cx="914400" cy="914400"/>
                                </a:xfrm>
                                <a:prstGeom prst="rect">
                                  <a:avLst/>
                                </a:prstGeom>
                                <a:noFill/>
                                <a:ln>
                                  <a:noFill/>
                                </a:ln>
                              </pic:spPr>
                            </pic:pic>
                          </a:graphicData>
                        </a:graphic>
                      </wp:inline>
                    </w:drawing>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HYPERLINK "http://www.biaozhi.net/eNews/news/200602/0029_0000000905.shtml" \t "_blank"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"http://www.biaozhi.net/enews/UploadFiles/smallImg/781.gif"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p>
              </w:tc>
              <w:tc>
                <w:tcPr>
                  <w:tcW w:w="1544" w:type="pct"/>
                  <w:tcBorders>
                    <w:tl2br w:val="nil"/>
                    <w:tr2bl w:val="nil"/>
                  </w:tcBorders>
                  <w:noWrap w:val="0"/>
                  <w:vAlign w:val="center"/>
                </w:tcPr>
                <w:p w14:paraId="3FAC72D3">
                  <w:pPr>
                    <w:keepNext w:val="0"/>
                    <w:keepLines w:val="0"/>
                    <w:suppressLineNumbers w:val="0"/>
                    <w:spacing w:before="0" w:beforeAutospacing="0" w:after="0" w:afterAutospacing="0"/>
                    <w:ind w:left="0" w:right="0"/>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简介：废气排放口</w:t>
                  </w:r>
                </w:p>
                <w:p w14:paraId="36947276">
                  <w:pPr>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000000" w:themeColor="text1"/>
                      <w:szCs w:val="21"/>
                      <w:lang w:eastAsia="zh-CN"/>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提示图形符号</w:t>
                  </w:r>
                </w:p>
                <w:p w14:paraId="21634927">
                  <w:pPr>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000000" w:themeColor="text1"/>
                      <w:szCs w:val="21"/>
                      <w:lang w:eastAsia="zh-CN"/>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废气排放口</w:t>
                  </w:r>
                </w:p>
                <w:p w14:paraId="07EB73C7">
                  <w:pPr>
                    <w:keepNext w:val="0"/>
                    <w:keepLines w:val="0"/>
                    <w:suppressLineNumbers w:val="0"/>
                    <w:spacing w:before="0" w:beforeAutospacing="0" w:after="0" w:afterAutospacing="0"/>
                    <w:ind w:left="0" w:right="0"/>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表示废气向大气环境排放</w:t>
                  </w:r>
                </w:p>
              </w:tc>
              <w:tc>
                <w:tcPr>
                  <w:tcW w:w="1061" w:type="pct"/>
                  <w:tcBorders>
                    <w:tl2br w:val="nil"/>
                    <w:tr2bl w:val="nil"/>
                  </w:tcBorders>
                  <w:noWrap w:val="0"/>
                  <w:vAlign w:val="center"/>
                </w:tcPr>
                <w:p w14:paraId="29F1D13F">
                  <w:pPr>
                    <w:keepNext w:val="0"/>
                    <w:keepLines w:val="0"/>
                    <w:suppressLineNumbers w:val="0"/>
                    <w:spacing w:before="0" w:beforeAutospacing="0" w:after="0" w:afterAutospacing="0"/>
                    <w:ind w:left="0" w:right="0"/>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HYPERLINK "http://www.biaozhi.net/eNews/news/200602/0029_0000000909.shtml" \t "_blank"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"http://www.biaozhi.net/enews/UploadFiles/smallImg/785.gif"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drawing>
                      <wp:inline distT="0" distB="0" distL="114300" distR="114300">
                        <wp:extent cx="914400" cy="914400"/>
                        <wp:effectExtent l="0" t="0" r="0" b="0"/>
                        <wp:docPr id="192" name="图片 10"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0" descr="点击看大图及详细资料"/>
                                <pic:cNvPicPr>
                                  <a:picLocks noChangeAspect="1"/>
                                </pic:cNvPicPr>
                              </pic:nvPicPr>
                              <pic:blipFill>
                                <a:blip r:embed="rId29"/>
                                <a:stretch>
                                  <a:fillRect/>
                                </a:stretch>
                              </pic:blipFill>
                              <pic:spPr>
                                <a:xfrm>
                                  <a:off x="0" y="0"/>
                                  <a:ext cx="914400" cy="914400"/>
                                </a:xfrm>
                                <a:prstGeom prst="rect">
                                  <a:avLst/>
                                </a:prstGeom>
                                <a:noFill/>
                                <a:ln>
                                  <a:noFill/>
                                </a:ln>
                              </pic:spPr>
                            </pic:pic>
                          </a:graphicData>
                        </a:graphic>
                      </wp:inline>
                    </w:drawing>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r>
                    <w:rPr>
                      <w:rFonts w:hint="default" w:ascii="Times New Roman" w:hAnsi="Times New Roman" w:cs="Times New Roman"/>
                      <w:b w:val="0"/>
                      <w:bCs w:val="0"/>
                      <w:color w:val="000000" w:themeColor="text1"/>
                      <w:szCs w:val="21"/>
                      <w14:textFill>
                        <w14:solidFill>
                          <w14:schemeClr w14:val="tx1"/>
                        </w14:solidFill>
                      </w14:textFill>
                    </w:rPr>
                    <w:fldChar w:fldCharType="end"/>
                  </w:r>
                </w:p>
              </w:tc>
              <w:tc>
                <w:tcPr>
                  <w:tcW w:w="1375" w:type="pct"/>
                  <w:tcBorders>
                    <w:tl2br w:val="nil"/>
                    <w:tr2bl w:val="nil"/>
                  </w:tcBorders>
                  <w:noWrap w:val="0"/>
                  <w:vAlign w:val="center"/>
                </w:tcPr>
                <w:p w14:paraId="5854CDAA">
                  <w:pPr>
                    <w:keepNext w:val="0"/>
                    <w:keepLines w:val="0"/>
                    <w:suppressLineNumbers w:val="0"/>
                    <w:spacing w:before="0" w:beforeAutospacing="0" w:after="0" w:afterAutospacing="0"/>
                    <w:ind w:left="0" w:right="0"/>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简介：噪声排放源</w:t>
                  </w:r>
                </w:p>
                <w:p w14:paraId="4DF566FA">
                  <w:pPr>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000000" w:themeColor="text1"/>
                      <w:szCs w:val="21"/>
                      <w:lang w:eastAsia="zh-CN"/>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提示图形符号</w:t>
                  </w:r>
                </w:p>
                <w:p w14:paraId="75C36B65">
                  <w:pPr>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000000" w:themeColor="text1"/>
                      <w:szCs w:val="21"/>
                      <w:lang w:eastAsia="zh-CN"/>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噪声排放源</w:t>
                  </w:r>
                </w:p>
                <w:p w14:paraId="79655377">
                  <w:pPr>
                    <w:keepNext w:val="0"/>
                    <w:keepLines w:val="0"/>
                    <w:suppressLineNumbers w:val="0"/>
                    <w:spacing w:before="0" w:beforeAutospacing="0" w:after="0" w:afterAutospacing="0"/>
                    <w:ind w:left="0" w:right="0"/>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表示噪声向外环境排放</w:t>
                  </w:r>
                </w:p>
              </w:tc>
            </w:tr>
            <w:tr w14:paraId="6F2169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96" w:hRule="atLeast"/>
                <w:jc w:val="center"/>
              </w:trPr>
              <w:tc>
                <w:tcPr>
                  <w:tcW w:w="1017" w:type="pct"/>
                  <w:tcBorders>
                    <w:tl2br w:val="nil"/>
                    <w:tr2bl w:val="nil"/>
                  </w:tcBorders>
                  <w:noWrap w:val="0"/>
                  <w:vAlign w:val="center"/>
                </w:tcPr>
                <w:p w14:paraId="7229C3B9">
                  <w:pPr>
                    <w:keepNext w:val="0"/>
                    <w:keepLines w:val="0"/>
                    <w:suppressLineNumbers w:val="0"/>
                    <w:spacing w:before="0" w:beforeAutospacing="0" w:after="0" w:afterAutospacing="0"/>
                    <w:ind w:left="0" w:right="0"/>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fldChar w:fldCharType="begin"/>
                  </w:r>
                  <w:r>
                    <w:rPr>
                      <w:rFonts w:hint="default" w:ascii="Times New Roman" w:hAnsi="Times New Roman" w:cs="Times New Roman"/>
                      <w:b w:val="0"/>
                      <w:bCs w:val="0"/>
                      <w:color w:val="000000" w:themeColor="text1"/>
                      <w:szCs w:val="21"/>
                      <w14:textFill>
                        <w14:solidFill>
                          <w14:schemeClr w14:val="tx1"/>
                        </w14:solidFill>
                      </w14:textFill>
                    </w:rPr>
                    <w:instrText xml:space="preserve"> INCLUDEPICTURE  "H:\\环评报告\\Administrator\\AppData\\Roaming\\Tencent\\Users\\1049960459\\TIM\\WinTemp\\RichOle\\%255b2OM$Q~9VA%25603U0OK~8X)9(6.png" \* MERGEFORMATINET </w:instrText>
                  </w:r>
                  <w:r>
                    <w:rPr>
                      <w:rFonts w:hint="default" w:ascii="Times New Roman" w:hAnsi="Times New Roman" w:cs="Times New Roman"/>
                      <w:b w:val="0"/>
                      <w:bCs w:val="0"/>
                      <w:color w:val="000000" w:themeColor="text1"/>
                      <w:szCs w:val="21"/>
                      <w14:textFill>
                        <w14:solidFill>
                          <w14:schemeClr w14:val="tx1"/>
                        </w14:solidFill>
                      </w14:textFill>
                    </w:rPr>
                    <w:fldChar w:fldCharType="separate"/>
                  </w:r>
                  <w:r>
                    <w:rPr>
                      <w:rFonts w:hint="default" w:ascii="Times New Roman" w:hAnsi="Times New Roman" w:cs="Times New Roman"/>
                      <w:b w:val="0"/>
                      <w:bCs w:val="0"/>
                      <w:color w:val="000000" w:themeColor="text1"/>
                      <w:szCs w:val="21"/>
                      <w14:textFill>
                        <w14:solidFill>
                          <w14:schemeClr w14:val="tx1"/>
                        </w14:solidFill>
                      </w14:textFill>
                    </w:rPr>
                    <w:drawing>
                      <wp:inline distT="0" distB="0" distL="114300" distR="114300">
                        <wp:extent cx="914400" cy="914400"/>
                        <wp:effectExtent l="0" t="0" r="0" b="0"/>
                        <wp:docPr id="191" name="图片 11" descr="[2OM$Q~9VA`3U0OK~8X)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1" descr="[2OM$Q~9VA`3U0OK~8X)9(6"/>
                                <pic:cNvPicPr>
                                  <a:picLocks noChangeAspect="1"/>
                                </pic:cNvPicPr>
                              </pic:nvPicPr>
                              <pic:blipFill>
                                <a:blip r:embed="rId30"/>
                                <a:stretch>
                                  <a:fillRect/>
                                </a:stretch>
                              </pic:blipFill>
                              <pic:spPr>
                                <a:xfrm>
                                  <a:off x="0" y="0"/>
                                  <a:ext cx="914400" cy="914400"/>
                                </a:xfrm>
                                <a:prstGeom prst="rect">
                                  <a:avLst/>
                                </a:prstGeom>
                                <a:noFill/>
                                <a:ln>
                                  <a:noFill/>
                                </a:ln>
                              </pic:spPr>
                            </pic:pic>
                          </a:graphicData>
                        </a:graphic>
                      </wp:inline>
                    </w:drawing>
                  </w:r>
                  <w:r>
                    <w:rPr>
                      <w:rFonts w:hint="default" w:ascii="Times New Roman" w:hAnsi="Times New Roman" w:cs="Times New Roman"/>
                      <w:b w:val="0"/>
                      <w:bCs w:val="0"/>
                      <w:color w:val="000000" w:themeColor="text1"/>
                      <w:szCs w:val="21"/>
                      <w14:textFill>
                        <w14:solidFill>
                          <w14:schemeClr w14:val="tx1"/>
                        </w14:solidFill>
                      </w14:textFill>
                    </w:rPr>
                    <w:fldChar w:fldCharType="end"/>
                  </w:r>
                </w:p>
              </w:tc>
              <w:tc>
                <w:tcPr>
                  <w:tcW w:w="1544" w:type="pct"/>
                  <w:tcBorders>
                    <w:tl2br w:val="nil"/>
                    <w:tr2bl w:val="nil"/>
                  </w:tcBorders>
                  <w:noWrap w:val="0"/>
                  <w:vAlign w:val="center"/>
                </w:tcPr>
                <w:p w14:paraId="7B2BF707">
                  <w:pPr>
                    <w:keepNext w:val="0"/>
                    <w:keepLines w:val="0"/>
                    <w:suppressLineNumbers w:val="0"/>
                    <w:spacing w:before="0" w:beforeAutospacing="0" w:after="0" w:afterAutospacing="0"/>
                    <w:ind w:left="0" w:right="0"/>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简介：一般固体废弃物</w:t>
                  </w:r>
                </w:p>
                <w:p w14:paraId="1A585AD8">
                  <w:pPr>
                    <w:keepNext w:val="0"/>
                    <w:keepLines w:val="0"/>
                    <w:suppressLineNumbers w:val="0"/>
                    <w:spacing w:before="0" w:beforeAutospacing="0" w:after="0" w:afterAutospacing="0"/>
                    <w:ind w:left="0" w:right="0"/>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提示图形符号</w:t>
                  </w:r>
                </w:p>
                <w:p w14:paraId="3DB66468">
                  <w:pPr>
                    <w:keepNext w:val="0"/>
                    <w:keepLines w:val="0"/>
                    <w:suppressLineNumbers w:val="0"/>
                    <w:spacing w:before="0" w:beforeAutospacing="0" w:after="0" w:afterAutospacing="0"/>
                    <w:ind w:left="0" w:right="0"/>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表示一般固体废弃物贮存、处置场</w:t>
                  </w:r>
                </w:p>
              </w:tc>
              <w:tc>
                <w:tcPr>
                  <w:tcW w:w="1061" w:type="pct"/>
                  <w:tcBorders>
                    <w:tl2br w:val="nil"/>
                    <w:tr2bl w:val="nil"/>
                  </w:tcBorders>
                  <w:noWrap w:val="0"/>
                  <w:vAlign w:val="center"/>
                </w:tcPr>
                <w:p w14:paraId="3EEF511A">
                  <w:pPr>
                    <w:keepNext w:val="0"/>
                    <w:keepLines w:val="0"/>
                    <w:suppressLineNumbers w:val="0"/>
                    <w:spacing w:before="0" w:beforeAutospacing="0" w:after="0" w:afterAutospacing="0"/>
                    <w:ind w:left="0" w:right="0"/>
                    <w:rPr>
                      <w:rFonts w:hint="default" w:ascii="Times New Roman" w:hAnsi="Times New Roman" w:cs="Times New Roman"/>
                      <w:b w:val="0"/>
                      <w:bCs w:val="0"/>
                      <w:color w:val="000000" w:themeColor="text1"/>
                      <w:szCs w:val="21"/>
                      <w14:textFill>
                        <w14:solidFill>
                          <w14:schemeClr w14:val="tx1"/>
                        </w14:solidFill>
                      </w14:textFill>
                    </w:rPr>
                  </w:pPr>
                  <w:r>
                    <w:rPr>
                      <w:rFonts w:hint="default"/>
                      <w:color w:val="000000" w:themeColor="text1"/>
                      <w:szCs w:val="20"/>
                      <w14:textFill>
                        <w14:solidFill>
                          <w14:schemeClr w14:val="tx1"/>
                        </w14:solidFill>
                      </w14:textFill>
                    </w:rPr>
                    <w:drawing>
                      <wp:inline distT="0" distB="0" distL="114300" distR="114300">
                        <wp:extent cx="914400" cy="914400"/>
                        <wp:effectExtent l="0" t="0" r="0" b="0"/>
                        <wp:docPr id="188" name="图片 8" descr="W020230515591222963411"/>
                        <wp:cNvGraphicFramePr/>
                        <a:graphic xmlns:a="http://schemas.openxmlformats.org/drawingml/2006/main">
                          <a:graphicData uri="http://schemas.openxmlformats.org/drawingml/2006/picture">
                            <pic:pic xmlns:pic="http://schemas.openxmlformats.org/drawingml/2006/picture">
                              <pic:nvPicPr>
                                <pic:cNvPr id="188" name="图片 8" descr="W020230515591222963411"/>
                                <pic:cNvPicPr/>
                              </pic:nvPicPr>
                              <pic:blipFill>
                                <a:blip r:embed="rId27"/>
                                <a:srcRect b="46810"/>
                                <a:stretch>
                                  <a:fillRect/>
                                </a:stretch>
                              </pic:blipFill>
                              <pic:spPr>
                                <a:xfrm>
                                  <a:off x="0" y="0"/>
                                  <a:ext cx="914400" cy="914400"/>
                                </a:xfrm>
                                <a:prstGeom prst="rect">
                                  <a:avLst/>
                                </a:prstGeom>
                                <a:noFill/>
                                <a:ln>
                                  <a:noFill/>
                                </a:ln>
                              </pic:spPr>
                            </pic:pic>
                          </a:graphicData>
                        </a:graphic>
                      </wp:inline>
                    </w:drawing>
                  </w:r>
                </w:p>
              </w:tc>
              <w:tc>
                <w:tcPr>
                  <w:tcW w:w="1375" w:type="pct"/>
                  <w:tcBorders>
                    <w:tl2br w:val="nil"/>
                    <w:tr2bl w:val="nil"/>
                  </w:tcBorders>
                  <w:noWrap w:val="0"/>
                  <w:vAlign w:val="center"/>
                </w:tcPr>
                <w:p w14:paraId="1BBBA412">
                  <w:pPr>
                    <w:keepNext w:val="0"/>
                    <w:keepLines w:val="0"/>
                    <w:suppressLineNumbers w:val="0"/>
                    <w:spacing w:before="0" w:beforeAutospacing="0" w:after="0" w:afterAutospacing="0"/>
                    <w:ind w:left="0" w:right="0"/>
                    <w:rPr>
                      <w:rFonts w:hint="eastAsia" w:cs="Times New Roman"/>
                      <w:b w:val="0"/>
                      <w:bCs w:val="0"/>
                      <w:color w:val="000000" w:themeColor="text1"/>
                      <w:szCs w:val="21"/>
                      <w:lang w:val="en-US" w:eastAsia="zh-CN"/>
                      <w14:textFill>
                        <w14:solidFill>
                          <w14:schemeClr w14:val="tx1"/>
                        </w14:solidFill>
                      </w14:textFill>
                    </w:rPr>
                  </w:pPr>
                  <w:r>
                    <w:rPr>
                      <w:rFonts w:hint="eastAsia" w:cs="Times New Roman"/>
                      <w:b w:val="0"/>
                      <w:bCs w:val="0"/>
                      <w:color w:val="000000" w:themeColor="text1"/>
                      <w:szCs w:val="21"/>
                      <w:lang w:val="en-US" w:eastAsia="zh-CN"/>
                      <w14:textFill>
                        <w14:solidFill>
                          <w14:schemeClr w14:val="tx1"/>
                        </w14:solidFill>
                      </w14:textFill>
                    </w:rPr>
                    <w:t>简介：危险废物</w:t>
                  </w:r>
                </w:p>
                <w:p w14:paraId="23C89A42">
                  <w:pPr>
                    <w:pStyle w:val="27"/>
                    <w:keepNext w:val="0"/>
                    <w:keepLines w:val="0"/>
                    <w:suppressLineNumbers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警告图形</w:t>
                  </w:r>
                </w:p>
                <w:p w14:paraId="2540A4DA">
                  <w:pPr>
                    <w:keepNext w:val="0"/>
                    <w:keepLines w:val="0"/>
                    <w:suppressLineNumbers w:val="0"/>
                    <w:spacing w:before="0" w:beforeAutospacing="0" w:after="0" w:afterAutospacing="0"/>
                    <w:ind w:left="0" w:right="0"/>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表示危险废物贮存、处置场</w:t>
                  </w:r>
                </w:p>
              </w:tc>
            </w:tr>
          </w:tbl>
          <w:p w14:paraId="180F0D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管理监测信息公开</w:t>
            </w:r>
          </w:p>
          <w:p w14:paraId="773173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根据《企业环境信息依法披露管理办法》，企业应当按照准则编制年度环境信息依法披露报告和临时环境信息依法披露报告，并上传至企业环境信息依法披露系统，主要公开内容如下：</w:t>
            </w:r>
          </w:p>
          <w:p w14:paraId="5DAD17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（一）企业基本信息，包括企业生产和生态环境保护等方面的基础信息；</w:t>
            </w:r>
          </w:p>
          <w:p w14:paraId="7F63BF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（二）企业环境管理信息，包括生态环境行政许可、环境保护税、环境污染责任保险、环保信用评价等方面的信息；</w:t>
            </w:r>
          </w:p>
          <w:p w14:paraId="185C06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（三）污染物产生、治理与排放信息，包括污染防治设施，污染物排放，有毒有害物质排放，工业固体废物和危险废物产生、贮存、流向、利用、处置，自行监测等方面的信息；</w:t>
            </w:r>
          </w:p>
          <w:p w14:paraId="18202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（四）碳排放信息，包括排放量、排放设施等方面的信息；</w:t>
            </w:r>
          </w:p>
          <w:p w14:paraId="126C7F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（五）生态环境应急信息，包括突发环境事件应急预案、重污染天气应急响应等方面的信息；</w:t>
            </w:r>
          </w:p>
          <w:p w14:paraId="1909EE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（六）生态环境违法信息；</w:t>
            </w:r>
          </w:p>
          <w:p w14:paraId="51331D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（七）本年度临时环境信息依法披露情况；</w:t>
            </w:r>
          </w:p>
          <w:p w14:paraId="2801B9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（八）法律法规规定的其他环境信息</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p w14:paraId="69B737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p w14:paraId="200222B3">
            <w:pPr>
              <w:pStyle w:val="7"/>
              <w:pageBreakBefore w:val="0"/>
              <w:suppressLineNumbers w:val="0"/>
              <w:kinsoku/>
              <w:wordWrap/>
              <w:overflowPunct/>
              <w:topLinePunct w:val="0"/>
              <w:autoSpaceDE/>
              <w:autoSpaceDN/>
              <w:bidi w:val="0"/>
              <w:spacing w:before="0" w:beforeLines="0" w:beforeAutospacing="0" w:after="0" w:afterAutospacing="0" w:line="320" w:lineRule="exact"/>
              <w:ind w:left="0" w:right="0"/>
              <w:textAlignment w:val="auto"/>
              <w:rPr>
                <w:rFonts w:hint="eastAsia"/>
                <w:color w:val="000000" w:themeColor="text1"/>
                <w:lang w:val="en-US" w:eastAsia="zh-CN"/>
                <w14:textFill>
                  <w14:solidFill>
                    <w14:schemeClr w14:val="tx1"/>
                  </w14:solidFill>
                </w14:textFill>
              </w:rPr>
            </w:pPr>
          </w:p>
          <w:p w14:paraId="671216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p w14:paraId="22950B5F">
            <w:pPr>
              <w:pStyle w:val="17"/>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p>
        </w:tc>
      </w:tr>
    </w:tbl>
    <w:p w14:paraId="13BA294A">
      <w:pPr>
        <w:pStyle w:val="22"/>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cs="Times New Roman"/>
          <w:snapToGrid w:val="0"/>
          <w:color w:val="000000" w:themeColor="text1"/>
          <w:highlight w:val="none"/>
          <w14:textFill>
            <w14:solidFill>
              <w14:schemeClr w14:val="tx1"/>
            </w14:solidFill>
          </w14:textFill>
        </w:rPr>
        <w:br w:type="page"/>
      </w:r>
      <w:bookmarkStart w:id="21" w:name="_Toc4819"/>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六、结论</w:t>
      </w:r>
      <w:bookmarkEnd w:id="21"/>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836E6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77CD5B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从环境保护角度</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分析</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项目的建设是可行的。</w:t>
            </w:r>
          </w:p>
        </w:tc>
      </w:tr>
    </w:tbl>
    <w:p w14:paraId="27D599FC">
      <w:pPr>
        <w:rPr>
          <w:rFonts w:hint="default" w:ascii="Times New Roman" w:hAnsi="Times New Roman" w:cs="Times New Roman"/>
          <w:color w:val="000000" w:themeColor="text1"/>
          <w:highlight w:val="none"/>
          <w14:textFill>
            <w14:solidFill>
              <w14:schemeClr w14:val="tx1"/>
            </w14:solidFill>
          </w14:textFill>
        </w:rPr>
      </w:pPr>
    </w:p>
    <w:p w14:paraId="1D525568">
      <w:pPr>
        <w:rPr>
          <w:rFonts w:hint="default" w:ascii="Times New Roman" w:hAnsi="Times New Roman" w:cs="Times New Roman"/>
          <w:color w:val="000000" w:themeColor="text1"/>
          <w:highlight w:val="none"/>
          <w14:textFill>
            <w14:solidFill>
              <w14:schemeClr w14:val="tx1"/>
            </w14:solidFill>
          </w14:textFill>
        </w:rPr>
        <w:sectPr>
          <w:pgSz w:w="11906" w:h="16838"/>
          <w:pgMar w:top="1701" w:right="1531" w:bottom="1701" w:left="1531" w:header="851" w:footer="1134" w:gutter="0"/>
          <w:pgBorders>
            <w:top w:val="none" w:sz="0" w:space="0"/>
            <w:left w:val="none" w:sz="0" w:space="0"/>
            <w:bottom w:val="none" w:sz="0" w:space="0"/>
            <w:right w:val="none" w:sz="0" w:space="0"/>
          </w:pgBorders>
          <w:pgNumType w:fmt="decimal"/>
          <w:cols w:space="720" w:num="1"/>
          <w:docGrid w:linePitch="312" w:charSpace="0"/>
        </w:sectPr>
      </w:pPr>
    </w:p>
    <w:p w14:paraId="530BD4F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auto"/>
        <w:textAlignment w:val="auto"/>
        <w:outlineLvl w:val="0"/>
        <w:rPr>
          <w:rFonts w:hint="default" w:ascii="Times New Roman" w:hAnsi="Times New Roman" w:eastAsia="黑体" w:cs="Times New Roman"/>
          <w:snapToGrid w:val="0"/>
          <w:color w:val="000000" w:themeColor="text1"/>
          <w:sz w:val="32"/>
          <w:szCs w:val="32"/>
          <w:highlight w:val="none"/>
          <w14:textFill>
            <w14:solidFill>
              <w14:schemeClr w14:val="tx1"/>
            </w14:solidFill>
          </w14:textFill>
        </w:rPr>
      </w:pPr>
      <w:bookmarkStart w:id="22" w:name="_Toc28200"/>
      <w:r>
        <w:rPr>
          <w:rFonts w:hint="default" w:ascii="Times New Roman" w:hAnsi="Times New Roman" w:eastAsia="黑体" w:cs="Times New Roman"/>
          <w:snapToGrid w:val="0"/>
          <w:color w:val="000000" w:themeColor="text1"/>
          <w:sz w:val="32"/>
          <w:szCs w:val="32"/>
          <w:highlight w:val="none"/>
          <w14:textFill>
            <w14:solidFill>
              <w14:schemeClr w14:val="tx1"/>
            </w14:solidFill>
          </w14:textFill>
        </w:rPr>
        <w:t>附表</w:t>
      </w:r>
      <w:bookmarkEnd w:id="22"/>
    </w:p>
    <w:p w14:paraId="1771205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08" w:lineRule="auto"/>
        <w:jc w:val="center"/>
        <w:textAlignment w:val="auto"/>
        <w:outlineLvl w:val="0"/>
        <w:rPr>
          <w:rFonts w:hint="default" w:ascii="Times New Roman" w:hAnsi="Times New Roman" w:eastAsia="方正小标宋_GBK" w:cs="Times New Roman"/>
          <w:snapToGrid w:val="0"/>
          <w:color w:val="000000" w:themeColor="text1"/>
          <w:sz w:val="38"/>
          <w:szCs w:val="38"/>
          <w:highlight w:val="none"/>
          <w14:textFill>
            <w14:solidFill>
              <w14:schemeClr w14:val="tx1"/>
            </w14:solidFill>
          </w14:textFill>
        </w:rPr>
      </w:pPr>
      <w:bookmarkStart w:id="23" w:name="_Toc14665"/>
      <w:r>
        <w:rPr>
          <w:rFonts w:hint="default" w:ascii="Times New Roman" w:hAnsi="Times New Roman" w:eastAsia="方正小标宋_GBK" w:cs="Times New Roman"/>
          <w:snapToGrid w:val="0"/>
          <w:color w:val="000000" w:themeColor="text1"/>
          <w:sz w:val="38"/>
          <w:szCs w:val="38"/>
          <w:highlight w:val="none"/>
          <w14:textFill>
            <w14:solidFill>
              <w14:schemeClr w14:val="tx1"/>
            </w14:solidFill>
          </w14:textFill>
        </w:rPr>
        <w:t>建设项目污染物排放量汇总表</w:t>
      </w:r>
      <w:bookmarkEnd w:id="23"/>
    </w:p>
    <w:tbl>
      <w:tblPr>
        <w:tblStyle w:val="30"/>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311"/>
        <w:gridCol w:w="1665"/>
        <w:gridCol w:w="1275"/>
        <w:gridCol w:w="1680"/>
        <w:gridCol w:w="1530"/>
        <w:gridCol w:w="1785"/>
        <w:gridCol w:w="1625"/>
        <w:gridCol w:w="1329"/>
      </w:tblGrid>
      <w:tr w14:paraId="7033CA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88" w:type="dxa"/>
            <w:tcBorders>
              <w:tl2br w:val="single" w:color="auto" w:sz="4" w:space="0"/>
            </w:tcBorders>
            <w:tcMar>
              <w:left w:w="28" w:type="dxa"/>
              <w:right w:w="28" w:type="dxa"/>
            </w:tcMar>
            <w:vAlign w:val="center"/>
          </w:tcPr>
          <w:p w14:paraId="028B9B1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right"/>
              <w:textAlignment w:val="auto"/>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项目</w:t>
            </w:r>
          </w:p>
          <w:p w14:paraId="32B1CA0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分类</w:t>
            </w:r>
          </w:p>
        </w:tc>
        <w:tc>
          <w:tcPr>
            <w:tcW w:w="1311" w:type="dxa"/>
            <w:tcMar>
              <w:left w:w="28" w:type="dxa"/>
              <w:right w:w="28" w:type="dxa"/>
            </w:tcMar>
            <w:vAlign w:val="center"/>
          </w:tcPr>
          <w:p w14:paraId="2A936CA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污染物名称</w:t>
            </w:r>
          </w:p>
        </w:tc>
        <w:tc>
          <w:tcPr>
            <w:tcW w:w="1665" w:type="dxa"/>
            <w:tcMar>
              <w:left w:w="28" w:type="dxa"/>
              <w:right w:w="28" w:type="dxa"/>
            </w:tcMar>
            <w:vAlign w:val="center"/>
          </w:tcPr>
          <w:p w14:paraId="66FBD3F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现有工程</w:t>
            </w:r>
          </w:p>
          <w:p w14:paraId="6FB505E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排放量（固体废物产生量）</w: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Cs w:val="21"/>
                <w:highlight w:val="none"/>
                <w14:textFill>
                  <w14:solidFill>
                    <w14:schemeClr w14:val="tx1"/>
                  </w14:solidFill>
                </w14:textFill>
              </w:rPr>
              <w:t>①</w: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end"/>
            </w:r>
          </w:p>
        </w:tc>
        <w:tc>
          <w:tcPr>
            <w:tcW w:w="1275" w:type="dxa"/>
            <w:tcMar>
              <w:left w:w="28" w:type="dxa"/>
              <w:right w:w="28" w:type="dxa"/>
            </w:tcMar>
            <w:vAlign w:val="center"/>
          </w:tcPr>
          <w:p w14:paraId="25079F5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现有工程</w:t>
            </w:r>
          </w:p>
          <w:p w14:paraId="37633A5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许可排放量</w:t>
            </w:r>
          </w:p>
          <w:p w14:paraId="2D7F8A7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instrText xml:space="preserve"> = 2 \* GB3 \* MERGEFORMAT </w:instrTex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②</w: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end"/>
            </w:r>
          </w:p>
        </w:tc>
        <w:tc>
          <w:tcPr>
            <w:tcW w:w="1680" w:type="dxa"/>
            <w:tcMar>
              <w:left w:w="28" w:type="dxa"/>
              <w:right w:w="28" w:type="dxa"/>
            </w:tcMar>
            <w:vAlign w:val="center"/>
          </w:tcPr>
          <w:p w14:paraId="291A0BF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在建工程</w:t>
            </w:r>
          </w:p>
          <w:p w14:paraId="2BC0CB7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排放量（固体废物产生量）</w: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instrText xml:space="preserve"> = 3 \* GB3 \* MERGEFORMAT </w:instrTex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Cs w:val="21"/>
                <w:highlight w:val="none"/>
                <w14:textFill>
                  <w14:solidFill>
                    <w14:schemeClr w14:val="tx1"/>
                  </w14:solidFill>
                </w14:textFill>
              </w:rPr>
              <w:t>③</w: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end"/>
            </w:r>
          </w:p>
        </w:tc>
        <w:tc>
          <w:tcPr>
            <w:tcW w:w="1530" w:type="dxa"/>
            <w:tcMar>
              <w:left w:w="28" w:type="dxa"/>
              <w:right w:w="28" w:type="dxa"/>
            </w:tcMar>
            <w:vAlign w:val="center"/>
          </w:tcPr>
          <w:p w14:paraId="7DFF965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本项目</w:t>
            </w:r>
          </w:p>
          <w:p w14:paraId="1DA5193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排放量（固体废物产生量）</w: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instrText xml:space="preserve"> = 4 \* GB3 \* MERGEFORMAT </w:instrTex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Cs w:val="21"/>
                <w:highlight w:val="none"/>
                <w14:textFill>
                  <w14:solidFill>
                    <w14:schemeClr w14:val="tx1"/>
                  </w14:solidFill>
                </w14:textFill>
              </w:rPr>
              <w:t>④</w: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end"/>
            </w:r>
          </w:p>
        </w:tc>
        <w:tc>
          <w:tcPr>
            <w:tcW w:w="1785" w:type="dxa"/>
            <w:tcMar>
              <w:left w:w="28" w:type="dxa"/>
              <w:right w:w="28" w:type="dxa"/>
            </w:tcMar>
            <w:vAlign w:val="center"/>
          </w:tcPr>
          <w:p w14:paraId="71AEC7C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t>以新带老削减量</w:t>
            </w:r>
          </w:p>
          <w:p w14:paraId="7F4751E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t>（新建项目不填）</w:t>
            </w: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instrText xml:space="preserve"> = 5 \* GB3 \* MERGEFORMAT </w:instrText>
            </w: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Cs w:val="21"/>
                <w:highlight w:val="none"/>
                <w14:textFill>
                  <w14:solidFill>
                    <w14:schemeClr w14:val="tx1"/>
                  </w14:solidFill>
                </w14:textFill>
              </w:rPr>
              <w:t>⑤</w:t>
            </w: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fldChar w:fldCharType="end"/>
            </w:r>
          </w:p>
        </w:tc>
        <w:tc>
          <w:tcPr>
            <w:tcW w:w="1625" w:type="dxa"/>
            <w:tcMar>
              <w:left w:w="28" w:type="dxa"/>
              <w:right w:w="28" w:type="dxa"/>
            </w:tcMar>
            <w:vAlign w:val="center"/>
          </w:tcPr>
          <w:p w14:paraId="360ED33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t>本项目建成后</w:t>
            </w:r>
          </w:p>
          <w:p w14:paraId="37950AE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t>全厂排放量（固体废物产生量）</w:t>
            </w: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Cs w:val="21"/>
                <w:highlight w:val="none"/>
                <w14:textFill>
                  <w14:solidFill>
                    <w14:schemeClr w14:val="tx1"/>
                  </w14:solidFill>
                </w14:textFill>
              </w:rPr>
              <w:t>⑥</w:t>
            </w: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fldChar w:fldCharType="end"/>
            </w:r>
          </w:p>
        </w:tc>
        <w:tc>
          <w:tcPr>
            <w:tcW w:w="1329" w:type="dxa"/>
            <w:tcMar>
              <w:left w:w="28" w:type="dxa"/>
              <w:right w:w="28" w:type="dxa"/>
            </w:tcMar>
            <w:vAlign w:val="center"/>
          </w:tcPr>
          <w:p w14:paraId="053E773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变化量</w:t>
            </w:r>
          </w:p>
          <w:p w14:paraId="379AD5D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instrText xml:space="preserve"> = 7 \* GB3 \* MERGEFORMAT </w:instrTex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Cs w:val="21"/>
                <w:highlight w:val="none"/>
                <w14:textFill>
                  <w14:solidFill>
                    <w14:schemeClr w14:val="tx1"/>
                  </w14:solidFill>
                </w14:textFill>
              </w:rPr>
              <w:t>⑦</w: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end"/>
            </w:r>
          </w:p>
        </w:tc>
      </w:tr>
      <w:tr w14:paraId="7C23F4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Align w:val="center"/>
          </w:tcPr>
          <w:p w14:paraId="07D6664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14:textFill>
                  <w14:solidFill>
                    <w14:schemeClr w14:val="tx1"/>
                  </w14:solidFill>
                </w14:textFill>
              </w:rPr>
              <w:t>废气</w:t>
            </w:r>
          </w:p>
        </w:tc>
        <w:tc>
          <w:tcPr>
            <w:tcW w:w="1311" w:type="dxa"/>
            <w:vAlign w:val="center"/>
          </w:tcPr>
          <w:p w14:paraId="5F1E1A7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粉尘</w:t>
            </w:r>
          </w:p>
        </w:tc>
        <w:tc>
          <w:tcPr>
            <w:tcW w:w="1665" w:type="dxa"/>
            <w:vAlign w:val="center"/>
          </w:tcPr>
          <w:p w14:paraId="2BB7BA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275" w:type="dxa"/>
            <w:vAlign w:val="center"/>
          </w:tcPr>
          <w:p w14:paraId="3F41EB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680" w:type="dxa"/>
            <w:vAlign w:val="center"/>
          </w:tcPr>
          <w:p w14:paraId="7ECFAD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530" w:type="dxa"/>
            <w:vAlign w:val="center"/>
          </w:tcPr>
          <w:p w14:paraId="7379A1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2.971</w:t>
            </w: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t/a</w:t>
            </w:r>
          </w:p>
        </w:tc>
        <w:tc>
          <w:tcPr>
            <w:tcW w:w="1785" w:type="dxa"/>
            <w:vAlign w:val="center"/>
          </w:tcPr>
          <w:p w14:paraId="613FD9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625" w:type="dxa"/>
            <w:vAlign w:val="center"/>
          </w:tcPr>
          <w:p w14:paraId="6C7956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2.971</w:t>
            </w: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t/a</w:t>
            </w:r>
          </w:p>
        </w:tc>
        <w:tc>
          <w:tcPr>
            <w:tcW w:w="1329" w:type="dxa"/>
            <w:vAlign w:val="center"/>
          </w:tcPr>
          <w:p w14:paraId="77911B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t>+</w:t>
            </w:r>
            <w:r>
              <w:rPr>
                <w:rFonts w:hint="eastAsia" w:cs="Times New Roman"/>
                <w:color w:val="000000" w:themeColor="text1"/>
                <w:kern w:val="0"/>
                <w:szCs w:val="21"/>
                <w:highlight w:val="none"/>
                <w:lang w:val="en-US" w:eastAsia="zh-CN" w:bidi="ar"/>
                <w14:textFill>
                  <w14:solidFill>
                    <w14:schemeClr w14:val="tx1"/>
                  </w14:solidFill>
                </w14:textFill>
              </w:rPr>
              <w:t>2.971</w:t>
            </w: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t/a</w:t>
            </w:r>
          </w:p>
        </w:tc>
      </w:tr>
      <w:tr w14:paraId="73EC89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14:paraId="5E23508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14:textFill>
                  <w14:solidFill>
                    <w14:schemeClr w14:val="tx1"/>
                  </w14:solidFill>
                </w14:textFill>
              </w:rPr>
              <w:t>废水</w:t>
            </w:r>
          </w:p>
        </w:tc>
        <w:tc>
          <w:tcPr>
            <w:tcW w:w="1311" w:type="dxa"/>
            <w:vAlign w:val="center"/>
          </w:tcPr>
          <w:p w14:paraId="64CB5C2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COD</w:t>
            </w:r>
          </w:p>
        </w:tc>
        <w:tc>
          <w:tcPr>
            <w:tcW w:w="1665" w:type="dxa"/>
            <w:vAlign w:val="center"/>
          </w:tcPr>
          <w:p w14:paraId="561A51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275" w:type="dxa"/>
            <w:vAlign w:val="center"/>
          </w:tcPr>
          <w:p w14:paraId="7ED8B3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680" w:type="dxa"/>
            <w:vAlign w:val="center"/>
          </w:tcPr>
          <w:p w14:paraId="7EB0F6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530" w:type="dxa"/>
            <w:vAlign w:val="center"/>
          </w:tcPr>
          <w:p w14:paraId="1C4A8C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785" w:type="dxa"/>
            <w:vAlign w:val="center"/>
          </w:tcPr>
          <w:p w14:paraId="57C13A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625" w:type="dxa"/>
            <w:vAlign w:val="center"/>
          </w:tcPr>
          <w:p w14:paraId="2D8BA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329" w:type="dxa"/>
            <w:vAlign w:val="center"/>
          </w:tcPr>
          <w:p w14:paraId="2F7375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r>
      <w:tr w14:paraId="5DBC3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0FD1FE5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000000" w:themeColor="text1"/>
                <w:kern w:val="21"/>
                <w:szCs w:val="21"/>
                <w:highlight w:val="none"/>
                <w14:textFill>
                  <w14:solidFill>
                    <w14:schemeClr w14:val="tx1"/>
                  </w14:solidFill>
                </w14:textFill>
              </w:rPr>
            </w:pPr>
          </w:p>
        </w:tc>
        <w:tc>
          <w:tcPr>
            <w:tcW w:w="1311" w:type="dxa"/>
            <w:vAlign w:val="center"/>
          </w:tcPr>
          <w:p w14:paraId="3751F5D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氨氮</w:t>
            </w:r>
          </w:p>
        </w:tc>
        <w:tc>
          <w:tcPr>
            <w:tcW w:w="1665" w:type="dxa"/>
            <w:vAlign w:val="center"/>
          </w:tcPr>
          <w:p w14:paraId="56A9EA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275" w:type="dxa"/>
            <w:vAlign w:val="center"/>
          </w:tcPr>
          <w:p w14:paraId="7CB65E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680" w:type="dxa"/>
            <w:vAlign w:val="center"/>
          </w:tcPr>
          <w:p w14:paraId="39A400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530" w:type="dxa"/>
            <w:vAlign w:val="center"/>
          </w:tcPr>
          <w:p w14:paraId="52B9FA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785" w:type="dxa"/>
            <w:vAlign w:val="center"/>
          </w:tcPr>
          <w:p w14:paraId="4D8894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625" w:type="dxa"/>
            <w:vAlign w:val="center"/>
          </w:tcPr>
          <w:p w14:paraId="077837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329" w:type="dxa"/>
            <w:vAlign w:val="center"/>
          </w:tcPr>
          <w:p w14:paraId="0EB0C9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r>
      <w:tr w14:paraId="7D89C2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14:paraId="7B514F6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14:textFill>
                  <w14:solidFill>
                    <w14:schemeClr w14:val="tx1"/>
                  </w14:solidFill>
                </w14:textFill>
              </w:rPr>
              <w:t>一般工业</w:t>
            </w:r>
          </w:p>
          <w:p w14:paraId="0B56CEC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14:textFill>
                  <w14:solidFill>
                    <w14:schemeClr w14:val="tx1"/>
                  </w14:solidFill>
                </w14:textFill>
              </w:rPr>
              <w:t>固体废物</w:t>
            </w:r>
          </w:p>
        </w:tc>
        <w:tc>
          <w:tcPr>
            <w:tcW w:w="1311" w:type="dxa"/>
            <w:vAlign w:val="center"/>
          </w:tcPr>
          <w:p w14:paraId="2C10363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t>除尘灰</w:t>
            </w:r>
          </w:p>
        </w:tc>
        <w:tc>
          <w:tcPr>
            <w:tcW w:w="1665" w:type="dxa"/>
            <w:vAlign w:val="center"/>
          </w:tcPr>
          <w:p w14:paraId="451F23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275" w:type="dxa"/>
            <w:vAlign w:val="center"/>
          </w:tcPr>
          <w:p w14:paraId="406859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680" w:type="dxa"/>
            <w:vAlign w:val="center"/>
          </w:tcPr>
          <w:p w14:paraId="426B60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530" w:type="dxa"/>
            <w:vAlign w:val="center"/>
          </w:tcPr>
          <w:p w14:paraId="2356A7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000000" w:themeColor="text1"/>
                <w:kern w:val="21"/>
                <w:szCs w:val="21"/>
                <w:highlight w:val="yellow"/>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874.42</w:t>
            </w: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t/a</w:t>
            </w:r>
          </w:p>
        </w:tc>
        <w:tc>
          <w:tcPr>
            <w:tcW w:w="1785" w:type="dxa"/>
            <w:vAlign w:val="center"/>
          </w:tcPr>
          <w:p w14:paraId="28E3D4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Cs w:val="21"/>
                <w:highlight w:val="none"/>
                <w:lang w:val="en-US"/>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625" w:type="dxa"/>
            <w:vAlign w:val="center"/>
          </w:tcPr>
          <w:p w14:paraId="178BF6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874.42</w:t>
            </w: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t/a</w:t>
            </w:r>
          </w:p>
        </w:tc>
        <w:tc>
          <w:tcPr>
            <w:tcW w:w="1329" w:type="dxa"/>
            <w:vAlign w:val="center"/>
          </w:tcPr>
          <w:p w14:paraId="06CE95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874.42</w:t>
            </w: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t/a</w:t>
            </w:r>
          </w:p>
        </w:tc>
      </w:tr>
      <w:tr w14:paraId="5400B8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3965D6FA">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000000" w:themeColor="text1"/>
                <w:kern w:val="21"/>
                <w:szCs w:val="21"/>
                <w:highlight w:val="none"/>
                <w14:textFill>
                  <w14:solidFill>
                    <w14:schemeClr w14:val="tx1"/>
                  </w14:solidFill>
                </w14:textFill>
              </w:rPr>
            </w:pPr>
          </w:p>
        </w:tc>
        <w:tc>
          <w:tcPr>
            <w:tcW w:w="1311" w:type="dxa"/>
            <w:vAlign w:val="center"/>
          </w:tcPr>
          <w:p w14:paraId="7A24626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cs="Times New Roman"/>
                <w:b w:val="0"/>
                <w:bCs w:val="0"/>
                <w:snapToGrid w:val="0"/>
                <w:color w:val="000000" w:themeColor="text1"/>
                <w:kern w:val="21"/>
                <w:sz w:val="21"/>
                <w:szCs w:val="21"/>
                <w:highlight w:val="none"/>
                <w:lang w:val="en-US" w:eastAsia="zh-CN" w:bidi="ar-SA"/>
                <w14:textFill>
                  <w14:solidFill>
                    <w14:schemeClr w14:val="tx1"/>
                  </w14:solidFill>
                </w14:textFill>
              </w:rPr>
              <w:t>生活垃圾</w:t>
            </w:r>
          </w:p>
        </w:tc>
        <w:tc>
          <w:tcPr>
            <w:tcW w:w="1665" w:type="dxa"/>
            <w:vAlign w:val="center"/>
          </w:tcPr>
          <w:p w14:paraId="2ECAC9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275" w:type="dxa"/>
            <w:vAlign w:val="center"/>
          </w:tcPr>
          <w:p w14:paraId="6B4550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680" w:type="dxa"/>
            <w:vAlign w:val="center"/>
          </w:tcPr>
          <w:p w14:paraId="04B8C9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530" w:type="dxa"/>
            <w:vAlign w:val="center"/>
          </w:tcPr>
          <w:p w14:paraId="296693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pPr>
            <w:r>
              <w:rPr>
                <w:rFonts w:hint="eastAsia" w:cs="Times New Roman"/>
                <w:b w:val="0"/>
                <w:bCs w:val="0"/>
                <w:snapToGrid w:val="0"/>
                <w:color w:val="000000" w:themeColor="text1"/>
                <w:kern w:val="21"/>
                <w:szCs w:val="21"/>
                <w:highlight w:val="none"/>
                <w:lang w:val="en-US" w:eastAsia="zh-CN"/>
                <w14:textFill>
                  <w14:solidFill>
                    <w14:schemeClr w14:val="tx1"/>
                  </w14:solidFill>
                </w14:textFill>
              </w:rPr>
              <w:t>4.95</w:t>
            </w: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t/a</w:t>
            </w:r>
          </w:p>
        </w:tc>
        <w:tc>
          <w:tcPr>
            <w:tcW w:w="1785" w:type="dxa"/>
            <w:vAlign w:val="center"/>
          </w:tcPr>
          <w:p w14:paraId="3AC89A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625" w:type="dxa"/>
            <w:vAlign w:val="center"/>
          </w:tcPr>
          <w:p w14:paraId="6E1C94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b w:val="0"/>
                <w:bCs w:val="0"/>
                <w:snapToGrid w:val="0"/>
                <w:color w:val="000000" w:themeColor="text1"/>
                <w:kern w:val="21"/>
                <w:szCs w:val="21"/>
                <w:highlight w:val="none"/>
                <w:lang w:val="en-US" w:eastAsia="zh-CN"/>
                <w14:textFill>
                  <w14:solidFill>
                    <w14:schemeClr w14:val="tx1"/>
                  </w14:solidFill>
                </w14:textFill>
              </w:rPr>
              <w:t>4.95</w:t>
            </w: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t/a</w:t>
            </w:r>
          </w:p>
        </w:tc>
        <w:tc>
          <w:tcPr>
            <w:tcW w:w="1329" w:type="dxa"/>
            <w:vAlign w:val="center"/>
          </w:tcPr>
          <w:p w14:paraId="002BB9FA">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+4.95t/a</w:t>
            </w:r>
          </w:p>
        </w:tc>
      </w:tr>
      <w:tr w14:paraId="69EF3F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14:paraId="1405107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14:textFill>
                  <w14:solidFill>
                    <w14:schemeClr w14:val="tx1"/>
                  </w14:solidFill>
                </w14:textFill>
              </w:rPr>
              <w:t>危险废物</w:t>
            </w:r>
          </w:p>
        </w:tc>
        <w:tc>
          <w:tcPr>
            <w:tcW w:w="1311" w:type="dxa"/>
            <w:vAlign w:val="center"/>
          </w:tcPr>
          <w:p w14:paraId="05F5F96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废矿物油</w:t>
            </w:r>
          </w:p>
        </w:tc>
        <w:tc>
          <w:tcPr>
            <w:tcW w:w="1665" w:type="dxa"/>
            <w:vAlign w:val="center"/>
          </w:tcPr>
          <w:p w14:paraId="790B53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275" w:type="dxa"/>
            <w:vAlign w:val="center"/>
          </w:tcPr>
          <w:p w14:paraId="64CE44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680" w:type="dxa"/>
            <w:vAlign w:val="center"/>
          </w:tcPr>
          <w:p w14:paraId="608F9E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530" w:type="dxa"/>
            <w:vAlign w:val="center"/>
          </w:tcPr>
          <w:p w14:paraId="63DE11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t/a</w:t>
            </w:r>
          </w:p>
        </w:tc>
        <w:tc>
          <w:tcPr>
            <w:tcW w:w="1785" w:type="dxa"/>
            <w:vAlign w:val="center"/>
          </w:tcPr>
          <w:p w14:paraId="66334B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625" w:type="dxa"/>
            <w:vAlign w:val="center"/>
          </w:tcPr>
          <w:p w14:paraId="763074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t/a</w:t>
            </w:r>
          </w:p>
        </w:tc>
        <w:tc>
          <w:tcPr>
            <w:tcW w:w="1329" w:type="dxa"/>
            <w:vAlign w:val="center"/>
          </w:tcPr>
          <w:p w14:paraId="01A662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t/a</w:t>
            </w:r>
          </w:p>
        </w:tc>
      </w:tr>
      <w:tr w14:paraId="7EF996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3916E7D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000000" w:themeColor="text1"/>
                <w:kern w:val="21"/>
                <w:szCs w:val="21"/>
                <w:highlight w:val="none"/>
                <w14:textFill>
                  <w14:solidFill>
                    <w14:schemeClr w14:val="tx1"/>
                  </w14:solidFill>
                </w14:textFill>
              </w:rPr>
            </w:pPr>
          </w:p>
        </w:tc>
        <w:tc>
          <w:tcPr>
            <w:tcW w:w="1311" w:type="dxa"/>
            <w:vAlign w:val="center"/>
          </w:tcPr>
          <w:p w14:paraId="2729B66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废油桶</w:t>
            </w:r>
          </w:p>
        </w:tc>
        <w:tc>
          <w:tcPr>
            <w:tcW w:w="1665" w:type="dxa"/>
            <w:vAlign w:val="center"/>
          </w:tcPr>
          <w:p w14:paraId="6CA01B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275" w:type="dxa"/>
            <w:vAlign w:val="center"/>
          </w:tcPr>
          <w:p w14:paraId="29875D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680" w:type="dxa"/>
            <w:vAlign w:val="center"/>
          </w:tcPr>
          <w:p w14:paraId="2B4A3B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530" w:type="dxa"/>
            <w:vAlign w:val="center"/>
          </w:tcPr>
          <w:p w14:paraId="2EEC2B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0.0</w:t>
            </w:r>
            <w:r>
              <w:rPr>
                <w:rFonts w:hint="eastAsia" w:cs="Times New Roman"/>
                <w:b w:val="0"/>
                <w:bCs w:val="0"/>
                <w:snapToGrid w:val="0"/>
                <w:color w:val="000000" w:themeColor="text1"/>
                <w:kern w:val="21"/>
                <w:szCs w:val="21"/>
                <w:highlight w:val="none"/>
                <w:lang w:val="en-US" w:eastAsia="zh-CN"/>
                <w14:textFill>
                  <w14:solidFill>
                    <w14:schemeClr w14:val="tx1"/>
                  </w14:solidFill>
                </w14:textFill>
              </w:rPr>
              <w:t>5</w:t>
            </w: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t/a</w:t>
            </w:r>
          </w:p>
        </w:tc>
        <w:tc>
          <w:tcPr>
            <w:tcW w:w="1785" w:type="dxa"/>
            <w:vAlign w:val="center"/>
          </w:tcPr>
          <w:p w14:paraId="547496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p>
        </w:tc>
        <w:tc>
          <w:tcPr>
            <w:tcW w:w="1625" w:type="dxa"/>
            <w:vAlign w:val="center"/>
          </w:tcPr>
          <w:p w14:paraId="3148A3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0.0</w:t>
            </w:r>
            <w:r>
              <w:rPr>
                <w:rFonts w:hint="eastAsia" w:cs="Times New Roman"/>
                <w:b w:val="0"/>
                <w:bCs w:val="0"/>
                <w:snapToGrid w:val="0"/>
                <w:color w:val="000000" w:themeColor="text1"/>
                <w:kern w:val="21"/>
                <w:szCs w:val="21"/>
                <w:highlight w:val="none"/>
                <w:lang w:val="en-US" w:eastAsia="zh-CN"/>
                <w14:textFill>
                  <w14:solidFill>
                    <w14:schemeClr w14:val="tx1"/>
                  </w14:solidFill>
                </w14:textFill>
              </w:rPr>
              <w:t>5</w:t>
            </w: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t/a</w:t>
            </w:r>
          </w:p>
        </w:tc>
        <w:tc>
          <w:tcPr>
            <w:tcW w:w="1329" w:type="dxa"/>
            <w:vAlign w:val="center"/>
          </w:tcPr>
          <w:p w14:paraId="0520A8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0.0</w:t>
            </w:r>
            <w:r>
              <w:rPr>
                <w:rFonts w:hint="eastAsia" w:cs="Times New Roman"/>
                <w:b w:val="0"/>
                <w:bCs w:val="0"/>
                <w:snapToGrid w:val="0"/>
                <w:color w:val="000000" w:themeColor="text1"/>
                <w:kern w:val="21"/>
                <w:szCs w:val="21"/>
                <w:highlight w:val="none"/>
                <w:lang w:val="en-US" w:eastAsia="zh-CN"/>
                <w14:textFill>
                  <w14:solidFill>
                    <w14:schemeClr w14:val="tx1"/>
                  </w14:solidFill>
                </w14:textFill>
              </w:rPr>
              <w:t>5</w:t>
            </w:r>
            <w:r>
              <w:rPr>
                <w:rFonts w:hint="default" w:ascii="Times New Roman" w:hAnsi="Times New Roman" w:eastAsia="宋体" w:cs="Times New Roman"/>
                <w:b w:val="0"/>
                <w:bCs w:val="0"/>
                <w:snapToGrid w:val="0"/>
                <w:color w:val="000000" w:themeColor="text1"/>
                <w:kern w:val="21"/>
                <w:szCs w:val="21"/>
                <w:highlight w:val="none"/>
                <w:lang w:val="en-US" w:eastAsia="zh-CN"/>
                <w14:textFill>
                  <w14:solidFill>
                    <w14:schemeClr w14:val="tx1"/>
                  </w14:solidFill>
                </w14:textFill>
              </w:rPr>
              <w:t>t/a</w:t>
            </w:r>
          </w:p>
        </w:tc>
      </w:tr>
    </w:tbl>
    <w:p w14:paraId="5953C9B5">
      <w:pPr>
        <w:pStyle w:val="39"/>
        <w:keepNext w:val="0"/>
        <w:keepLines w:val="0"/>
        <w:pageBreakBefore w:val="0"/>
        <w:widowControl w:val="0"/>
        <w:kinsoku/>
        <w:wordWrap/>
        <w:overflowPunct/>
        <w:topLinePunct w:val="0"/>
        <w:autoSpaceDE/>
        <w:autoSpaceDN/>
        <w:bidi w:val="0"/>
        <w:adjustRightInd w:val="0"/>
        <w:snapToGrid w:val="0"/>
        <w:spacing w:before="192" w:beforeLines="80" w:after="24" w:line="260" w:lineRule="auto"/>
        <w:ind w:firstLine="840" w:firstLineChars="400"/>
        <w:jc w:val="left"/>
        <w:textAlignment w:val="auto"/>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14:textFill>
            <w14:solidFill>
              <w14:schemeClr w14:val="tx1"/>
            </w14:solidFill>
          </w14:textFill>
        </w:rPr>
        <w:t>注：</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⑥</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①</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3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③</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④</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5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⑤</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7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⑦</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⑥</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p>
    <w:p w14:paraId="7EFE64D5">
      <w:pP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pPr>
    </w:p>
    <w:p w14:paraId="3C3CFF35">
      <w:pPr>
        <w:rPr>
          <w:rFonts w:hint="eastAsia" w:eastAsiaTheme="minorEastAsia"/>
          <w:color w:val="000000" w:themeColor="text1"/>
          <w:lang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-4081145</wp:posOffset>
                </wp:positionH>
                <wp:positionV relativeFrom="paragraph">
                  <wp:posOffset>5793740</wp:posOffset>
                </wp:positionV>
                <wp:extent cx="735330" cy="296545"/>
                <wp:effectExtent l="0" t="0" r="0" b="0"/>
                <wp:wrapNone/>
                <wp:docPr id="112" name="矩形 112"/>
                <wp:cNvGraphicFramePr/>
                <a:graphic xmlns:a="http://schemas.openxmlformats.org/drawingml/2006/main">
                  <a:graphicData uri="http://schemas.microsoft.com/office/word/2010/wordprocessingShape">
                    <wps:wsp>
                      <wps:cNvSpPr/>
                      <wps:spPr>
                        <a:xfrm>
                          <a:off x="3302000" y="6546215"/>
                          <a:ext cx="735330" cy="29654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50E2941">
                            <w:pPr>
                              <w:jc w:val="center"/>
                              <w:rPr>
                                <w:rFonts w:hint="default" w:eastAsia="宋体"/>
                                <w:b/>
                                <w:bCs/>
                                <w:color w:val="000000" w:themeColor="text1"/>
                                <w:highlight w:val="none"/>
                                <w:lang w:val="en-US" w:eastAsia="zh-CN"/>
                                <w14:textFill>
                                  <w14:solidFill>
                                    <w14:schemeClr w14:val="tx1"/>
                                  </w14:solidFill>
                                </w14:textFill>
                              </w:rPr>
                            </w:pPr>
                            <w:r>
                              <w:rPr>
                                <w:rFonts w:hint="eastAsia"/>
                                <w:b/>
                                <w:bCs/>
                                <w:color w:val="FF0000"/>
                                <w:highlight w:val="none"/>
                                <w:lang w:val="en-US" w:eastAsia="zh-CN"/>
                              </w:rPr>
                              <w:t>18km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1.35pt;margin-top:456.2pt;height:23.35pt;width:57.9pt;z-index:251663360;v-text-anchor:middle;mso-width-relative:page;mso-height-relative:page;" filled="f" stroked="f" coordsize="21600,21600" o:gfxdata="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45Ab2wAAAA0BAAAPAAAAAAAAAAEAIAAAACIAAABkcnMvZG93bnJldi54bWxQSwECFAAUAAAA&#10;CACHTuJAmfz2y10CAAClBAAADgAAAAAAAAABACAAAAAqAQAAZHJzL2Uyb0RvYy54bWxQSwUGAAAA&#10;AAYABgBZAQAA+QUAAAAA&#10;">
                <v:fill on="f" focussize="0,0"/>
                <v:stroke on="f" weight="2pt"/>
                <v:imagedata o:title=""/>
                <o:lock v:ext="edit" aspectratio="f"/>
                <v:textbox>
                  <w:txbxContent>
                    <w:p w14:paraId="250E2941">
                      <w:pPr>
                        <w:jc w:val="center"/>
                        <w:rPr>
                          <w:rFonts w:hint="default" w:eastAsia="宋体"/>
                          <w:b/>
                          <w:bCs/>
                          <w:color w:val="000000" w:themeColor="text1"/>
                          <w:highlight w:val="none"/>
                          <w:lang w:val="en-US" w:eastAsia="zh-CN"/>
                          <w14:textFill>
                            <w14:solidFill>
                              <w14:schemeClr w14:val="tx1"/>
                            </w14:solidFill>
                          </w14:textFill>
                        </w:rPr>
                      </w:pPr>
                      <w:r>
                        <w:rPr>
                          <w:rFonts w:hint="eastAsia"/>
                          <w:b/>
                          <w:bCs/>
                          <w:color w:val="FF0000"/>
                          <w:highlight w:val="none"/>
                          <w:lang w:val="en-US" w:eastAsia="zh-CN"/>
                        </w:rPr>
                        <w:t>18km</w:t>
                      </w:r>
                    </w:p>
                  </w:txbxContent>
                </v:textbox>
              </v:rect>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-4077335</wp:posOffset>
                </wp:positionH>
                <wp:positionV relativeFrom="paragraph">
                  <wp:posOffset>6139815</wp:posOffset>
                </wp:positionV>
                <wp:extent cx="75565" cy="75565"/>
                <wp:effectExtent l="6350" t="6350" r="13335" b="13335"/>
                <wp:wrapNone/>
                <wp:docPr id="64" name="矩形 64"/>
                <wp:cNvGraphicFramePr/>
                <a:graphic xmlns:a="http://schemas.openxmlformats.org/drawingml/2006/main">
                  <a:graphicData uri="http://schemas.microsoft.com/office/word/2010/wordprocessingShape">
                    <wps:wsp>
                      <wps:cNvSpPr/>
                      <wps:spPr>
                        <a:xfrm>
                          <a:off x="3199765" y="6909435"/>
                          <a:ext cx="75565" cy="75565"/>
                        </a:xfrm>
                        <a:prstGeom prst="rect">
                          <a:avLst/>
                        </a:prstGeom>
                        <a:solidFill>
                          <a:srgbClr val="FF0000"/>
                        </a:solid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1.05pt;margin-top:483.45pt;height:5.95pt;width:5.95pt;z-index:251661312;v-text-anchor:middle;mso-width-relative:page;mso-height-relative:page;" fillcolor="#FF0000" filled="t" stroked="t" coordsize="21600,21600" o:gfxdata="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bFiDitoAAAANAQAADwAAAAAAAAABACAAAAAiAAAAZHJzL2Rvd25yZXYueG1s&#10;UEsBAhQAFAAAAAgAh07iQDwiA61oAgAA6AQAAA4AAAAAAAAAAQAgAAAAKQEAAGRycy9lMm9Eb2Mu&#10;eG1sUEsFBgAAAAAGAAYAWQEAAAMGAAAAAA==&#10;">
                <v:fill on="t" focussize="0,0"/>
                <v:stroke weight="1pt" color="#FF0000 [2404]" joinstyle="round"/>
                <v:imagedata o:title=""/>
                <o:lock v:ext="edit" aspectratio="f"/>
              </v:rect>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-4001770</wp:posOffset>
                </wp:positionH>
                <wp:positionV relativeFrom="paragraph">
                  <wp:posOffset>5888355</wp:posOffset>
                </wp:positionV>
                <wp:extent cx="744855" cy="289560"/>
                <wp:effectExtent l="2540" t="7620" r="14605" b="20320"/>
                <wp:wrapNone/>
                <wp:docPr id="65" name="直接箭头连接符 65"/>
                <wp:cNvGraphicFramePr/>
                <a:graphic xmlns:a="http://schemas.openxmlformats.org/drawingml/2006/main">
                  <a:graphicData uri="http://schemas.microsoft.com/office/word/2010/wordprocessingShape">
                    <wps:wsp>
                      <wps:cNvCnPr>
                        <a:stCxn id="64" idx="3"/>
                      </wps:cNvCnPr>
                      <wps:spPr>
                        <a:xfrm flipV="1">
                          <a:off x="3275330" y="6694805"/>
                          <a:ext cx="744855" cy="289560"/>
                        </a:xfrm>
                        <a:prstGeom prst="straightConnector1">
                          <a:avLst/>
                        </a:prstGeom>
                        <a:ln w="12700">
                          <a:solidFill>
                            <a:srgbClr val="FF000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15.1pt;margin-top:463.65pt;height:22.8pt;width:58.65pt;z-index:251662336;mso-width-relative:page;mso-height-relative:page;" filled="f" stroked="t" coordsize="21600,21600" o:gfxdata="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v/va3cAAAADQEAAA8AAAAAAAAAAQAgAAAAIgAAAGRy&#10;cy9kb3ducmV2LnhtbFBLAQIUABQAAAAIAIdO4kAKNBTCOgIAADgEAAAOAAAAAAAAAAEAIAAAACsB&#10;AABkcnMvZTJvRG9jLnhtbFBLBQYAAAAABgAGAFkBAADXBQAAAAA=&#10;">
                <v:fill on="f" focussize="0,0"/>
                <v:stroke weight="1pt" color="#FF0000 [3204]"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2134235</wp:posOffset>
                </wp:positionH>
                <wp:positionV relativeFrom="paragraph">
                  <wp:posOffset>10033635</wp:posOffset>
                </wp:positionV>
                <wp:extent cx="2771775" cy="422275"/>
                <wp:effectExtent l="0" t="0" r="0" b="0"/>
                <wp:wrapNone/>
                <wp:docPr id="36" name="矩形 36"/>
                <wp:cNvGraphicFramePr/>
                <a:graphic xmlns:a="http://schemas.openxmlformats.org/drawingml/2006/main">
                  <a:graphicData uri="http://schemas.microsoft.com/office/word/2010/wordprocessingShape">
                    <wps:wsp>
                      <wps:cNvSpPr/>
                      <wps:spPr>
                        <a:xfrm>
                          <a:off x="0" y="0"/>
                          <a:ext cx="2771775" cy="4222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B08B207">
                            <w:pPr>
                              <w:jc w:val="center"/>
                              <w:rPr>
                                <w:rFonts w:hint="default" w:ascii="Times New Roman Regular" w:hAnsi="Times New Roman Regular" w:eastAsia="宋体" w:cs="Times New Roman Regular"/>
                                <w:b/>
                                <w:bCs/>
                                <w:color w:val="000000" w:themeColor="text1"/>
                                <w:lang w:val="en-US" w:eastAsia="zh-CN"/>
                                <w14:textFill>
                                  <w14:solidFill>
                                    <w14:schemeClr w14:val="tx1"/>
                                  </w14:solidFill>
                                </w14:textFill>
                              </w:rPr>
                            </w:pPr>
                            <w:r>
                              <w:rPr>
                                <w:rFonts w:hint="default" w:ascii="Times New Roman Regular" w:hAnsi="Times New Roman Regular" w:cs="Times New Roman Regular"/>
                                <w:b/>
                                <w:bCs/>
                                <w:color w:val="000000" w:themeColor="text1"/>
                                <w:lang w:val="en-US" w:eastAsia="zh-CN"/>
                                <w14:textFill>
                                  <w14:solidFill>
                                    <w14:schemeClr w14:val="tx1"/>
                                  </w14:solidFill>
                                </w14:textFill>
                              </w:rPr>
                              <w:t>附图</w:t>
                            </w:r>
                            <w:r>
                              <w:rPr>
                                <w:rFonts w:hint="eastAsia" w:ascii="Times New Roman Regular" w:hAnsi="Times New Roman Regular" w:cs="Times New Roman Regular"/>
                                <w:b/>
                                <w:bCs/>
                                <w:color w:val="000000" w:themeColor="text1"/>
                                <w:lang w:val="en-US" w:eastAsia="zh-CN"/>
                                <w14:textFill>
                                  <w14:solidFill>
                                    <w14:schemeClr w14:val="tx1"/>
                                  </w14:solidFill>
                                </w14:textFill>
                              </w:rPr>
                              <w:t xml:space="preserve">7 </w:t>
                            </w:r>
                            <w:r>
                              <w:rPr>
                                <w:rFonts w:hint="default" w:ascii="Times New Roman Regular" w:hAnsi="Times New Roman Regular" w:cs="Times New Roman Regular"/>
                                <w:b/>
                                <w:bCs/>
                                <w:color w:val="000000" w:themeColor="text1"/>
                                <w:lang w:val="en-US" w:eastAsia="zh-CN"/>
                                <w14:textFill>
                                  <w14:solidFill>
                                    <w14:schemeClr w14:val="tx1"/>
                                  </w14:solidFill>
                                </w14:textFill>
                              </w:rPr>
                              <w:t xml:space="preserve"> </w:t>
                            </w:r>
                            <w:r>
                              <w:rPr>
                                <w:rFonts w:hint="eastAsia" w:ascii="Times New Roman Regular" w:hAnsi="Times New Roman Regular" w:cs="Times New Roman Regular"/>
                                <w:b/>
                                <w:bCs/>
                                <w:color w:val="000000" w:themeColor="text1"/>
                                <w:lang w:val="en-US" w:eastAsia="zh-CN"/>
                                <w14:textFill>
                                  <w14:solidFill>
                                    <w14:schemeClr w14:val="tx1"/>
                                  </w14:solidFill>
                                </w14:textFill>
                              </w:rPr>
                              <w:t>本项目与辛安泉域相对位置</w:t>
                            </w:r>
                            <w:r>
                              <w:rPr>
                                <w:rFonts w:hint="default" w:ascii="Times New Roman Regular" w:hAnsi="Times New Roman Regular" w:cs="Times New Roman Regular"/>
                                <w:b/>
                                <w:bCs/>
                                <w:color w:val="000000" w:themeColor="text1"/>
                                <w:lang w:val="en-US" w:eastAsia="zh-CN"/>
                                <w14:textFill>
                                  <w14:solidFill>
                                    <w14:schemeClr w14:val="tx1"/>
                                  </w14:solidFill>
                                </w14:textFill>
                              </w:rPr>
                              <w:t>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8.05pt;margin-top:790.05pt;height:33.25pt;width:218.25pt;z-index:251664384;v-text-anchor:middle;mso-width-relative:page;mso-height-relative:page;" filled="f" stroked="f" coordsize="21600,21600" o:gfxdata="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ZN0r/bAAAA&#10;DQEAAA8AAAAAAAAAAQAgAAAAIgAAAGRycy9kb3ducmV2LnhtbFBLAQIUABQAAAAIAIdO4kBqO7xl&#10;UwIAAJgEAAAOAAAAAAAAAAEAIAAAACoBAABkcnMvZTJvRG9jLnhtbFBLBQYAAAAABgAGAFkBAADv&#10;BQAAAAA=&#10;">
                <v:fill on="f" focussize="0,0"/>
                <v:stroke on="f" weight="2pt"/>
                <v:imagedata o:title=""/>
                <o:lock v:ext="edit" aspectratio="f"/>
                <v:textbox>
                  <w:txbxContent>
                    <w:p w14:paraId="4B08B207">
                      <w:pPr>
                        <w:jc w:val="center"/>
                        <w:rPr>
                          <w:rFonts w:hint="default" w:ascii="Times New Roman Regular" w:hAnsi="Times New Roman Regular" w:eastAsia="宋体" w:cs="Times New Roman Regular"/>
                          <w:b/>
                          <w:bCs/>
                          <w:color w:val="000000" w:themeColor="text1"/>
                          <w:lang w:val="en-US" w:eastAsia="zh-CN"/>
                          <w14:textFill>
                            <w14:solidFill>
                              <w14:schemeClr w14:val="tx1"/>
                            </w14:solidFill>
                          </w14:textFill>
                        </w:rPr>
                      </w:pPr>
                      <w:r>
                        <w:rPr>
                          <w:rFonts w:hint="default" w:ascii="Times New Roman Regular" w:hAnsi="Times New Roman Regular" w:cs="Times New Roman Regular"/>
                          <w:b/>
                          <w:bCs/>
                          <w:color w:val="000000" w:themeColor="text1"/>
                          <w:lang w:val="en-US" w:eastAsia="zh-CN"/>
                          <w14:textFill>
                            <w14:solidFill>
                              <w14:schemeClr w14:val="tx1"/>
                            </w14:solidFill>
                          </w14:textFill>
                        </w:rPr>
                        <w:t>附图</w:t>
                      </w:r>
                      <w:r>
                        <w:rPr>
                          <w:rFonts w:hint="eastAsia" w:ascii="Times New Roman Regular" w:hAnsi="Times New Roman Regular" w:cs="Times New Roman Regular"/>
                          <w:b/>
                          <w:bCs/>
                          <w:color w:val="000000" w:themeColor="text1"/>
                          <w:lang w:val="en-US" w:eastAsia="zh-CN"/>
                          <w14:textFill>
                            <w14:solidFill>
                              <w14:schemeClr w14:val="tx1"/>
                            </w14:solidFill>
                          </w14:textFill>
                        </w:rPr>
                        <w:t xml:space="preserve">7 </w:t>
                      </w:r>
                      <w:r>
                        <w:rPr>
                          <w:rFonts w:hint="default" w:ascii="Times New Roman Regular" w:hAnsi="Times New Roman Regular" w:cs="Times New Roman Regular"/>
                          <w:b/>
                          <w:bCs/>
                          <w:color w:val="000000" w:themeColor="text1"/>
                          <w:lang w:val="en-US" w:eastAsia="zh-CN"/>
                          <w14:textFill>
                            <w14:solidFill>
                              <w14:schemeClr w14:val="tx1"/>
                            </w14:solidFill>
                          </w14:textFill>
                        </w:rPr>
                        <w:t xml:space="preserve"> </w:t>
                      </w:r>
                      <w:r>
                        <w:rPr>
                          <w:rFonts w:hint="eastAsia" w:ascii="Times New Roman Regular" w:hAnsi="Times New Roman Regular" w:cs="Times New Roman Regular"/>
                          <w:b/>
                          <w:bCs/>
                          <w:color w:val="000000" w:themeColor="text1"/>
                          <w:lang w:val="en-US" w:eastAsia="zh-CN"/>
                          <w14:textFill>
                            <w14:solidFill>
                              <w14:schemeClr w14:val="tx1"/>
                            </w14:solidFill>
                          </w14:textFill>
                        </w:rPr>
                        <w:t>本项目与辛安泉域相对位置</w:t>
                      </w:r>
                      <w:r>
                        <w:rPr>
                          <w:rFonts w:hint="default" w:ascii="Times New Roman Regular" w:hAnsi="Times New Roman Regular" w:cs="Times New Roman Regular"/>
                          <w:b/>
                          <w:bCs/>
                          <w:color w:val="000000" w:themeColor="text1"/>
                          <w:lang w:val="en-US" w:eastAsia="zh-CN"/>
                          <w14:textFill>
                            <w14:solidFill>
                              <w14:schemeClr w14:val="tx1"/>
                            </w14:solidFill>
                          </w14:textFill>
                        </w:rPr>
                        <w:t>图</w:t>
                      </w:r>
                    </w:p>
                  </w:txbxContent>
                </v:textbox>
              </v:rect>
            </w:pict>
          </mc:Fallback>
        </mc:AlternateContent>
      </w:r>
    </w:p>
    <w:p w14:paraId="639A42F9">
      <w:pPr>
        <w:bidi w:val="0"/>
        <w:jc w:val="center"/>
        <w:rPr>
          <w:rFonts w:hint="default"/>
          <w:color w:val="000000" w:themeColor="text1"/>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2677160</wp:posOffset>
                </wp:positionH>
                <wp:positionV relativeFrom="paragraph">
                  <wp:posOffset>9674225</wp:posOffset>
                </wp:positionV>
                <wp:extent cx="2771775" cy="422275"/>
                <wp:effectExtent l="0" t="0" r="0" b="0"/>
                <wp:wrapNone/>
                <wp:docPr id="68" name="矩形 68"/>
                <wp:cNvGraphicFramePr/>
                <a:graphic xmlns:a="http://schemas.openxmlformats.org/drawingml/2006/main">
                  <a:graphicData uri="http://schemas.microsoft.com/office/word/2010/wordprocessingShape">
                    <wps:wsp>
                      <wps:cNvSpPr/>
                      <wps:spPr>
                        <a:xfrm>
                          <a:off x="0" y="0"/>
                          <a:ext cx="2771775" cy="4222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49B101F">
                            <w:pPr>
                              <w:jc w:val="center"/>
                              <w:rPr>
                                <w:rFonts w:hint="default" w:ascii="Times New Roman Regular" w:hAnsi="Times New Roman Regular" w:eastAsia="宋体" w:cs="Times New Roman Regular"/>
                                <w:b/>
                                <w:bCs/>
                                <w:color w:val="000000" w:themeColor="text1"/>
                                <w:lang w:val="en-US" w:eastAsia="zh-CN"/>
                                <w14:textFill>
                                  <w14:solidFill>
                                    <w14:schemeClr w14:val="tx1"/>
                                  </w14:solidFill>
                                </w14:textFill>
                              </w:rPr>
                            </w:pPr>
                            <w:r>
                              <w:rPr>
                                <w:rFonts w:hint="default" w:ascii="Times New Roman Regular" w:hAnsi="Times New Roman Regular" w:cs="Times New Roman Regular"/>
                                <w:b/>
                                <w:bCs/>
                                <w:color w:val="000000" w:themeColor="text1"/>
                                <w:lang w:val="en-US" w:eastAsia="zh-CN"/>
                                <w14:textFill>
                                  <w14:solidFill>
                                    <w14:schemeClr w14:val="tx1"/>
                                  </w14:solidFill>
                                </w14:textFill>
                              </w:rPr>
                              <w:t>附图</w:t>
                            </w:r>
                            <w:r>
                              <w:rPr>
                                <w:rFonts w:hint="eastAsia" w:ascii="Times New Roman Regular" w:hAnsi="Times New Roman Regular" w:cs="Times New Roman Regular"/>
                                <w:b/>
                                <w:bCs/>
                                <w:color w:val="000000" w:themeColor="text1"/>
                                <w:lang w:val="en-US" w:eastAsia="zh-CN"/>
                                <w14:textFill>
                                  <w14:solidFill>
                                    <w14:schemeClr w14:val="tx1"/>
                                  </w14:solidFill>
                                </w14:textFill>
                              </w:rPr>
                              <w:t xml:space="preserve">5 </w:t>
                            </w:r>
                            <w:r>
                              <w:rPr>
                                <w:rFonts w:hint="default" w:ascii="Times New Roman Regular" w:hAnsi="Times New Roman Regular" w:cs="Times New Roman Regular"/>
                                <w:b/>
                                <w:bCs/>
                                <w:color w:val="000000" w:themeColor="text1"/>
                                <w:lang w:val="en-US" w:eastAsia="zh-CN"/>
                                <w14:textFill>
                                  <w14:solidFill>
                                    <w14:schemeClr w14:val="tx1"/>
                                  </w14:solidFill>
                                </w14:textFill>
                              </w:rPr>
                              <w:t xml:space="preserve"> </w:t>
                            </w:r>
                            <w:r>
                              <w:rPr>
                                <w:rFonts w:hint="eastAsia" w:ascii="Times New Roman Regular" w:hAnsi="Times New Roman Regular" w:cs="Times New Roman Regular"/>
                                <w:b/>
                                <w:bCs/>
                                <w:color w:val="000000" w:themeColor="text1"/>
                                <w:lang w:val="en-US" w:eastAsia="zh-CN"/>
                                <w14:textFill>
                                  <w14:solidFill>
                                    <w14:schemeClr w14:val="tx1"/>
                                  </w14:solidFill>
                                </w14:textFill>
                              </w:rPr>
                              <w:t>本项目与辛安泉域相对位置</w:t>
                            </w:r>
                            <w:r>
                              <w:rPr>
                                <w:rFonts w:hint="default" w:ascii="Times New Roman Regular" w:hAnsi="Times New Roman Regular" w:cs="Times New Roman Regular"/>
                                <w:b/>
                                <w:bCs/>
                                <w:color w:val="000000" w:themeColor="text1"/>
                                <w:lang w:val="en-US" w:eastAsia="zh-CN"/>
                                <w14:textFill>
                                  <w14:solidFill>
                                    <w14:schemeClr w14:val="tx1"/>
                                  </w14:solidFill>
                                </w14:textFill>
                              </w:rPr>
                              <w:t>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0.8pt;margin-top:761.75pt;height:33.25pt;width:218.25pt;z-index:251660288;v-text-anchor:middle;mso-width-relative:page;mso-height-relative:page;" filled="f" stroked="f" coordsize="21600,21600" o:gfxdata="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4Et6B2gAAAA0B&#10;AAAPAAAAAAAAAAEAIAAAACIAAABkcnMvZG93bnJldi54bWxQSwECFAAUAAAACACHTuJAnDs0GVIC&#10;AACYBAAADgAAAAAAAAABACAAAAApAQAAZHJzL2Uyb0RvYy54bWxQSwUGAAAAAAYABgBZAQAA7QUA&#10;AAAA&#10;">
                <v:fill on="f" focussize="0,0"/>
                <v:stroke on="f" weight="2pt"/>
                <v:imagedata o:title=""/>
                <o:lock v:ext="edit" aspectratio="f"/>
                <v:textbox>
                  <w:txbxContent>
                    <w:p w14:paraId="749B101F">
                      <w:pPr>
                        <w:jc w:val="center"/>
                        <w:rPr>
                          <w:rFonts w:hint="default" w:ascii="Times New Roman Regular" w:hAnsi="Times New Roman Regular" w:eastAsia="宋体" w:cs="Times New Roman Regular"/>
                          <w:b/>
                          <w:bCs/>
                          <w:color w:val="000000" w:themeColor="text1"/>
                          <w:lang w:val="en-US" w:eastAsia="zh-CN"/>
                          <w14:textFill>
                            <w14:solidFill>
                              <w14:schemeClr w14:val="tx1"/>
                            </w14:solidFill>
                          </w14:textFill>
                        </w:rPr>
                      </w:pPr>
                      <w:r>
                        <w:rPr>
                          <w:rFonts w:hint="default" w:ascii="Times New Roman Regular" w:hAnsi="Times New Roman Regular" w:cs="Times New Roman Regular"/>
                          <w:b/>
                          <w:bCs/>
                          <w:color w:val="000000" w:themeColor="text1"/>
                          <w:lang w:val="en-US" w:eastAsia="zh-CN"/>
                          <w14:textFill>
                            <w14:solidFill>
                              <w14:schemeClr w14:val="tx1"/>
                            </w14:solidFill>
                          </w14:textFill>
                        </w:rPr>
                        <w:t>附图</w:t>
                      </w:r>
                      <w:r>
                        <w:rPr>
                          <w:rFonts w:hint="eastAsia" w:ascii="Times New Roman Regular" w:hAnsi="Times New Roman Regular" w:cs="Times New Roman Regular"/>
                          <w:b/>
                          <w:bCs/>
                          <w:color w:val="000000" w:themeColor="text1"/>
                          <w:lang w:val="en-US" w:eastAsia="zh-CN"/>
                          <w14:textFill>
                            <w14:solidFill>
                              <w14:schemeClr w14:val="tx1"/>
                            </w14:solidFill>
                          </w14:textFill>
                        </w:rPr>
                        <w:t xml:space="preserve">5 </w:t>
                      </w:r>
                      <w:r>
                        <w:rPr>
                          <w:rFonts w:hint="default" w:ascii="Times New Roman Regular" w:hAnsi="Times New Roman Regular" w:cs="Times New Roman Regular"/>
                          <w:b/>
                          <w:bCs/>
                          <w:color w:val="000000" w:themeColor="text1"/>
                          <w:lang w:val="en-US" w:eastAsia="zh-CN"/>
                          <w14:textFill>
                            <w14:solidFill>
                              <w14:schemeClr w14:val="tx1"/>
                            </w14:solidFill>
                          </w14:textFill>
                        </w:rPr>
                        <w:t xml:space="preserve"> </w:t>
                      </w:r>
                      <w:r>
                        <w:rPr>
                          <w:rFonts w:hint="eastAsia" w:ascii="Times New Roman Regular" w:hAnsi="Times New Roman Regular" w:cs="Times New Roman Regular"/>
                          <w:b/>
                          <w:bCs/>
                          <w:color w:val="000000" w:themeColor="text1"/>
                          <w:lang w:val="en-US" w:eastAsia="zh-CN"/>
                          <w14:textFill>
                            <w14:solidFill>
                              <w14:schemeClr w14:val="tx1"/>
                            </w14:solidFill>
                          </w14:textFill>
                        </w:rPr>
                        <w:t>本项目与辛安泉域相对位置</w:t>
                      </w:r>
                      <w:r>
                        <w:rPr>
                          <w:rFonts w:hint="default" w:ascii="Times New Roman Regular" w:hAnsi="Times New Roman Regular" w:cs="Times New Roman Regular"/>
                          <w:b/>
                          <w:bCs/>
                          <w:color w:val="000000" w:themeColor="text1"/>
                          <w:lang w:val="en-US" w:eastAsia="zh-CN"/>
                          <w14:textFill>
                            <w14:solidFill>
                              <w14:schemeClr w14:val="tx1"/>
                            </w14:solidFill>
                          </w14:textFill>
                        </w:rPr>
                        <w:t>图</w:t>
                      </w:r>
                    </w:p>
                  </w:txbxContent>
                </v:textbox>
              </v:rect>
            </w:pict>
          </mc:Fallback>
        </mc:AlternateContent>
      </w:r>
    </w:p>
    <w:sectPr>
      <w:footerReference r:id="rId7" w:type="default"/>
      <w:pgSz w:w="16838" w:h="11906" w:orient="landscape"/>
      <w:pgMar w:top="1531" w:right="1701" w:bottom="1531" w:left="1701" w:header="851" w:footer="0"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850A7EC-91D0-413C-B7DD-B11741DF2FD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785A64B-C83A-486E-AAB6-0B13E5693C9E}"/>
  </w:font>
  <w:font w:name="楷体_GB2312">
    <w:altName w:val="楷体"/>
    <w:panose1 w:val="02010609030000010101"/>
    <w:charset w:val="86"/>
    <w:family w:val="modern"/>
    <w:pitch w:val="default"/>
    <w:sig w:usb0="00000000" w:usb1="00000000" w:usb2="00000010" w:usb3="00000000" w:csb0="00040000" w:csb1="00000000"/>
    <w:embedRegular r:id="rId3" w:fontKey="{3B100F56-B798-4D8A-8071-D52744409855}"/>
  </w:font>
  <w:font w:name="楷体">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新宋体">
    <w:panose1 w:val="02010609030101010101"/>
    <w:charset w:val="86"/>
    <w:family w:val="modern"/>
    <w:pitch w:val="default"/>
    <w:sig w:usb0="00000283" w:usb1="288F0000" w:usb2="00000006" w:usb3="00000000" w:csb0="00040001" w:csb1="00000000"/>
  </w:font>
  <w:font w:name="仿宋_GB2312">
    <w:altName w:val="仿宋"/>
    <w:panose1 w:val="02010609030101010101"/>
    <w:charset w:val="00"/>
    <w:family w:val="modern"/>
    <w:pitch w:val="default"/>
    <w:sig w:usb0="00000000" w:usb1="00000000" w:usb2="00000010" w:usb3="00000000" w:csb0="00040000" w:csb1="00000000"/>
    <w:embedRegular r:id="rId4" w:fontKey="{3D0491D6-5615-4558-AD0E-65C7DA0D1552}"/>
  </w:font>
  <w:font w:name="仿宋">
    <w:panose1 w:val="02010609060101010101"/>
    <w:charset w:val="86"/>
    <w:family w:val="modern"/>
    <w:pitch w:val="default"/>
    <w:sig w:usb0="800002BF" w:usb1="38CF7CFA" w:usb2="00000016" w:usb3="00000000" w:csb0="00040001" w:csb1="00000000"/>
    <w:embedRegular r:id="rId5" w:fontKey="{B8CECA0D-D94F-4685-8C46-9AC3DEF50C32}"/>
  </w:font>
  <w:font w:name="方正小标宋_GBK">
    <w:panose1 w:val="02000000000000000000"/>
    <w:charset w:val="86"/>
    <w:family w:val="script"/>
    <w:pitch w:val="default"/>
    <w:sig w:usb0="A00002BF" w:usb1="38CF7CFA" w:usb2="00082016" w:usb3="00000000" w:csb0="00040001" w:csb1="00000000"/>
    <w:embedRegular r:id="rId6" w:fontKey="{B9C02031-2AC5-448D-8253-44726CACEE92}"/>
  </w:font>
  <w:font w:name="Times New Roman Regular">
    <w:altName w:val="Times New Roman"/>
    <w:panose1 w:val="02020603050405020304"/>
    <w:charset w:val="00"/>
    <w:family w:val="auto"/>
    <w:pitch w:val="default"/>
    <w:sig w:usb0="00000000" w:usb1="00000000" w:usb2="00000009" w:usb3="00000000" w:csb0="400001FF" w:csb1="FFFF0000"/>
    <w:embedRegular r:id="rId7" w:fontKey="{1AE291DB-C62D-4201-9AD1-5F0524D48000}"/>
  </w:font>
  <w:font w:name="WPSEMBED8">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CBCC3">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AACA9">
    <w:pPr>
      <w:pStyle w:val="17"/>
    </w:pPr>
    <w:r>
      <w:rPr>
        <w:sz w:val="18"/>
      </w:rPr>
      <mc:AlternateContent>
        <mc:Choice Requires="wps">
          <w:drawing>
            <wp:anchor distT="0" distB="0" distL="114300" distR="114300" simplePos="0" relativeHeight="251659264" behindDoc="0" locked="0" layoutInCell="1" allowOverlap="1">
              <wp:simplePos x="0" y="0"/>
              <wp:positionH relativeFrom="margin">
                <wp:posOffset>2747645</wp:posOffset>
              </wp:positionH>
              <wp:positionV relativeFrom="paragraph">
                <wp:posOffset>-34925</wp:posOffset>
              </wp:positionV>
              <wp:extent cx="173355" cy="182880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7335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1A3E9">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6.35pt;margin-top:-2.75pt;height:144pt;width:13.65pt;mso-position-horizontal-relative:margin;z-index:251659264;mso-width-relative:page;mso-height-relative:page;" filled="f" stroked="f" coordsize="21600,21600" o:gfxdata="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7m94XZAAAACgEAAA8AAAAAAAAAAQAgAAAAIgAAAGRycy9k&#10;b3ducmV2LnhtbFBLAQIUABQAAAAIAIdO4kCNcFgSOgIAAGYEAAAOAAAAAAAAAAEAIAAAACgBAABk&#10;cnMvZTJvRG9jLnhtbFBLBQYAAAAABgAGAFkBAADUBQAAAAA=&#10;">
              <v:fill on="f" focussize="0,0"/>
              <v:stroke on="f" weight="0.5pt"/>
              <v:imagedata o:title=""/>
              <o:lock v:ext="edit" aspectratio="f"/>
              <v:textbox inset="0mm,0mm,0mm,0mm" style="mso-fit-shape-to-text:t;">
                <w:txbxContent>
                  <w:p w14:paraId="53A1A3E9">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D90BE">
    <w:pPr>
      <w:pStyle w:val="17"/>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07D90">
    <w:pPr>
      <w:pStyle w:val="18"/>
      <w:widowControl w:val="0"/>
      <w:pBdr>
        <w:top w:val="none" w:color="auto" w:sz="0" w:space="1"/>
        <w:left w:val="none" w:color="auto" w:sz="0" w:space="4"/>
        <w:bottom w:val="none" w:color="auto" w:sz="0" w:space="1"/>
        <w:right w:val="none" w:color="auto" w:sz="0" w:space="4"/>
        <w:between w:val="none" w:color="auto" w:sz="0" w:space="0"/>
      </w:pBdr>
      <w:snapToGrid w:val="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689F5">
    <w:pPr>
      <w:pStyle w:val="18"/>
      <w:widowControl w:val="0"/>
      <w:pBdr>
        <w:top w:val="none" w:color="auto" w:sz="0" w:space="1"/>
        <w:left w:val="none" w:color="auto" w:sz="0" w:space="4"/>
        <w:bottom w:val="none" w:color="auto" w:sz="0" w:space="1"/>
        <w:right w:val="none" w:color="auto" w:sz="0" w:space="4"/>
        <w:between w:val="none" w:color="auto" w:sz="0" w:space="0"/>
      </w:pBdr>
      <w:snapToGrid w:val="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none"/>
      <w:suff w:val="nothing"/>
      <w:lvlText w:val="第一章"/>
      <w:lvlJc w:val="left"/>
      <w:pPr>
        <w:ind w:left="0" w:firstLine="397"/>
      </w:pPr>
      <w:rPr>
        <w:rFonts w:hint="eastAsia"/>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pStyle w:val="7"/>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
    <w:nsid w:val="362407EF"/>
    <w:multiLevelType w:val="singleLevel"/>
    <w:tmpl w:val="362407EF"/>
    <w:lvl w:ilvl="0" w:tentative="0">
      <w:start w:val="1"/>
      <w:numFmt w:val="decimal"/>
      <w:pStyle w:val="97"/>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3NmMxZjkzMGI3YTBiYWVlOTI3MGZhZmUwMmI5OGIifQ=="/>
  </w:docVars>
  <w:rsids>
    <w:rsidRoot w:val="00000000"/>
    <w:rsid w:val="02311421"/>
    <w:rsid w:val="03AF41AD"/>
    <w:rsid w:val="03E33071"/>
    <w:rsid w:val="04743DAC"/>
    <w:rsid w:val="05040802"/>
    <w:rsid w:val="051E7CFF"/>
    <w:rsid w:val="05575651"/>
    <w:rsid w:val="057648ED"/>
    <w:rsid w:val="07F87A11"/>
    <w:rsid w:val="08034F89"/>
    <w:rsid w:val="089D6BEC"/>
    <w:rsid w:val="090C058F"/>
    <w:rsid w:val="09777843"/>
    <w:rsid w:val="0A4860CC"/>
    <w:rsid w:val="0AAE1479"/>
    <w:rsid w:val="0BB83648"/>
    <w:rsid w:val="0CAE3B61"/>
    <w:rsid w:val="0D2408DB"/>
    <w:rsid w:val="0D2F37B2"/>
    <w:rsid w:val="0DD86791"/>
    <w:rsid w:val="0E296DE0"/>
    <w:rsid w:val="0E2D60C2"/>
    <w:rsid w:val="0E5135BC"/>
    <w:rsid w:val="0F257406"/>
    <w:rsid w:val="0F9A2299"/>
    <w:rsid w:val="0FC477AC"/>
    <w:rsid w:val="0FD0391B"/>
    <w:rsid w:val="133B6C14"/>
    <w:rsid w:val="1410370B"/>
    <w:rsid w:val="14EB5267"/>
    <w:rsid w:val="15767345"/>
    <w:rsid w:val="159A0AA1"/>
    <w:rsid w:val="172563FA"/>
    <w:rsid w:val="177D585E"/>
    <w:rsid w:val="17CA2B05"/>
    <w:rsid w:val="193E3F46"/>
    <w:rsid w:val="19B9169A"/>
    <w:rsid w:val="1A7D7D69"/>
    <w:rsid w:val="1AFA4C19"/>
    <w:rsid w:val="1B0B13D3"/>
    <w:rsid w:val="1BE97299"/>
    <w:rsid w:val="1C647A5F"/>
    <w:rsid w:val="1F7F4EB3"/>
    <w:rsid w:val="1FF44635"/>
    <w:rsid w:val="201D62D9"/>
    <w:rsid w:val="20E760D4"/>
    <w:rsid w:val="214B3336"/>
    <w:rsid w:val="21E65C00"/>
    <w:rsid w:val="229830C9"/>
    <w:rsid w:val="22F028ED"/>
    <w:rsid w:val="22F363AD"/>
    <w:rsid w:val="2377009E"/>
    <w:rsid w:val="238147D6"/>
    <w:rsid w:val="2383602E"/>
    <w:rsid w:val="23B5012E"/>
    <w:rsid w:val="23C30A9D"/>
    <w:rsid w:val="259617D3"/>
    <w:rsid w:val="2613129A"/>
    <w:rsid w:val="270D629D"/>
    <w:rsid w:val="2747656B"/>
    <w:rsid w:val="27662E5B"/>
    <w:rsid w:val="27A961FC"/>
    <w:rsid w:val="29023D18"/>
    <w:rsid w:val="29E91C03"/>
    <w:rsid w:val="2A7A2BDD"/>
    <w:rsid w:val="2BD843F7"/>
    <w:rsid w:val="2BE76916"/>
    <w:rsid w:val="2C4B39A2"/>
    <w:rsid w:val="2EA73A95"/>
    <w:rsid w:val="2EE94A66"/>
    <w:rsid w:val="32214929"/>
    <w:rsid w:val="33811E5B"/>
    <w:rsid w:val="351F0979"/>
    <w:rsid w:val="361E7DB5"/>
    <w:rsid w:val="3721409F"/>
    <w:rsid w:val="39534007"/>
    <w:rsid w:val="3962095F"/>
    <w:rsid w:val="3AC43A86"/>
    <w:rsid w:val="3DFF9FE0"/>
    <w:rsid w:val="3E586BA5"/>
    <w:rsid w:val="3E7149C9"/>
    <w:rsid w:val="3EC30CE6"/>
    <w:rsid w:val="3EEF4F20"/>
    <w:rsid w:val="3F1B1335"/>
    <w:rsid w:val="3F2874AA"/>
    <w:rsid w:val="412232F6"/>
    <w:rsid w:val="4125620A"/>
    <w:rsid w:val="41B9130B"/>
    <w:rsid w:val="41FA5D70"/>
    <w:rsid w:val="42F557D1"/>
    <w:rsid w:val="44E60C67"/>
    <w:rsid w:val="459B6ED9"/>
    <w:rsid w:val="4723347D"/>
    <w:rsid w:val="47872914"/>
    <w:rsid w:val="482F2645"/>
    <w:rsid w:val="483E4152"/>
    <w:rsid w:val="48877A3B"/>
    <w:rsid w:val="492472EC"/>
    <w:rsid w:val="4AE34913"/>
    <w:rsid w:val="4B8B339F"/>
    <w:rsid w:val="4BF37186"/>
    <w:rsid w:val="4C2672DA"/>
    <w:rsid w:val="4D2B0D36"/>
    <w:rsid w:val="4D7440F6"/>
    <w:rsid w:val="4F297689"/>
    <w:rsid w:val="508F2144"/>
    <w:rsid w:val="549F6194"/>
    <w:rsid w:val="54F71817"/>
    <w:rsid w:val="554E029E"/>
    <w:rsid w:val="55AB0340"/>
    <w:rsid w:val="56E35F4B"/>
    <w:rsid w:val="599E1484"/>
    <w:rsid w:val="5A253763"/>
    <w:rsid w:val="5BDE7EE7"/>
    <w:rsid w:val="5BF74308"/>
    <w:rsid w:val="5C227676"/>
    <w:rsid w:val="5C2F7D76"/>
    <w:rsid w:val="5CA21232"/>
    <w:rsid w:val="5DFAC5DD"/>
    <w:rsid w:val="5E8323BE"/>
    <w:rsid w:val="5EF442F3"/>
    <w:rsid w:val="5FCB29E4"/>
    <w:rsid w:val="5FF2E03F"/>
    <w:rsid w:val="60A67CA3"/>
    <w:rsid w:val="60CB4864"/>
    <w:rsid w:val="60F9585C"/>
    <w:rsid w:val="61337FE2"/>
    <w:rsid w:val="62EF7EBC"/>
    <w:rsid w:val="63FC52F1"/>
    <w:rsid w:val="64572520"/>
    <w:rsid w:val="6541341B"/>
    <w:rsid w:val="65663FCD"/>
    <w:rsid w:val="679F4002"/>
    <w:rsid w:val="67B021B0"/>
    <w:rsid w:val="67BA7A02"/>
    <w:rsid w:val="67CA4DF7"/>
    <w:rsid w:val="67DC3DF5"/>
    <w:rsid w:val="686D63C6"/>
    <w:rsid w:val="68AC24A2"/>
    <w:rsid w:val="68B81C72"/>
    <w:rsid w:val="6A785DC6"/>
    <w:rsid w:val="6C060AF4"/>
    <w:rsid w:val="6D8C1329"/>
    <w:rsid w:val="6EC57550"/>
    <w:rsid w:val="6F107EF5"/>
    <w:rsid w:val="6F656F72"/>
    <w:rsid w:val="6F6C6545"/>
    <w:rsid w:val="6FAC52C6"/>
    <w:rsid w:val="701D640C"/>
    <w:rsid w:val="70D43896"/>
    <w:rsid w:val="722D7229"/>
    <w:rsid w:val="7264527D"/>
    <w:rsid w:val="72DE16FE"/>
    <w:rsid w:val="730A5199"/>
    <w:rsid w:val="74483F42"/>
    <w:rsid w:val="7491791C"/>
    <w:rsid w:val="752F302C"/>
    <w:rsid w:val="75845F24"/>
    <w:rsid w:val="75B268DE"/>
    <w:rsid w:val="76DF5F23"/>
    <w:rsid w:val="772D4E66"/>
    <w:rsid w:val="778B21F1"/>
    <w:rsid w:val="793331D2"/>
    <w:rsid w:val="79A966E0"/>
    <w:rsid w:val="7B1A14D0"/>
    <w:rsid w:val="7B5D5B7A"/>
    <w:rsid w:val="7BA54D76"/>
    <w:rsid w:val="7BC10593"/>
    <w:rsid w:val="7DAB2CE3"/>
    <w:rsid w:val="7DFDBBB8"/>
    <w:rsid w:val="7E6C4E59"/>
    <w:rsid w:val="7F342FDA"/>
    <w:rsid w:val="7F8B072E"/>
    <w:rsid w:val="B1BFC8B8"/>
    <w:rsid w:val="D3F6D791"/>
    <w:rsid w:val="EFADE69A"/>
    <w:rsid w:val="FB7585C3"/>
    <w:rsid w:val="FBFFA5BE"/>
    <w:rsid w:val="FEDC91A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qFormat/>
    <w:uiPriority w:val="0"/>
    <w:pPr>
      <w:keepNext/>
      <w:keepLines/>
      <w:spacing w:before="156" w:beforeLines="50" w:beforeAutospacing="0"/>
      <w:jc w:val="left"/>
      <w:outlineLvl w:val="1"/>
    </w:pPr>
    <w:rPr>
      <w:rFonts w:eastAsia="黑体"/>
      <w:b/>
      <w:sz w:val="32"/>
    </w:rPr>
  </w:style>
  <w:style w:type="paragraph" w:styleId="5">
    <w:name w:val="heading 3"/>
    <w:basedOn w:val="1"/>
    <w:next w:val="6"/>
    <w:qFormat/>
    <w:uiPriority w:val="0"/>
    <w:pPr>
      <w:keepNext/>
      <w:keepLines/>
      <w:spacing w:before="156" w:beforeLines="50" w:beforeAutospacing="0"/>
      <w:jc w:val="left"/>
      <w:outlineLvl w:val="2"/>
    </w:pPr>
    <w:rPr>
      <w:rFonts w:eastAsia="黑体"/>
      <w:b/>
      <w:sz w:val="30"/>
    </w:rPr>
  </w:style>
  <w:style w:type="paragraph" w:styleId="7">
    <w:name w:val="heading 4"/>
    <w:basedOn w:val="1"/>
    <w:next w:val="1"/>
    <w:autoRedefine/>
    <w:qFormat/>
    <w:uiPriority w:val="9"/>
    <w:pPr>
      <w:keepNext/>
      <w:keepLines/>
      <w:widowControl/>
      <w:numPr>
        <w:ilvl w:val="3"/>
        <w:numId w:val="1"/>
      </w:numPr>
      <w:spacing w:before="50" w:beforeLines="50"/>
      <w:outlineLvl w:val="3"/>
    </w:pPr>
    <w:rPr>
      <w:rFonts w:eastAsia="黑体"/>
      <w:bCs/>
      <w:color w:val="000000"/>
      <w:sz w:val="28"/>
      <w:szCs w:val="28"/>
    </w:rPr>
  </w:style>
  <w:style w:type="character" w:default="1" w:styleId="32">
    <w:name w:val="Default Paragraph Font"/>
    <w:autoRedefine/>
    <w:qFormat/>
    <w:uiPriority w:val="0"/>
  </w:style>
  <w:style w:type="table" w:default="1" w:styleId="30">
    <w:name w:val="Normal Table"/>
    <w:autoRedefin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正文 首行缩进:  2 字符"/>
    <w:basedOn w:val="1"/>
    <w:qFormat/>
    <w:uiPriority w:val="99"/>
    <w:pPr>
      <w:ind w:firstLine="579" w:firstLineChars="200"/>
    </w:pPr>
    <w:rPr>
      <w:rFonts w:cs="宋体"/>
      <w:szCs w:val="20"/>
    </w:rPr>
  </w:style>
  <w:style w:type="paragraph" w:styleId="6">
    <w:name w:val="Normal Indent"/>
    <w:basedOn w:val="1"/>
    <w:qFormat/>
    <w:uiPriority w:val="0"/>
    <w:pPr>
      <w:ind w:firstLine="420"/>
    </w:pPr>
  </w:style>
  <w:style w:type="paragraph" w:styleId="8">
    <w:name w:val="caption"/>
    <w:basedOn w:val="1"/>
    <w:next w:val="1"/>
    <w:autoRedefine/>
    <w:qFormat/>
    <w:uiPriority w:val="35"/>
    <w:pPr>
      <w:spacing w:line="240" w:lineRule="auto"/>
      <w:ind w:firstLine="0" w:firstLineChars="0"/>
      <w:jc w:val="center"/>
    </w:pPr>
    <w:rPr>
      <w:b/>
      <w:sz w:val="21"/>
      <w:szCs w:val="20"/>
    </w:rPr>
  </w:style>
  <w:style w:type="paragraph" w:styleId="9">
    <w:name w:val="annotation text"/>
    <w:basedOn w:val="1"/>
    <w:link w:val="40"/>
    <w:qFormat/>
    <w:uiPriority w:val="0"/>
    <w:pPr>
      <w:jc w:val="left"/>
    </w:pPr>
    <w:rPr>
      <w:kern w:val="0"/>
      <w:sz w:val="24"/>
      <w:szCs w:val="20"/>
    </w:rPr>
  </w:style>
  <w:style w:type="paragraph" w:styleId="10">
    <w:name w:val="Body Text"/>
    <w:basedOn w:val="1"/>
    <w:link w:val="46"/>
    <w:qFormat/>
    <w:uiPriority w:val="0"/>
    <w:pPr>
      <w:widowControl/>
      <w:snapToGrid w:val="0"/>
      <w:spacing w:before="60" w:after="160" w:line="259" w:lineRule="auto"/>
      <w:ind w:right="113"/>
    </w:pPr>
    <w:rPr>
      <w:kern w:val="0"/>
      <w:sz w:val="18"/>
      <w:szCs w:val="20"/>
    </w:rPr>
  </w:style>
  <w:style w:type="paragraph" w:styleId="11">
    <w:name w:val="Body Text Indent"/>
    <w:basedOn w:val="1"/>
    <w:next w:val="10"/>
    <w:link w:val="47"/>
    <w:qFormat/>
    <w:uiPriority w:val="0"/>
    <w:pPr>
      <w:spacing w:after="120"/>
      <w:ind w:left="420" w:leftChars="200"/>
    </w:pPr>
    <w:rPr>
      <w:kern w:val="0"/>
      <w:sz w:val="24"/>
      <w:szCs w:val="20"/>
    </w:rPr>
  </w:style>
  <w:style w:type="paragraph" w:styleId="12">
    <w:name w:val="Block Text"/>
    <w:basedOn w:val="1"/>
    <w:qFormat/>
    <w:uiPriority w:val="0"/>
    <w:pPr>
      <w:spacing w:after="120"/>
      <w:ind w:left="1440" w:leftChars="700" w:right="1440" w:rightChars="700"/>
    </w:pPr>
  </w:style>
  <w:style w:type="paragraph" w:styleId="13">
    <w:name w:val="Plain Text"/>
    <w:basedOn w:val="1"/>
    <w:next w:val="1"/>
    <w:qFormat/>
    <w:uiPriority w:val="0"/>
    <w:rPr>
      <w:rFonts w:ascii="宋体" w:hAnsi="Courier New"/>
      <w:sz w:val="24"/>
      <w:szCs w:val="20"/>
    </w:rPr>
  </w:style>
  <w:style w:type="paragraph" w:styleId="14">
    <w:name w:val="Date"/>
    <w:basedOn w:val="1"/>
    <w:next w:val="1"/>
    <w:link w:val="48"/>
    <w:qFormat/>
    <w:uiPriority w:val="0"/>
    <w:pPr>
      <w:ind w:left="100" w:leftChars="2500"/>
    </w:pPr>
    <w:rPr>
      <w:kern w:val="0"/>
      <w:sz w:val="24"/>
      <w:szCs w:val="20"/>
    </w:rPr>
  </w:style>
  <w:style w:type="paragraph" w:styleId="15">
    <w:name w:val="Body Text Indent 2"/>
    <w:basedOn w:val="1"/>
    <w:autoRedefine/>
    <w:qFormat/>
    <w:uiPriority w:val="0"/>
    <w:pPr>
      <w:spacing w:after="120" w:line="480" w:lineRule="auto"/>
      <w:ind w:left="420" w:leftChars="200"/>
    </w:pPr>
  </w:style>
  <w:style w:type="paragraph" w:styleId="16">
    <w:name w:val="Balloon Text"/>
    <w:basedOn w:val="1"/>
    <w:link w:val="49"/>
    <w:autoRedefine/>
    <w:qFormat/>
    <w:uiPriority w:val="0"/>
    <w:rPr>
      <w:kern w:val="0"/>
      <w:sz w:val="18"/>
      <w:szCs w:val="20"/>
    </w:rPr>
  </w:style>
  <w:style w:type="paragraph" w:styleId="17">
    <w:name w:val="footer"/>
    <w:basedOn w:val="1"/>
    <w:next w:val="1"/>
    <w:link w:val="50"/>
    <w:qFormat/>
    <w:uiPriority w:val="99"/>
    <w:pPr>
      <w:tabs>
        <w:tab w:val="center" w:pos="4153"/>
        <w:tab w:val="right" w:pos="8306"/>
      </w:tabs>
      <w:snapToGrid w:val="0"/>
      <w:jc w:val="left"/>
    </w:pPr>
    <w:rPr>
      <w:kern w:val="0"/>
      <w:sz w:val="18"/>
      <w:szCs w:val="20"/>
    </w:rPr>
  </w:style>
  <w:style w:type="paragraph" w:styleId="18">
    <w:name w:val="header"/>
    <w:basedOn w:val="1"/>
    <w:link w:val="51"/>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toc 1"/>
    <w:basedOn w:val="1"/>
    <w:next w:val="1"/>
    <w:qFormat/>
    <w:uiPriority w:val="0"/>
  </w:style>
  <w:style w:type="paragraph" w:styleId="20">
    <w:name w:val="Body Text 2"/>
    <w:basedOn w:val="1"/>
    <w:unhideWhenUsed/>
    <w:qFormat/>
    <w:uiPriority w:val="99"/>
    <w:pPr>
      <w:spacing w:after="120" w:line="480" w:lineRule="auto"/>
    </w:pPr>
  </w:style>
  <w:style w:type="paragraph" w:styleId="2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2">
    <w:name w:val="Normal (Web)"/>
    <w:basedOn w:val="1"/>
    <w:link w:val="52"/>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9"/>
    <w:next w:val="9"/>
    <w:link w:val="53"/>
    <w:autoRedefine/>
    <w:qFormat/>
    <w:uiPriority w:val="0"/>
    <w:rPr>
      <w:b/>
      <w:sz w:val="24"/>
      <w:szCs w:val="20"/>
    </w:rPr>
  </w:style>
  <w:style w:type="paragraph" w:styleId="24">
    <w:name w:val="Body Text First Indent"/>
    <w:basedOn w:val="1"/>
    <w:next w:val="25"/>
    <w:autoRedefine/>
    <w:qFormat/>
    <w:uiPriority w:val="0"/>
    <w:pPr>
      <w:ind w:firstLine="420" w:firstLineChars="100"/>
    </w:pPr>
    <w:rPr>
      <w:szCs w:val="24"/>
    </w:rPr>
  </w:style>
  <w:style w:type="paragraph" w:customStyle="1" w:styleId="25">
    <w:name w:val="正文文字（首行缩进2字）"/>
    <w:basedOn w:val="1"/>
    <w:autoRedefine/>
    <w:qFormat/>
    <w:uiPriority w:val="0"/>
    <w:pPr>
      <w:spacing w:line="360" w:lineRule="auto"/>
      <w:ind w:firstLine="200" w:firstLineChars="200"/>
    </w:pPr>
    <w:rPr>
      <w:rFonts w:ascii="Arial" w:hAnsi="Arial" w:eastAsia="宋体"/>
      <w:position w:val="-30"/>
      <w:sz w:val="24"/>
    </w:rPr>
  </w:style>
  <w:style w:type="paragraph" w:styleId="26">
    <w:name w:val="Body Text First Indent 2"/>
    <w:basedOn w:val="11"/>
    <w:next w:val="27"/>
    <w:autoRedefine/>
    <w:qFormat/>
    <w:uiPriority w:val="0"/>
    <w:pPr>
      <w:spacing w:line="360" w:lineRule="auto"/>
      <w:ind w:firstLine="420" w:firstLineChars="200"/>
      <w:jc w:val="left"/>
    </w:pPr>
  </w:style>
  <w:style w:type="paragraph" w:customStyle="1" w:styleId="27">
    <w:name w:val="Default"/>
    <w:basedOn w:val="28"/>
    <w:next w:val="29"/>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8">
    <w:name w:val="纯文本1"/>
    <w:basedOn w:val="1"/>
    <w:autoRedefine/>
    <w:qFormat/>
    <w:uiPriority w:val="0"/>
    <w:pPr>
      <w:adjustRightInd w:val="0"/>
    </w:pPr>
    <w:rPr>
      <w:rFonts w:ascii="宋体" w:hAnsi="Courier New"/>
    </w:rPr>
  </w:style>
  <w:style w:type="paragraph" w:customStyle="1" w:styleId="29">
    <w:name w:val="表格文字"/>
    <w:basedOn w:val="6"/>
    <w:next w:val="1"/>
    <w:qFormat/>
    <w:uiPriority w:val="0"/>
    <w:pPr>
      <w:snapToGrid w:val="0"/>
      <w:spacing w:line="240" w:lineRule="auto"/>
      <w:jc w:val="center"/>
    </w:pPr>
    <w:rPr>
      <w:rFonts w:ascii="宋体" w:hAnsi="宋体"/>
      <w:color w:val="000000"/>
      <w:szCs w:val="20"/>
    </w:rPr>
  </w:style>
  <w:style w:type="table" w:styleId="31">
    <w:name w:val="Table Grid"/>
    <w:basedOn w:val="30"/>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autoRedefine/>
    <w:qFormat/>
    <w:uiPriority w:val="0"/>
    <w:rPr>
      <w:b/>
      <w:bCs/>
    </w:rPr>
  </w:style>
  <w:style w:type="character" w:styleId="34">
    <w:name w:val="page number"/>
    <w:basedOn w:val="32"/>
    <w:qFormat/>
    <w:uiPriority w:val="0"/>
  </w:style>
  <w:style w:type="character" w:styleId="35">
    <w:name w:val="Hyperlink"/>
    <w:basedOn w:val="32"/>
    <w:autoRedefine/>
    <w:qFormat/>
    <w:uiPriority w:val="0"/>
    <w:rPr>
      <w:color w:val="0000FF"/>
      <w:u w:val="single"/>
    </w:rPr>
  </w:style>
  <w:style w:type="character" w:styleId="36">
    <w:name w:val="annotation reference"/>
    <w:autoRedefine/>
    <w:qFormat/>
    <w:uiPriority w:val="0"/>
    <w:rPr>
      <w:sz w:val="21"/>
    </w:rPr>
  </w:style>
  <w:style w:type="paragraph" w:customStyle="1" w:styleId="37">
    <w:name w:val="朔电正文"/>
    <w:basedOn w:val="1"/>
    <w:autoRedefine/>
    <w:qFormat/>
    <w:uiPriority w:val="0"/>
    <w:pPr>
      <w:adjustRightInd w:val="0"/>
      <w:snapToGrid w:val="0"/>
      <w:spacing w:beforeLines="25" w:line="440" w:lineRule="exact"/>
      <w:ind w:firstLine="200" w:firstLineChars="200"/>
    </w:pPr>
    <w:rPr>
      <w:color w:val="000000"/>
    </w:rPr>
  </w:style>
  <w:style w:type="character" w:customStyle="1" w:styleId="38">
    <w:name w:val="表格 Char"/>
    <w:link w:val="39"/>
    <w:qFormat/>
    <w:uiPriority w:val="0"/>
    <w:rPr>
      <w:rFonts w:ascii="宋体"/>
      <w:sz w:val="21"/>
    </w:rPr>
  </w:style>
  <w:style w:type="paragraph" w:customStyle="1" w:styleId="39">
    <w:name w:val="表格"/>
    <w:basedOn w:val="1"/>
    <w:next w:val="1"/>
    <w:link w:val="38"/>
    <w:qFormat/>
    <w:uiPriority w:val="0"/>
    <w:pPr>
      <w:adjustRightInd w:val="0"/>
      <w:snapToGrid w:val="0"/>
      <w:spacing w:beforeLines="10" w:afterLines="10" w:line="259" w:lineRule="auto"/>
      <w:jc w:val="center"/>
    </w:pPr>
    <w:rPr>
      <w:rFonts w:ascii="宋体"/>
      <w:kern w:val="0"/>
      <w:szCs w:val="20"/>
    </w:rPr>
  </w:style>
  <w:style w:type="character" w:customStyle="1" w:styleId="40">
    <w:name w:val="批注文字 Char"/>
    <w:link w:val="9"/>
    <w:qFormat/>
    <w:uiPriority w:val="0"/>
    <w:rPr>
      <w:rFonts w:ascii="Times New Roman" w:hAnsi="Times New Roman" w:eastAsia="宋体"/>
      <w:sz w:val="24"/>
    </w:rPr>
  </w:style>
  <w:style w:type="paragraph" w:customStyle="1" w:styleId="41">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42">
    <w:name w:val="Char Char Char Char Char Char1 Char Char Char Char"/>
    <w:basedOn w:val="1"/>
    <w:next w:val="1"/>
    <w:semiHidden/>
    <w:qFormat/>
    <w:uiPriority w:val="0"/>
    <w:pPr>
      <w:spacing w:line="360" w:lineRule="auto"/>
      <w:ind w:firstLine="200" w:firstLineChars="200"/>
    </w:pPr>
    <w:rPr>
      <w:rFonts w:ascii="宋体" w:hAnsi="宋体" w:cs="宋体"/>
      <w:sz w:val="21"/>
      <w:szCs w:val="21"/>
    </w:rPr>
  </w:style>
  <w:style w:type="paragraph" w:customStyle="1" w:styleId="43">
    <w:name w:val="Char Char Char Char Char Char Char Char Char Char"/>
    <w:basedOn w:val="1"/>
    <w:autoRedefine/>
    <w:qFormat/>
    <w:uiPriority w:val="0"/>
    <w:pPr>
      <w:adjustRightInd w:val="0"/>
      <w:snapToGrid w:val="0"/>
      <w:spacing w:line="360" w:lineRule="auto"/>
      <w:ind w:firstLine="200" w:firstLineChars="200"/>
    </w:pPr>
    <w:rPr>
      <w:rFonts w:eastAsia="楷体_GB2312"/>
    </w:rPr>
  </w:style>
  <w:style w:type="paragraph" w:customStyle="1" w:styleId="44">
    <w:name w:val="xl27"/>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kern w:val="0"/>
      <w:sz w:val="16"/>
      <w:szCs w:val="16"/>
      <w:lang w:eastAsia="zh-TW"/>
    </w:rPr>
  </w:style>
  <w:style w:type="paragraph" w:customStyle="1" w:styleId="45">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46">
    <w:name w:val="正文文本 Char"/>
    <w:link w:val="10"/>
    <w:autoRedefine/>
    <w:qFormat/>
    <w:uiPriority w:val="0"/>
    <w:rPr>
      <w:sz w:val="18"/>
    </w:rPr>
  </w:style>
  <w:style w:type="character" w:customStyle="1" w:styleId="47">
    <w:name w:val="正文文本缩进 Char"/>
    <w:link w:val="11"/>
    <w:autoRedefine/>
    <w:qFormat/>
    <w:uiPriority w:val="0"/>
    <w:rPr>
      <w:rFonts w:ascii="Times New Roman" w:hAnsi="Times New Roman" w:eastAsia="宋体"/>
      <w:sz w:val="24"/>
    </w:rPr>
  </w:style>
  <w:style w:type="character" w:customStyle="1" w:styleId="48">
    <w:name w:val="日期 Char"/>
    <w:link w:val="14"/>
    <w:autoRedefine/>
    <w:qFormat/>
    <w:uiPriority w:val="0"/>
    <w:rPr>
      <w:rFonts w:ascii="Times New Roman" w:hAnsi="Times New Roman" w:eastAsia="宋体"/>
      <w:sz w:val="24"/>
    </w:rPr>
  </w:style>
  <w:style w:type="character" w:customStyle="1" w:styleId="49">
    <w:name w:val="批注框文本 Char"/>
    <w:link w:val="16"/>
    <w:autoRedefine/>
    <w:qFormat/>
    <w:uiPriority w:val="0"/>
    <w:rPr>
      <w:rFonts w:ascii="Times New Roman" w:hAnsi="Times New Roman" w:eastAsia="宋体"/>
      <w:sz w:val="18"/>
    </w:rPr>
  </w:style>
  <w:style w:type="character" w:customStyle="1" w:styleId="50">
    <w:name w:val="页脚 Char"/>
    <w:link w:val="17"/>
    <w:autoRedefine/>
    <w:qFormat/>
    <w:uiPriority w:val="99"/>
    <w:rPr>
      <w:sz w:val="18"/>
    </w:rPr>
  </w:style>
  <w:style w:type="character" w:customStyle="1" w:styleId="51">
    <w:name w:val="页眉 Char"/>
    <w:link w:val="18"/>
    <w:autoRedefine/>
    <w:qFormat/>
    <w:uiPriority w:val="0"/>
    <w:rPr>
      <w:sz w:val="18"/>
    </w:rPr>
  </w:style>
  <w:style w:type="character" w:customStyle="1" w:styleId="52">
    <w:name w:val="普通(网站) Char"/>
    <w:link w:val="22"/>
    <w:autoRedefine/>
    <w:qFormat/>
    <w:uiPriority w:val="0"/>
    <w:rPr>
      <w:rFonts w:ascii="宋体" w:hAnsi="宋体" w:eastAsia="宋体"/>
      <w:sz w:val="24"/>
    </w:rPr>
  </w:style>
  <w:style w:type="character" w:customStyle="1" w:styleId="53">
    <w:name w:val="批注主题 Char"/>
    <w:link w:val="23"/>
    <w:autoRedefine/>
    <w:qFormat/>
    <w:uiPriority w:val="0"/>
    <w:rPr>
      <w:rFonts w:ascii="Times New Roman" w:hAnsi="Times New Roman" w:eastAsia="宋体"/>
      <w:b/>
      <w:kern w:val="2"/>
      <w:sz w:val="24"/>
    </w:rPr>
  </w:style>
  <w:style w:type="paragraph" w:customStyle="1" w:styleId="54">
    <w:name w:val="Default1"/>
    <w:basedOn w:val="55"/>
    <w:next w:val="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5">
    <w:name w:val="常用正文样式"/>
    <w:autoRedefine/>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character" w:customStyle="1" w:styleId="56">
    <w:name w:val="页脚 字符"/>
    <w:basedOn w:val="32"/>
    <w:autoRedefine/>
    <w:qFormat/>
    <w:uiPriority w:val="99"/>
  </w:style>
  <w:style w:type="character" w:customStyle="1" w:styleId="57">
    <w:name w:val="正文文本 字符1"/>
    <w:autoRedefine/>
    <w:qFormat/>
    <w:uiPriority w:val="0"/>
    <w:rPr>
      <w:rFonts w:ascii="Times New Roman" w:hAnsi="Times New Roman" w:eastAsia="宋体"/>
      <w:sz w:val="24"/>
    </w:rPr>
  </w:style>
  <w:style w:type="character" w:customStyle="1" w:styleId="58">
    <w:name w:val="日期 字符"/>
    <w:autoRedefine/>
    <w:qFormat/>
    <w:uiPriority w:val="0"/>
    <w:rPr>
      <w:rFonts w:ascii="Times New Roman" w:hAnsi="Times New Roman" w:eastAsia="宋体"/>
      <w:sz w:val="24"/>
    </w:rPr>
  </w:style>
  <w:style w:type="character" w:customStyle="1" w:styleId="59">
    <w:name w:val="批注文字 字符1"/>
    <w:autoRedefine/>
    <w:qFormat/>
    <w:uiPriority w:val="0"/>
    <w:rPr>
      <w:rFonts w:ascii="Times New Roman" w:hAnsi="Times New Roman" w:eastAsia="宋体"/>
      <w:sz w:val="24"/>
    </w:rPr>
  </w:style>
  <w:style w:type="paragraph" w:customStyle="1" w:styleId="60">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1">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2">
    <w:name w:val="表内容"/>
    <w:basedOn w:val="13"/>
    <w:autoRedefine/>
    <w:qFormat/>
    <w:uiPriority w:val="0"/>
    <w:pPr>
      <w:jc w:val="center"/>
    </w:pPr>
    <w:rPr>
      <w:rFonts w:ascii="Times New Roman" w:hAnsi="Times New Roman"/>
      <w:sz w:val="21"/>
    </w:rPr>
  </w:style>
  <w:style w:type="character" w:customStyle="1" w:styleId="63">
    <w:name w:val="font21"/>
    <w:basedOn w:val="32"/>
    <w:autoRedefine/>
    <w:qFormat/>
    <w:uiPriority w:val="0"/>
    <w:rPr>
      <w:rFonts w:hint="eastAsia" w:ascii="宋体" w:hAnsi="宋体" w:eastAsia="宋体" w:cs="宋体"/>
      <w:b/>
      <w:bCs/>
      <w:color w:val="000000"/>
      <w:sz w:val="18"/>
      <w:szCs w:val="18"/>
      <w:u w:val="none"/>
    </w:rPr>
  </w:style>
  <w:style w:type="character" w:customStyle="1" w:styleId="64">
    <w:name w:val="font41"/>
    <w:basedOn w:val="32"/>
    <w:autoRedefine/>
    <w:qFormat/>
    <w:uiPriority w:val="0"/>
    <w:rPr>
      <w:rFonts w:hint="default" w:ascii="Times New Roman" w:hAnsi="Times New Roman" w:cs="Times New Roman"/>
      <w:b/>
      <w:bCs/>
      <w:color w:val="000000"/>
      <w:sz w:val="18"/>
      <w:szCs w:val="18"/>
      <w:u w:val="none"/>
    </w:rPr>
  </w:style>
  <w:style w:type="paragraph" w:customStyle="1" w:styleId="65">
    <w:name w:val="报告正文"/>
    <w:basedOn w:val="1"/>
    <w:autoRedefine/>
    <w:qFormat/>
    <w:uiPriority w:val="99"/>
    <w:pPr>
      <w:autoSpaceDE w:val="0"/>
      <w:autoSpaceDN w:val="0"/>
      <w:spacing w:line="560" w:lineRule="atLeast"/>
      <w:ind w:firstLine="200" w:firstLineChars="200"/>
    </w:pPr>
    <w:rPr>
      <w:rFonts w:ascii="宋体"/>
      <w:kern w:val="0"/>
      <w:sz w:val="24"/>
    </w:rPr>
  </w:style>
  <w:style w:type="paragraph" w:customStyle="1" w:styleId="66">
    <w:name w:val="李表头常用格式"/>
    <w:basedOn w:val="12"/>
    <w:autoRedefine/>
    <w:qFormat/>
    <w:uiPriority w:val="0"/>
    <w:pPr>
      <w:adjustRightInd/>
      <w:snapToGrid w:val="0"/>
      <w:spacing w:after="0" w:line="320" w:lineRule="exact"/>
      <w:ind w:left="0" w:leftChars="0" w:right="0" w:rightChars="0"/>
      <w:jc w:val="center"/>
      <w:textAlignment w:val="auto"/>
    </w:pPr>
    <w:rPr>
      <w:rFonts w:eastAsia="黑体"/>
      <w:color w:val="000000"/>
      <w:szCs w:val="21"/>
    </w:rPr>
  </w:style>
  <w:style w:type="paragraph" w:customStyle="1" w:styleId="67">
    <w:name w:val="标准正文"/>
    <w:basedOn w:val="1"/>
    <w:autoRedefine/>
    <w:qFormat/>
    <w:uiPriority w:val="0"/>
    <w:pPr>
      <w:spacing w:line="360" w:lineRule="auto"/>
      <w:ind w:firstLine="200" w:firstLineChars="200"/>
      <w:jc w:val="left"/>
    </w:pPr>
    <w:rPr>
      <w:sz w:val="24"/>
      <w:szCs w:val="22"/>
    </w:rPr>
  </w:style>
  <w:style w:type="paragraph" w:customStyle="1" w:styleId="68">
    <w:name w:val="正文1"/>
    <w:basedOn w:val="1"/>
    <w:next w:val="1"/>
    <w:autoRedefine/>
    <w:qFormat/>
    <w:uiPriority w:val="0"/>
    <w:pPr>
      <w:tabs>
        <w:tab w:val="left" w:pos="1455"/>
      </w:tabs>
      <w:spacing w:line="480" w:lineRule="exact"/>
      <w:ind w:firstLine="480" w:firstLineChars="200"/>
    </w:pPr>
    <w:rPr>
      <w:sz w:val="24"/>
      <w:szCs w:val="24"/>
    </w:rPr>
  </w:style>
  <w:style w:type="paragraph" w:customStyle="1" w:styleId="69">
    <w:name w:val="表中"/>
    <w:basedOn w:val="1"/>
    <w:autoRedefine/>
    <w:qFormat/>
    <w:uiPriority w:val="0"/>
    <w:pPr>
      <w:adjustRightInd/>
      <w:spacing w:line="360" w:lineRule="exact"/>
      <w:jc w:val="center"/>
      <w:textAlignment w:val="auto"/>
    </w:pPr>
    <w:rPr>
      <w:szCs w:val="21"/>
      <w:lang w:val="de-DE"/>
    </w:rPr>
  </w:style>
  <w:style w:type="paragraph" w:customStyle="1" w:styleId="70">
    <w:name w:val="环评正文"/>
    <w:autoRedefine/>
    <w:qFormat/>
    <w:uiPriority w:val="0"/>
    <w:pPr>
      <w:adjustRightInd w:val="0"/>
      <w:snapToGrid w:val="0"/>
      <w:spacing w:line="480" w:lineRule="exact"/>
      <w:ind w:firstLine="200" w:firstLineChars="200"/>
    </w:pPr>
    <w:rPr>
      <w:rFonts w:ascii="Times New Roman" w:hAnsi="Times New Roman" w:eastAsia="宋体" w:cs="Times New Roman"/>
      <w:sz w:val="24"/>
      <w:lang w:val="en-US" w:eastAsia="zh-CN" w:bidi="ar-SA"/>
    </w:rPr>
  </w:style>
  <w:style w:type="paragraph" w:customStyle="1" w:styleId="71">
    <w:name w:val="表格新格式"/>
    <w:basedOn w:val="1"/>
    <w:autoRedefine/>
    <w:qFormat/>
    <w:uiPriority w:val="0"/>
    <w:pPr>
      <w:adjustRightInd/>
      <w:spacing w:line="280" w:lineRule="exact"/>
      <w:jc w:val="center"/>
      <w:textAlignment w:val="auto"/>
    </w:pPr>
    <w:rPr>
      <w:color w:val="000000"/>
      <w:szCs w:val="21"/>
    </w:rPr>
  </w:style>
  <w:style w:type="paragraph" w:customStyle="1" w:styleId="72">
    <w:name w:val="表头样式"/>
    <w:basedOn w:val="1"/>
    <w:autoRedefine/>
    <w:qFormat/>
    <w:uiPriority w:val="0"/>
    <w:pPr>
      <w:snapToGrid w:val="0"/>
      <w:spacing w:line="420" w:lineRule="auto"/>
      <w:ind w:firstLine="480" w:firstLineChars="200"/>
      <w:jc w:val="left"/>
    </w:pPr>
    <w:rPr>
      <w:color w:val="FF0000"/>
      <w:sz w:val="24"/>
      <w:u w:val="single"/>
    </w:rPr>
  </w:style>
  <w:style w:type="paragraph" w:customStyle="1" w:styleId="73">
    <w:name w:val="Table Paragraph"/>
    <w:basedOn w:val="1"/>
    <w:autoRedefine/>
    <w:qFormat/>
    <w:uiPriority w:val="99"/>
  </w:style>
  <w:style w:type="paragraph" w:customStyle="1" w:styleId="74">
    <w:name w:val="正文 1"/>
    <w:basedOn w:val="1"/>
    <w:autoRedefine/>
    <w:qFormat/>
    <w:uiPriority w:val="0"/>
    <w:pPr>
      <w:spacing w:line="480" w:lineRule="exact"/>
      <w:ind w:firstLine="567"/>
    </w:pPr>
    <w:rPr>
      <w:sz w:val="28"/>
    </w:rPr>
  </w:style>
  <w:style w:type="paragraph" w:customStyle="1" w:styleId="75">
    <w:name w:val="表格-zjr"/>
    <w:basedOn w:val="1"/>
    <w:autoRedefine/>
    <w:qFormat/>
    <w:uiPriority w:val="0"/>
    <w:pPr>
      <w:spacing w:line="240" w:lineRule="auto"/>
      <w:ind w:firstLine="0" w:firstLineChars="0"/>
      <w:jc w:val="center"/>
    </w:pPr>
    <w:rPr>
      <w:rFonts w:ascii="Times New Roman" w:hAnsi="Times New Roman" w:eastAsia="宋体" w:cs="Times New Roman"/>
      <w:sz w:val="21"/>
    </w:rPr>
  </w:style>
  <w:style w:type="paragraph" w:customStyle="1" w:styleId="76">
    <w:name w:val="表格标题1"/>
    <w:basedOn w:val="1"/>
    <w:autoRedefine/>
    <w:qFormat/>
    <w:uiPriority w:val="99"/>
    <w:pPr>
      <w:adjustRightInd w:val="0"/>
      <w:snapToGrid w:val="0"/>
      <w:spacing w:line="440" w:lineRule="exact"/>
      <w:jc w:val="center"/>
    </w:pPr>
    <w:rPr>
      <w:rFonts w:ascii="宋体" w:hAnsi="宋体"/>
      <w:b/>
    </w:rPr>
  </w:style>
  <w:style w:type="paragraph" w:customStyle="1" w:styleId="77">
    <w:name w:val="表格-小四"/>
    <w:basedOn w:val="1"/>
    <w:autoRedefine/>
    <w:qFormat/>
    <w:uiPriority w:val="0"/>
    <w:pPr>
      <w:spacing w:line="300" w:lineRule="auto"/>
      <w:ind w:firstLine="0" w:firstLineChars="0"/>
      <w:jc w:val="center"/>
    </w:pPr>
    <w:rPr>
      <w:rFonts w:ascii="Times New Roman" w:hAnsi="Times New Roman" w:eastAsia="宋体" w:cs="宋体"/>
      <w:sz w:val="24"/>
    </w:rPr>
  </w:style>
  <w:style w:type="paragraph" w:customStyle="1" w:styleId="78">
    <w:name w:val="5表标题"/>
    <w:autoRedefine/>
    <w:qFormat/>
    <w:uiPriority w:val="0"/>
    <w:pPr>
      <w:jc w:val="center"/>
    </w:pPr>
    <w:rPr>
      <w:rFonts w:ascii="Times New Roman" w:hAnsi="Times New Roman" w:eastAsia="宋体" w:cs="宋体"/>
      <w:b/>
      <w:bCs/>
      <w:kern w:val="2"/>
      <w:sz w:val="21"/>
      <w:lang w:val="en-US" w:eastAsia="zh-CN" w:bidi="ar-SA"/>
    </w:rPr>
  </w:style>
  <w:style w:type="paragraph" w:customStyle="1" w:styleId="79">
    <w:name w:val="zlf表格文字"/>
    <w:autoRedefine/>
    <w:qFormat/>
    <w:uiPriority w:val="0"/>
    <w:pPr>
      <w:spacing w:line="276" w:lineRule="auto"/>
      <w:jc w:val="center"/>
    </w:pPr>
    <w:rPr>
      <w:rFonts w:ascii="Times New Roman" w:hAnsi="Times New Roman" w:eastAsia="宋体" w:cs="Times New Roman"/>
      <w:kern w:val="2"/>
      <w:sz w:val="21"/>
      <w:szCs w:val="24"/>
      <w:lang w:val="en-US" w:eastAsia="zh-CN" w:bidi="ar-SA"/>
    </w:rPr>
  </w:style>
  <w:style w:type="paragraph" w:customStyle="1" w:styleId="80">
    <w:name w:val="li 表头文字"/>
    <w:autoRedefine/>
    <w:qFormat/>
    <w:uiPriority w:val="0"/>
    <w:pPr>
      <w:spacing w:line="460" w:lineRule="exact"/>
      <w:jc w:val="center"/>
    </w:pPr>
    <w:rPr>
      <w:rFonts w:ascii="Times New Roman" w:hAnsi="Times New Roman" w:eastAsia="宋体" w:cs="Times New Roman"/>
      <w:b/>
      <w:spacing w:val="4"/>
      <w:kern w:val="2"/>
      <w:sz w:val="21"/>
      <w:szCs w:val="21"/>
      <w:lang w:val="en-US" w:eastAsia="zh-CN" w:bidi="ar-SA"/>
    </w:rPr>
  </w:style>
  <w:style w:type="character" w:customStyle="1" w:styleId="81">
    <w:name w:val="表内文字"/>
    <w:autoRedefine/>
    <w:qFormat/>
    <w:uiPriority w:val="0"/>
    <w:rPr>
      <w:rFonts w:ascii="Times New Roman" w:hAnsi="Times New Roman" w:eastAsia="仿宋_GB2312"/>
      <w:sz w:val="24"/>
      <w:szCs w:val="24"/>
    </w:rPr>
  </w:style>
  <w:style w:type="paragraph" w:customStyle="1" w:styleId="82">
    <w:name w:val="a正文排版格式"/>
    <w:basedOn w:val="83"/>
    <w:autoRedefine/>
    <w:qFormat/>
    <w:uiPriority w:val="99"/>
    <w:pPr>
      <w:spacing w:line="500" w:lineRule="exact"/>
      <w:ind w:firstLine="420"/>
    </w:pPr>
    <w:rPr>
      <w:rFonts w:eastAsia="仿宋_GB2312"/>
      <w:kern w:val="0"/>
      <w:sz w:val="28"/>
    </w:rPr>
  </w:style>
  <w:style w:type="paragraph" w:customStyle="1" w:styleId="83">
    <w:name w:val="正文 New New"/>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84">
    <w:name w:val="z正文"/>
    <w:basedOn w:val="1"/>
    <w:autoRedefine/>
    <w:qFormat/>
    <w:uiPriority w:val="0"/>
    <w:rPr>
      <w:rFonts w:cs="宋体"/>
      <w:kern w:val="0"/>
      <w:szCs w:val="20"/>
    </w:rPr>
  </w:style>
  <w:style w:type="table" w:customStyle="1" w:styleId="85">
    <w:name w:val="Table Normal"/>
    <w:autoRedefine/>
    <w:qFormat/>
    <w:uiPriority w:val="0"/>
    <w:tblPr>
      <w:tblCellMar>
        <w:top w:w="0" w:type="dxa"/>
        <w:left w:w="0" w:type="dxa"/>
        <w:bottom w:w="0" w:type="dxa"/>
        <w:right w:w="0" w:type="dxa"/>
      </w:tblCellMar>
    </w:tblPr>
  </w:style>
  <w:style w:type="paragraph" w:customStyle="1" w:styleId="86">
    <w:name w:val="正文_4"/>
    <w:autoRedefine/>
    <w:qFormat/>
    <w:uiPriority w:val="0"/>
    <w:pPr>
      <w:widowControl w:val="0"/>
      <w:jc w:val="both"/>
    </w:pPr>
    <w:rPr>
      <w:rFonts w:ascii="Calibri" w:hAnsi="Calibri" w:eastAsia="宋体" w:cs="Times New Roman"/>
      <w:kern w:val="2"/>
      <w:sz w:val="21"/>
      <w:lang w:val="en-US" w:eastAsia="zh-CN" w:bidi="ar-SA"/>
    </w:rPr>
  </w:style>
  <w:style w:type="paragraph" w:customStyle="1" w:styleId="87">
    <w:name w:val="文字描述"/>
    <w:basedOn w:val="1"/>
    <w:autoRedefine/>
    <w:qFormat/>
    <w:uiPriority w:val="0"/>
    <w:pPr>
      <w:adjustRightInd w:val="0"/>
      <w:snapToGrid w:val="0"/>
      <w:spacing w:line="360" w:lineRule="auto"/>
      <w:ind w:firstLine="200" w:firstLineChars="200"/>
    </w:pPr>
    <w:rPr>
      <w:spacing w:val="-2"/>
      <w:szCs w:val="24"/>
    </w:rPr>
  </w:style>
  <w:style w:type="paragraph" w:customStyle="1" w:styleId="88">
    <w:name w:val="Other|1"/>
    <w:basedOn w:val="1"/>
    <w:autoRedefine/>
    <w:qFormat/>
    <w:uiPriority w:val="0"/>
    <w:pPr>
      <w:spacing w:after="330"/>
    </w:pPr>
    <w:rPr>
      <w:rFonts w:ascii="宋体" w:hAnsi="宋体" w:cs="宋体"/>
    </w:rPr>
  </w:style>
  <w:style w:type="table" w:customStyle="1" w:styleId="89">
    <w:name w:val="网格型刘2"/>
    <w:basedOn w:val="30"/>
    <w:autoRedefine/>
    <w:qFormat/>
    <w:uiPriority w:val="0"/>
    <w:pPr>
      <w:widowControl w:val="0"/>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90">
    <w:name w:val="WPSOffice手动目录 1"/>
    <w:autoRedefine/>
    <w:qFormat/>
    <w:uiPriority w:val="0"/>
    <w:pPr>
      <w:ind w:leftChars="0"/>
    </w:pPr>
    <w:rPr>
      <w:rFonts w:ascii="Times New Roman" w:hAnsi="Times New Roman" w:eastAsia="宋体" w:cs="Times New Roman"/>
      <w:sz w:val="20"/>
      <w:szCs w:val="20"/>
    </w:rPr>
  </w:style>
  <w:style w:type="character" w:customStyle="1" w:styleId="91">
    <w:name w:val="正文文本 (2)1"/>
    <w:basedOn w:val="92"/>
    <w:autoRedefine/>
    <w:unhideWhenUsed/>
    <w:qFormat/>
    <w:uiPriority w:val="99"/>
    <w:rPr>
      <w:rFonts w:hint="eastAsia"/>
      <w:sz w:val="22"/>
    </w:rPr>
  </w:style>
  <w:style w:type="character" w:customStyle="1" w:styleId="92">
    <w:name w:val="正文文本 (2)_"/>
    <w:basedOn w:val="32"/>
    <w:link w:val="93"/>
    <w:autoRedefine/>
    <w:unhideWhenUsed/>
    <w:qFormat/>
    <w:uiPriority w:val="99"/>
    <w:rPr>
      <w:rFonts w:ascii="宋体" w:hAnsi="宋体" w:cs="宋体"/>
      <w:kern w:val="0"/>
      <w:sz w:val="22"/>
      <w:szCs w:val="22"/>
    </w:rPr>
  </w:style>
  <w:style w:type="paragraph" w:customStyle="1" w:styleId="93">
    <w:name w:val="正文文本 (2)"/>
    <w:basedOn w:val="1"/>
    <w:link w:val="92"/>
    <w:autoRedefine/>
    <w:qFormat/>
    <w:uiPriority w:val="0"/>
    <w:pPr>
      <w:shd w:val="clear" w:color="auto" w:fill="FFFFFF"/>
      <w:adjustRightInd/>
      <w:spacing w:before="240" w:line="465" w:lineRule="exact"/>
      <w:ind w:hanging="140"/>
      <w:jc w:val="left"/>
      <w:textAlignment w:val="auto"/>
    </w:pPr>
    <w:rPr>
      <w:rFonts w:ascii="宋体" w:hAnsi="宋体" w:cs="宋体"/>
      <w:kern w:val="0"/>
      <w:sz w:val="22"/>
      <w:szCs w:val="22"/>
    </w:rPr>
  </w:style>
  <w:style w:type="paragraph" w:customStyle="1" w:styleId="94">
    <w:name w:val="(中文) 仿宋_GB2312 四号 行距: 固定值 28 磅 首行缩进:  2 字符"/>
    <w:basedOn w:val="1"/>
    <w:autoRedefine/>
    <w:qFormat/>
    <w:uiPriority w:val="0"/>
    <w:pPr>
      <w:spacing w:line="560" w:lineRule="exact"/>
      <w:ind w:firstLine="560" w:firstLineChars="200"/>
    </w:pPr>
    <w:rPr>
      <w:rFonts w:hint="eastAsia" w:ascii="宋体"/>
      <w:kern w:val="0"/>
      <w:position w:val="8"/>
      <w:sz w:val="28"/>
      <w:szCs w:val="20"/>
    </w:rPr>
  </w:style>
  <w:style w:type="character" w:customStyle="1" w:styleId="95">
    <w:name w:val="Default Char"/>
    <w:basedOn w:val="32"/>
    <w:autoRedefine/>
    <w:qFormat/>
    <w:uiPriority w:val="0"/>
    <w:rPr>
      <w:rFonts w:hint="eastAsia" w:ascii="宋体" w:hAnsi="宋体" w:eastAsia="宋体" w:cs="宋体"/>
      <w:color w:val="000000"/>
      <w:sz w:val="24"/>
      <w:szCs w:val="24"/>
    </w:rPr>
  </w:style>
  <w:style w:type="paragraph" w:customStyle="1" w:styleId="96">
    <w:name w:val="6表内文字 居中"/>
    <w:basedOn w:val="1"/>
    <w:autoRedefine/>
    <w:qFormat/>
    <w:uiPriority w:val="0"/>
    <w:pPr>
      <w:adjustRightInd w:val="0"/>
      <w:spacing w:line="400" w:lineRule="exact"/>
      <w:jc w:val="center"/>
      <w:textAlignment w:val="baseline"/>
    </w:pPr>
    <w:rPr>
      <w:rFonts w:ascii="宋体"/>
      <w:snapToGrid w:val="0"/>
      <w:kern w:val="0"/>
    </w:rPr>
  </w:style>
  <w:style w:type="paragraph" w:customStyle="1" w:styleId="97">
    <w:name w:val="样式 标题 4 + 段前: 5 磅 段后: 3 磅 行距: 固定值 26 磅"/>
    <w:basedOn w:val="7"/>
    <w:autoRedefine/>
    <w:qFormat/>
    <w:uiPriority w:val="0"/>
    <w:pPr>
      <w:numPr>
        <w:ilvl w:val="0"/>
        <w:numId w:val="2"/>
      </w:numPr>
      <w:tabs>
        <w:tab w:val="left" w:pos="0"/>
      </w:tabs>
      <w:spacing w:before="0" w:after="0" w:line="500" w:lineRule="exact"/>
    </w:pPr>
    <w:rPr>
      <w:rFonts w:ascii="楷体_GB2312" w:hAnsi="宋体" w:eastAsia="楷体_GB2312" w:cs="Times New Roman"/>
      <w:color w:val="000000"/>
      <w:sz w:val="21"/>
      <w:szCs w:val="20"/>
    </w:rPr>
  </w:style>
  <w:style w:type="paragraph" w:customStyle="1" w:styleId="98">
    <w:name w:val="3级节标题"/>
    <w:basedOn w:val="1"/>
    <w:autoRedefine/>
    <w:qFormat/>
    <w:uiPriority w:val="0"/>
    <w:pPr>
      <w:spacing w:before="163" w:beforeLines="50" w:after="163" w:afterLines="50"/>
      <w:ind w:firstLine="643"/>
      <w:outlineLvl w:val="2"/>
    </w:pPr>
    <w:rPr>
      <w:b/>
      <w:bCs/>
      <w:color w:val="000000"/>
    </w:rPr>
  </w:style>
  <w:style w:type="paragraph" w:customStyle="1" w:styleId="99">
    <w:name w:val="题注文字"/>
    <w:basedOn w:val="1"/>
    <w:autoRedefine/>
    <w:qFormat/>
    <w:uiPriority w:val="0"/>
    <w:pPr>
      <w:widowControl/>
      <w:spacing w:before="0" w:after="0" w:line="240" w:lineRule="auto"/>
      <w:ind w:firstLine="0" w:firstLineChars="0"/>
      <w:jc w:val="center"/>
    </w:pPr>
    <w:rPr>
      <w:rFonts w:ascii="Times New Roman" w:hAnsi="Times New Roman" w:eastAsia="宋体"/>
      <w:sz w:val="21"/>
      <w:szCs w:val="21"/>
      <w:lang w:bidi="ar"/>
    </w:rPr>
  </w:style>
  <w:style w:type="paragraph" w:customStyle="1" w:styleId="100">
    <w:name w:val="正文内容"/>
    <w:autoRedefine/>
    <w:qFormat/>
    <w:uiPriority w:val="0"/>
    <w:pPr>
      <w:widowControl w:val="0"/>
      <w:snapToGrid w:val="0"/>
      <w:spacing w:before="60" w:after="60"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01">
    <w:name w:val="报告表正文"/>
    <w:basedOn w:val="1"/>
    <w:semiHidden/>
    <w:qFormat/>
    <w:uiPriority w:val="0"/>
    <w:pPr>
      <w:adjustRightInd w:val="0"/>
      <w:spacing w:line="312" w:lineRule="auto"/>
      <w:ind w:left="113" w:right="113" w:firstLine="482"/>
      <w:jc w:val="left"/>
      <w:textAlignment w:val="baseline"/>
    </w:pPr>
    <w:rPr>
      <w:kern w:val="0"/>
      <w:sz w:val="24"/>
      <w:szCs w:val="20"/>
    </w:rPr>
  </w:style>
  <w:style w:type="paragraph" w:customStyle="1" w:styleId="102">
    <w:name w:val="正文（首行式样2）"/>
    <w:basedOn w:val="6"/>
    <w:qFormat/>
    <w:uiPriority w:val="0"/>
    <w:pPr>
      <w:spacing w:line="540" w:lineRule="exact"/>
      <w:ind w:firstLine="560"/>
    </w:pPr>
    <w:rPr>
      <w:rFonts w:ascii="Times New Roman" w:hAnsi="Times New Roman"/>
      <w:bCs/>
      <w:kern w:val="0"/>
      <w:sz w:val="28"/>
      <w:szCs w:val="20"/>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wmf"/><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image" Target="media/image8.wmf"/><Relationship Id="rId17" Type="http://schemas.openxmlformats.org/officeDocument/2006/relationships/oleObject" Target="embeddings/oleObject2.bin"/><Relationship Id="rId16" Type="http://schemas.openxmlformats.org/officeDocument/2006/relationships/image" Target="media/image7.wmf"/><Relationship Id="rId15" Type="http://schemas.openxmlformats.org/officeDocument/2006/relationships/oleObject" Target="embeddings/oleObject1.bin"/><Relationship Id="rId14" Type="http://schemas.openxmlformats.org/officeDocument/2006/relationships/image" Target="media/image6.wmf"/><Relationship Id="rId13" Type="http://schemas.openxmlformats.org/officeDocument/2006/relationships/image" Target="media/image5.wmf"/><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uaner\Library\Containers\com.kingsoft.wpsoffice.mac\Data\E:\Users\yuaner\Library\Containers\com.kingsoft.wpsoffice.mac\Data\E:\Users\yuaner\Library\Containers\com.kingsoft.wpsoffice.mac\Data\D:\Users\yuaner\Library\Containers\com.kingsoft.wpsoffice.mac\Data\D:\Users\yuaner\Library\Containers\com.kingsoft.wpsoffice.mac\Data\D:\WPS\WPS%20Office\12.1.0.20784\office6\file:\C:\dsoa\wdzx9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76</Pages>
  <Words>26749</Words>
  <Characters>28817</Characters>
  <Paragraphs>5214</Paragraphs>
  <TotalTime>9</TotalTime>
  <ScaleCrop>false</ScaleCrop>
  <LinksUpToDate>false</LinksUpToDate>
  <CharactersWithSpaces>28905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2020-12-27T09:29:00Z</dcterms:created>
  <dc:creator>lhj</dc:creator>
  <cp:lastModifiedBy>Happiness Delight</cp:lastModifiedBy>
  <cp:lastPrinted>2026-05-26T07:18:00Z</cp:lastPrinted>
  <dcterms:modified xsi:type="dcterms:W3CDTF">2026-06-12T02:47:46Z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B7B11ADDBA84472EB42AAD8F190E68A4_13</vt:lpwstr>
  </property>
  <property fmtid="{D5CDD505-2E9C-101B-9397-08002B2CF9AE}" pid="4" name="KSOTemplateDocerSaveRecord">
    <vt:lpwstr>eyJoZGlkIjoiMTMzZDQ1NWZjMzZmNzg3MGRmNDRiZTk4NmRhMjQzY2IiLCJ1c2VySWQiOiI2NTI1NDM5NTMifQ==</vt:lpwstr>
  </property>
</Properties>
</file>